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1B47FCD">
      <w:pPr>
        <w:pStyle w:val="19"/>
        <w:kinsoku w:val="0"/>
        <w:overflowPunct w:val="0"/>
        <w:rPr>
          <w:sz w:val="20"/>
          <w:highlight w:val="none"/>
        </w:rPr>
      </w:pPr>
      <w:bookmarkStart w:id="0" w:name="_Toc183682338"/>
      <w:bookmarkStart w:id="1" w:name="_Toc217446030"/>
      <w:r>
        <w:rPr>
          <w:rFonts w:hint="eastAsia"/>
          <w:highlight w:val="none"/>
          <w:lang w:eastAsia="zh-CN"/>
        </w:rPr>
        <w:drawing>
          <wp:anchor distT="0" distB="0" distL="114300" distR="114300" simplePos="0" relativeHeight="251659264" behindDoc="1" locked="0" layoutInCell="1" allowOverlap="1">
            <wp:simplePos x="0" y="0"/>
            <wp:positionH relativeFrom="column">
              <wp:posOffset>-910590</wp:posOffset>
            </wp:positionH>
            <wp:positionV relativeFrom="paragraph">
              <wp:posOffset>-941070</wp:posOffset>
            </wp:positionV>
            <wp:extent cx="7190740" cy="10781030"/>
            <wp:effectExtent l="0" t="0" r="10160" b="1270"/>
            <wp:wrapNone/>
            <wp:docPr id="1" name="图片 5" descr="2-2-3辅助图形3白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2-2-3辅助图形3白底"/>
                    <pic:cNvPicPr>
                      <a:picLocks noChangeAspect="1"/>
                    </pic:cNvPicPr>
                  </pic:nvPicPr>
                  <pic:blipFill>
                    <a:blip r:embed="rId20"/>
                    <a:stretch>
                      <a:fillRect/>
                    </a:stretch>
                  </pic:blipFill>
                  <pic:spPr>
                    <a:xfrm>
                      <a:off x="0" y="0"/>
                      <a:ext cx="7190740" cy="10781030"/>
                    </a:xfrm>
                    <a:prstGeom prst="rect">
                      <a:avLst/>
                    </a:prstGeom>
                    <a:noFill/>
                    <a:ln>
                      <a:noFill/>
                    </a:ln>
                  </pic:spPr>
                </pic:pic>
              </a:graphicData>
            </a:graphic>
          </wp:anchor>
        </w:drawing>
      </w:r>
    </w:p>
    <w:p w14:paraId="0E3A2B38">
      <w:pPr>
        <w:tabs>
          <w:tab w:val="left" w:pos="1710"/>
        </w:tabs>
        <w:rPr>
          <w:highlight w:val="none"/>
        </w:rPr>
      </w:pPr>
      <w:r>
        <w:rPr>
          <w:rFonts w:hint="eastAsia"/>
          <w:highlight w:val="none"/>
          <w:lang w:eastAsia="zh-CN"/>
        </w:rPr>
        <w:drawing>
          <wp:anchor distT="0" distB="0" distL="114300" distR="114300" simplePos="0" relativeHeight="251660288" behindDoc="0" locked="0" layoutInCell="1" allowOverlap="1">
            <wp:simplePos x="0" y="0"/>
            <wp:positionH relativeFrom="column">
              <wp:posOffset>534035</wp:posOffset>
            </wp:positionH>
            <wp:positionV relativeFrom="paragraph">
              <wp:posOffset>144145</wp:posOffset>
            </wp:positionV>
            <wp:extent cx="4654550" cy="584200"/>
            <wp:effectExtent l="0" t="0" r="12700" b="6350"/>
            <wp:wrapNone/>
            <wp:docPr id="2" name="图片 7" descr="1-2-1LOGO中英文全称横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1LOGO中英文全称横式"/>
                    <pic:cNvPicPr>
                      <a:picLocks noChangeAspect="1"/>
                    </pic:cNvPicPr>
                  </pic:nvPicPr>
                  <pic:blipFill>
                    <a:blip r:embed="rId21"/>
                    <a:stretch>
                      <a:fillRect/>
                    </a:stretch>
                  </pic:blipFill>
                  <pic:spPr>
                    <a:xfrm>
                      <a:off x="0" y="0"/>
                      <a:ext cx="4654550" cy="584200"/>
                    </a:xfrm>
                    <a:prstGeom prst="rect">
                      <a:avLst/>
                    </a:prstGeom>
                    <a:noFill/>
                    <a:ln>
                      <a:noFill/>
                    </a:ln>
                  </pic:spPr>
                </pic:pic>
              </a:graphicData>
            </a:graphic>
          </wp:anchor>
        </w:drawing>
      </w:r>
    </w:p>
    <w:p w14:paraId="3DC33870">
      <w:pPr>
        <w:tabs>
          <w:tab w:val="left" w:pos="1710"/>
        </w:tabs>
        <w:rPr>
          <w:highlight w:val="none"/>
        </w:rPr>
      </w:pPr>
    </w:p>
    <w:p w14:paraId="79BCA03C">
      <w:pPr>
        <w:tabs>
          <w:tab w:val="left" w:pos="1710"/>
        </w:tabs>
        <w:rPr>
          <w:highlight w:val="none"/>
        </w:rPr>
      </w:pPr>
    </w:p>
    <w:p w14:paraId="1DFA58A2">
      <w:pPr>
        <w:tabs>
          <w:tab w:val="left" w:pos="1710"/>
        </w:tabs>
        <w:rPr>
          <w:highlight w:val="none"/>
        </w:rPr>
      </w:pPr>
    </w:p>
    <w:p w14:paraId="3A22C038">
      <w:pPr>
        <w:tabs>
          <w:tab w:val="left" w:pos="1710"/>
        </w:tabs>
        <w:rPr>
          <w:highlight w:val="none"/>
        </w:rPr>
      </w:pPr>
    </w:p>
    <w:p w14:paraId="3243EF00">
      <w:pPr>
        <w:tabs>
          <w:tab w:val="left" w:pos="1710"/>
        </w:tabs>
        <w:rPr>
          <w:highlight w:val="none"/>
        </w:rPr>
      </w:pPr>
    </w:p>
    <w:p w14:paraId="49BDB24E">
      <w:pPr>
        <w:tabs>
          <w:tab w:val="left" w:pos="1710"/>
        </w:tabs>
        <w:rPr>
          <w:highlight w:val="none"/>
        </w:rPr>
      </w:pPr>
    </w:p>
    <w:p w14:paraId="0A8E2BAE">
      <w:pPr>
        <w:tabs>
          <w:tab w:val="left" w:pos="1710"/>
        </w:tabs>
        <w:rPr>
          <w:highlight w:val="none"/>
        </w:rPr>
      </w:pPr>
    </w:p>
    <w:p w14:paraId="6B8565C9">
      <w:pPr>
        <w:tabs>
          <w:tab w:val="left" w:pos="1710"/>
        </w:tabs>
        <w:rPr>
          <w:highlight w:val="none"/>
        </w:rPr>
      </w:pPr>
    </w:p>
    <w:p w14:paraId="18621130">
      <w:pPr>
        <w:tabs>
          <w:tab w:val="left" w:pos="1710"/>
        </w:tabs>
        <w:rPr>
          <w:highlight w:val="none"/>
        </w:rPr>
      </w:pP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4"/>
        <w:gridCol w:w="5942"/>
      </w:tblGrid>
      <w:tr w14:paraId="2F87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706" w:type="dxa"/>
            <w:gridSpan w:val="2"/>
            <w:tcBorders>
              <w:top w:val="nil"/>
              <w:left w:val="nil"/>
              <w:right w:val="nil"/>
            </w:tcBorders>
            <w:noWrap w:val="0"/>
            <w:vAlign w:val="top"/>
          </w:tcPr>
          <w:p w14:paraId="2808195E">
            <w:pPr>
              <w:snapToGrid w:val="0"/>
              <w:spacing w:line="240" w:lineRule="atLeast"/>
              <w:jc w:val="center"/>
              <w:rPr>
                <w:b/>
                <w:sz w:val="60"/>
                <w:szCs w:val="60"/>
                <w:highlight w:val="none"/>
              </w:rPr>
            </w:pPr>
            <w:r>
              <w:rPr>
                <w:rFonts w:hint="eastAsia"/>
                <w:b/>
                <w:sz w:val="60"/>
                <w:szCs w:val="60"/>
                <w:highlight w:val="none"/>
              </w:rPr>
              <w:t>采购</w:t>
            </w:r>
            <w:r>
              <w:rPr>
                <w:b/>
                <w:sz w:val="60"/>
                <w:szCs w:val="60"/>
                <w:highlight w:val="none"/>
              </w:rPr>
              <w:t>文件</w:t>
            </w:r>
          </w:p>
        </w:tc>
      </w:tr>
      <w:tr w14:paraId="61BA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2204C62E">
            <w:pPr>
              <w:rPr>
                <w:b/>
                <w:sz w:val="32"/>
                <w:szCs w:val="32"/>
                <w:highlight w:val="none"/>
              </w:rPr>
            </w:pPr>
            <w:r>
              <w:rPr>
                <w:b/>
                <w:sz w:val="32"/>
                <w:szCs w:val="32"/>
                <w:highlight w:val="none"/>
              </w:rPr>
              <w:t>项目名称：</w:t>
            </w:r>
          </w:p>
        </w:tc>
        <w:tc>
          <w:tcPr>
            <w:tcW w:w="5942" w:type="dxa"/>
            <w:noWrap w:val="0"/>
            <w:vAlign w:val="center"/>
          </w:tcPr>
          <w:p w14:paraId="2110EF70">
            <w:pPr>
              <w:rPr>
                <w:rFonts w:hint="eastAsia" w:eastAsia="宋体"/>
                <w:b/>
                <w:color w:val="auto"/>
                <w:sz w:val="32"/>
                <w:szCs w:val="32"/>
                <w:highlight w:val="none"/>
                <w:lang w:eastAsia="zh-CN"/>
              </w:rPr>
            </w:pPr>
            <w:r>
              <w:rPr>
                <w:rFonts w:hint="eastAsia"/>
                <w:b/>
                <w:color w:val="auto"/>
                <w:sz w:val="32"/>
                <w:szCs w:val="32"/>
                <w:highlight w:val="none"/>
                <w:lang w:eastAsia="zh-CN"/>
              </w:rPr>
              <w:t>武宣乡村工匠建设项目</w:t>
            </w:r>
          </w:p>
        </w:tc>
      </w:tr>
      <w:tr w14:paraId="15E2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5BF55F27">
            <w:pPr>
              <w:rPr>
                <w:b/>
                <w:sz w:val="32"/>
                <w:szCs w:val="32"/>
                <w:highlight w:val="none"/>
              </w:rPr>
            </w:pPr>
            <w:r>
              <w:rPr>
                <w:b/>
                <w:sz w:val="32"/>
                <w:szCs w:val="32"/>
                <w:highlight w:val="none"/>
              </w:rPr>
              <w:t>项目编号：</w:t>
            </w:r>
          </w:p>
        </w:tc>
        <w:tc>
          <w:tcPr>
            <w:tcW w:w="5942" w:type="dxa"/>
            <w:noWrap w:val="0"/>
            <w:vAlign w:val="center"/>
          </w:tcPr>
          <w:p w14:paraId="224B8829">
            <w:pPr>
              <w:rPr>
                <w:b/>
                <w:color w:val="auto"/>
                <w:sz w:val="32"/>
                <w:szCs w:val="32"/>
                <w:highlight w:val="none"/>
              </w:rPr>
            </w:pPr>
            <w:r>
              <w:rPr>
                <w:rFonts w:hint="eastAsia"/>
                <w:b/>
                <w:color w:val="auto"/>
                <w:sz w:val="32"/>
                <w:szCs w:val="32"/>
                <w:highlight w:val="none"/>
                <w:lang w:val="en-US" w:eastAsia="zh-CN"/>
              </w:rPr>
              <w:t>LBZC2026-C2-230071-JDZB</w:t>
            </w:r>
          </w:p>
        </w:tc>
      </w:tr>
      <w:tr w14:paraId="7EA1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4736F1DA">
            <w:pPr>
              <w:rPr>
                <w:b/>
                <w:sz w:val="32"/>
                <w:szCs w:val="32"/>
                <w:highlight w:val="none"/>
              </w:rPr>
            </w:pPr>
            <w:r>
              <w:rPr>
                <w:b/>
                <w:sz w:val="32"/>
                <w:szCs w:val="32"/>
                <w:highlight w:val="none"/>
              </w:rPr>
              <w:t>联系电话：</w:t>
            </w:r>
          </w:p>
        </w:tc>
        <w:tc>
          <w:tcPr>
            <w:tcW w:w="5942" w:type="dxa"/>
            <w:noWrap w:val="0"/>
            <w:vAlign w:val="center"/>
          </w:tcPr>
          <w:p w14:paraId="6202A0F7">
            <w:pPr>
              <w:rPr>
                <w:rFonts w:hint="default" w:eastAsia="宋体"/>
                <w:b/>
                <w:color w:val="auto"/>
                <w:sz w:val="32"/>
                <w:szCs w:val="32"/>
                <w:highlight w:val="none"/>
                <w:lang w:val="en-US" w:eastAsia="zh-CN"/>
              </w:rPr>
            </w:pPr>
            <w:r>
              <w:rPr>
                <w:b/>
                <w:color w:val="auto"/>
                <w:sz w:val="32"/>
                <w:szCs w:val="32"/>
                <w:highlight w:val="none"/>
              </w:rPr>
              <w:t>077</w:t>
            </w:r>
            <w:r>
              <w:rPr>
                <w:rFonts w:hint="eastAsia"/>
                <w:b/>
                <w:color w:val="auto"/>
                <w:sz w:val="32"/>
                <w:szCs w:val="32"/>
                <w:highlight w:val="none"/>
                <w:lang w:val="en-US" w:eastAsia="zh-CN"/>
              </w:rPr>
              <w:t>2</w:t>
            </w:r>
            <w:r>
              <w:rPr>
                <w:b/>
                <w:color w:val="auto"/>
                <w:sz w:val="32"/>
                <w:szCs w:val="32"/>
                <w:highlight w:val="none"/>
              </w:rPr>
              <w:t>-</w:t>
            </w:r>
            <w:r>
              <w:rPr>
                <w:rFonts w:hint="eastAsia"/>
                <w:b/>
                <w:color w:val="auto"/>
                <w:sz w:val="32"/>
                <w:szCs w:val="32"/>
                <w:highlight w:val="none"/>
                <w:lang w:val="en-US" w:eastAsia="zh-CN"/>
              </w:rPr>
              <w:t>4772448</w:t>
            </w:r>
          </w:p>
        </w:tc>
      </w:tr>
      <w:tr w14:paraId="131C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1764" w:type="dxa"/>
            <w:noWrap w:val="0"/>
            <w:vAlign w:val="center"/>
          </w:tcPr>
          <w:p w14:paraId="0819229C">
            <w:pPr>
              <w:rPr>
                <w:b/>
                <w:sz w:val="32"/>
                <w:szCs w:val="32"/>
                <w:highlight w:val="none"/>
              </w:rPr>
            </w:pPr>
            <w:r>
              <w:rPr>
                <w:rFonts w:hint="eastAsia"/>
                <w:b/>
                <w:sz w:val="32"/>
                <w:szCs w:val="32"/>
                <w:highlight w:val="none"/>
              </w:rPr>
              <w:t>采购方式：</w:t>
            </w:r>
          </w:p>
        </w:tc>
        <w:tc>
          <w:tcPr>
            <w:tcW w:w="5942" w:type="dxa"/>
            <w:noWrap w:val="0"/>
            <w:vAlign w:val="center"/>
          </w:tcPr>
          <w:p w14:paraId="12C9C302">
            <w:pPr>
              <w:rPr>
                <w:b/>
                <w:sz w:val="32"/>
                <w:szCs w:val="32"/>
                <w:highlight w:val="none"/>
              </w:rPr>
            </w:pPr>
            <w:r>
              <w:rPr>
                <w:rFonts w:hint="eastAsia"/>
                <w:b/>
                <w:sz w:val="32"/>
                <w:szCs w:val="32"/>
                <w:highlight w:val="none"/>
              </w:rPr>
              <w:t>竞争性磋商</w:t>
            </w:r>
          </w:p>
        </w:tc>
      </w:tr>
    </w:tbl>
    <w:p w14:paraId="4EE85AEA">
      <w:pPr>
        <w:tabs>
          <w:tab w:val="left" w:pos="1710"/>
        </w:tabs>
        <w:rPr>
          <w:highlight w:val="none"/>
        </w:rPr>
      </w:pPr>
    </w:p>
    <w:p w14:paraId="4F08A820">
      <w:pPr>
        <w:rPr>
          <w:highlight w:val="none"/>
        </w:rPr>
      </w:pPr>
    </w:p>
    <w:p w14:paraId="48D93FDD">
      <w:pPr>
        <w:rPr>
          <w:highlight w:val="none"/>
        </w:rPr>
      </w:pPr>
    </w:p>
    <w:p w14:paraId="0BF8FA6F">
      <w:pPr>
        <w:rPr>
          <w:highlight w:val="none"/>
        </w:rPr>
      </w:pPr>
    </w:p>
    <w:p w14:paraId="099A03AD">
      <w:pPr>
        <w:rPr>
          <w:highlight w:val="none"/>
        </w:rPr>
      </w:pPr>
    </w:p>
    <w:p w14:paraId="7E7AAD23">
      <w:pPr>
        <w:rPr>
          <w:highlight w:val="none"/>
        </w:rPr>
      </w:pPr>
    </w:p>
    <w:p w14:paraId="27C80518">
      <w:pPr>
        <w:rPr>
          <w:highlight w:val="none"/>
        </w:rPr>
      </w:pPr>
    </w:p>
    <w:p w14:paraId="7E6992BF">
      <w:pPr>
        <w:rPr>
          <w:highlight w:val="none"/>
        </w:rPr>
      </w:pPr>
    </w:p>
    <w:p w14:paraId="0EAA79BB">
      <w:pPr>
        <w:rPr>
          <w:highlight w:val="none"/>
        </w:rPr>
      </w:pPr>
    </w:p>
    <w:p w14:paraId="7FE2EB88">
      <w:pPr>
        <w:rPr>
          <w:highlight w:val="none"/>
        </w:rPr>
      </w:pPr>
    </w:p>
    <w:p w14:paraId="4923B978">
      <w:pPr>
        <w:rPr>
          <w:highlight w:val="none"/>
        </w:rPr>
      </w:pPr>
    </w:p>
    <w:p w14:paraId="49784FCB">
      <w:pPr>
        <w:rPr>
          <w:highlight w:val="none"/>
        </w:rPr>
      </w:pPr>
    </w:p>
    <w:p w14:paraId="126C109A">
      <w:pPr>
        <w:rPr>
          <w:highlight w:val="none"/>
        </w:rPr>
      </w:pPr>
    </w:p>
    <w:p w14:paraId="4B7EF5E9">
      <w:pPr>
        <w:rPr>
          <w:highlight w:val="none"/>
        </w:rPr>
      </w:pPr>
    </w:p>
    <w:p w14:paraId="55D1EC1E">
      <w:pPr>
        <w:rPr>
          <w:highlight w:val="none"/>
        </w:rPr>
      </w:pPr>
    </w:p>
    <w:tbl>
      <w:tblPr>
        <w:tblStyle w:val="54"/>
        <w:tblW w:w="0" w:type="auto"/>
        <w:jc w:val="center"/>
        <w:tblLayout w:type="fixed"/>
        <w:tblCellMar>
          <w:top w:w="0" w:type="dxa"/>
          <w:left w:w="108" w:type="dxa"/>
          <w:bottom w:w="0" w:type="dxa"/>
          <w:right w:w="108" w:type="dxa"/>
        </w:tblCellMar>
      </w:tblPr>
      <w:tblGrid>
        <w:gridCol w:w="2707"/>
        <w:gridCol w:w="6"/>
        <w:gridCol w:w="5571"/>
      </w:tblGrid>
      <w:tr w14:paraId="142A434D">
        <w:tblPrEx>
          <w:tblCellMar>
            <w:top w:w="0" w:type="dxa"/>
            <w:left w:w="108" w:type="dxa"/>
            <w:bottom w:w="0" w:type="dxa"/>
            <w:right w:w="108" w:type="dxa"/>
          </w:tblCellMar>
        </w:tblPrEx>
        <w:trPr>
          <w:trHeight w:val="703" w:hRule="atLeast"/>
          <w:jc w:val="center"/>
        </w:trPr>
        <w:tc>
          <w:tcPr>
            <w:tcW w:w="2707" w:type="dxa"/>
            <w:noWrap w:val="0"/>
            <w:vAlign w:val="center"/>
          </w:tcPr>
          <w:p w14:paraId="616B4C31">
            <w:pPr>
              <w:autoSpaceDE w:val="0"/>
              <w:autoSpaceDN w:val="0"/>
              <w:adjustRightInd w:val="0"/>
              <w:jc w:val="right"/>
              <w:rPr>
                <w:b/>
                <w:sz w:val="32"/>
                <w:szCs w:val="32"/>
                <w:highlight w:val="none"/>
              </w:rPr>
            </w:pPr>
            <w:r>
              <w:rPr>
                <w:b/>
                <w:sz w:val="32"/>
                <w:szCs w:val="32"/>
                <w:highlight w:val="none"/>
              </w:rPr>
              <w:t xml:space="preserve">  采购人：</w:t>
            </w:r>
          </w:p>
        </w:tc>
        <w:tc>
          <w:tcPr>
            <w:tcW w:w="5577" w:type="dxa"/>
            <w:gridSpan w:val="2"/>
            <w:noWrap w:val="0"/>
            <w:vAlign w:val="center"/>
          </w:tcPr>
          <w:p w14:paraId="360A35ED">
            <w:pPr>
              <w:autoSpaceDE w:val="0"/>
              <w:autoSpaceDN w:val="0"/>
              <w:adjustRightInd w:val="0"/>
              <w:jc w:val="left"/>
              <w:rPr>
                <w:b/>
                <w:sz w:val="32"/>
                <w:szCs w:val="32"/>
                <w:highlight w:val="none"/>
              </w:rPr>
            </w:pPr>
            <w:r>
              <w:rPr>
                <w:rFonts w:hint="eastAsia"/>
                <w:b/>
                <w:sz w:val="32"/>
                <w:szCs w:val="32"/>
                <w:highlight w:val="none"/>
                <w:lang w:val="en-US" w:eastAsia="zh-CN"/>
              </w:rPr>
              <w:t>武宣县金鸡乡人民政府</w:t>
            </w:r>
          </w:p>
        </w:tc>
      </w:tr>
      <w:tr w14:paraId="78299E61">
        <w:tblPrEx>
          <w:tblCellMar>
            <w:top w:w="0" w:type="dxa"/>
            <w:left w:w="108" w:type="dxa"/>
            <w:bottom w:w="0" w:type="dxa"/>
            <w:right w:w="108" w:type="dxa"/>
          </w:tblCellMar>
        </w:tblPrEx>
        <w:trPr>
          <w:trHeight w:val="703" w:hRule="atLeast"/>
          <w:jc w:val="center"/>
        </w:trPr>
        <w:tc>
          <w:tcPr>
            <w:tcW w:w="2713" w:type="dxa"/>
            <w:gridSpan w:val="2"/>
            <w:noWrap w:val="0"/>
            <w:vAlign w:val="top"/>
          </w:tcPr>
          <w:p w14:paraId="7209AE28">
            <w:pPr>
              <w:autoSpaceDE w:val="0"/>
              <w:autoSpaceDN w:val="0"/>
              <w:adjustRightInd w:val="0"/>
              <w:jc w:val="right"/>
              <w:rPr>
                <w:b/>
                <w:sz w:val="32"/>
                <w:szCs w:val="32"/>
                <w:highlight w:val="none"/>
              </w:rPr>
            </w:pPr>
            <w:r>
              <w:rPr>
                <w:b/>
                <w:sz w:val="32"/>
                <w:szCs w:val="32"/>
                <w:highlight w:val="none"/>
              </w:rPr>
              <w:t>采购代理机构：</w:t>
            </w:r>
          </w:p>
        </w:tc>
        <w:tc>
          <w:tcPr>
            <w:tcW w:w="5571" w:type="dxa"/>
            <w:noWrap w:val="0"/>
            <w:vAlign w:val="top"/>
          </w:tcPr>
          <w:p w14:paraId="21ED13DC">
            <w:pPr>
              <w:autoSpaceDE w:val="0"/>
              <w:autoSpaceDN w:val="0"/>
              <w:adjustRightInd w:val="0"/>
              <w:rPr>
                <w:b/>
                <w:sz w:val="32"/>
                <w:szCs w:val="32"/>
                <w:highlight w:val="none"/>
                <w:u w:val="single"/>
              </w:rPr>
            </w:pPr>
            <w:r>
              <w:rPr>
                <w:b/>
                <w:sz w:val="32"/>
                <w:szCs w:val="32"/>
                <w:highlight w:val="none"/>
              </w:rPr>
              <w:t>广西机电设备招标有限公司</w:t>
            </w:r>
          </w:p>
        </w:tc>
      </w:tr>
    </w:tbl>
    <w:p w14:paraId="603E9A0F">
      <w:pPr>
        <w:rPr>
          <w:highlight w:val="none"/>
        </w:rPr>
      </w:pPr>
    </w:p>
    <w:p w14:paraId="32E76D35">
      <w:pPr>
        <w:ind w:firstLine="321" w:firstLineChars="100"/>
        <w:jc w:val="center"/>
        <w:rPr>
          <w:b/>
          <w:color w:val="auto"/>
          <w:sz w:val="32"/>
          <w:szCs w:val="32"/>
          <w:highlight w:val="none"/>
        </w:rPr>
        <w:sectPr>
          <w:headerReference r:id="rId3" w:type="first"/>
          <w:footerReference r:id="rId5" w:type="first"/>
          <w:footerReference r:id="rId4" w:type="default"/>
          <w:pgSz w:w="11906" w:h="16838"/>
          <w:pgMar w:top="1418" w:right="1418" w:bottom="1246" w:left="1418" w:header="851" w:footer="992" w:gutter="0"/>
          <w:pgNumType w:start="0"/>
          <w:cols w:space="720" w:num="1"/>
          <w:titlePg/>
          <w:docGrid w:linePitch="312" w:charSpace="0"/>
        </w:sectPr>
      </w:pPr>
      <w:r>
        <w:rPr>
          <w:b/>
          <w:color w:val="auto"/>
          <w:sz w:val="32"/>
          <w:szCs w:val="32"/>
          <w:highlight w:val="none"/>
        </w:rPr>
        <w:t>202</w:t>
      </w:r>
      <w:r>
        <w:rPr>
          <w:rFonts w:hint="eastAsia"/>
          <w:b/>
          <w:color w:val="auto"/>
          <w:sz w:val="32"/>
          <w:szCs w:val="32"/>
          <w:highlight w:val="none"/>
          <w:lang w:val="en-US" w:eastAsia="zh-CN"/>
        </w:rPr>
        <w:t>6</w:t>
      </w:r>
      <w:r>
        <w:rPr>
          <w:b/>
          <w:color w:val="auto"/>
          <w:sz w:val="32"/>
          <w:szCs w:val="32"/>
          <w:highlight w:val="none"/>
        </w:rPr>
        <w:t>年</w:t>
      </w:r>
      <w:r>
        <w:rPr>
          <w:rFonts w:hint="eastAsia"/>
          <w:b/>
          <w:color w:val="auto"/>
          <w:sz w:val="32"/>
          <w:szCs w:val="32"/>
          <w:highlight w:val="none"/>
          <w:lang w:val="en-US" w:eastAsia="zh-CN"/>
        </w:rPr>
        <w:t>9</w:t>
      </w:r>
      <w:r>
        <w:rPr>
          <w:b/>
          <w:color w:val="auto"/>
          <w:sz w:val="32"/>
          <w:szCs w:val="32"/>
          <w:highlight w:val="none"/>
        </w:rPr>
        <w:t>月</w:t>
      </w:r>
    </w:p>
    <w:p w14:paraId="31D776F3">
      <w:pPr>
        <w:rPr>
          <w:sz w:val="32"/>
          <w:szCs w:val="32"/>
          <w:highlight w:val="none"/>
        </w:rPr>
      </w:pPr>
    </w:p>
    <w:p w14:paraId="0FFBCD3F">
      <w:pPr>
        <w:pStyle w:val="27"/>
        <w:snapToGrid w:val="0"/>
        <w:spacing w:before="120" w:after="120" w:line="320" w:lineRule="exact"/>
        <w:jc w:val="center"/>
        <w:outlineLvl w:val="0"/>
        <w:rPr>
          <w:rFonts w:ascii="Times New Roman" w:hAnsi="Times New Roman" w:cs="Times New Roman"/>
          <w:sz w:val="32"/>
          <w:szCs w:val="32"/>
          <w:highlight w:val="none"/>
        </w:rPr>
      </w:pPr>
      <w:bookmarkStart w:id="2" w:name="_Toc23183402"/>
      <w:bookmarkStart w:id="3" w:name="_Toc89186348"/>
      <w:bookmarkStart w:id="4" w:name="_Toc483235754"/>
      <w:bookmarkStart w:id="5" w:name="_Toc503889276"/>
      <w:r>
        <w:rPr>
          <w:rFonts w:ascii="Times New Roman" w:hAnsi="Times New Roman" w:cs="Times New Roman"/>
          <w:sz w:val="32"/>
          <w:szCs w:val="32"/>
          <w:highlight w:val="none"/>
        </w:rPr>
        <w:t>目    录</w:t>
      </w:r>
      <w:bookmarkEnd w:id="2"/>
      <w:bookmarkEnd w:id="3"/>
      <w:bookmarkEnd w:id="4"/>
      <w:bookmarkEnd w:id="5"/>
    </w:p>
    <w:p w14:paraId="6BA0FD30">
      <w:pPr>
        <w:pStyle w:val="34"/>
        <w:ind w:firstLine="241"/>
        <w:rPr>
          <w:rFonts w:ascii="等线" w:hAnsi="等线" w:eastAsia="等线"/>
          <w:b w:val="0"/>
          <w:bCs w:val="0"/>
          <w:caps w:val="0"/>
          <w:sz w:val="21"/>
          <w:szCs w:val="22"/>
          <w:highlight w:val="none"/>
          <w:lang w:val="en-US" w:eastAsia="zh-CN"/>
        </w:rPr>
      </w:pPr>
      <w:r>
        <w:rPr>
          <w:rFonts w:ascii="Times New Roman" w:hAnsi="Times New Roman"/>
          <w:highlight w:val="none"/>
        </w:rPr>
        <w:fldChar w:fldCharType="begin"/>
      </w:r>
      <w:r>
        <w:rPr>
          <w:rStyle w:val="61"/>
          <w:rFonts w:ascii="Times New Roman" w:hAnsi="Times New Roman"/>
          <w:color w:val="auto"/>
          <w:highlight w:val="none"/>
        </w:rPr>
        <w:instrText xml:space="preserve"> TOC \o "1-1" \h \z \u </w:instrText>
      </w:r>
      <w:r>
        <w:rPr>
          <w:rFonts w:ascii="Times New Roman" w:hAnsi="Times New Roman"/>
          <w:highlight w:val="none"/>
        </w:rPr>
        <w:fldChar w:fldCharType="separate"/>
      </w:r>
    </w:p>
    <w:p w14:paraId="38520442">
      <w:pPr>
        <w:pStyle w:val="34"/>
        <w:ind w:firstLine="241"/>
        <w:rPr>
          <w:rFonts w:ascii="等线" w:hAnsi="等线" w:eastAsia="等线"/>
          <w:b w:val="0"/>
          <w:bCs w:val="0"/>
          <w:caps w:val="0"/>
          <w:sz w:val="21"/>
          <w:szCs w:val="22"/>
          <w:highlight w:val="none"/>
          <w:lang w:val="en-US" w:eastAsia="zh-CN"/>
        </w:rPr>
      </w:pPr>
      <w:r>
        <w:rPr>
          <w:rStyle w:val="61"/>
          <w:highlight w:val="none"/>
        </w:rPr>
        <w:fldChar w:fldCharType="begin"/>
      </w:r>
      <w:r>
        <w:rPr>
          <w:rStyle w:val="61"/>
          <w:highlight w:val="none"/>
        </w:rPr>
        <w:instrText xml:space="preserve"> </w:instrText>
      </w:r>
      <w:r>
        <w:rPr>
          <w:highlight w:val="none"/>
        </w:rPr>
        <w:instrText xml:space="preserve">HYPERLINK \l "_Toc89186349"</w:instrText>
      </w:r>
      <w:r>
        <w:rPr>
          <w:rStyle w:val="61"/>
          <w:highlight w:val="none"/>
        </w:rPr>
        <w:instrText xml:space="preserve"> </w:instrText>
      </w:r>
      <w:r>
        <w:rPr>
          <w:rStyle w:val="61"/>
          <w:highlight w:val="none"/>
        </w:rPr>
        <w:fldChar w:fldCharType="separate"/>
      </w:r>
      <w:r>
        <w:rPr>
          <w:rStyle w:val="61"/>
          <w:rFonts w:ascii="Times New Roman" w:hAnsi="Times New Roman"/>
          <w:highlight w:val="none"/>
        </w:rPr>
        <w:t>第一章  竞争性磋商公告</w:t>
      </w:r>
      <w:r>
        <w:rPr>
          <w:highlight w:val="none"/>
        </w:rPr>
        <w:tab/>
      </w:r>
      <w:r>
        <w:rPr>
          <w:highlight w:val="none"/>
        </w:rPr>
        <w:fldChar w:fldCharType="begin"/>
      </w:r>
      <w:r>
        <w:rPr>
          <w:highlight w:val="none"/>
        </w:rPr>
        <w:instrText xml:space="preserve"> PAGEREF _Toc89186349 \h </w:instrText>
      </w:r>
      <w:r>
        <w:rPr>
          <w:highlight w:val="none"/>
        </w:rPr>
        <w:fldChar w:fldCharType="separate"/>
      </w:r>
      <w:r>
        <w:rPr>
          <w:highlight w:val="none"/>
        </w:rPr>
        <w:t>1</w:t>
      </w:r>
      <w:r>
        <w:rPr>
          <w:highlight w:val="none"/>
        </w:rPr>
        <w:fldChar w:fldCharType="end"/>
      </w:r>
      <w:r>
        <w:rPr>
          <w:rStyle w:val="61"/>
          <w:highlight w:val="none"/>
        </w:rPr>
        <w:fldChar w:fldCharType="end"/>
      </w:r>
    </w:p>
    <w:p w14:paraId="647F3BCE">
      <w:pPr>
        <w:pStyle w:val="34"/>
        <w:ind w:firstLine="241"/>
        <w:rPr>
          <w:rFonts w:ascii="等线" w:hAnsi="等线" w:eastAsia="等线"/>
          <w:b w:val="0"/>
          <w:bCs w:val="0"/>
          <w:caps w:val="0"/>
          <w:sz w:val="21"/>
          <w:szCs w:val="22"/>
          <w:highlight w:val="none"/>
          <w:lang w:val="en-US" w:eastAsia="zh-CN"/>
        </w:rPr>
      </w:pPr>
      <w:r>
        <w:rPr>
          <w:rStyle w:val="61"/>
          <w:highlight w:val="none"/>
        </w:rPr>
        <w:fldChar w:fldCharType="begin"/>
      </w:r>
      <w:r>
        <w:rPr>
          <w:rStyle w:val="61"/>
          <w:highlight w:val="none"/>
        </w:rPr>
        <w:instrText xml:space="preserve"> </w:instrText>
      </w:r>
      <w:r>
        <w:rPr>
          <w:highlight w:val="none"/>
        </w:rPr>
        <w:instrText xml:space="preserve">HYPERLINK \l "_Toc89186350"</w:instrText>
      </w:r>
      <w:r>
        <w:rPr>
          <w:rStyle w:val="61"/>
          <w:highlight w:val="none"/>
        </w:rPr>
        <w:instrText xml:space="preserve"> </w:instrText>
      </w:r>
      <w:r>
        <w:rPr>
          <w:rStyle w:val="61"/>
          <w:highlight w:val="none"/>
        </w:rPr>
        <w:fldChar w:fldCharType="separate"/>
      </w:r>
      <w:r>
        <w:rPr>
          <w:rStyle w:val="61"/>
          <w:rFonts w:ascii="Times New Roman" w:hAnsi="Times New Roman"/>
          <w:highlight w:val="none"/>
        </w:rPr>
        <w:t>第二章  采购需求</w:t>
      </w:r>
      <w:r>
        <w:rPr>
          <w:highlight w:val="none"/>
        </w:rPr>
        <w:tab/>
      </w:r>
      <w:r>
        <w:rPr>
          <w:highlight w:val="none"/>
        </w:rPr>
        <w:fldChar w:fldCharType="begin"/>
      </w:r>
      <w:r>
        <w:rPr>
          <w:highlight w:val="none"/>
        </w:rPr>
        <w:instrText xml:space="preserve"> PAGEREF _Toc89186350 \h </w:instrText>
      </w:r>
      <w:r>
        <w:rPr>
          <w:highlight w:val="none"/>
        </w:rPr>
        <w:fldChar w:fldCharType="separate"/>
      </w:r>
      <w:r>
        <w:rPr>
          <w:highlight w:val="none"/>
        </w:rPr>
        <w:t>4</w:t>
      </w:r>
      <w:r>
        <w:rPr>
          <w:highlight w:val="none"/>
        </w:rPr>
        <w:fldChar w:fldCharType="end"/>
      </w:r>
      <w:r>
        <w:rPr>
          <w:rStyle w:val="61"/>
          <w:highlight w:val="none"/>
        </w:rPr>
        <w:fldChar w:fldCharType="end"/>
      </w:r>
    </w:p>
    <w:p w14:paraId="25248074">
      <w:pPr>
        <w:pStyle w:val="34"/>
        <w:ind w:firstLine="241"/>
        <w:rPr>
          <w:rFonts w:ascii="等线" w:hAnsi="等线" w:eastAsia="等线"/>
          <w:b w:val="0"/>
          <w:bCs w:val="0"/>
          <w:caps w:val="0"/>
          <w:sz w:val="21"/>
          <w:szCs w:val="22"/>
          <w:highlight w:val="none"/>
          <w:lang w:val="en-US" w:eastAsia="zh-CN"/>
        </w:rPr>
      </w:pPr>
      <w:r>
        <w:rPr>
          <w:rStyle w:val="61"/>
          <w:highlight w:val="none"/>
        </w:rPr>
        <w:fldChar w:fldCharType="begin"/>
      </w:r>
      <w:r>
        <w:rPr>
          <w:rStyle w:val="61"/>
          <w:highlight w:val="none"/>
        </w:rPr>
        <w:instrText xml:space="preserve"> </w:instrText>
      </w:r>
      <w:r>
        <w:rPr>
          <w:highlight w:val="none"/>
        </w:rPr>
        <w:instrText xml:space="preserve">HYPERLINK \l "_Toc89186351"</w:instrText>
      </w:r>
      <w:r>
        <w:rPr>
          <w:rStyle w:val="61"/>
          <w:highlight w:val="none"/>
        </w:rPr>
        <w:instrText xml:space="preserve"> </w:instrText>
      </w:r>
      <w:r>
        <w:rPr>
          <w:rStyle w:val="61"/>
          <w:highlight w:val="none"/>
        </w:rPr>
        <w:fldChar w:fldCharType="separate"/>
      </w:r>
      <w:r>
        <w:rPr>
          <w:rStyle w:val="61"/>
          <w:rFonts w:ascii="Times New Roman" w:hAnsi="Times New Roman"/>
          <w:highlight w:val="none"/>
        </w:rPr>
        <w:t>第三章  供应商须知</w:t>
      </w:r>
      <w:r>
        <w:rPr>
          <w:highlight w:val="none"/>
        </w:rPr>
        <w:tab/>
      </w:r>
      <w:bookmarkStart w:id="502" w:name="_GoBack"/>
      <w:bookmarkEnd w:id="502"/>
      <w:r>
        <w:rPr>
          <w:highlight w:val="none"/>
        </w:rPr>
        <w:fldChar w:fldCharType="begin"/>
      </w:r>
      <w:r>
        <w:rPr>
          <w:highlight w:val="none"/>
        </w:rPr>
        <w:instrText xml:space="preserve"> PAGEREF _Toc89186351 \h </w:instrText>
      </w:r>
      <w:r>
        <w:rPr>
          <w:highlight w:val="none"/>
        </w:rPr>
        <w:fldChar w:fldCharType="separate"/>
      </w:r>
      <w:r>
        <w:rPr>
          <w:highlight w:val="none"/>
        </w:rPr>
        <w:t>10</w:t>
      </w:r>
      <w:r>
        <w:rPr>
          <w:highlight w:val="none"/>
        </w:rPr>
        <w:fldChar w:fldCharType="end"/>
      </w:r>
      <w:r>
        <w:rPr>
          <w:rStyle w:val="61"/>
          <w:highlight w:val="none"/>
        </w:rPr>
        <w:fldChar w:fldCharType="end"/>
      </w:r>
    </w:p>
    <w:p w14:paraId="47154FD1">
      <w:pPr>
        <w:pStyle w:val="34"/>
        <w:ind w:firstLine="241"/>
        <w:rPr>
          <w:rFonts w:ascii="等线" w:hAnsi="等线" w:eastAsia="等线"/>
          <w:b w:val="0"/>
          <w:bCs w:val="0"/>
          <w:caps w:val="0"/>
          <w:sz w:val="21"/>
          <w:szCs w:val="22"/>
          <w:highlight w:val="none"/>
          <w:lang w:val="en-US" w:eastAsia="zh-CN"/>
        </w:rPr>
      </w:pPr>
      <w:r>
        <w:rPr>
          <w:rStyle w:val="61"/>
          <w:highlight w:val="none"/>
        </w:rPr>
        <w:fldChar w:fldCharType="begin"/>
      </w:r>
      <w:r>
        <w:rPr>
          <w:rStyle w:val="61"/>
          <w:highlight w:val="none"/>
        </w:rPr>
        <w:instrText xml:space="preserve"> </w:instrText>
      </w:r>
      <w:r>
        <w:rPr>
          <w:highlight w:val="none"/>
        </w:rPr>
        <w:instrText xml:space="preserve">HYPERLINK \l "_Toc89186352"</w:instrText>
      </w:r>
      <w:r>
        <w:rPr>
          <w:rStyle w:val="61"/>
          <w:highlight w:val="none"/>
        </w:rPr>
        <w:instrText xml:space="preserve"> </w:instrText>
      </w:r>
      <w:r>
        <w:rPr>
          <w:rStyle w:val="61"/>
          <w:highlight w:val="none"/>
        </w:rPr>
        <w:fldChar w:fldCharType="separate"/>
      </w:r>
      <w:r>
        <w:rPr>
          <w:rStyle w:val="61"/>
          <w:rFonts w:ascii="Times New Roman" w:hAnsi="Times New Roman"/>
          <w:highlight w:val="none"/>
        </w:rPr>
        <w:t>第四章  评审方法及标准</w:t>
      </w:r>
      <w:r>
        <w:rPr>
          <w:highlight w:val="none"/>
        </w:rPr>
        <w:tab/>
      </w:r>
      <w:r>
        <w:rPr>
          <w:highlight w:val="none"/>
        </w:rPr>
        <w:fldChar w:fldCharType="begin"/>
      </w:r>
      <w:r>
        <w:rPr>
          <w:highlight w:val="none"/>
        </w:rPr>
        <w:instrText xml:space="preserve"> PAGEREF _Toc89186352 \h </w:instrText>
      </w:r>
      <w:r>
        <w:rPr>
          <w:highlight w:val="none"/>
        </w:rPr>
        <w:fldChar w:fldCharType="separate"/>
      </w:r>
      <w:r>
        <w:rPr>
          <w:highlight w:val="none"/>
        </w:rPr>
        <w:t>29</w:t>
      </w:r>
      <w:r>
        <w:rPr>
          <w:highlight w:val="none"/>
        </w:rPr>
        <w:fldChar w:fldCharType="end"/>
      </w:r>
      <w:r>
        <w:rPr>
          <w:rStyle w:val="61"/>
          <w:highlight w:val="none"/>
        </w:rPr>
        <w:fldChar w:fldCharType="end"/>
      </w:r>
    </w:p>
    <w:p w14:paraId="6832D05B">
      <w:pPr>
        <w:pStyle w:val="34"/>
        <w:ind w:firstLine="241"/>
        <w:rPr>
          <w:rFonts w:ascii="等线" w:hAnsi="等线" w:eastAsia="等线"/>
          <w:b w:val="0"/>
          <w:bCs w:val="0"/>
          <w:caps w:val="0"/>
          <w:sz w:val="21"/>
          <w:szCs w:val="22"/>
          <w:highlight w:val="none"/>
          <w:lang w:val="en-US" w:eastAsia="zh-CN"/>
        </w:rPr>
      </w:pPr>
      <w:r>
        <w:rPr>
          <w:rStyle w:val="61"/>
          <w:highlight w:val="none"/>
        </w:rPr>
        <w:fldChar w:fldCharType="begin"/>
      </w:r>
      <w:r>
        <w:rPr>
          <w:rStyle w:val="61"/>
          <w:highlight w:val="none"/>
        </w:rPr>
        <w:instrText xml:space="preserve"> </w:instrText>
      </w:r>
      <w:r>
        <w:rPr>
          <w:highlight w:val="none"/>
        </w:rPr>
        <w:instrText xml:space="preserve">HYPERLINK \l "_Toc89186353"</w:instrText>
      </w:r>
      <w:r>
        <w:rPr>
          <w:rStyle w:val="61"/>
          <w:highlight w:val="none"/>
        </w:rPr>
        <w:instrText xml:space="preserve"> </w:instrText>
      </w:r>
      <w:r>
        <w:rPr>
          <w:rStyle w:val="61"/>
          <w:highlight w:val="none"/>
        </w:rPr>
        <w:fldChar w:fldCharType="separate"/>
      </w:r>
      <w:r>
        <w:rPr>
          <w:rStyle w:val="61"/>
          <w:rFonts w:ascii="Times New Roman" w:hAnsi="Times New Roman"/>
          <w:highlight w:val="none"/>
        </w:rPr>
        <w:t>第五章  合同主要条款格式</w:t>
      </w:r>
      <w:r>
        <w:rPr>
          <w:highlight w:val="none"/>
        </w:rPr>
        <w:tab/>
      </w:r>
      <w:r>
        <w:rPr>
          <w:highlight w:val="none"/>
        </w:rPr>
        <w:fldChar w:fldCharType="begin"/>
      </w:r>
      <w:r>
        <w:rPr>
          <w:highlight w:val="none"/>
        </w:rPr>
        <w:instrText xml:space="preserve"> PAGEREF _Toc89186353 \h </w:instrText>
      </w:r>
      <w:r>
        <w:rPr>
          <w:highlight w:val="none"/>
        </w:rPr>
        <w:fldChar w:fldCharType="separate"/>
      </w:r>
      <w:r>
        <w:rPr>
          <w:highlight w:val="none"/>
        </w:rPr>
        <w:t>35</w:t>
      </w:r>
      <w:r>
        <w:rPr>
          <w:highlight w:val="none"/>
        </w:rPr>
        <w:fldChar w:fldCharType="end"/>
      </w:r>
      <w:r>
        <w:rPr>
          <w:rStyle w:val="61"/>
          <w:highlight w:val="none"/>
        </w:rPr>
        <w:fldChar w:fldCharType="end"/>
      </w:r>
    </w:p>
    <w:p w14:paraId="7E29606B">
      <w:pPr>
        <w:pStyle w:val="34"/>
        <w:ind w:firstLine="241"/>
        <w:rPr>
          <w:rFonts w:ascii="等线" w:hAnsi="等线" w:eastAsia="等线"/>
          <w:b w:val="0"/>
          <w:bCs w:val="0"/>
          <w:caps w:val="0"/>
          <w:sz w:val="21"/>
          <w:szCs w:val="22"/>
          <w:highlight w:val="none"/>
          <w:lang w:val="en-US" w:eastAsia="zh-CN"/>
        </w:rPr>
      </w:pPr>
      <w:r>
        <w:rPr>
          <w:rStyle w:val="61"/>
          <w:highlight w:val="none"/>
        </w:rPr>
        <w:fldChar w:fldCharType="begin"/>
      </w:r>
      <w:r>
        <w:rPr>
          <w:rStyle w:val="61"/>
          <w:highlight w:val="none"/>
        </w:rPr>
        <w:instrText xml:space="preserve"> </w:instrText>
      </w:r>
      <w:r>
        <w:rPr>
          <w:highlight w:val="none"/>
        </w:rPr>
        <w:instrText xml:space="preserve">HYPERLINK \l "_Toc89186354"</w:instrText>
      </w:r>
      <w:r>
        <w:rPr>
          <w:rStyle w:val="61"/>
          <w:highlight w:val="none"/>
        </w:rPr>
        <w:instrText xml:space="preserve"> </w:instrText>
      </w:r>
      <w:r>
        <w:rPr>
          <w:rStyle w:val="61"/>
          <w:highlight w:val="none"/>
        </w:rPr>
        <w:fldChar w:fldCharType="separate"/>
      </w:r>
      <w:r>
        <w:rPr>
          <w:rStyle w:val="61"/>
          <w:rFonts w:ascii="Times New Roman" w:hAnsi="Times New Roman"/>
          <w:highlight w:val="none"/>
        </w:rPr>
        <w:t>第</w:t>
      </w:r>
      <w:r>
        <w:rPr>
          <w:rStyle w:val="61"/>
          <w:highlight w:val="none"/>
        </w:rPr>
        <w:t>六</w:t>
      </w:r>
      <w:r>
        <w:rPr>
          <w:rStyle w:val="61"/>
          <w:rFonts w:ascii="Times New Roman" w:hAnsi="Times New Roman"/>
          <w:highlight w:val="none"/>
        </w:rPr>
        <w:t>章  响应文件格式</w:t>
      </w:r>
      <w:r>
        <w:rPr>
          <w:highlight w:val="none"/>
        </w:rPr>
        <w:tab/>
      </w:r>
      <w:r>
        <w:rPr>
          <w:highlight w:val="none"/>
        </w:rPr>
        <w:fldChar w:fldCharType="begin"/>
      </w:r>
      <w:r>
        <w:rPr>
          <w:highlight w:val="none"/>
        </w:rPr>
        <w:instrText xml:space="preserve"> PAGEREF _Toc89186354 \h </w:instrText>
      </w:r>
      <w:r>
        <w:rPr>
          <w:highlight w:val="none"/>
        </w:rPr>
        <w:fldChar w:fldCharType="separate"/>
      </w:r>
      <w:r>
        <w:rPr>
          <w:highlight w:val="none"/>
        </w:rPr>
        <w:t>39</w:t>
      </w:r>
      <w:r>
        <w:rPr>
          <w:highlight w:val="none"/>
        </w:rPr>
        <w:fldChar w:fldCharType="end"/>
      </w:r>
      <w:r>
        <w:rPr>
          <w:rStyle w:val="61"/>
          <w:highlight w:val="none"/>
        </w:rPr>
        <w:fldChar w:fldCharType="end"/>
      </w:r>
    </w:p>
    <w:p w14:paraId="23C558B3">
      <w:pPr>
        <w:pStyle w:val="34"/>
        <w:ind w:firstLine="281"/>
        <w:rPr>
          <w:rFonts w:ascii="Times New Roman" w:hAnsi="Times New Roman"/>
          <w:sz w:val="28"/>
          <w:szCs w:val="28"/>
          <w:highlight w:val="none"/>
        </w:rPr>
        <w:sectPr>
          <w:headerReference r:id="rId6" w:type="first"/>
          <w:footerReference r:id="rId8" w:type="first"/>
          <w:footerReference r:id="rId7" w:type="default"/>
          <w:pgSz w:w="11906" w:h="16838"/>
          <w:pgMar w:top="1418" w:right="1418" w:bottom="1246" w:left="1418" w:header="851" w:footer="992" w:gutter="0"/>
          <w:pgNumType w:start="0"/>
          <w:cols w:space="720" w:num="1"/>
          <w:titlePg/>
          <w:docGrid w:linePitch="312" w:charSpace="0"/>
        </w:sectPr>
      </w:pPr>
      <w:r>
        <w:rPr>
          <w:rFonts w:ascii="Times New Roman" w:hAnsi="Times New Roman"/>
          <w:sz w:val="28"/>
          <w:szCs w:val="28"/>
          <w:highlight w:val="none"/>
        </w:rPr>
        <w:fldChar w:fldCharType="end"/>
      </w:r>
      <w:bookmarkStart w:id="6" w:name="_Toc254970489"/>
      <w:bookmarkStart w:id="7" w:name="_Toc254970630"/>
      <w:bookmarkStart w:id="8" w:name="_Toc89186349"/>
    </w:p>
    <w:p w14:paraId="6B4B235F">
      <w:pPr>
        <w:pStyle w:val="34"/>
        <w:ind w:firstLine="281"/>
        <w:jc w:val="center"/>
        <w:rPr>
          <w:rFonts w:ascii="Times New Roman" w:hAnsi="Times New Roman" w:cs="Times New Roman"/>
          <w:sz w:val="32"/>
          <w:szCs w:val="32"/>
          <w:highlight w:val="none"/>
        </w:rPr>
      </w:pPr>
      <w:r>
        <w:rPr>
          <w:rFonts w:ascii="Times New Roman" w:hAnsi="Times New Roman" w:cs="Times New Roman"/>
          <w:sz w:val="32"/>
          <w:szCs w:val="32"/>
          <w:highlight w:val="none"/>
        </w:rPr>
        <w:t xml:space="preserve">第一章  </w:t>
      </w:r>
      <w:bookmarkEnd w:id="6"/>
      <w:bookmarkEnd w:id="7"/>
      <w:r>
        <w:rPr>
          <w:rFonts w:ascii="Times New Roman" w:hAnsi="Times New Roman" w:cs="Times New Roman"/>
          <w:sz w:val="32"/>
          <w:szCs w:val="32"/>
          <w:highlight w:val="none"/>
        </w:rPr>
        <w:t>竞争性磋商公告</w:t>
      </w:r>
      <w:bookmarkEnd w:id="8"/>
    </w:p>
    <w:p w14:paraId="0FCF0F17">
      <w:pPr>
        <w:spacing w:line="400" w:lineRule="exact"/>
        <w:jc w:val="center"/>
        <w:rPr>
          <w:kern w:val="0"/>
          <w:sz w:val="24"/>
          <w:highlight w:val="none"/>
        </w:rPr>
      </w:pPr>
      <w:r>
        <w:rPr>
          <w:kern w:val="0"/>
          <w:sz w:val="24"/>
          <w:highlight w:val="none"/>
        </w:rPr>
        <w:t>广西机电设</w:t>
      </w:r>
      <w:r>
        <w:rPr>
          <w:color w:val="auto"/>
          <w:kern w:val="0"/>
          <w:sz w:val="24"/>
          <w:highlight w:val="none"/>
        </w:rPr>
        <w:t>备招标有限公司关于</w:t>
      </w:r>
      <w:r>
        <w:rPr>
          <w:rFonts w:hint="eastAsia"/>
          <w:color w:val="auto"/>
          <w:kern w:val="0"/>
          <w:sz w:val="24"/>
          <w:highlight w:val="none"/>
          <w:lang w:eastAsia="zh-CN"/>
        </w:rPr>
        <w:t>武宣乡村工匠建设项目</w:t>
      </w:r>
      <w:r>
        <w:rPr>
          <w:color w:val="auto"/>
          <w:kern w:val="0"/>
          <w:sz w:val="24"/>
          <w:highlight w:val="none"/>
        </w:rPr>
        <w:t>竞争性磋商公告</w:t>
      </w:r>
    </w:p>
    <w:p w14:paraId="05C8558B">
      <w:pPr>
        <w:spacing w:line="312" w:lineRule="auto"/>
        <w:ind w:firstLine="420" w:firstLineChars="200"/>
        <w:jc w:val="left"/>
        <w:rPr>
          <w:kern w:val="0"/>
          <w:szCs w:val="21"/>
          <w:highlight w:val="none"/>
        </w:rPr>
      </w:pPr>
    </w:p>
    <w:p w14:paraId="5A4690BE">
      <w:pPr>
        <w:spacing w:line="312" w:lineRule="auto"/>
        <w:ind w:firstLine="420" w:firstLineChars="200"/>
        <w:jc w:val="left"/>
        <w:rPr>
          <w:rFonts w:hint="eastAsia"/>
          <w:kern w:val="0"/>
          <w:szCs w:val="21"/>
          <w:highlight w:val="none"/>
        </w:rPr>
      </w:pPr>
      <w:r>
        <w:rPr>
          <w:rFonts w:hint="eastAsia"/>
          <w:kern w:val="0"/>
          <w:szCs w:val="21"/>
          <w:highlight w:val="none"/>
        </w:rPr>
        <w:t>项目概况</w:t>
      </w:r>
      <w:r>
        <w:rPr>
          <w:rFonts w:hint="eastAsia"/>
          <w:color w:val="auto"/>
          <w:kern w:val="0"/>
          <w:szCs w:val="21"/>
          <w:highlight w:val="none"/>
        </w:rPr>
        <w:t>：</w:t>
      </w:r>
      <w:r>
        <w:rPr>
          <w:rFonts w:hint="eastAsia"/>
          <w:color w:val="auto"/>
          <w:szCs w:val="21"/>
          <w:highlight w:val="none"/>
          <w:lang w:val="en-US" w:eastAsia="zh-CN"/>
        </w:rPr>
        <w:t>武宣乡村工匠建设项目</w:t>
      </w:r>
      <w:r>
        <w:rPr>
          <w:rFonts w:hint="eastAsia"/>
          <w:color w:val="auto"/>
          <w:kern w:val="0"/>
          <w:szCs w:val="21"/>
          <w:highlight w:val="none"/>
        </w:rPr>
        <w:t>项目</w:t>
      </w:r>
      <w:r>
        <w:rPr>
          <w:rFonts w:hint="eastAsia"/>
          <w:kern w:val="0"/>
          <w:szCs w:val="21"/>
          <w:highlight w:val="none"/>
        </w:rPr>
        <w:t>的潜在供应商应在</w:t>
      </w:r>
      <w:r>
        <w:rPr>
          <w:rFonts w:hint="eastAsia"/>
          <w:szCs w:val="21"/>
          <w:highlight w:val="none"/>
        </w:rPr>
        <w:t>广西政府采购云平台 （https://www.gcy.zfcg.gxzf.gov.cn/）获取采购文件，并于</w:t>
      </w:r>
      <w:r>
        <w:rPr>
          <w:rFonts w:hint="eastAsia"/>
          <w:szCs w:val="21"/>
          <w:highlight w:val="none"/>
          <w:lang w:val="en-US" w:eastAsia="zh-CN"/>
        </w:rPr>
        <w:t>2026</w:t>
      </w:r>
      <w:r>
        <w:rPr>
          <w:rFonts w:hint="eastAsia"/>
          <w:szCs w:val="21"/>
          <w:highlight w:val="none"/>
        </w:rPr>
        <w:t xml:space="preserve">年 </w:t>
      </w:r>
      <w:r>
        <w:rPr>
          <w:rFonts w:hint="eastAsia"/>
          <w:szCs w:val="21"/>
          <w:highlight w:val="none"/>
          <w:lang w:val="en-US" w:eastAsia="zh-CN"/>
        </w:rPr>
        <w:t>9</w:t>
      </w:r>
      <w:r>
        <w:rPr>
          <w:rFonts w:hint="eastAsia"/>
          <w:szCs w:val="21"/>
          <w:highlight w:val="none"/>
        </w:rPr>
        <w:t>月</w:t>
      </w:r>
      <w:r>
        <w:rPr>
          <w:rFonts w:hint="eastAsia"/>
          <w:szCs w:val="21"/>
          <w:highlight w:val="none"/>
          <w:lang w:val="en-US" w:eastAsia="zh-CN"/>
        </w:rPr>
        <w:t>23</w:t>
      </w:r>
      <w:r>
        <w:rPr>
          <w:rFonts w:hint="eastAsia"/>
          <w:szCs w:val="21"/>
          <w:highlight w:val="none"/>
        </w:rPr>
        <w:t>日</w:t>
      </w:r>
      <w:r>
        <w:rPr>
          <w:rFonts w:hint="eastAsia"/>
          <w:szCs w:val="21"/>
          <w:highlight w:val="none"/>
          <w:lang w:val="en-US" w:eastAsia="zh-CN"/>
        </w:rPr>
        <w:t>10</w:t>
      </w:r>
      <w:r>
        <w:rPr>
          <w:rFonts w:hint="eastAsia"/>
          <w:szCs w:val="21"/>
          <w:highlight w:val="none"/>
        </w:rPr>
        <w:t>点</w:t>
      </w:r>
      <w:r>
        <w:rPr>
          <w:rFonts w:hint="eastAsia"/>
          <w:szCs w:val="21"/>
          <w:highlight w:val="none"/>
          <w:lang w:val="en-US" w:eastAsia="zh-CN"/>
        </w:rPr>
        <w:t>00</w:t>
      </w:r>
      <w:r>
        <w:rPr>
          <w:rFonts w:hint="eastAsia"/>
          <w:szCs w:val="21"/>
          <w:highlight w:val="none"/>
        </w:rPr>
        <w:t>分（北京时间）前提交响应</w:t>
      </w:r>
      <w:r>
        <w:rPr>
          <w:szCs w:val="21"/>
          <w:highlight w:val="none"/>
        </w:rPr>
        <w:t>文件</w:t>
      </w:r>
      <w:r>
        <w:rPr>
          <w:rFonts w:hint="eastAsia"/>
          <w:szCs w:val="21"/>
          <w:highlight w:val="none"/>
        </w:rPr>
        <w:t>。</w:t>
      </w:r>
    </w:p>
    <w:p w14:paraId="751D494E">
      <w:pPr>
        <w:spacing w:line="312" w:lineRule="auto"/>
        <w:ind w:firstLine="442" w:firstLineChars="200"/>
        <w:jc w:val="left"/>
        <w:rPr>
          <w:b/>
          <w:bCs/>
          <w:color w:val="auto"/>
          <w:kern w:val="0"/>
          <w:sz w:val="22"/>
          <w:szCs w:val="22"/>
          <w:highlight w:val="none"/>
        </w:rPr>
      </w:pPr>
      <w:r>
        <w:rPr>
          <w:rFonts w:hint="eastAsia"/>
          <w:b/>
          <w:bCs/>
          <w:kern w:val="0"/>
          <w:sz w:val="22"/>
          <w:szCs w:val="22"/>
          <w:highlight w:val="none"/>
        </w:rPr>
        <w:t>一、项</w:t>
      </w:r>
      <w:r>
        <w:rPr>
          <w:rFonts w:hint="eastAsia"/>
          <w:b/>
          <w:bCs/>
          <w:color w:val="auto"/>
          <w:kern w:val="0"/>
          <w:sz w:val="22"/>
          <w:szCs w:val="22"/>
          <w:highlight w:val="none"/>
        </w:rPr>
        <w:t>目基本情况</w:t>
      </w:r>
    </w:p>
    <w:p w14:paraId="3E426971">
      <w:pPr>
        <w:spacing w:line="312" w:lineRule="auto"/>
        <w:ind w:firstLine="420" w:firstLineChars="200"/>
        <w:jc w:val="left"/>
        <w:rPr>
          <w:rFonts w:hint="eastAsia" w:eastAsia="宋体"/>
          <w:color w:val="auto"/>
          <w:kern w:val="0"/>
          <w:szCs w:val="21"/>
          <w:highlight w:val="none"/>
          <w:lang w:eastAsia="zh-CN"/>
        </w:rPr>
      </w:pPr>
      <w:r>
        <w:rPr>
          <w:color w:val="auto"/>
          <w:kern w:val="0"/>
          <w:szCs w:val="21"/>
          <w:highlight w:val="none"/>
        </w:rPr>
        <w:t>项目编号：</w:t>
      </w:r>
      <w:r>
        <w:rPr>
          <w:rFonts w:hint="eastAsia"/>
          <w:color w:val="auto"/>
          <w:szCs w:val="21"/>
          <w:highlight w:val="none"/>
          <w:lang w:eastAsia="zh-CN"/>
        </w:rPr>
        <w:t>LBZC2026-C2-230071-JDZB</w:t>
      </w:r>
    </w:p>
    <w:p w14:paraId="6F4CC9D5">
      <w:pPr>
        <w:spacing w:line="312" w:lineRule="auto"/>
        <w:ind w:firstLine="420" w:firstLineChars="200"/>
        <w:jc w:val="left"/>
        <w:rPr>
          <w:color w:val="auto"/>
          <w:kern w:val="0"/>
          <w:szCs w:val="21"/>
          <w:highlight w:val="none"/>
        </w:rPr>
      </w:pPr>
      <w:r>
        <w:rPr>
          <w:color w:val="auto"/>
          <w:kern w:val="0"/>
          <w:szCs w:val="21"/>
          <w:highlight w:val="none"/>
        </w:rPr>
        <w:t>项目名称：</w:t>
      </w:r>
      <w:r>
        <w:rPr>
          <w:rFonts w:hint="eastAsia"/>
          <w:color w:val="auto"/>
          <w:szCs w:val="21"/>
          <w:highlight w:val="none"/>
          <w:lang w:val="en-US" w:eastAsia="zh-CN"/>
        </w:rPr>
        <w:t>武宣乡村工匠建设项目</w:t>
      </w:r>
    </w:p>
    <w:p w14:paraId="2A30FEF7">
      <w:pPr>
        <w:spacing w:line="312" w:lineRule="auto"/>
        <w:ind w:firstLine="420" w:firstLineChars="200"/>
        <w:jc w:val="left"/>
        <w:rPr>
          <w:color w:val="auto"/>
          <w:kern w:val="0"/>
          <w:szCs w:val="21"/>
          <w:highlight w:val="none"/>
        </w:rPr>
      </w:pPr>
      <w:bookmarkStart w:id="9" w:name="_Hlk77608065"/>
      <w:r>
        <w:rPr>
          <w:rFonts w:hint="eastAsia"/>
          <w:color w:val="auto"/>
          <w:kern w:val="0"/>
          <w:szCs w:val="21"/>
          <w:highlight w:val="none"/>
        </w:rPr>
        <w:t>采购方式：竞争性磋商</w:t>
      </w:r>
    </w:p>
    <w:p w14:paraId="2AF69E4D">
      <w:pPr>
        <w:spacing w:line="312" w:lineRule="auto"/>
        <w:ind w:firstLine="420" w:firstLineChars="200"/>
        <w:jc w:val="left"/>
        <w:rPr>
          <w:rFonts w:hint="eastAsia" w:eastAsia="宋体"/>
          <w:color w:val="auto"/>
          <w:kern w:val="0"/>
          <w:szCs w:val="21"/>
          <w:highlight w:val="none"/>
          <w:lang w:eastAsia="zh-CN"/>
        </w:rPr>
      </w:pPr>
      <w:r>
        <w:rPr>
          <w:color w:val="auto"/>
          <w:kern w:val="0"/>
          <w:szCs w:val="21"/>
          <w:highlight w:val="none"/>
        </w:rPr>
        <w:t>预算</w:t>
      </w:r>
      <w:r>
        <w:rPr>
          <w:rFonts w:hint="eastAsia"/>
          <w:color w:val="auto"/>
          <w:kern w:val="0"/>
          <w:szCs w:val="21"/>
          <w:highlight w:val="none"/>
        </w:rPr>
        <w:t>总</w:t>
      </w:r>
      <w:r>
        <w:rPr>
          <w:color w:val="auto"/>
          <w:kern w:val="0"/>
          <w:szCs w:val="21"/>
          <w:highlight w:val="none"/>
        </w:rPr>
        <w:t>金额</w:t>
      </w:r>
      <w:r>
        <w:rPr>
          <w:rFonts w:hint="eastAsia"/>
          <w:color w:val="auto"/>
          <w:kern w:val="0"/>
          <w:szCs w:val="21"/>
          <w:highlight w:val="none"/>
        </w:rPr>
        <w:t>（元）</w:t>
      </w:r>
      <w:r>
        <w:rPr>
          <w:color w:val="auto"/>
          <w:kern w:val="0"/>
          <w:szCs w:val="21"/>
          <w:highlight w:val="none"/>
        </w:rPr>
        <w:t>：</w:t>
      </w:r>
      <w:r>
        <w:rPr>
          <w:rFonts w:hint="eastAsia"/>
          <w:color w:val="auto"/>
          <w:kern w:val="0"/>
          <w:szCs w:val="21"/>
          <w:highlight w:val="none"/>
          <w:lang w:eastAsia="zh-CN"/>
        </w:rPr>
        <w:t>1,399,239.57</w:t>
      </w:r>
    </w:p>
    <w:p w14:paraId="3C702698">
      <w:pPr>
        <w:spacing w:line="312" w:lineRule="auto"/>
        <w:ind w:firstLine="420" w:firstLineChars="200"/>
        <w:jc w:val="left"/>
        <w:rPr>
          <w:color w:val="auto"/>
          <w:kern w:val="0"/>
          <w:szCs w:val="21"/>
          <w:highlight w:val="none"/>
        </w:rPr>
      </w:pPr>
      <w:r>
        <w:rPr>
          <w:rFonts w:hint="eastAsia"/>
          <w:color w:val="auto"/>
          <w:kern w:val="0"/>
          <w:szCs w:val="21"/>
          <w:highlight w:val="none"/>
        </w:rPr>
        <w:t>采购需求</w:t>
      </w:r>
      <w:r>
        <w:rPr>
          <w:color w:val="auto"/>
          <w:kern w:val="0"/>
          <w:szCs w:val="21"/>
          <w:highlight w:val="none"/>
        </w:rPr>
        <w:t>：</w:t>
      </w:r>
    </w:p>
    <w:p w14:paraId="51600638">
      <w:pPr>
        <w:spacing w:line="312" w:lineRule="auto"/>
        <w:ind w:firstLine="735" w:firstLineChars="350"/>
        <w:jc w:val="left"/>
        <w:rPr>
          <w:color w:val="auto"/>
          <w:kern w:val="0"/>
          <w:szCs w:val="21"/>
          <w:highlight w:val="none"/>
        </w:rPr>
      </w:pPr>
      <w:r>
        <w:rPr>
          <w:rFonts w:hint="eastAsia"/>
          <w:color w:val="auto"/>
          <w:kern w:val="0"/>
          <w:szCs w:val="21"/>
          <w:highlight w:val="none"/>
        </w:rPr>
        <w:t>标项名称：</w:t>
      </w:r>
      <w:r>
        <w:rPr>
          <w:rFonts w:hint="eastAsia"/>
          <w:color w:val="auto"/>
          <w:kern w:val="0"/>
          <w:szCs w:val="21"/>
          <w:highlight w:val="none"/>
          <w:lang w:val="en-US" w:eastAsia="zh-CN"/>
        </w:rPr>
        <w:t>武宣乡村工匠建设项目</w:t>
      </w:r>
    </w:p>
    <w:p w14:paraId="295D0F2A">
      <w:pPr>
        <w:spacing w:line="312" w:lineRule="auto"/>
        <w:ind w:firstLine="735" w:firstLineChars="350"/>
        <w:jc w:val="left"/>
        <w:rPr>
          <w:rFonts w:hint="eastAsia" w:eastAsia="宋体"/>
          <w:color w:val="auto"/>
          <w:kern w:val="0"/>
          <w:szCs w:val="21"/>
          <w:highlight w:val="none"/>
          <w:lang w:val="en-US" w:eastAsia="zh-CN"/>
        </w:rPr>
      </w:pPr>
      <w:r>
        <w:rPr>
          <w:rFonts w:hint="eastAsia"/>
          <w:color w:val="auto"/>
          <w:kern w:val="0"/>
          <w:szCs w:val="21"/>
          <w:highlight w:val="none"/>
        </w:rPr>
        <w:t>数量：</w:t>
      </w:r>
      <w:r>
        <w:rPr>
          <w:rFonts w:hint="eastAsia"/>
          <w:color w:val="auto"/>
          <w:kern w:val="0"/>
          <w:szCs w:val="21"/>
          <w:highlight w:val="none"/>
          <w:lang w:val="en-US" w:eastAsia="zh-CN"/>
        </w:rPr>
        <w:t>1</w:t>
      </w:r>
    </w:p>
    <w:p w14:paraId="6DE4063D">
      <w:pPr>
        <w:spacing w:line="312" w:lineRule="auto"/>
        <w:ind w:firstLine="735" w:firstLineChars="350"/>
        <w:jc w:val="left"/>
        <w:rPr>
          <w:rFonts w:hint="eastAsia" w:eastAsia="宋体"/>
          <w:color w:val="auto"/>
          <w:kern w:val="0"/>
          <w:szCs w:val="21"/>
          <w:highlight w:val="none"/>
          <w:lang w:eastAsia="zh-CN"/>
        </w:rPr>
      </w:pPr>
      <w:r>
        <w:rPr>
          <w:rFonts w:hint="eastAsia"/>
          <w:color w:val="auto"/>
          <w:kern w:val="0"/>
          <w:szCs w:val="21"/>
          <w:highlight w:val="none"/>
        </w:rPr>
        <w:t>预算金额（元）：</w:t>
      </w:r>
      <w:r>
        <w:rPr>
          <w:rFonts w:hint="eastAsia"/>
          <w:color w:val="auto"/>
          <w:kern w:val="0"/>
          <w:szCs w:val="21"/>
          <w:highlight w:val="none"/>
          <w:lang w:eastAsia="zh-CN"/>
        </w:rPr>
        <w:t>1,399,239.57</w:t>
      </w:r>
    </w:p>
    <w:p w14:paraId="2A80523D">
      <w:pPr>
        <w:spacing w:line="312" w:lineRule="auto"/>
        <w:ind w:firstLine="735" w:firstLineChars="350"/>
        <w:jc w:val="left"/>
        <w:rPr>
          <w:color w:val="auto"/>
          <w:kern w:val="0"/>
          <w:szCs w:val="21"/>
          <w:highlight w:val="none"/>
        </w:rPr>
      </w:pPr>
      <w:r>
        <w:rPr>
          <w:rFonts w:hint="eastAsia"/>
          <w:color w:val="auto"/>
          <w:kern w:val="0"/>
          <w:szCs w:val="21"/>
          <w:highlight w:val="none"/>
        </w:rPr>
        <w:t>简要规格描述或项目基本概况介绍、用途：武宣乡村工匠建设项目建筑面积为1197</w:t>
      </w:r>
      <w:r>
        <w:rPr>
          <w:rFonts w:hint="eastAsia"/>
          <w:color w:val="auto"/>
          <w:kern w:val="0"/>
          <w:szCs w:val="21"/>
          <w:highlight w:val="none"/>
          <w:lang w:val="en-US" w:eastAsia="zh-CN"/>
        </w:rPr>
        <w:t>.</w:t>
      </w:r>
      <w:r>
        <w:rPr>
          <w:rFonts w:hint="eastAsia"/>
          <w:color w:val="auto"/>
          <w:kern w:val="0"/>
          <w:szCs w:val="21"/>
          <w:highlight w:val="none"/>
        </w:rPr>
        <w:t>91㎡；主要结构类型为：框架结构+轻钢屋面；建筑高度7.6；抗震设防分类：丙类；建筑层数：一层。</w:t>
      </w:r>
      <w:r>
        <w:rPr>
          <w:rFonts w:hint="eastAsia"/>
          <w:color w:val="auto"/>
          <w:kern w:val="0"/>
          <w:szCs w:val="21"/>
          <w:highlight w:val="none"/>
          <w:lang w:eastAsia="zh-CN"/>
        </w:rPr>
        <w:t>具体详见工程量清单及图纸。升级1栋鸡笼;配套全自动喂料、集蛋、清粪、智能温控等设备</w:t>
      </w:r>
    </w:p>
    <w:p w14:paraId="043E5CEE">
      <w:pPr>
        <w:spacing w:line="312" w:lineRule="auto"/>
        <w:ind w:firstLine="735" w:firstLineChars="350"/>
        <w:jc w:val="left"/>
        <w:rPr>
          <w:rFonts w:hint="eastAsia" w:eastAsia="宋体"/>
          <w:color w:val="auto"/>
          <w:kern w:val="0"/>
          <w:szCs w:val="21"/>
          <w:highlight w:val="none"/>
          <w:lang w:eastAsia="zh-CN"/>
        </w:rPr>
      </w:pPr>
      <w:r>
        <w:rPr>
          <w:rFonts w:hint="eastAsia"/>
          <w:color w:val="auto"/>
          <w:kern w:val="0"/>
          <w:szCs w:val="21"/>
          <w:highlight w:val="none"/>
        </w:rPr>
        <w:t>最高限价（如有）：</w:t>
      </w:r>
      <w:r>
        <w:rPr>
          <w:rFonts w:hint="eastAsia"/>
          <w:color w:val="auto"/>
          <w:kern w:val="0"/>
          <w:szCs w:val="21"/>
          <w:highlight w:val="none"/>
          <w:lang w:eastAsia="zh-CN"/>
        </w:rPr>
        <w:t>1,399,239.57</w:t>
      </w:r>
    </w:p>
    <w:p w14:paraId="712A15D7">
      <w:pPr>
        <w:spacing w:line="312" w:lineRule="auto"/>
        <w:ind w:firstLine="735" w:firstLineChars="350"/>
        <w:jc w:val="left"/>
        <w:rPr>
          <w:rFonts w:hint="default" w:eastAsia="宋体"/>
          <w:color w:val="auto"/>
          <w:kern w:val="0"/>
          <w:szCs w:val="21"/>
          <w:highlight w:val="none"/>
          <w:lang w:val="en-US" w:eastAsia="zh-CN"/>
        </w:rPr>
      </w:pPr>
      <w:r>
        <w:rPr>
          <w:rFonts w:hint="eastAsia"/>
          <w:color w:val="auto"/>
          <w:kern w:val="0"/>
          <w:szCs w:val="21"/>
          <w:highlight w:val="none"/>
        </w:rPr>
        <w:t>合同履约期限：</w:t>
      </w:r>
      <w:r>
        <w:rPr>
          <w:rFonts w:hint="eastAsia"/>
          <w:color w:val="auto"/>
          <w:kern w:val="0"/>
          <w:szCs w:val="21"/>
          <w:highlight w:val="none"/>
          <w:lang w:val="en-US" w:eastAsia="zh-CN"/>
        </w:rPr>
        <w:t>90个日历天。</w:t>
      </w:r>
    </w:p>
    <w:p w14:paraId="6D1385D6">
      <w:pPr>
        <w:spacing w:line="312" w:lineRule="auto"/>
        <w:ind w:firstLine="735" w:firstLineChars="350"/>
        <w:jc w:val="left"/>
        <w:rPr>
          <w:color w:val="auto"/>
          <w:kern w:val="0"/>
          <w:szCs w:val="21"/>
          <w:highlight w:val="none"/>
        </w:rPr>
      </w:pPr>
      <w:r>
        <w:rPr>
          <w:color w:val="auto"/>
          <w:kern w:val="0"/>
          <w:szCs w:val="21"/>
          <w:highlight w:val="none"/>
        </w:rPr>
        <w:t>本项目</w:t>
      </w:r>
      <w:r>
        <w:rPr>
          <w:rFonts w:hint="eastAsia"/>
          <w:color w:val="auto"/>
          <w:kern w:val="0"/>
          <w:szCs w:val="21"/>
          <w:highlight w:val="none"/>
        </w:rPr>
        <w:t>（</w:t>
      </w:r>
      <w:r>
        <w:rPr>
          <w:rFonts w:hint="eastAsia"/>
          <w:color w:val="auto"/>
          <w:szCs w:val="21"/>
          <w:highlight w:val="none"/>
        </w:rPr>
        <w:t>否</w:t>
      </w:r>
      <w:r>
        <w:rPr>
          <w:rFonts w:hint="eastAsia"/>
          <w:color w:val="auto"/>
          <w:kern w:val="0"/>
          <w:szCs w:val="21"/>
          <w:highlight w:val="none"/>
        </w:rPr>
        <w:t>）接受</w:t>
      </w:r>
      <w:r>
        <w:rPr>
          <w:color w:val="auto"/>
          <w:kern w:val="0"/>
          <w:szCs w:val="21"/>
          <w:highlight w:val="none"/>
        </w:rPr>
        <w:t>联合体。</w:t>
      </w:r>
    </w:p>
    <w:p w14:paraId="4030CF10">
      <w:pPr>
        <w:spacing w:line="312" w:lineRule="auto"/>
        <w:ind w:firstLine="735" w:firstLineChars="350"/>
        <w:jc w:val="left"/>
        <w:rPr>
          <w:rFonts w:hint="eastAsia" w:eastAsia="宋体"/>
          <w:color w:val="auto"/>
          <w:kern w:val="0"/>
          <w:szCs w:val="21"/>
          <w:highlight w:val="none"/>
          <w:lang w:val="en-US" w:eastAsia="zh-CN"/>
        </w:rPr>
      </w:pPr>
      <w:r>
        <w:rPr>
          <w:rFonts w:hint="eastAsia"/>
          <w:color w:val="auto"/>
          <w:kern w:val="0"/>
          <w:szCs w:val="21"/>
          <w:highlight w:val="none"/>
        </w:rPr>
        <w:t>备注：</w:t>
      </w:r>
      <w:r>
        <w:rPr>
          <w:rFonts w:hint="eastAsia"/>
          <w:color w:val="auto"/>
          <w:kern w:val="0"/>
          <w:szCs w:val="21"/>
          <w:highlight w:val="none"/>
          <w:lang w:val="en-US" w:eastAsia="zh-CN"/>
        </w:rPr>
        <w:t>/</w:t>
      </w:r>
    </w:p>
    <w:bookmarkEnd w:id="9"/>
    <w:p w14:paraId="58B18C67">
      <w:pPr>
        <w:spacing w:line="312" w:lineRule="auto"/>
        <w:ind w:firstLine="442" w:firstLineChars="200"/>
        <w:jc w:val="left"/>
        <w:rPr>
          <w:rFonts w:hint="eastAsia"/>
          <w:b/>
          <w:bCs/>
          <w:kern w:val="0"/>
          <w:sz w:val="22"/>
          <w:szCs w:val="22"/>
          <w:highlight w:val="none"/>
        </w:rPr>
      </w:pPr>
      <w:r>
        <w:rPr>
          <w:rFonts w:hint="eastAsia"/>
          <w:b/>
          <w:bCs/>
          <w:kern w:val="0"/>
          <w:sz w:val="22"/>
          <w:szCs w:val="22"/>
          <w:highlight w:val="none"/>
        </w:rPr>
        <w:t>二、申请人的资格要求</w:t>
      </w:r>
    </w:p>
    <w:p w14:paraId="5822FA19">
      <w:pPr>
        <w:spacing w:line="312" w:lineRule="auto"/>
        <w:ind w:firstLine="420" w:firstLineChars="200"/>
        <w:jc w:val="left"/>
        <w:rPr>
          <w:kern w:val="0"/>
          <w:szCs w:val="21"/>
          <w:highlight w:val="none"/>
        </w:rPr>
      </w:pPr>
      <w:r>
        <w:rPr>
          <w:kern w:val="0"/>
          <w:szCs w:val="21"/>
          <w:highlight w:val="none"/>
        </w:rPr>
        <w:t>1</w:t>
      </w:r>
      <w:r>
        <w:rPr>
          <w:rFonts w:hint="eastAsia"/>
          <w:kern w:val="0"/>
          <w:szCs w:val="21"/>
          <w:highlight w:val="none"/>
        </w:rPr>
        <w:t>.满足</w:t>
      </w:r>
      <w:r>
        <w:rPr>
          <w:kern w:val="0"/>
          <w:szCs w:val="21"/>
          <w:highlight w:val="none"/>
        </w:rPr>
        <w:t>《中华人民共和国政府采购法》第二十二条规定；</w:t>
      </w:r>
    </w:p>
    <w:p w14:paraId="10C69C67">
      <w:pPr>
        <w:spacing w:line="312" w:lineRule="auto"/>
        <w:ind w:firstLine="420" w:firstLineChars="200"/>
        <w:jc w:val="left"/>
        <w:rPr>
          <w:strike/>
          <w:kern w:val="0"/>
          <w:szCs w:val="21"/>
          <w:highlight w:val="none"/>
        </w:rPr>
      </w:pPr>
      <w:r>
        <w:rPr>
          <w:rFonts w:hint="eastAsia"/>
          <w:szCs w:val="21"/>
          <w:highlight w:val="none"/>
        </w:rPr>
        <w:t>2</w:t>
      </w:r>
      <w:r>
        <w:rPr>
          <w:rFonts w:hint="eastAsia"/>
          <w:kern w:val="0"/>
          <w:szCs w:val="21"/>
          <w:highlight w:val="none"/>
        </w:rPr>
        <w:t>.</w:t>
      </w:r>
      <w:r>
        <w:rPr>
          <w:rFonts w:hint="eastAsia"/>
          <w:szCs w:val="21"/>
          <w:highlight w:val="none"/>
        </w:rPr>
        <w:t>落实政府采购政策需满足的资格要求：</w:t>
      </w:r>
      <w:bookmarkStart w:id="10" w:name="_Hlk132732708"/>
      <w:r>
        <w:rPr>
          <w:rFonts w:hint="eastAsia"/>
          <w:szCs w:val="21"/>
          <w:highlight w:val="none"/>
        </w:rPr>
        <w:t>本项目供应商为中小微企业或残疾人福利企业或监狱企业</w:t>
      </w:r>
      <w:bookmarkEnd w:id="10"/>
      <w:r>
        <w:rPr>
          <w:kern w:val="0"/>
          <w:szCs w:val="21"/>
          <w:highlight w:val="none"/>
        </w:rPr>
        <w:t>。</w:t>
      </w:r>
    </w:p>
    <w:p w14:paraId="6BF70A44">
      <w:pPr>
        <w:spacing w:line="312" w:lineRule="auto"/>
        <w:ind w:firstLine="420" w:firstLineChars="200"/>
        <w:jc w:val="left"/>
        <w:rPr>
          <w:rFonts w:hint="eastAsia"/>
          <w:color w:val="auto"/>
          <w:kern w:val="0"/>
          <w:szCs w:val="21"/>
          <w:highlight w:val="none"/>
        </w:rPr>
      </w:pPr>
      <w:r>
        <w:rPr>
          <w:kern w:val="0"/>
          <w:szCs w:val="21"/>
          <w:highlight w:val="none"/>
        </w:rPr>
        <w:t>3</w:t>
      </w:r>
      <w:r>
        <w:rPr>
          <w:rFonts w:hint="eastAsia"/>
          <w:color w:val="auto"/>
          <w:kern w:val="0"/>
          <w:szCs w:val="21"/>
          <w:highlight w:val="none"/>
        </w:rPr>
        <w:t>.本项目的</w:t>
      </w:r>
      <w:r>
        <w:rPr>
          <w:color w:val="auto"/>
          <w:kern w:val="0"/>
          <w:szCs w:val="21"/>
          <w:highlight w:val="none"/>
        </w:rPr>
        <w:t>特定资格</w:t>
      </w:r>
      <w:r>
        <w:rPr>
          <w:rFonts w:hint="eastAsia"/>
          <w:color w:val="auto"/>
          <w:kern w:val="0"/>
          <w:szCs w:val="21"/>
          <w:highlight w:val="none"/>
        </w:rPr>
        <w:t>要求</w:t>
      </w:r>
      <w:r>
        <w:rPr>
          <w:color w:val="auto"/>
          <w:kern w:val="0"/>
          <w:szCs w:val="21"/>
          <w:highlight w:val="none"/>
        </w:rPr>
        <w:t>：</w:t>
      </w:r>
    </w:p>
    <w:p w14:paraId="02B6A298">
      <w:pPr>
        <w:spacing w:line="312" w:lineRule="auto"/>
        <w:ind w:firstLine="420" w:firstLineChars="200"/>
        <w:jc w:val="left"/>
        <w:rPr>
          <w:color w:val="auto"/>
          <w:kern w:val="0"/>
          <w:szCs w:val="21"/>
          <w:highlight w:val="none"/>
        </w:rPr>
      </w:pPr>
      <w:r>
        <w:rPr>
          <w:color w:val="auto"/>
          <w:kern w:val="0"/>
          <w:szCs w:val="21"/>
          <w:highlight w:val="none"/>
        </w:rPr>
        <w:t>（1）资质要求：具备</w:t>
      </w:r>
      <w:r>
        <w:rPr>
          <w:rFonts w:hint="eastAsia"/>
          <w:color w:val="auto"/>
          <w:kern w:val="0"/>
          <w:szCs w:val="21"/>
          <w:highlight w:val="none"/>
          <w:u w:val="single"/>
          <w:lang w:val="en-US" w:eastAsia="zh-CN"/>
        </w:rPr>
        <w:t>建筑</w:t>
      </w:r>
      <w:r>
        <w:rPr>
          <w:rFonts w:hint="eastAsia"/>
          <w:color w:val="auto"/>
          <w:kern w:val="0"/>
          <w:szCs w:val="21"/>
          <w:highlight w:val="none"/>
          <w:u w:val="single"/>
          <w:lang w:eastAsia="zh-CN"/>
        </w:rPr>
        <w:t>工程</w:t>
      </w:r>
      <w:r>
        <w:rPr>
          <w:rFonts w:hint="eastAsia"/>
          <w:color w:val="auto"/>
          <w:kern w:val="0"/>
          <w:szCs w:val="21"/>
          <w:highlight w:val="none"/>
          <w:u w:val="none"/>
        </w:rPr>
        <w:t>施工总承包</w:t>
      </w:r>
      <w:r>
        <w:rPr>
          <w:rFonts w:hint="eastAsia"/>
          <w:color w:val="auto"/>
          <w:kern w:val="0"/>
          <w:szCs w:val="21"/>
          <w:highlight w:val="none"/>
          <w:u w:val="single"/>
          <w:lang w:val="en-US" w:eastAsia="zh-CN"/>
        </w:rPr>
        <w:t>叁</w:t>
      </w:r>
      <w:r>
        <w:rPr>
          <w:rFonts w:hint="default"/>
          <w:color w:val="auto"/>
          <w:kern w:val="0"/>
          <w:szCs w:val="21"/>
          <w:highlight w:val="none"/>
          <w:u w:val="single"/>
          <w:lang w:eastAsia="zh-CN"/>
        </w:rPr>
        <w:t>级</w:t>
      </w:r>
      <w:r>
        <w:rPr>
          <w:rFonts w:hint="default"/>
          <w:color w:val="auto"/>
          <w:kern w:val="0"/>
          <w:szCs w:val="21"/>
          <w:highlight w:val="none"/>
          <w:u w:val="none"/>
          <w:lang w:eastAsia="zh-CN"/>
        </w:rPr>
        <w:t>及以上</w:t>
      </w:r>
      <w:r>
        <w:rPr>
          <w:color w:val="auto"/>
          <w:kern w:val="0"/>
          <w:szCs w:val="21"/>
          <w:highlight w:val="none"/>
        </w:rPr>
        <w:t>资质</w:t>
      </w:r>
      <w:r>
        <w:rPr>
          <w:rFonts w:hint="eastAsia"/>
          <w:color w:val="auto"/>
          <w:kern w:val="0"/>
          <w:szCs w:val="21"/>
          <w:highlight w:val="none"/>
        </w:rPr>
        <w:t>，</w:t>
      </w:r>
      <w:r>
        <w:rPr>
          <w:color w:val="auto"/>
          <w:szCs w:val="21"/>
          <w:highlight w:val="none"/>
        </w:rPr>
        <w:t>具备有效的安全生产许可证</w:t>
      </w:r>
      <w:r>
        <w:rPr>
          <w:color w:val="auto"/>
          <w:kern w:val="0"/>
          <w:szCs w:val="21"/>
          <w:highlight w:val="none"/>
        </w:rPr>
        <w:t>。</w:t>
      </w:r>
    </w:p>
    <w:p w14:paraId="79278EF9">
      <w:pPr>
        <w:spacing w:line="312" w:lineRule="auto"/>
        <w:ind w:firstLine="420" w:firstLineChars="200"/>
        <w:jc w:val="left"/>
        <w:rPr>
          <w:color w:val="auto"/>
          <w:kern w:val="0"/>
          <w:szCs w:val="21"/>
          <w:highlight w:val="none"/>
        </w:rPr>
      </w:pPr>
      <w:r>
        <w:rPr>
          <w:rFonts w:hint="eastAsia"/>
          <w:color w:val="auto"/>
          <w:kern w:val="0"/>
          <w:szCs w:val="21"/>
          <w:highlight w:val="none"/>
        </w:rPr>
        <w:t>（2）人员要求</w:t>
      </w:r>
    </w:p>
    <w:p w14:paraId="1300AFDE">
      <w:pPr>
        <w:spacing w:line="312" w:lineRule="auto"/>
        <w:ind w:firstLine="420" w:firstLineChars="200"/>
        <w:jc w:val="left"/>
        <w:rPr>
          <w:rFonts w:hint="eastAsia"/>
          <w:color w:val="auto"/>
          <w:kern w:val="0"/>
          <w:szCs w:val="21"/>
          <w:highlight w:val="none"/>
        </w:rPr>
      </w:pPr>
      <w:r>
        <w:rPr>
          <w:rFonts w:hint="eastAsia"/>
          <w:color w:val="auto"/>
          <w:kern w:val="0"/>
          <w:szCs w:val="21"/>
          <w:highlight w:val="none"/>
        </w:rPr>
        <w:t>项目经理要求：</w:t>
      </w:r>
      <w:r>
        <w:rPr>
          <w:rFonts w:hint="default"/>
          <w:color w:val="auto"/>
          <w:highlight w:val="none"/>
          <w:u w:val="none"/>
          <w:lang w:eastAsia="zh-CN"/>
        </w:rPr>
        <w:t>具备</w:t>
      </w:r>
      <w:r>
        <w:rPr>
          <w:rFonts w:hint="eastAsia"/>
          <w:color w:val="auto"/>
          <w:kern w:val="0"/>
          <w:szCs w:val="21"/>
          <w:highlight w:val="none"/>
          <w:u w:val="single"/>
          <w:lang w:val="en-US" w:eastAsia="zh-CN"/>
        </w:rPr>
        <w:t>建筑</w:t>
      </w:r>
      <w:r>
        <w:rPr>
          <w:rFonts w:hint="eastAsia"/>
          <w:color w:val="auto"/>
          <w:highlight w:val="none"/>
          <w:u w:val="single"/>
          <w:lang w:eastAsia="zh-CN"/>
        </w:rPr>
        <w:t>工程</w:t>
      </w:r>
      <w:r>
        <w:rPr>
          <w:color w:val="auto"/>
          <w:highlight w:val="none"/>
        </w:rPr>
        <w:t>专业</w:t>
      </w:r>
      <w:r>
        <w:rPr>
          <w:rFonts w:hint="eastAsia"/>
          <w:color w:val="auto"/>
          <w:highlight w:val="none"/>
          <w:u w:val="single"/>
          <w:lang w:val="en-US" w:eastAsia="zh-CN"/>
        </w:rPr>
        <w:t xml:space="preserve"> 贰</w:t>
      </w:r>
      <w:r>
        <w:rPr>
          <w:color w:val="auto"/>
          <w:highlight w:val="none"/>
          <w:u w:val="single"/>
        </w:rPr>
        <w:t xml:space="preserve"> </w:t>
      </w:r>
      <w:r>
        <w:rPr>
          <w:color w:val="auto"/>
          <w:highlight w:val="none"/>
        </w:rPr>
        <w:t>级以上（含</w:t>
      </w:r>
      <w:r>
        <w:rPr>
          <w:rFonts w:hint="eastAsia"/>
          <w:color w:val="auto"/>
          <w:highlight w:val="none"/>
        </w:rPr>
        <w:t>本</w:t>
      </w:r>
      <w:r>
        <w:rPr>
          <w:color w:val="auto"/>
          <w:highlight w:val="none"/>
        </w:rPr>
        <w:t>级）</w:t>
      </w:r>
      <w:r>
        <w:rPr>
          <w:color w:val="auto"/>
          <w:kern w:val="0"/>
          <w:szCs w:val="21"/>
          <w:highlight w:val="none"/>
        </w:rPr>
        <w:t>注册建造师执业资格，</w:t>
      </w:r>
      <w:r>
        <w:rPr>
          <w:rFonts w:hint="eastAsia"/>
          <w:color w:val="auto"/>
          <w:kern w:val="0"/>
          <w:szCs w:val="21"/>
          <w:highlight w:val="none"/>
        </w:rPr>
        <w:t>具备有效的</w:t>
      </w:r>
      <w:r>
        <w:rPr>
          <w:color w:val="auto"/>
          <w:kern w:val="0"/>
          <w:szCs w:val="21"/>
          <w:highlight w:val="none"/>
        </w:rPr>
        <w:t>安全生产考核合格证书（B类）。</w:t>
      </w:r>
    </w:p>
    <w:p w14:paraId="2BB42377">
      <w:pPr>
        <w:spacing w:line="312" w:lineRule="auto"/>
        <w:ind w:firstLine="420" w:firstLineChars="200"/>
        <w:jc w:val="left"/>
        <w:rPr>
          <w:rFonts w:hint="eastAsia"/>
          <w:color w:val="auto"/>
          <w:kern w:val="0"/>
          <w:szCs w:val="21"/>
          <w:highlight w:val="none"/>
        </w:rPr>
      </w:pPr>
      <w:r>
        <w:rPr>
          <w:rFonts w:hint="eastAsia"/>
          <w:color w:val="auto"/>
          <w:kern w:val="0"/>
          <w:szCs w:val="21"/>
          <w:highlight w:val="none"/>
        </w:rPr>
        <w:t>技术负责人要求：无。</w:t>
      </w:r>
    </w:p>
    <w:p w14:paraId="4388633C">
      <w:pPr>
        <w:spacing w:line="312" w:lineRule="auto"/>
        <w:ind w:firstLine="420" w:firstLineChars="200"/>
        <w:jc w:val="left"/>
        <w:rPr>
          <w:color w:val="auto"/>
          <w:kern w:val="0"/>
          <w:szCs w:val="21"/>
          <w:highlight w:val="none"/>
        </w:rPr>
      </w:pPr>
      <w:r>
        <w:rPr>
          <w:color w:val="auto"/>
          <w:highlight w:val="none"/>
        </w:rPr>
        <w:t>专职安全员</w:t>
      </w:r>
      <w:r>
        <w:rPr>
          <w:rFonts w:hint="eastAsia"/>
          <w:color w:val="auto"/>
          <w:kern w:val="0"/>
          <w:szCs w:val="21"/>
          <w:highlight w:val="none"/>
        </w:rPr>
        <w:t>要求：</w:t>
      </w:r>
      <w:r>
        <w:rPr>
          <w:color w:val="auto"/>
          <w:highlight w:val="none"/>
        </w:rPr>
        <w:t>须具备有效的安全生产考核合格证书（C类）。</w:t>
      </w:r>
    </w:p>
    <w:p w14:paraId="68EABADB">
      <w:pPr>
        <w:spacing w:line="312" w:lineRule="auto"/>
        <w:ind w:firstLine="420" w:firstLineChars="200"/>
        <w:jc w:val="left"/>
        <w:rPr>
          <w:color w:val="auto"/>
          <w:kern w:val="0"/>
          <w:szCs w:val="21"/>
          <w:highlight w:val="none"/>
        </w:rPr>
      </w:pPr>
      <w:r>
        <w:rPr>
          <w:color w:val="auto"/>
          <w:kern w:val="0"/>
          <w:szCs w:val="21"/>
          <w:highlight w:val="none"/>
        </w:rPr>
        <w:t>（3）业绩要求：无。</w:t>
      </w:r>
    </w:p>
    <w:p w14:paraId="323FC30C">
      <w:pPr>
        <w:spacing w:line="312" w:lineRule="auto"/>
        <w:ind w:firstLine="420" w:firstLineChars="200"/>
        <w:jc w:val="left"/>
        <w:rPr>
          <w:kern w:val="0"/>
          <w:szCs w:val="21"/>
          <w:highlight w:val="none"/>
        </w:rPr>
      </w:pPr>
      <w:r>
        <w:rPr>
          <w:color w:val="auto"/>
          <w:kern w:val="0"/>
          <w:szCs w:val="21"/>
          <w:highlight w:val="none"/>
        </w:rPr>
        <w:t>（4）单位负责人为同一人或者存在直接</w:t>
      </w:r>
      <w:r>
        <w:rPr>
          <w:kern w:val="0"/>
          <w:szCs w:val="21"/>
          <w:highlight w:val="none"/>
        </w:rPr>
        <w:t>控股、管理关系的不同供应商，不得参加本项目同一合同项下的政府采购活动。为本项目提供整体设计、规范编制或者项目管理、监理、检测等服务的供应商，不得再参加</w:t>
      </w:r>
      <w:r>
        <w:rPr>
          <w:rFonts w:hint="eastAsia"/>
          <w:kern w:val="0"/>
          <w:szCs w:val="21"/>
          <w:highlight w:val="none"/>
        </w:rPr>
        <w:t>本</w:t>
      </w:r>
      <w:r>
        <w:rPr>
          <w:kern w:val="0"/>
          <w:szCs w:val="21"/>
          <w:highlight w:val="none"/>
        </w:rPr>
        <w:t>项目的采购活动</w:t>
      </w:r>
      <w:r>
        <w:rPr>
          <w:rFonts w:hint="eastAsia"/>
          <w:kern w:val="0"/>
          <w:szCs w:val="21"/>
          <w:highlight w:val="none"/>
        </w:rPr>
        <w:t>。</w:t>
      </w:r>
    </w:p>
    <w:p w14:paraId="329FD667">
      <w:pPr>
        <w:spacing w:line="312" w:lineRule="auto"/>
        <w:ind w:firstLine="420" w:firstLineChars="200"/>
        <w:jc w:val="left"/>
        <w:rPr>
          <w:color w:val="auto"/>
          <w:kern w:val="0"/>
          <w:szCs w:val="21"/>
          <w:highlight w:val="none"/>
        </w:rPr>
      </w:pPr>
      <w:r>
        <w:rPr>
          <w:rFonts w:hint="eastAsia"/>
          <w:kern w:val="0"/>
          <w:szCs w:val="21"/>
          <w:highlight w:val="none"/>
        </w:rPr>
        <w:t>（</w:t>
      </w:r>
      <w:r>
        <w:rPr>
          <w:kern w:val="0"/>
          <w:szCs w:val="21"/>
          <w:highlight w:val="none"/>
        </w:rPr>
        <w:t>5</w:t>
      </w:r>
      <w:r>
        <w:rPr>
          <w:rFonts w:hint="eastAsia"/>
          <w:color w:val="auto"/>
          <w:kern w:val="0"/>
          <w:szCs w:val="21"/>
          <w:highlight w:val="none"/>
        </w:rPr>
        <w:t>）</w:t>
      </w:r>
      <w:r>
        <w:rPr>
          <w:color w:val="auto"/>
          <w:kern w:val="0"/>
          <w:szCs w:val="21"/>
          <w:highlight w:val="none"/>
        </w:rPr>
        <w:t>未被列入失信被执行人、重大税收违法失信主体、政府采购严重违法失信行为记录名单。</w:t>
      </w:r>
    </w:p>
    <w:p w14:paraId="1FA6F30A">
      <w:pPr>
        <w:spacing w:line="312" w:lineRule="auto"/>
        <w:ind w:firstLine="420" w:firstLineChars="200"/>
        <w:jc w:val="left"/>
        <w:rPr>
          <w:color w:val="auto"/>
          <w:kern w:val="0"/>
          <w:szCs w:val="21"/>
          <w:highlight w:val="none"/>
        </w:rPr>
      </w:pPr>
      <w:bookmarkStart w:id="11" w:name="_Hlk132732817"/>
      <w:r>
        <w:rPr>
          <w:rFonts w:hint="eastAsia"/>
          <w:color w:val="auto"/>
          <w:szCs w:val="21"/>
          <w:highlight w:val="none"/>
        </w:rPr>
        <w:t>（</w:t>
      </w:r>
      <w:r>
        <w:rPr>
          <w:color w:val="auto"/>
          <w:szCs w:val="21"/>
          <w:highlight w:val="none"/>
        </w:rPr>
        <w:t>6</w:t>
      </w:r>
      <w:r>
        <w:rPr>
          <w:rFonts w:hint="eastAsia"/>
          <w:color w:val="auto"/>
          <w:szCs w:val="21"/>
          <w:highlight w:val="none"/>
        </w:rPr>
        <w:t>）</w:t>
      </w:r>
      <w:r>
        <w:rPr>
          <w:rFonts w:hint="eastAsia"/>
          <w:color w:val="auto"/>
          <w:kern w:val="0"/>
          <w:szCs w:val="21"/>
          <w:highlight w:val="none"/>
        </w:rPr>
        <w:t>本项目（不允许）分包。</w:t>
      </w:r>
    </w:p>
    <w:p w14:paraId="11D8FCDC">
      <w:pPr>
        <w:spacing w:line="312" w:lineRule="auto"/>
        <w:ind w:firstLine="420" w:firstLineChars="200"/>
        <w:jc w:val="left"/>
        <w:rPr>
          <w:rFonts w:hint="eastAsia"/>
          <w:color w:val="auto"/>
          <w:szCs w:val="21"/>
          <w:highlight w:val="none"/>
        </w:rPr>
      </w:pPr>
      <w:r>
        <w:rPr>
          <w:rFonts w:hint="eastAsia"/>
          <w:color w:val="auto"/>
          <w:kern w:val="0"/>
          <w:szCs w:val="21"/>
          <w:highlight w:val="none"/>
        </w:rPr>
        <w:t>（</w:t>
      </w:r>
      <w:r>
        <w:rPr>
          <w:color w:val="auto"/>
          <w:kern w:val="0"/>
          <w:szCs w:val="21"/>
          <w:highlight w:val="none"/>
        </w:rPr>
        <w:t>7</w:t>
      </w:r>
      <w:r>
        <w:rPr>
          <w:rFonts w:hint="eastAsia"/>
          <w:color w:val="auto"/>
          <w:kern w:val="0"/>
          <w:szCs w:val="21"/>
          <w:highlight w:val="none"/>
        </w:rPr>
        <w:t>）</w:t>
      </w:r>
      <w:r>
        <w:rPr>
          <w:color w:val="auto"/>
          <w:kern w:val="0"/>
          <w:szCs w:val="21"/>
          <w:highlight w:val="none"/>
        </w:rPr>
        <w:t>本项目</w:t>
      </w:r>
      <w:r>
        <w:rPr>
          <w:rFonts w:hint="eastAsia"/>
          <w:color w:val="auto"/>
          <w:kern w:val="0"/>
          <w:szCs w:val="21"/>
          <w:highlight w:val="none"/>
        </w:rPr>
        <w:t>（</w:t>
      </w:r>
      <w:r>
        <w:rPr>
          <w:color w:val="auto"/>
          <w:kern w:val="0"/>
          <w:szCs w:val="21"/>
          <w:highlight w:val="none"/>
        </w:rPr>
        <w:t>不接受</w:t>
      </w:r>
      <w:r>
        <w:rPr>
          <w:rFonts w:hint="eastAsia"/>
          <w:color w:val="auto"/>
          <w:kern w:val="0"/>
          <w:szCs w:val="21"/>
          <w:highlight w:val="none"/>
        </w:rPr>
        <w:t>）</w:t>
      </w:r>
      <w:r>
        <w:rPr>
          <w:color w:val="auto"/>
          <w:kern w:val="0"/>
          <w:szCs w:val="21"/>
          <w:highlight w:val="none"/>
        </w:rPr>
        <w:t>联合体。</w:t>
      </w:r>
      <w:bookmarkEnd w:id="11"/>
    </w:p>
    <w:p w14:paraId="37B9E299">
      <w:pPr>
        <w:spacing w:line="312" w:lineRule="auto"/>
        <w:ind w:firstLine="420" w:firstLineChars="200"/>
        <w:jc w:val="left"/>
        <w:rPr>
          <w:rFonts w:hint="eastAsia"/>
          <w:color w:val="auto"/>
          <w:kern w:val="0"/>
          <w:szCs w:val="21"/>
          <w:highlight w:val="none"/>
        </w:rPr>
      </w:pPr>
      <w:r>
        <w:rPr>
          <w:rFonts w:hint="eastAsia"/>
          <w:color w:val="auto"/>
          <w:kern w:val="0"/>
          <w:szCs w:val="21"/>
          <w:highlight w:val="none"/>
        </w:rPr>
        <w:t>（</w:t>
      </w:r>
      <w:r>
        <w:rPr>
          <w:color w:val="auto"/>
          <w:kern w:val="0"/>
          <w:szCs w:val="21"/>
          <w:highlight w:val="none"/>
        </w:rPr>
        <w:t>8</w:t>
      </w:r>
      <w:r>
        <w:rPr>
          <w:rFonts w:hint="eastAsia"/>
          <w:color w:val="auto"/>
          <w:kern w:val="0"/>
          <w:szCs w:val="21"/>
          <w:highlight w:val="none"/>
        </w:rPr>
        <w:t>）</w:t>
      </w:r>
      <w:r>
        <w:rPr>
          <w:color w:val="auto"/>
          <w:kern w:val="0"/>
          <w:szCs w:val="21"/>
          <w:highlight w:val="none"/>
        </w:rPr>
        <w:t>按照</w:t>
      </w:r>
      <w:r>
        <w:rPr>
          <w:rFonts w:hint="eastAsia"/>
          <w:color w:val="auto"/>
          <w:highlight w:val="none"/>
        </w:rPr>
        <w:t>磋商</w:t>
      </w:r>
      <w:r>
        <w:rPr>
          <w:color w:val="auto"/>
          <w:kern w:val="0"/>
          <w:szCs w:val="21"/>
          <w:highlight w:val="none"/>
        </w:rPr>
        <w:t>公告的规定获得</w:t>
      </w:r>
      <w:r>
        <w:rPr>
          <w:rFonts w:hint="eastAsia"/>
          <w:color w:val="auto"/>
          <w:highlight w:val="none"/>
        </w:rPr>
        <w:t>采购文件</w:t>
      </w:r>
      <w:r>
        <w:rPr>
          <w:color w:val="auto"/>
          <w:kern w:val="0"/>
          <w:szCs w:val="21"/>
          <w:highlight w:val="none"/>
        </w:rPr>
        <w:t>。</w:t>
      </w:r>
    </w:p>
    <w:p w14:paraId="5ECED95F">
      <w:pPr>
        <w:spacing w:line="312" w:lineRule="auto"/>
        <w:ind w:firstLine="442" w:firstLineChars="200"/>
        <w:jc w:val="left"/>
        <w:rPr>
          <w:rFonts w:hint="eastAsia"/>
          <w:b/>
          <w:bCs/>
          <w:color w:val="auto"/>
          <w:kern w:val="0"/>
          <w:sz w:val="22"/>
          <w:szCs w:val="22"/>
          <w:highlight w:val="none"/>
        </w:rPr>
      </w:pPr>
      <w:r>
        <w:rPr>
          <w:rFonts w:hint="eastAsia"/>
          <w:b/>
          <w:bCs/>
          <w:color w:val="auto"/>
          <w:kern w:val="0"/>
          <w:sz w:val="22"/>
          <w:szCs w:val="22"/>
          <w:highlight w:val="none"/>
        </w:rPr>
        <w:t>三、获取采购文件</w:t>
      </w:r>
    </w:p>
    <w:p w14:paraId="1C35D05A">
      <w:pPr>
        <w:spacing w:line="312" w:lineRule="auto"/>
        <w:ind w:firstLine="420" w:firstLineChars="200"/>
        <w:jc w:val="left"/>
        <w:rPr>
          <w:color w:val="auto"/>
          <w:highlight w:val="none"/>
          <w:u w:val="none"/>
        </w:rPr>
      </w:pPr>
      <w:r>
        <w:rPr>
          <w:rFonts w:hint="eastAsia"/>
          <w:color w:val="auto"/>
          <w:highlight w:val="none"/>
          <w:u w:val="none"/>
        </w:rPr>
        <w:t>时间：20</w:t>
      </w:r>
      <w:r>
        <w:rPr>
          <w:rFonts w:hint="eastAsia"/>
          <w:color w:val="auto"/>
          <w:highlight w:val="none"/>
          <w:u w:val="none"/>
          <w:lang w:val="en-US" w:eastAsia="zh-CN"/>
        </w:rPr>
        <w:t>26</w:t>
      </w:r>
      <w:r>
        <w:rPr>
          <w:rFonts w:hint="eastAsia"/>
          <w:color w:val="auto"/>
          <w:highlight w:val="none"/>
          <w:u w:val="none"/>
        </w:rPr>
        <w:t>年</w:t>
      </w:r>
      <w:r>
        <w:rPr>
          <w:rFonts w:hint="eastAsia"/>
          <w:color w:val="auto"/>
          <w:highlight w:val="none"/>
          <w:u w:val="none"/>
          <w:lang w:val="en-US" w:eastAsia="zh-CN"/>
        </w:rPr>
        <w:t>9</w:t>
      </w:r>
      <w:r>
        <w:rPr>
          <w:rFonts w:hint="eastAsia"/>
          <w:color w:val="auto"/>
          <w:highlight w:val="none"/>
          <w:u w:val="none"/>
        </w:rPr>
        <w:t>月</w:t>
      </w:r>
      <w:r>
        <w:rPr>
          <w:rFonts w:hint="eastAsia"/>
          <w:color w:val="auto"/>
          <w:highlight w:val="none"/>
          <w:u w:val="none"/>
          <w:lang w:val="en-US" w:eastAsia="zh-CN"/>
        </w:rPr>
        <w:t>11</w:t>
      </w:r>
      <w:r>
        <w:rPr>
          <w:rFonts w:hint="eastAsia"/>
          <w:color w:val="auto"/>
          <w:highlight w:val="none"/>
          <w:u w:val="none"/>
        </w:rPr>
        <w:t>日起至20</w:t>
      </w:r>
      <w:r>
        <w:rPr>
          <w:rFonts w:hint="eastAsia"/>
          <w:color w:val="auto"/>
          <w:highlight w:val="none"/>
          <w:u w:val="none"/>
          <w:lang w:val="en-US" w:eastAsia="zh-CN"/>
        </w:rPr>
        <w:t>26</w:t>
      </w:r>
      <w:r>
        <w:rPr>
          <w:rFonts w:hint="eastAsia"/>
          <w:color w:val="auto"/>
          <w:highlight w:val="none"/>
          <w:u w:val="none"/>
        </w:rPr>
        <w:t>年</w:t>
      </w:r>
      <w:r>
        <w:rPr>
          <w:rFonts w:hint="eastAsia"/>
          <w:color w:val="auto"/>
          <w:highlight w:val="none"/>
          <w:u w:val="none"/>
          <w:lang w:val="en-US" w:eastAsia="zh-CN"/>
        </w:rPr>
        <w:t>9</w:t>
      </w:r>
      <w:r>
        <w:rPr>
          <w:rFonts w:hint="eastAsia"/>
          <w:color w:val="auto"/>
          <w:highlight w:val="none"/>
          <w:u w:val="none"/>
        </w:rPr>
        <w:t>月</w:t>
      </w:r>
      <w:r>
        <w:rPr>
          <w:rFonts w:hint="eastAsia"/>
          <w:color w:val="auto"/>
          <w:highlight w:val="none"/>
          <w:u w:val="none"/>
          <w:lang w:val="en-US" w:eastAsia="zh-CN"/>
        </w:rPr>
        <w:t>18</w:t>
      </w:r>
      <w:r>
        <w:rPr>
          <w:rFonts w:hint="eastAsia"/>
          <w:color w:val="auto"/>
          <w:highlight w:val="none"/>
          <w:u w:val="none"/>
        </w:rPr>
        <w:t>日，每天上午08时30分至</w:t>
      </w:r>
      <w:r>
        <w:rPr>
          <w:color w:val="auto"/>
          <w:highlight w:val="none"/>
          <w:u w:val="none"/>
        </w:rPr>
        <w:t>12</w:t>
      </w:r>
      <w:r>
        <w:rPr>
          <w:rFonts w:hint="eastAsia"/>
          <w:color w:val="auto"/>
          <w:highlight w:val="none"/>
          <w:u w:val="none"/>
        </w:rPr>
        <w:t>时0</w:t>
      </w:r>
      <w:r>
        <w:rPr>
          <w:color w:val="auto"/>
          <w:highlight w:val="none"/>
          <w:u w:val="none"/>
        </w:rPr>
        <w:t>0</w:t>
      </w:r>
      <w:r>
        <w:rPr>
          <w:rFonts w:hint="eastAsia"/>
          <w:color w:val="auto"/>
          <w:highlight w:val="none"/>
          <w:u w:val="none"/>
        </w:rPr>
        <w:t>分，下午1</w:t>
      </w:r>
      <w:r>
        <w:rPr>
          <w:color w:val="auto"/>
          <w:highlight w:val="none"/>
          <w:u w:val="none"/>
        </w:rPr>
        <w:t>4</w:t>
      </w:r>
      <w:r>
        <w:rPr>
          <w:rFonts w:hint="eastAsia"/>
          <w:color w:val="auto"/>
          <w:highlight w:val="none"/>
          <w:u w:val="none"/>
        </w:rPr>
        <w:t>时3</w:t>
      </w:r>
      <w:r>
        <w:rPr>
          <w:color w:val="auto"/>
          <w:highlight w:val="none"/>
          <w:u w:val="none"/>
        </w:rPr>
        <w:t>0</w:t>
      </w:r>
      <w:r>
        <w:rPr>
          <w:rFonts w:hint="eastAsia"/>
          <w:color w:val="auto"/>
          <w:highlight w:val="none"/>
          <w:u w:val="none"/>
        </w:rPr>
        <w:t>分至17时30分（北京时间，法定节假日除外）。</w:t>
      </w:r>
    </w:p>
    <w:p w14:paraId="6BBF3DCA">
      <w:pPr>
        <w:spacing w:line="312" w:lineRule="auto"/>
        <w:ind w:firstLine="420" w:firstLineChars="200"/>
        <w:jc w:val="left"/>
        <w:rPr>
          <w:color w:val="auto"/>
          <w:highlight w:val="none"/>
          <w:u w:val="none"/>
        </w:rPr>
      </w:pPr>
      <w:bookmarkStart w:id="12" w:name="_Hlk46137393"/>
      <w:r>
        <w:rPr>
          <w:rFonts w:hint="eastAsia"/>
          <w:color w:val="auto"/>
          <w:highlight w:val="none"/>
          <w:u w:val="none"/>
        </w:rPr>
        <w:t>地点（网址）</w:t>
      </w:r>
      <w:bookmarkEnd w:id="12"/>
      <w:r>
        <w:rPr>
          <w:rFonts w:ascii="Arial" w:hAnsi="Arial" w:cs="Arial"/>
          <w:color w:val="auto"/>
          <w:kern w:val="0"/>
          <w:szCs w:val="21"/>
          <w:highlight w:val="none"/>
          <w:u w:val="none"/>
        </w:rPr>
        <w:t>广西政府采购云平台</w:t>
      </w:r>
      <w:r>
        <w:rPr>
          <w:rFonts w:hint="eastAsia" w:ascii="Arial" w:hAnsi="Arial" w:cs="Arial"/>
          <w:color w:val="auto"/>
          <w:kern w:val="0"/>
          <w:szCs w:val="21"/>
          <w:highlight w:val="none"/>
          <w:u w:val="none"/>
        </w:rPr>
        <w:t>（https://www.gcy.zfcg.gxzf.gov.cn/）</w:t>
      </w:r>
    </w:p>
    <w:p w14:paraId="624BC574">
      <w:pPr>
        <w:spacing w:line="312" w:lineRule="auto"/>
        <w:ind w:firstLine="420" w:firstLineChars="200"/>
        <w:rPr>
          <w:color w:val="auto"/>
          <w:highlight w:val="none"/>
          <w:u w:val="none"/>
        </w:rPr>
      </w:pPr>
      <w:r>
        <w:rPr>
          <w:rFonts w:hint="eastAsia"/>
          <w:color w:val="auto"/>
          <w:szCs w:val="21"/>
          <w:highlight w:val="none"/>
          <w:u w:val="none"/>
        </w:rPr>
        <w:t>方式：供应商登录</w:t>
      </w:r>
      <w:r>
        <w:rPr>
          <w:rFonts w:ascii="Arial" w:hAnsi="Arial" w:cs="Arial"/>
          <w:color w:val="auto"/>
          <w:kern w:val="0"/>
          <w:szCs w:val="21"/>
          <w:highlight w:val="none"/>
          <w:u w:val="none"/>
        </w:rPr>
        <w:t>广西政府采购云平台</w:t>
      </w:r>
      <w:r>
        <w:rPr>
          <w:rFonts w:hint="eastAsia"/>
          <w:color w:val="auto"/>
          <w:szCs w:val="21"/>
          <w:highlight w:val="none"/>
          <w:u w:val="none"/>
        </w:rPr>
        <w:t>在线申请获取采购文件（进入“项目采购”应用，在获取采购文件菜单中选择项目，申请获取采购文件）</w:t>
      </w:r>
    </w:p>
    <w:p w14:paraId="4D4ED186">
      <w:pPr>
        <w:spacing w:line="312" w:lineRule="auto"/>
        <w:ind w:firstLine="420" w:firstLineChars="200"/>
        <w:jc w:val="left"/>
        <w:rPr>
          <w:color w:val="auto"/>
          <w:highlight w:val="none"/>
          <w:u w:val="none"/>
        </w:rPr>
      </w:pPr>
      <w:r>
        <w:rPr>
          <w:rFonts w:hint="eastAsia"/>
          <w:color w:val="auto"/>
          <w:highlight w:val="none"/>
          <w:u w:val="none"/>
        </w:rPr>
        <w:t>售价（元）：</w:t>
      </w:r>
      <w:r>
        <w:rPr>
          <w:color w:val="auto"/>
          <w:highlight w:val="none"/>
          <w:u w:val="none"/>
        </w:rPr>
        <w:t>0</w:t>
      </w:r>
    </w:p>
    <w:p w14:paraId="73ACC05E">
      <w:pPr>
        <w:spacing w:line="312" w:lineRule="auto"/>
        <w:ind w:firstLine="442" w:firstLineChars="200"/>
        <w:jc w:val="left"/>
        <w:rPr>
          <w:rFonts w:hint="eastAsia"/>
          <w:b/>
          <w:bCs/>
          <w:color w:val="auto"/>
          <w:kern w:val="0"/>
          <w:sz w:val="22"/>
          <w:szCs w:val="22"/>
          <w:highlight w:val="none"/>
          <w:u w:val="none"/>
        </w:rPr>
      </w:pPr>
      <w:r>
        <w:rPr>
          <w:rFonts w:hint="eastAsia"/>
          <w:b/>
          <w:bCs/>
          <w:color w:val="auto"/>
          <w:kern w:val="0"/>
          <w:sz w:val="22"/>
          <w:szCs w:val="22"/>
          <w:highlight w:val="none"/>
          <w:u w:val="none"/>
        </w:rPr>
        <w:t>四、响应文件提交</w:t>
      </w:r>
    </w:p>
    <w:p w14:paraId="2BF5A676">
      <w:pPr>
        <w:spacing w:line="312" w:lineRule="auto"/>
        <w:ind w:firstLine="420" w:firstLineChars="200"/>
        <w:jc w:val="left"/>
        <w:rPr>
          <w:color w:val="auto"/>
          <w:kern w:val="0"/>
          <w:szCs w:val="21"/>
          <w:highlight w:val="none"/>
        </w:rPr>
      </w:pPr>
      <w:r>
        <w:rPr>
          <w:rFonts w:hint="eastAsia"/>
          <w:color w:val="auto"/>
          <w:kern w:val="0"/>
          <w:szCs w:val="21"/>
          <w:highlight w:val="none"/>
        </w:rPr>
        <w:t>截止时间：</w:t>
      </w:r>
      <w:r>
        <w:rPr>
          <w:color w:val="auto"/>
          <w:kern w:val="0"/>
          <w:szCs w:val="21"/>
          <w:highlight w:val="none"/>
          <w:u w:val="none"/>
        </w:rPr>
        <w:t>20</w:t>
      </w:r>
      <w:r>
        <w:rPr>
          <w:rFonts w:hint="eastAsia"/>
          <w:color w:val="auto"/>
          <w:kern w:val="0"/>
          <w:szCs w:val="21"/>
          <w:highlight w:val="none"/>
          <w:u w:val="none"/>
          <w:lang w:val="en-US" w:eastAsia="zh-CN"/>
        </w:rPr>
        <w:t>26</w:t>
      </w:r>
      <w:r>
        <w:rPr>
          <w:color w:val="auto"/>
          <w:kern w:val="0"/>
          <w:szCs w:val="21"/>
          <w:highlight w:val="none"/>
          <w:u w:val="none"/>
        </w:rPr>
        <w:t>年</w:t>
      </w:r>
      <w:r>
        <w:rPr>
          <w:rFonts w:hint="eastAsia"/>
          <w:color w:val="auto"/>
          <w:kern w:val="0"/>
          <w:szCs w:val="21"/>
          <w:highlight w:val="none"/>
          <w:u w:val="none"/>
          <w:lang w:val="en-US" w:eastAsia="zh-CN"/>
        </w:rPr>
        <w:t>9</w:t>
      </w:r>
      <w:r>
        <w:rPr>
          <w:color w:val="auto"/>
          <w:kern w:val="0"/>
          <w:szCs w:val="21"/>
          <w:highlight w:val="none"/>
          <w:u w:val="none"/>
        </w:rPr>
        <w:t>月</w:t>
      </w:r>
      <w:bookmarkStart w:id="13" w:name="_Hlk155690357"/>
      <w:r>
        <w:rPr>
          <w:rFonts w:hint="eastAsia"/>
          <w:color w:val="auto"/>
          <w:kern w:val="0"/>
          <w:szCs w:val="21"/>
          <w:highlight w:val="none"/>
          <w:u w:val="none"/>
          <w:lang w:val="en-US" w:eastAsia="zh-CN"/>
        </w:rPr>
        <w:t>23</w:t>
      </w:r>
      <w:r>
        <w:rPr>
          <w:rFonts w:hint="eastAsia"/>
          <w:color w:val="auto"/>
          <w:kern w:val="0"/>
          <w:szCs w:val="21"/>
          <w:highlight w:val="none"/>
          <w:u w:val="none"/>
        </w:rPr>
        <w:t>日</w:t>
      </w:r>
      <w:bookmarkEnd w:id="13"/>
      <w:r>
        <w:rPr>
          <w:rFonts w:hint="eastAsia"/>
          <w:color w:val="auto"/>
          <w:kern w:val="0"/>
          <w:szCs w:val="21"/>
          <w:highlight w:val="none"/>
          <w:u w:val="none"/>
          <w:lang w:val="en-US" w:eastAsia="zh-CN"/>
        </w:rPr>
        <w:t>10:00</w:t>
      </w:r>
      <w:r>
        <w:rPr>
          <w:rFonts w:hint="eastAsia"/>
          <w:color w:val="auto"/>
          <w:kern w:val="0"/>
          <w:szCs w:val="21"/>
          <w:highlight w:val="none"/>
        </w:rPr>
        <w:t>（北京时间）</w:t>
      </w:r>
    </w:p>
    <w:p w14:paraId="2B647A8D">
      <w:pPr>
        <w:spacing w:line="312" w:lineRule="auto"/>
        <w:ind w:firstLine="420" w:firstLineChars="200"/>
        <w:jc w:val="left"/>
        <w:rPr>
          <w:color w:val="auto"/>
          <w:kern w:val="0"/>
          <w:szCs w:val="21"/>
          <w:highlight w:val="none"/>
        </w:rPr>
      </w:pPr>
      <w:r>
        <w:rPr>
          <w:rFonts w:hint="eastAsia"/>
          <w:color w:val="auto"/>
          <w:kern w:val="0"/>
          <w:szCs w:val="21"/>
          <w:highlight w:val="none"/>
        </w:rPr>
        <w:t>地点（网址）：</w:t>
      </w:r>
      <w:r>
        <w:rPr>
          <w:rFonts w:hint="eastAsia"/>
          <w:color w:val="auto"/>
          <w:szCs w:val="21"/>
          <w:highlight w:val="none"/>
        </w:rPr>
        <w:t>本项目为全流程电子化项目，没有现场递交响应文件及现场截标环节，通过广西政府采购云平台（https://www.gcy.zfcg.gxzf.gov.cn/）实行在线电子响应，供应商应先安装广西政府采购云平台新版客户端（请自行前往广西政府采购网-办事服务-下载专区进行下载），并按照本项目采购文件和广西政府采购云平台的要求使用C</w:t>
      </w:r>
      <w:r>
        <w:rPr>
          <w:color w:val="auto"/>
          <w:szCs w:val="21"/>
          <w:highlight w:val="none"/>
        </w:rPr>
        <w:t>A</w:t>
      </w:r>
      <w:r>
        <w:rPr>
          <w:rFonts w:hint="eastAsia"/>
          <w:color w:val="auto"/>
          <w:szCs w:val="21"/>
          <w:highlight w:val="none"/>
        </w:rPr>
        <w:t xml:space="preserve">认证编制、加密响应文件后在响应截止时间前上传至广西政府采购云平台，供应商在广西政府采购云平台提交电子版响应文件时，请填写参加远程截标活动经办人联系方式。 </w:t>
      </w:r>
    </w:p>
    <w:p w14:paraId="7D26E5BD">
      <w:pPr>
        <w:spacing w:line="312" w:lineRule="auto"/>
        <w:ind w:firstLine="442" w:firstLineChars="200"/>
        <w:jc w:val="left"/>
        <w:rPr>
          <w:b/>
          <w:bCs/>
          <w:color w:val="auto"/>
          <w:kern w:val="0"/>
          <w:sz w:val="22"/>
          <w:szCs w:val="22"/>
          <w:highlight w:val="none"/>
        </w:rPr>
      </w:pPr>
      <w:r>
        <w:rPr>
          <w:rFonts w:hint="eastAsia"/>
          <w:b/>
          <w:bCs/>
          <w:color w:val="auto"/>
          <w:kern w:val="0"/>
          <w:sz w:val="22"/>
          <w:szCs w:val="22"/>
          <w:highlight w:val="none"/>
        </w:rPr>
        <w:t>五、开启</w:t>
      </w:r>
    </w:p>
    <w:p w14:paraId="3779E797">
      <w:pPr>
        <w:spacing w:line="312" w:lineRule="auto"/>
        <w:ind w:firstLine="442" w:firstLineChars="200"/>
        <w:jc w:val="left"/>
        <w:rPr>
          <w:color w:val="auto"/>
          <w:kern w:val="0"/>
          <w:szCs w:val="21"/>
          <w:highlight w:val="none"/>
        </w:rPr>
      </w:pPr>
      <w:r>
        <w:rPr>
          <w:rFonts w:hint="eastAsia"/>
          <w:b/>
          <w:bCs/>
          <w:color w:val="auto"/>
          <w:kern w:val="0"/>
          <w:sz w:val="22"/>
          <w:szCs w:val="22"/>
          <w:highlight w:val="none"/>
        </w:rPr>
        <w:t>开启时间：</w:t>
      </w:r>
      <w:r>
        <w:rPr>
          <w:color w:val="auto"/>
          <w:kern w:val="0"/>
          <w:szCs w:val="21"/>
          <w:highlight w:val="none"/>
        </w:rPr>
        <w:t>20</w:t>
      </w:r>
      <w:r>
        <w:rPr>
          <w:rFonts w:hint="eastAsia"/>
          <w:color w:val="auto"/>
          <w:kern w:val="0"/>
          <w:szCs w:val="21"/>
          <w:highlight w:val="none"/>
          <w:lang w:val="en-US" w:eastAsia="zh-CN"/>
        </w:rPr>
        <w:t>26</w:t>
      </w:r>
      <w:r>
        <w:rPr>
          <w:color w:val="auto"/>
          <w:kern w:val="0"/>
          <w:szCs w:val="21"/>
          <w:highlight w:val="none"/>
        </w:rPr>
        <w:t>年</w:t>
      </w:r>
      <w:r>
        <w:rPr>
          <w:rFonts w:hint="eastAsia"/>
          <w:color w:val="auto"/>
          <w:kern w:val="0"/>
          <w:szCs w:val="21"/>
          <w:highlight w:val="none"/>
          <w:lang w:val="en-US" w:eastAsia="zh-CN"/>
        </w:rPr>
        <w:t>9</w:t>
      </w:r>
      <w:r>
        <w:rPr>
          <w:color w:val="auto"/>
          <w:kern w:val="0"/>
          <w:szCs w:val="21"/>
          <w:highlight w:val="none"/>
        </w:rPr>
        <w:t>月</w:t>
      </w:r>
      <w:r>
        <w:rPr>
          <w:rFonts w:hint="eastAsia"/>
          <w:color w:val="auto"/>
          <w:kern w:val="0"/>
          <w:szCs w:val="21"/>
          <w:highlight w:val="none"/>
          <w:lang w:val="en-US" w:eastAsia="zh-CN"/>
        </w:rPr>
        <w:t>23</w:t>
      </w:r>
      <w:r>
        <w:rPr>
          <w:rFonts w:hint="eastAsia"/>
          <w:color w:val="auto"/>
          <w:kern w:val="0"/>
          <w:szCs w:val="21"/>
          <w:highlight w:val="none"/>
        </w:rPr>
        <w:t>日</w:t>
      </w:r>
      <w:r>
        <w:rPr>
          <w:rFonts w:hint="eastAsia"/>
          <w:color w:val="auto"/>
          <w:kern w:val="0"/>
          <w:szCs w:val="21"/>
          <w:highlight w:val="none"/>
          <w:lang w:val="en-US" w:eastAsia="zh-CN"/>
        </w:rPr>
        <w:t>10:00</w:t>
      </w:r>
      <w:r>
        <w:rPr>
          <w:rFonts w:hint="eastAsia"/>
          <w:color w:val="auto"/>
          <w:kern w:val="0"/>
          <w:szCs w:val="21"/>
          <w:highlight w:val="none"/>
        </w:rPr>
        <w:t>（北京时间）</w:t>
      </w:r>
    </w:p>
    <w:p w14:paraId="0182E5AD">
      <w:pPr>
        <w:spacing w:line="312" w:lineRule="auto"/>
        <w:ind w:firstLine="442" w:firstLineChars="200"/>
        <w:jc w:val="left"/>
        <w:rPr>
          <w:rFonts w:hint="eastAsia"/>
          <w:b/>
          <w:bCs/>
          <w:color w:val="auto"/>
          <w:kern w:val="0"/>
          <w:sz w:val="22"/>
          <w:szCs w:val="22"/>
          <w:highlight w:val="none"/>
        </w:rPr>
      </w:pPr>
      <w:r>
        <w:rPr>
          <w:rFonts w:hint="eastAsia"/>
          <w:b/>
          <w:bCs/>
          <w:color w:val="auto"/>
          <w:kern w:val="0"/>
          <w:sz w:val="22"/>
          <w:szCs w:val="22"/>
          <w:highlight w:val="none"/>
        </w:rPr>
        <w:t>地点：</w:t>
      </w:r>
      <w:r>
        <w:rPr>
          <w:rFonts w:hint="eastAsia"/>
          <w:color w:val="auto"/>
          <w:szCs w:val="21"/>
          <w:highlight w:val="none"/>
        </w:rPr>
        <w:t>供应商</w:t>
      </w:r>
      <w:r>
        <w:rPr>
          <w:rFonts w:hint="eastAsia"/>
          <w:color w:val="auto"/>
          <w:highlight w:val="none"/>
        </w:rPr>
        <w:t>登录</w:t>
      </w:r>
      <w:r>
        <w:rPr>
          <w:rFonts w:ascii="Arial" w:hAnsi="Arial" w:cs="Arial"/>
          <w:color w:val="auto"/>
          <w:kern w:val="0"/>
          <w:szCs w:val="21"/>
          <w:highlight w:val="none"/>
        </w:rPr>
        <w:t>广西政府采购云平台</w:t>
      </w:r>
      <w:r>
        <w:rPr>
          <w:rFonts w:hint="eastAsia"/>
          <w:color w:val="auto"/>
          <w:szCs w:val="21"/>
          <w:highlight w:val="none"/>
        </w:rPr>
        <w:t>电子开标大厅截标。</w:t>
      </w:r>
    </w:p>
    <w:p w14:paraId="4D5915CF">
      <w:pPr>
        <w:spacing w:line="312" w:lineRule="auto"/>
        <w:ind w:firstLine="442" w:firstLineChars="200"/>
        <w:jc w:val="left"/>
        <w:rPr>
          <w:b/>
          <w:bCs/>
          <w:kern w:val="0"/>
          <w:sz w:val="22"/>
          <w:szCs w:val="22"/>
          <w:highlight w:val="none"/>
        </w:rPr>
      </w:pPr>
      <w:r>
        <w:rPr>
          <w:rFonts w:hint="eastAsia"/>
          <w:b/>
          <w:bCs/>
          <w:kern w:val="0"/>
          <w:sz w:val="22"/>
          <w:szCs w:val="22"/>
          <w:highlight w:val="none"/>
        </w:rPr>
        <w:t>六、公告期限</w:t>
      </w:r>
    </w:p>
    <w:p w14:paraId="27BFC26A">
      <w:pPr>
        <w:spacing w:line="312" w:lineRule="auto"/>
        <w:ind w:firstLine="420" w:firstLineChars="200"/>
        <w:jc w:val="left"/>
        <w:rPr>
          <w:rFonts w:hint="eastAsia"/>
          <w:kern w:val="0"/>
          <w:szCs w:val="21"/>
          <w:highlight w:val="none"/>
        </w:rPr>
      </w:pPr>
      <w:r>
        <w:rPr>
          <w:rFonts w:hint="eastAsia"/>
          <w:kern w:val="0"/>
          <w:szCs w:val="21"/>
          <w:highlight w:val="none"/>
        </w:rPr>
        <w:t>自本公告发布之日起</w:t>
      </w:r>
      <w:r>
        <w:rPr>
          <w:rFonts w:hint="eastAsia"/>
          <w:kern w:val="0"/>
          <w:szCs w:val="21"/>
          <w:highlight w:val="none"/>
          <w:lang w:val="en-US" w:eastAsia="zh-CN"/>
        </w:rPr>
        <w:t>5</w:t>
      </w:r>
      <w:r>
        <w:rPr>
          <w:rFonts w:hint="eastAsia"/>
          <w:kern w:val="0"/>
          <w:szCs w:val="21"/>
          <w:highlight w:val="none"/>
        </w:rPr>
        <w:t>个工作日。</w:t>
      </w:r>
    </w:p>
    <w:p w14:paraId="6E981021">
      <w:pPr>
        <w:spacing w:line="312" w:lineRule="auto"/>
        <w:ind w:firstLine="442" w:firstLineChars="200"/>
        <w:jc w:val="left"/>
        <w:rPr>
          <w:b/>
          <w:bCs/>
          <w:kern w:val="0"/>
          <w:sz w:val="22"/>
          <w:szCs w:val="22"/>
          <w:highlight w:val="none"/>
        </w:rPr>
      </w:pPr>
      <w:r>
        <w:rPr>
          <w:rFonts w:hint="eastAsia"/>
          <w:b/>
          <w:bCs/>
          <w:kern w:val="0"/>
          <w:sz w:val="22"/>
          <w:szCs w:val="22"/>
          <w:highlight w:val="none"/>
        </w:rPr>
        <w:t>七、其他补充事宜</w:t>
      </w:r>
    </w:p>
    <w:p w14:paraId="6265FD3D">
      <w:pPr>
        <w:spacing w:line="312" w:lineRule="auto"/>
        <w:ind w:firstLine="420" w:firstLineChars="200"/>
        <w:jc w:val="left"/>
        <w:rPr>
          <w:kern w:val="0"/>
          <w:szCs w:val="21"/>
          <w:highlight w:val="none"/>
        </w:rPr>
      </w:pPr>
      <w:r>
        <w:rPr>
          <w:rFonts w:hint="eastAsia"/>
          <w:kern w:val="0"/>
          <w:szCs w:val="21"/>
          <w:highlight w:val="none"/>
        </w:rPr>
        <w:t>1</w:t>
      </w:r>
      <w:r>
        <w:rPr>
          <w:kern w:val="0"/>
          <w:szCs w:val="21"/>
          <w:highlight w:val="none"/>
        </w:rPr>
        <w:t>.</w:t>
      </w:r>
      <w:r>
        <w:rPr>
          <w:rFonts w:hint="eastAsia"/>
          <w:kern w:val="0"/>
          <w:szCs w:val="21"/>
          <w:highlight w:val="none"/>
        </w:rPr>
        <w:t>公告发布媒体：www.ccgp.gov.cn（中国政府采购网）、zfcg.gxzf.gov.cn（广西壮族自治区政府采购网）、全国公共资源交易平台（广西•来宾）（ggzy.jgswj.gxzf.gov.cn/lbggzy/）</w:t>
      </w:r>
    </w:p>
    <w:p w14:paraId="3E0A2565">
      <w:pPr>
        <w:spacing w:line="312" w:lineRule="auto"/>
        <w:ind w:firstLine="420" w:firstLineChars="200"/>
        <w:jc w:val="left"/>
        <w:rPr>
          <w:kern w:val="0"/>
          <w:szCs w:val="21"/>
          <w:highlight w:val="none"/>
        </w:rPr>
      </w:pPr>
      <w:r>
        <w:rPr>
          <w:rFonts w:hint="eastAsia"/>
          <w:color w:val="000000"/>
          <w:kern w:val="0"/>
          <w:szCs w:val="21"/>
          <w:highlight w:val="none"/>
        </w:rPr>
        <w:t>2</w:t>
      </w:r>
      <w:r>
        <w:rPr>
          <w:color w:val="000000"/>
          <w:kern w:val="0"/>
          <w:szCs w:val="21"/>
          <w:highlight w:val="none"/>
        </w:rPr>
        <w:t>.</w:t>
      </w:r>
      <w:r>
        <w:rPr>
          <w:rFonts w:hint="eastAsia"/>
          <w:kern w:val="0"/>
          <w:szCs w:val="21"/>
          <w:highlight w:val="none"/>
        </w:rPr>
        <w:t>需落实的政府采购政策：</w:t>
      </w:r>
      <w:r>
        <w:rPr>
          <w:kern w:val="0"/>
          <w:szCs w:val="21"/>
          <w:highlight w:val="none"/>
        </w:rPr>
        <w:t>本项目适用政府采购促进中小企业、监狱企业发展、促进残疾人就业、节能环保等有关政策，具体详见</w:t>
      </w:r>
      <w:r>
        <w:rPr>
          <w:rFonts w:hint="eastAsia"/>
          <w:highlight w:val="none"/>
        </w:rPr>
        <w:t>采购</w:t>
      </w:r>
      <w:r>
        <w:rPr>
          <w:kern w:val="0"/>
          <w:szCs w:val="21"/>
          <w:highlight w:val="none"/>
        </w:rPr>
        <w:t>文件。</w:t>
      </w:r>
    </w:p>
    <w:p w14:paraId="045BF010">
      <w:pPr>
        <w:spacing w:line="312" w:lineRule="auto"/>
        <w:ind w:firstLine="420" w:firstLineChars="200"/>
        <w:jc w:val="left"/>
        <w:rPr>
          <w:rFonts w:hint="eastAsia"/>
          <w:color w:val="4472C4"/>
          <w:kern w:val="0"/>
          <w:szCs w:val="21"/>
          <w:highlight w:val="none"/>
        </w:rPr>
      </w:pPr>
      <w:r>
        <w:rPr>
          <w:color w:val="000000"/>
          <w:kern w:val="0"/>
          <w:szCs w:val="21"/>
          <w:highlight w:val="none"/>
        </w:rPr>
        <w:t>3</w:t>
      </w:r>
      <w:r>
        <w:rPr>
          <w:rFonts w:hint="eastAsia"/>
          <w:color w:val="000000"/>
          <w:kern w:val="0"/>
          <w:szCs w:val="21"/>
          <w:highlight w:val="none"/>
        </w:rPr>
        <w:t>.本项目供应商的产生方式：</w:t>
      </w:r>
      <w:r>
        <w:rPr>
          <w:highlight w:val="none"/>
        </w:rPr>
        <w:t>发布</w:t>
      </w:r>
      <w:r>
        <w:rPr>
          <w:rFonts w:hint="eastAsia"/>
          <w:highlight w:val="none"/>
        </w:rPr>
        <w:t>公告征集</w:t>
      </w:r>
    </w:p>
    <w:p w14:paraId="7D74D679">
      <w:pPr>
        <w:spacing w:line="312" w:lineRule="auto"/>
        <w:ind w:firstLine="420" w:firstLineChars="200"/>
        <w:rPr>
          <w:rFonts w:hint="eastAsia"/>
          <w:color w:val="000000"/>
          <w:kern w:val="0"/>
          <w:szCs w:val="21"/>
          <w:highlight w:val="none"/>
        </w:rPr>
      </w:pPr>
      <w:r>
        <w:rPr>
          <w:rFonts w:hint="eastAsia"/>
          <w:kern w:val="0"/>
          <w:szCs w:val="21"/>
          <w:highlight w:val="none"/>
        </w:rPr>
        <w:t>4</w:t>
      </w:r>
      <w:r>
        <w:rPr>
          <w:kern w:val="0"/>
          <w:szCs w:val="21"/>
          <w:highlight w:val="none"/>
        </w:rPr>
        <w:t>.</w:t>
      </w:r>
      <w:r>
        <w:rPr>
          <w:rFonts w:hint="eastAsia"/>
          <w:color w:val="000000"/>
          <w:kern w:val="0"/>
          <w:szCs w:val="21"/>
          <w:highlight w:val="none"/>
        </w:rPr>
        <w:t>注意事项：</w:t>
      </w:r>
    </w:p>
    <w:p w14:paraId="390BCE40">
      <w:pPr>
        <w:spacing w:line="276" w:lineRule="auto"/>
        <w:ind w:firstLine="420" w:firstLineChars="200"/>
        <w:rPr>
          <w:szCs w:val="21"/>
          <w:highlight w:val="none"/>
        </w:rPr>
      </w:pPr>
      <w:bookmarkStart w:id="14" w:name="_Hlk49778118"/>
      <w:r>
        <w:rPr>
          <w:rFonts w:hint="eastAsia"/>
          <w:kern w:val="0"/>
          <w:szCs w:val="21"/>
          <w:highlight w:val="none"/>
        </w:rPr>
        <w:t>（1）</w:t>
      </w:r>
      <w:r>
        <w:rPr>
          <w:rFonts w:hint="eastAsia"/>
          <w:szCs w:val="21"/>
          <w:highlight w:val="none"/>
        </w:rPr>
        <w:t>未进行网上注册并办理数字证书（CA认证）的供应商将无法参与本项目政府采购活动，潜在供应商应当在响应截止时间前，完成广西政府采购云平台上的CA数字证书办理及响应文件的提交。完成CA数字证书办理预计7日左右，建议各供应商抓紧时间办理。</w:t>
      </w:r>
    </w:p>
    <w:p w14:paraId="11C0A035">
      <w:pPr>
        <w:spacing w:line="276" w:lineRule="auto"/>
        <w:ind w:firstLine="420" w:firstLineChars="200"/>
        <w:rPr>
          <w:kern w:val="0"/>
          <w:szCs w:val="21"/>
          <w:highlight w:val="none"/>
        </w:rPr>
      </w:pPr>
      <w:r>
        <w:rPr>
          <w:rFonts w:hint="eastAsia"/>
          <w:szCs w:val="21"/>
          <w:highlight w:val="none"/>
        </w:rPr>
        <w:t>（2）为确保网上操作合法、有效和安全，请供应商确保在电子投标过程中能够对相关数据电文进行加密和使用电子签章，妥善保管CA数字证书并使用有效的CA数字证书参与整个招标活动。</w:t>
      </w:r>
    </w:p>
    <w:p w14:paraId="00EF921D">
      <w:pPr>
        <w:spacing w:line="276" w:lineRule="auto"/>
        <w:ind w:firstLine="420" w:firstLineChars="200"/>
        <w:rPr>
          <w:rFonts w:ascii="宋体" w:hAnsi="宋体" w:cs="宋体"/>
          <w:kern w:val="0"/>
          <w:szCs w:val="21"/>
          <w:highlight w:val="none"/>
        </w:rPr>
      </w:pPr>
      <w:r>
        <w:rPr>
          <w:rFonts w:hint="eastAsia"/>
          <w:kern w:val="0"/>
          <w:szCs w:val="21"/>
          <w:highlight w:val="none"/>
        </w:rPr>
        <w:t>（</w:t>
      </w:r>
      <w:r>
        <w:rPr>
          <w:kern w:val="0"/>
          <w:szCs w:val="21"/>
          <w:highlight w:val="none"/>
        </w:rPr>
        <w:t>3</w:t>
      </w:r>
      <w:r>
        <w:rPr>
          <w:rFonts w:hint="eastAsia"/>
          <w:kern w:val="0"/>
          <w:szCs w:val="21"/>
          <w:highlight w:val="none"/>
        </w:rPr>
        <w:t>）</w:t>
      </w:r>
      <w:r>
        <w:rPr>
          <w:rFonts w:hint="eastAsia" w:ascii="宋体" w:hAnsi="宋体" w:cs="宋体"/>
          <w:kern w:val="0"/>
          <w:szCs w:val="21"/>
          <w:highlight w:val="none"/>
        </w:rPr>
        <w:t>若对项目采购电子交易系统操作有疑问，可登录广西政府采购云平台（https://www.gcy.zfcg.gxzf.gov.cn/），点击右侧咨询小采或帮助文档或拨打客服热线</w:t>
      </w:r>
      <w:r>
        <w:rPr>
          <w:rFonts w:ascii="宋体" w:hAnsi="宋体" w:cs="宋体"/>
          <w:kern w:val="0"/>
          <w:szCs w:val="21"/>
          <w:highlight w:val="none"/>
        </w:rPr>
        <w:t>95763</w:t>
      </w:r>
      <w:r>
        <w:rPr>
          <w:rFonts w:hint="eastAsia" w:ascii="宋体" w:hAnsi="宋体" w:cs="宋体"/>
          <w:kern w:val="0"/>
          <w:szCs w:val="21"/>
          <w:highlight w:val="none"/>
        </w:rPr>
        <w:t>。</w:t>
      </w:r>
    </w:p>
    <w:bookmarkEnd w:id="14"/>
    <w:p w14:paraId="6D4CA764">
      <w:pPr>
        <w:spacing w:line="276" w:lineRule="auto"/>
        <w:ind w:firstLine="442" w:firstLineChars="200"/>
        <w:rPr>
          <w:rFonts w:hint="eastAsia"/>
          <w:b/>
          <w:bCs/>
          <w:kern w:val="0"/>
          <w:sz w:val="22"/>
          <w:szCs w:val="22"/>
          <w:highlight w:val="none"/>
        </w:rPr>
      </w:pPr>
      <w:r>
        <w:rPr>
          <w:rFonts w:hint="eastAsia"/>
          <w:b/>
          <w:bCs/>
          <w:kern w:val="0"/>
          <w:sz w:val="22"/>
          <w:szCs w:val="22"/>
          <w:highlight w:val="none"/>
        </w:rPr>
        <w:t>八、对本次采购提出询问，请按以下方式联系</w:t>
      </w:r>
    </w:p>
    <w:p w14:paraId="11D0B44A">
      <w:pPr>
        <w:spacing w:line="312" w:lineRule="auto"/>
        <w:ind w:firstLine="420" w:firstLineChars="200"/>
        <w:jc w:val="left"/>
        <w:rPr>
          <w:rFonts w:hint="eastAsia"/>
          <w:kern w:val="0"/>
          <w:szCs w:val="21"/>
          <w:highlight w:val="none"/>
        </w:rPr>
      </w:pPr>
      <w:r>
        <w:rPr>
          <w:rFonts w:hint="eastAsia"/>
          <w:kern w:val="0"/>
          <w:szCs w:val="21"/>
          <w:highlight w:val="none"/>
        </w:rPr>
        <w:t>1</w:t>
      </w:r>
      <w:r>
        <w:rPr>
          <w:kern w:val="0"/>
          <w:szCs w:val="21"/>
          <w:highlight w:val="none"/>
        </w:rPr>
        <w:t>.</w:t>
      </w:r>
      <w:r>
        <w:rPr>
          <w:rFonts w:hint="eastAsia"/>
          <w:kern w:val="0"/>
          <w:szCs w:val="21"/>
          <w:highlight w:val="none"/>
        </w:rPr>
        <w:t>采购人信息</w:t>
      </w:r>
    </w:p>
    <w:p w14:paraId="6313CD6E">
      <w:pPr>
        <w:spacing w:line="312" w:lineRule="auto"/>
        <w:ind w:firstLine="420" w:firstLineChars="200"/>
        <w:jc w:val="left"/>
        <w:rPr>
          <w:kern w:val="0"/>
          <w:szCs w:val="21"/>
          <w:highlight w:val="none"/>
          <w:u w:val="single"/>
        </w:rPr>
      </w:pPr>
      <w:bookmarkStart w:id="15" w:name="_Hlk19048373"/>
      <w:r>
        <w:rPr>
          <w:rFonts w:hint="eastAsia"/>
          <w:kern w:val="0"/>
          <w:szCs w:val="21"/>
          <w:highlight w:val="none"/>
        </w:rPr>
        <w:t>名称</w:t>
      </w:r>
      <w:r>
        <w:rPr>
          <w:kern w:val="0"/>
          <w:szCs w:val="21"/>
          <w:highlight w:val="none"/>
        </w:rPr>
        <w:t>：</w:t>
      </w:r>
      <w:r>
        <w:rPr>
          <w:rFonts w:hint="eastAsia"/>
          <w:kern w:val="0"/>
          <w:szCs w:val="21"/>
          <w:highlight w:val="none"/>
          <w:lang w:val="en-US" w:eastAsia="zh-CN"/>
        </w:rPr>
        <w:t>武宣县金鸡乡人民政府</w:t>
      </w:r>
    </w:p>
    <w:p w14:paraId="49BE6479">
      <w:pPr>
        <w:spacing w:line="312" w:lineRule="auto"/>
        <w:ind w:firstLine="420" w:firstLineChars="200"/>
        <w:jc w:val="left"/>
        <w:rPr>
          <w:kern w:val="0"/>
          <w:szCs w:val="21"/>
          <w:highlight w:val="none"/>
          <w:u w:val="single"/>
        </w:rPr>
      </w:pPr>
      <w:r>
        <w:rPr>
          <w:kern w:val="0"/>
          <w:szCs w:val="21"/>
          <w:highlight w:val="none"/>
        </w:rPr>
        <w:t>地址：</w:t>
      </w:r>
      <w:r>
        <w:rPr>
          <w:rFonts w:hint="default"/>
          <w:kern w:val="0"/>
          <w:szCs w:val="21"/>
          <w:highlight w:val="none"/>
        </w:rPr>
        <w:t>武宣县金鸡乡南街12号</w:t>
      </w:r>
    </w:p>
    <w:p w14:paraId="6E574B17">
      <w:pPr>
        <w:spacing w:line="312" w:lineRule="auto"/>
        <w:ind w:firstLine="420" w:firstLineChars="200"/>
        <w:jc w:val="left"/>
        <w:rPr>
          <w:color w:val="4472C4"/>
          <w:kern w:val="0"/>
          <w:szCs w:val="21"/>
          <w:highlight w:val="none"/>
          <w:u w:val="single"/>
        </w:rPr>
      </w:pPr>
      <w:r>
        <w:rPr>
          <w:rFonts w:hint="eastAsia"/>
          <w:kern w:val="0"/>
          <w:szCs w:val="21"/>
          <w:highlight w:val="none"/>
        </w:rPr>
        <w:t>项目联系人：黄振桦</w:t>
      </w:r>
    </w:p>
    <w:p w14:paraId="516F326E">
      <w:pPr>
        <w:spacing w:line="312" w:lineRule="auto"/>
        <w:ind w:firstLine="420" w:firstLineChars="200"/>
        <w:jc w:val="left"/>
        <w:rPr>
          <w:color w:val="4472C4"/>
          <w:kern w:val="0"/>
          <w:szCs w:val="21"/>
          <w:highlight w:val="none"/>
          <w:u w:val="single"/>
        </w:rPr>
      </w:pPr>
      <w:r>
        <w:rPr>
          <w:rFonts w:hint="eastAsia"/>
          <w:kern w:val="0"/>
          <w:szCs w:val="21"/>
          <w:highlight w:val="none"/>
        </w:rPr>
        <w:t xml:space="preserve">项目联系方式：0772-5462112 </w:t>
      </w:r>
    </w:p>
    <w:p w14:paraId="4709727C">
      <w:pPr>
        <w:spacing w:line="312" w:lineRule="auto"/>
        <w:ind w:firstLine="420" w:firstLineChars="200"/>
        <w:jc w:val="left"/>
        <w:rPr>
          <w:rFonts w:hint="eastAsia"/>
          <w:kern w:val="0"/>
          <w:szCs w:val="21"/>
          <w:highlight w:val="none"/>
        </w:rPr>
      </w:pPr>
      <w:r>
        <w:rPr>
          <w:rFonts w:hint="eastAsia"/>
          <w:kern w:val="0"/>
          <w:szCs w:val="21"/>
          <w:highlight w:val="none"/>
        </w:rPr>
        <w:t>2</w:t>
      </w:r>
      <w:r>
        <w:rPr>
          <w:kern w:val="0"/>
          <w:szCs w:val="21"/>
          <w:highlight w:val="none"/>
        </w:rPr>
        <w:t>.</w:t>
      </w:r>
      <w:r>
        <w:rPr>
          <w:rFonts w:hint="eastAsia"/>
          <w:kern w:val="0"/>
          <w:szCs w:val="21"/>
          <w:highlight w:val="none"/>
        </w:rPr>
        <w:t>采购代理机构信息</w:t>
      </w:r>
    </w:p>
    <w:p w14:paraId="088CEE3D">
      <w:pPr>
        <w:spacing w:line="312" w:lineRule="auto"/>
        <w:ind w:firstLine="420" w:firstLineChars="200"/>
        <w:jc w:val="left"/>
        <w:rPr>
          <w:color w:val="auto"/>
          <w:kern w:val="0"/>
          <w:szCs w:val="21"/>
          <w:highlight w:val="none"/>
          <w:u w:val="none"/>
        </w:rPr>
      </w:pPr>
      <w:r>
        <w:rPr>
          <w:rFonts w:hint="eastAsia"/>
          <w:kern w:val="0"/>
          <w:szCs w:val="21"/>
          <w:highlight w:val="none"/>
        </w:rPr>
        <w:t>名称</w:t>
      </w:r>
      <w:r>
        <w:rPr>
          <w:kern w:val="0"/>
          <w:szCs w:val="21"/>
          <w:highlight w:val="none"/>
        </w:rPr>
        <w:t>：</w:t>
      </w:r>
      <w:r>
        <w:rPr>
          <w:kern w:val="0"/>
          <w:szCs w:val="21"/>
          <w:highlight w:val="none"/>
          <w:u w:val="none"/>
        </w:rPr>
        <w:t>广西机电</w:t>
      </w:r>
      <w:r>
        <w:rPr>
          <w:color w:val="auto"/>
          <w:kern w:val="0"/>
          <w:szCs w:val="21"/>
          <w:highlight w:val="none"/>
          <w:u w:val="none"/>
        </w:rPr>
        <w:t>设备招标有限公司</w:t>
      </w:r>
    </w:p>
    <w:p w14:paraId="376AC716">
      <w:pPr>
        <w:spacing w:line="312" w:lineRule="auto"/>
        <w:ind w:firstLine="420" w:firstLineChars="200"/>
        <w:jc w:val="left"/>
        <w:rPr>
          <w:color w:val="auto"/>
          <w:highlight w:val="none"/>
          <w:u w:val="none"/>
        </w:rPr>
      </w:pPr>
      <w:r>
        <w:rPr>
          <w:color w:val="auto"/>
          <w:kern w:val="0"/>
          <w:szCs w:val="21"/>
          <w:highlight w:val="none"/>
          <w:u w:val="none"/>
        </w:rPr>
        <w:t>地址：</w:t>
      </w:r>
      <w:bookmarkStart w:id="16" w:name="_Hlk43198245"/>
      <w:bookmarkStart w:id="17" w:name="_Hlk43199749"/>
      <w:r>
        <w:rPr>
          <w:color w:val="auto"/>
          <w:highlight w:val="none"/>
          <w:u w:val="none"/>
        </w:rPr>
        <w:t>广西南宁市金湖路63号金源CBD现代城B座7层</w:t>
      </w:r>
      <w:r>
        <w:rPr>
          <w:color w:val="auto"/>
          <w:kern w:val="0"/>
          <w:szCs w:val="21"/>
          <w:highlight w:val="none"/>
          <w:u w:val="none"/>
        </w:rPr>
        <w:t>701</w:t>
      </w:r>
      <w:bookmarkEnd w:id="16"/>
    </w:p>
    <w:bookmarkEnd w:id="15"/>
    <w:bookmarkEnd w:id="17"/>
    <w:p w14:paraId="0758D098">
      <w:pPr>
        <w:spacing w:line="312" w:lineRule="auto"/>
        <w:ind w:firstLine="420" w:firstLineChars="200"/>
        <w:jc w:val="left"/>
        <w:rPr>
          <w:rFonts w:hint="eastAsia" w:eastAsia="宋体"/>
          <w:color w:val="auto"/>
          <w:kern w:val="0"/>
          <w:szCs w:val="21"/>
          <w:highlight w:val="none"/>
          <w:u w:val="none"/>
          <w:lang w:eastAsia="zh-CN"/>
        </w:rPr>
      </w:pPr>
      <w:bookmarkStart w:id="18" w:name="_Toc254970490"/>
      <w:bookmarkStart w:id="19" w:name="_Toc254970631"/>
      <w:r>
        <w:rPr>
          <w:rFonts w:hint="eastAsia"/>
          <w:color w:val="auto"/>
          <w:kern w:val="0"/>
          <w:szCs w:val="21"/>
          <w:highlight w:val="none"/>
          <w:u w:val="none"/>
        </w:rPr>
        <w:t>项目联系人：</w:t>
      </w:r>
      <w:r>
        <w:rPr>
          <w:rFonts w:hint="eastAsia"/>
          <w:color w:val="auto"/>
          <w:kern w:val="0"/>
          <w:szCs w:val="21"/>
          <w:highlight w:val="none"/>
          <w:u w:val="none"/>
          <w:lang w:eastAsia="zh-CN"/>
        </w:rPr>
        <w:t>陈红、陈礼甘</w:t>
      </w:r>
    </w:p>
    <w:p w14:paraId="3081A8FF">
      <w:pPr>
        <w:spacing w:line="312" w:lineRule="auto"/>
        <w:ind w:right="420" w:firstLine="420" w:firstLineChars="200"/>
        <w:rPr>
          <w:color w:val="auto"/>
          <w:kern w:val="0"/>
          <w:szCs w:val="21"/>
          <w:highlight w:val="none"/>
          <w:u w:val="none"/>
        </w:rPr>
      </w:pPr>
      <w:r>
        <w:rPr>
          <w:rFonts w:hint="eastAsia"/>
          <w:color w:val="auto"/>
          <w:kern w:val="0"/>
          <w:szCs w:val="21"/>
          <w:highlight w:val="none"/>
          <w:u w:val="none"/>
        </w:rPr>
        <w:t>项目联系方式：</w:t>
      </w:r>
      <w:r>
        <w:rPr>
          <w:color w:val="auto"/>
          <w:kern w:val="0"/>
          <w:szCs w:val="21"/>
          <w:highlight w:val="none"/>
          <w:u w:val="none"/>
        </w:rPr>
        <w:t>077</w:t>
      </w:r>
      <w:r>
        <w:rPr>
          <w:rFonts w:hint="eastAsia"/>
          <w:color w:val="auto"/>
          <w:kern w:val="0"/>
          <w:szCs w:val="21"/>
          <w:highlight w:val="none"/>
          <w:u w:val="none"/>
          <w:lang w:val="en-US" w:eastAsia="zh-CN"/>
        </w:rPr>
        <w:t>2</w:t>
      </w:r>
      <w:r>
        <w:rPr>
          <w:color w:val="auto"/>
          <w:kern w:val="0"/>
          <w:szCs w:val="21"/>
          <w:highlight w:val="none"/>
          <w:u w:val="none"/>
        </w:rPr>
        <w:t>-</w:t>
      </w:r>
      <w:r>
        <w:rPr>
          <w:rFonts w:hint="eastAsia"/>
          <w:color w:val="auto"/>
          <w:kern w:val="0"/>
          <w:szCs w:val="21"/>
          <w:highlight w:val="none"/>
          <w:u w:val="none"/>
          <w:lang w:val="en-US" w:eastAsia="zh-CN"/>
        </w:rPr>
        <w:t>4772448、13647722499</w:t>
      </w:r>
      <w:r>
        <w:rPr>
          <w:color w:val="auto"/>
          <w:kern w:val="0"/>
          <w:szCs w:val="21"/>
          <w:highlight w:val="none"/>
          <w:u w:val="none"/>
        </w:rPr>
        <w:t xml:space="preserve"> </w:t>
      </w:r>
    </w:p>
    <w:p w14:paraId="19C71986">
      <w:pPr>
        <w:spacing w:line="312" w:lineRule="auto"/>
        <w:ind w:firstLine="442" w:firstLineChars="200"/>
        <w:jc w:val="right"/>
        <w:rPr>
          <w:b/>
          <w:bCs/>
          <w:kern w:val="0"/>
          <w:sz w:val="22"/>
          <w:szCs w:val="22"/>
          <w:highlight w:val="none"/>
        </w:rPr>
      </w:pPr>
    </w:p>
    <w:p w14:paraId="384CCFDC">
      <w:pPr>
        <w:spacing w:line="312" w:lineRule="auto"/>
        <w:ind w:firstLine="420" w:firstLineChars="200"/>
        <w:jc w:val="right"/>
        <w:rPr>
          <w:rFonts w:hint="eastAsia"/>
          <w:kern w:val="0"/>
          <w:szCs w:val="21"/>
          <w:highlight w:val="none"/>
        </w:rPr>
      </w:pPr>
    </w:p>
    <w:p w14:paraId="492C6921">
      <w:pPr>
        <w:spacing w:line="312" w:lineRule="auto"/>
        <w:ind w:firstLine="420" w:firstLineChars="200"/>
        <w:jc w:val="right"/>
        <w:rPr>
          <w:kern w:val="0"/>
          <w:szCs w:val="21"/>
          <w:highlight w:val="none"/>
        </w:rPr>
      </w:pPr>
      <w:r>
        <w:rPr>
          <w:kern w:val="0"/>
          <w:szCs w:val="21"/>
          <w:highlight w:val="none"/>
        </w:rPr>
        <w:t>广西机电设备招标有限公司</w:t>
      </w:r>
    </w:p>
    <w:p w14:paraId="6AE96584">
      <w:pPr>
        <w:spacing w:line="312" w:lineRule="auto"/>
        <w:ind w:firstLine="420" w:firstLineChars="200"/>
        <w:jc w:val="right"/>
        <w:rPr>
          <w:color w:val="auto"/>
          <w:sz w:val="2"/>
          <w:szCs w:val="2"/>
          <w:highlight w:val="none"/>
        </w:rPr>
      </w:pPr>
      <w:r>
        <w:rPr>
          <w:color w:val="auto"/>
          <w:kern w:val="0"/>
          <w:szCs w:val="21"/>
          <w:highlight w:val="none"/>
        </w:rPr>
        <w:t>20</w:t>
      </w:r>
      <w:r>
        <w:rPr>
          <w:rFonts w:hint="eastAsia"/>
          <w:color w:val="auto"/>
          <w:kern w:val="0"/>
          <w:szCs w:val="21"/>
          <w:highlight w:val="none"/>
          <w:lang w:val="en-US" w:eastAsia="zh-CN"/>
        </w:rPr>
        <w:t>26</w:t>
      </w:r>
      <w:r>
        <w:rPr>
          <w:color w:val="auto"/>
          <w:kern w:val="0"/>
          <w:szCs w:val="21"/>
          <w:highlight w:val="none"/>
        </w:rPr>
        <w:t>年</w:t>
      </w:r>
      <w:r>
        <w:rPr>
          <w:rFonts w:hint="eastAsia"/>
          <w:color w:val="auto"/>
          <w:kern w:val="0"/>
          <w:szCs w:val="21"/>
          <w:highlight w:val="none"/>
          <w:lang w:val="en-US" w:eastAsia="zh-CN"/>
        </w:rPr>
        <w:t>9</w:t>
      </w:r>
      <w:r>
        <w:rPr>
          <w:color w:val="auto"/>
          <w:kern w:val="0"/>
          <w:szCs w:val="21"/>
          <w:highlight w:val="none"/>
        </w:rPr>
        <w:t>月</w:t>
      </w:r>
      <w:r>
        <w:rPr>
          <w:rFonts w:hint="eastAsia"/>
          <w:color w:val="auto"/>
          <w:kern w:val="0"/>
          <w:szCs w:val="21"/>
          <w:highlight w:val="none"/>
          <w:lang w:val="en-US" w:eastAsia="zh-CN"/>
        </w:rPr>
        <w:t>11</w:t>
      </w:r>
      <w:r>
        <w:rPr>
          <w:color w:val="auto"/>
          <w:kern w:val="0"/>
          <w:szCs w:val="21"/>
          <w:highlight w:val="none"/>
        </w:rPr>
        <w:t>日</w:t>
      </w:r>
    </w:p>
    <w:p w14:paraId="56A81471">
      <w:pPr>
        <w:rPr>
          <w:szCs w:val="21"/>
          <w:highlight w:val="none"/>
        </w:rPr>
        <w:sectPr>
          <w:footerReference r:id="rId11" w:type="first"/>
          <w:headerReference r:id="rId9" w:type="default"/>
          <w:footerReference r:id="rId10" w:type="default"/>
          <w:pgSz w:w="11906" w:h="16838"/>
          <w:pgMar w:top="1417" w:right="1133" w:bottom="1246" w:left="1418" w:header="851" w:footer="797" w:gutter="0"/>
          <w:cols w:space="720" w:num="1"/>
          <w:docGrid w:linePitch="312" w:charSpace="0"/>
        </w:sectPr>
      </w:pPr>
    </w:p>
    <w:bookmarkEnd w:id="18"/>
    <w:bookmarkEnd w:id="19"/>
    <w:p w14:paraId="576F6EAF">
      <w:pPr>
        <w:pStyle w:val="27"/>
        <w:snapToGrid w:val="0"/>
        <w:spacing w:before="120" w:after="120" w:line="320" w:lineRule="exact"/>
        <w:jc w:val="center"/>
        <w:outlineLvl w:val="0"/>
        <w:rPr>
          <w:rFonts w:ascii="Times New Roman" w:hAnsi="Times New Roman" w:cs="Times New Roman"/>
          <w:sz w:val="32"/>
          <w:szCs w:val="32"/>
          <w:highlight w:val="none"/>
        </w:rPr>
      </w:pPr>
      <w:bookmarkStart w:id="20" w:name="_Toc89186350"/>
      <w:bookmarkStart w:id="21" w:name="_Hlk89187818"/>
      <w:r>
        <w:rPr>
          <w:rFonts w:ascii="Times New Roman" w:hAnsi="Times New Roman" w:cs="Times New Roman"/>
          <w:sz w:val="32"/>
          <w:szCs w:val="32"/>
          <w:highlight w:val="none"/>
        </w:rPr>
        <w:t>第</w:t>
      </w:r>
      <w:r>
        <w:rPr>
          <w:rFonts w:hint="eastAsia" w:ascii="Times New Roman" w:hAnsi="Times New Roman" w:cs="Times New Roman"/>
          <w:sz w:val="32"/>
          <w:szCs w:val="32"/>
          <w:highlight w:val="none"/>
        </w:rPr>
        <w:t>二</w:t>
      </w:r>
      <w:r>
        <w:rPr>
          <w:rFonts w:ascii="Times New Roman" w:hAnsi="Times New Roman" w:cs="Times New Roman"/>
          <w:sz w:val="32"/>
          <w:szCs w:val="32"/>
          <w:highlight w:val="none"/>
        </w:rPr>
        <w:t xml:space="preserve">章  </w:t>
      </w:r>
      <w:r>
        <w:rPr>
          <w:rFonts w:hint="eastAsia" w:ascii="Times New Roman" w:hAnsi="Times New Roman" w:cs="Times New Roman"/>
          <w:sz w:val="32"/>
          <w:szCs w:val="32"/>
          <w:highlight w:val="none"/>
        </w:rPr>
        <w:t>采购需求</w:t>
      </w:r>
      <w:bookmarkEnd w:id="20"/>
    </w:p>
    <w:p w14:paraId="715AEA0B">
      <w:pPr>
        <w:jc w:val="center"/>
        <w:rPr>
          <w:sz w:val="28"/>
          <w:szCs w:val="28"/>
          <w:highlight w:val="none"/>
        </w:rPr>
      </w:pPr>
    </w:p>
    <w:p w14:paraId="37760A60">
      <w:pPr>
        <w:spacing w:line="312" w:lineRule="auto"/>
        <w:ind w:firstLine="562" w:firstLineChars="200"/>
        <w:jc w:val="left"/>
        <w:outlineLvl w:val="1"/>
        <w:rPr>
          <w:rFonts w:ascii="黑体" w:hAnsi="黑体" w:eastAsia="黑体" w:cs="Arial"/>
          <w:b/>
          <w:kern w:val="0"/>
          <w:sz w:val="28"/>
          <w:szCs w:val="28"/>
          <w:highlight w:val="none"/>
        </w:rPr>
      </w:pPr>
      <w:r>
        <w:rPr>
          <w:rFonts w:ascii="黑体" w:hAnsi="黑体" w:eastAsia="黑体" w:cs="Arial"/>
          <w:b/>
          <w:kern w:val="0"/>
          <w:sz w:val="28"/>
          <w:szCs w:val="28"/>
          <w:highlight w:val="none"/>
        </w:rPr>
        <w:t>一、工程量清单</w:t>
      </w:r>
    </w:p>
    <w:p w14:paraId="4647F3D9">
      <w:pPr>
        <w:spacing w:line="312" w:lineRule="auto"/>
        <w:ind w:firstLine="422" w:firstLineChars="200"/>
        <w:jc w:val="left"/>
        <w:rPr>
          <w:b/>
          <w:bCs/>
          <w:kern w:val="0"/>
          <w:szCs w:val="21"/>
          <w:highlight w:val="none"/>
        </w:rPr>
      </w:pPr>
      <w:r>
        <w:rPr>
          <w:rFonts w:hint="eastAsia"/>
          <w:b/>
          <w:bCs/>
          <w:kern w:val="0"/>
          <w:szCs w:val="21"/>
          <w:highlight w:val="none"/>
        </w:rPr>
        <w:t>1</w:t>
      </w:r>
      <w:r>
        <w:rPr>
          <w:b/>
          <w:bCs/>
          <w:kern w:val="0"/>
          <w:szCs w:val="21"/>
          <w:highlight w:val="none"/>
        </w:rPr>
        <w:t>.工程量清单说明</w:t>
      </w:r>
    </w:p>
    <w:p w14:paraId="150CF2C7">
      <w:pPr>
        <w:spacing w:line="360" w:lineRule="auto"/>
        <w:ind w:firstLine="420" w:firstLineChars="200"/>
        <w:rPr>
          <w:highlight w:val="none"/>
        </w:rPr>
      </w:pPr>
      <w:r>
        <w:rPr>
          <w:highlight w:val="none"/>
        </w:rPr>
        <w:t>1.1</w:t>
      </w:r>
      <w:r>
        <w:rPr>
          <w:rFonts w:hint="eastAsia" w:hAnsi="宋体" w:cs="宋体"/>
          <w:highlight w:val="none"/>
        </w:rPr>
        <w:t>本工程量清单依据</w:t>
      </w:r>
      <w:r>
        <w:rPr>
          <w:rFonts w:hint="eastAsia" w:hAnsi="宋体" w:cs="宋体"/>
          <w:color w:val="auto"/>
          <w:highlight w:val="none"/>
          <w:lang w:eastAsia="zh-CN"/>
        </w:rPr>
        <w:t>《广西壮族自治区建设工程全过程计价规范》（以下简称《计价规范》）</w:t>
      </w:r>
      <w:r>
        <w:rPr>
          <w:rFonts w:hint="eastAsia" w:hAnsi="宋体" w:cs="宋体"/>
          <w:color w:val="auto"/>
          <w:highlight w:val="none"/>
        </w:rPr>
        <w:t>、</w:t>
      </w:r>
      <w:r>
        <w:rPr>
          <w:rFonts w:hint="eastAsia" w:hAnsi="宋体" w:cs="宋体"/>
          <w:color w:val="auto"/>
          <w:highlight w:val="none"/>
          <w:lang w:eastAsia="zh-CN"/>
        </w:rPr>
        <w:t>《广西壮族自治区建设工程多层级工程量清单计算规范》（以下简称《计算规范》）</w:t>
      </w:r>
      <w:r>
        <w:rPr>
          <w:rFonts w:hint="eastAsia" w:hAnsi="宋体" w:cs="宋体"/>
          <w:color w:val="auto"/>
          <w:highlight w:val="none"/>
        </w:rPr>
        <w:t>、</w:t>
      </w:r>
      <w:r>
        <w:rPr>
          <w:rFonts w:hint="eastAsia" w:hAnsi="宋体" w:cs="宋体"/>
          <w:color w:val="auto"/>
          <w:kern w:val="0"/>
          <w:highlight w:val="none"/>
          <w:lang w:val="en-US" w:eastAsia="zh-CN"/>
        </w:rPr>
        <w:t>采购</w:t>
      </w:r>
      <w:r>
        <w:rPr>
          <w:rFonts w:hint="eastAsia" w:hAnsi="宋体" w:cs="宋体"/>
          <w:color w:val="auto"/>
          <w:highlight w:val="none"/>
        </w:rPr>
        <w:t>文件、</w:t>
      </w:r>
      <w:r>
        <w:rPr>
          <w:rFonts w:hint="eastAsia" w:hAnsi="宋体" w:cs="宋体"/>
          <w:color w:val="auto"/>
          <w:highlight w:val="none"/>
          <w:lang w:eastAsia="zh-CN"/>
        </w:rPr>
        <w:t>图纸</w:t>
      </w:r>
      <w:r>
        <w:rPr>
          <w:rFonts w:hint="eastAsia" w:hAnsi="宋体" w:cs="宋体"/>
          <w:color w:val="auto"/>
          <w:highlight w:val="none"/>
        </w:rPr>
        <w:t>等</w:t>
      </w:r>
      <w:r>
        <w:rPr>
          <w:rFonts w:hint="eastAsia" w:hAnsi="宋体" w:cs="宋体"/>
          <w:highlight w:val="none"/>
        </w:rPr>
        <w:t>编制。计算规范中没有的清单项目，应在本章第</w:t>
      </w:r>
      <w:r>
        <w:rPr>
          <w:highlight w:val="none"/>
        </w:rPr>
        <w:t>1.4</w:t>
      </w:r>
      <w:r>
        <w:rPr>
          <w:rFonts w:hint="eastAsia" w:hAnsi="宋体" w:cs="宋体"/>
          <w:highlight w:val="none"/>
        </w:rPr>
        <w:t>款约定。</w:t>
      </w:r>
    </w:p>
    <w:p w14:paraId="24FC72AC">
      <w:pPr>
        <w:spacing w:line="360" w:lineRule="auto"/>
        <w:ind w:firstLine="420" w:firstLineChars="200"/>
        <w:rPr>
          <w:highlight w:val="none"/>
        </w:rPr>
      </w:pPr>
      <w:r>
        <w:rPr>
          <w:highlight w:val="none"/>
        </w:rPr>
        <w:t xml:space="preserve">1.2 </w:t>
      </w:r>
      <w:r>
        <w:rPr>
          <w:rFonts w:hint="eastAsia"/>
          <w:highlight w:val="none"/>
        </w:rPr>
        <w:t>工程量清单应与供应商须知、合同协议条款、合同的通用条款、合同专用条款、技术规范及图纸等文件一起结合使用。</w:t>
      </w:r>
    </w:p>
    <w:p w14:paraId="21E9A35B">
      <w:pPr>
        <w:spacing w:line="360" w:lineRule="auto"/>
        <w:ind w:firstLine="420" w:firstLineChars="200"/>
        <w:rPr>
          <w:highlight w:val="none"/>
        </w:rPr>
      </w:pPr>
      <w:r>
        <w:rPr>
          <w:highlight w:val="none"/>
        </w:rPr>
        <w:t xml:space="preserve">1.3 </w:t>
      </w:r>
      <w:r>
        <w:rPr>
          <w:rFonts w:hint="eastAsia" w:cs="宋体"/>
          <w:highlight w:val="none"/>
        </w:rPr>
        <w:t>工程量清单是采购文件的组成部分。</w:t>
      </w:r>
    </w:p>
    <w:p w14:paraId="5940E26E">
      <w:pPr>
        <w:spacing w:line="360" w:lineRule="auto"/>
        <w:ind w:left="0" w:firstLine="420" w:firstLineChars="200"/>
        <w:rPr>
          <w:highlight w:val="none"/>
        </w:rPr>
      </w:pPr>
      <w:r>
        <w:rPr>
          <w:highlight w:val="none"/>
        </w:rPr>
        <w:t xml:space="preserve">1.4 </w:t>
      </w:r>
      <w:r>
        <w:rPr>
          <w:rFonts w:hint="eastAsia" w:cs="宋体"/>
          <w:highlight w:val="none"/>
        </w:rPr>
        <w:t>补充</w:t>
      </w:r>
      <w:r>
        <w:rPr>
          <w:rFonts w:hint="eastAsia" w:ascii="Times New Roman" w:hAnsi="Times New Roman" w:eastAsia="宋体" w:cs="Times New Roman"/>
          <w:highlight w:val="none"/>
        </w:rPr>
        <w:t>清单</w:t>
      </w:r>
      <w:r>
        <w:rPr>
          <w:rFonts w:hint="eastAsia" w:cs="宋体"/>
          <w:highlight w:val="none"/>
        </w:rPr>
        <w:t>项目的特征、计量单位、工程量计算规则及工作内容</w:t>
      </w:r>
      <w:r>
        <w:rPr>
          <w:rFonts w:hint="eastAsia" w:cs="宋体"/>
          <w:color w:val="auto"/>
          <w:highlight w:val="none"/>
        </w:rPr>
        <w:t>在发布的工程量清单编制说明中明确</w:t>
      </w:r>
      <w:r>
        <w:rPr>
          <w:rFonts w:hint="eastAsia" w:hAnsi="宋体" w:cs="宋体"/>
          <w:highlight w:val="none"/>
        </w:rPr>
        <w:t>。</w:t>
      </w:r>
    </w:p>
    <w:p w14:paraId="60477257">
      <w:pPr>
        <w:pStyle w:val="27"/>
        <w:spacing w:line="360" w:lineRule="auto"/>
        <w:ind w:firstLine="420" w:firstLineChars="200"/>
        <w:rPr>
          <w:rFonts w:hint="eastAsia" w:ascii="Times New Roman" w:hAnsi="Times New Roman"/>
          <w:color w:val="auto"/>
          <w:sz w:val="21"/>
          <w:szCs w:val="21"/>
          <w:highlight w:val="none"/>
        </w:rPr>
      </w:pPr>
      <w:r>
        <w:rPr>
          <w:rFonts w:ascii="Times New Roman" w:hAnsi="Times New Roman"/>
          <w:color w:val="auto"/>
          <w:sz w:val="21"/>
          <w:szCs w:val="21"/>
          <w:highlight w:val="none"/>
        </w:rPr>
        <w:t xml:space="preserve">1.5 </w:t>
      </w:r>
      <w:r>
        <w:rPr>
          <w:rFonts w:hint="eastAsia" w:ascii="Times New Roman" w:hAnsi="Times New Roman"/>
          <w:color w:val="auto"/>
          <w:sz w:val="21"/>
          <w:szCs w:val="21"/>
          <w:highlight w:val="none"/>
        </w:rPr>
        <w:t>工程量清单应载明人工及主要材料价差调整的相关信息，具体如下：</w:t>
      </w:r>
    </w:p>
    <w:p w14:paraId="48E922E0">
      <w:pPr>
        <w:pStyle w:val="27"/>
        <w:spacing w:line="360" w:lineRule="auto"/>
        <w:ind w:firstLine="420" w:firstLineChars="200"/>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sym w:font="Wingdings 2" w:char="0052"/>
      </w:r>
      <w:r>
        <w:rPr>
          <w:rFonts w:hint="eastAsia" w:ascii="Times New Roman" w:hAnsi="Times New Roman"/>
          <w:color w:val="auto"/>
          <w:sz w:val="21"/>
          <w:szCs w:val="21"/>
          <w:highlight w:val="none"/>
        </w:rPr>
        <w:t>本工程为单价合同，主要材料价差调整采用价格差额调整法，有关调价信息详见《允许调整价格的主要材料一览表》。</w:t>
      </w:r>
      <w:r>
        <w:rPr>
          <w:rFonts w:hint="default" w:ascii="Times New Roman" w:hAnsi="Times New Roman"/>
          <w:color w:val="auto"/>
          <w:sz w:val="21"/>
          <w:szCs w:val="21"/>
          <w:highlight w:val="none"/>
          <w:lang w:val="en"/>
        </w:rPr>
        <w:t>人工基准价格指数和风险幅度详见合同专用条款11.2.1（2）。</w:t>
      </w:r>
    </w:p>
    <w:p w14:paraId="50B398CA">
      <w:pPr>
        <w:pStyle w:val="27"/>
        <w:spacing w:line="360" w:lineRule="auto"/>
        <w:ind w:firstLine="420" w:firstLineChars="200"/>
        <w:rPr>
          <w:rFonts w:ascii="Times New Roman" w:hAnsi="Times New Roman"/>
          <w:color w:val="auto"/>
          <w:sz w:val="21"/>
          <w:szCs w:val="21"/>
          <w:highlight w:val="none"/>
        </w:rPr>
      </w:pPr>
      <w:r>
        <w:rPr>
          <w:rFonts w:hint="eastAsia" w:ascii="Times New Roman" w:hAnsi="Times New Roman"/>
          <w:color w:val="auto"/>
          <w:sz w:val="21"/>
          <w:szCs w:val="21"/>
          <w:highlight w:val="none"/>
        </w:rPr>
        <w:sym w:font="Wingdings 2" w:char="00A3"/>
      </w:r>
      <w:r>
        <w:rPr>
          <w:rFonts w:hint="eastAsia" w:ascii="Times New Roman" w:hAnsi="Times New Roman"/>
          <w:color w:val="auto"/>
          <w:sz w:val="21"/>
          <w:szCs w:val="21"/>
          <w:highlight w:val="none"/>
        </w:rPr>
        <w:t>本工程为总价合同，人工及主要材料价差调整采用价格指数调整法。有关调价信息详见《人工及主要材料可调因子价格指数及权重表》。</w:t>
      </w:r>
    </w:p>
    <w:p w14:paraId="41EF3716">
      <w:pPr>
        <w:pStyle w:val="27"/>
        <w:spacing w:line="360" w:lineRule="auto"/>
        <w:ind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 xml:space="preserve">1.6 </w:t>
      </w:r>
      <w:r>
        <w:rPr>
          <w:rFonts w:hint="eastAsia" w:ascii="Times New Roman" w:hAnsi="Times New Roman"/>
          <w:color w:val="auto"/>
          <w:sz w:val="21"/>
          <w:szCs w:val="21"/>
          <w:highlight w:val="none"/>
        </w:rPr>
        <w:t>本工程暂列金额共</w:t>
      </w:r>
      <w:r>
        <w:rPr>
          <w:rFonts w:ascii="Times New Roman" w:hAnsi="Times New Roman"/>
          <w:color w:val="auto"/>
          <w:sz w:val="21"/>
          <w:szCs w:val="21"/>
          <w:highlight w:val="none"/>
          <w:u w:val="single"/>
        </w:rPr>
        <w:t xml:space="preserve">   </w:t>
      </w:r>
      <w:r>
        <w:rPr>
          <w:rFonts w:hint="eastAsia" w:ascii="Times New Roman" w:hAnsi="Times New Roman"/>
          <w:color w:val="auto"/>
          <w:sz w:val="21"/>
          <w:szCs w:val="21"/>
          <w:highlight w:val="none"/>
          <w:u w:val="single"/>
          <w:lang w:val="en-US" w:eastAsia="zh-CN"/>
        </w:rPr>
        <w:t>/</w:t>
      </w:r>
      <w:r>
        <w:rPr>
          <w:rFonts w:ascii="Times New Roman" w:hAnsi="Times New Roman"/>
          <w:color w:val="auto"/>
          <w:sz w:val="21"/>
          <w:szCs w:val="21"/>
          <w:highlight w:val="none"/>
          <w:u w:val="single"/>
        </w:rPr>
        <w:t xml:space="preserve">   </w:t>
      </w:r>
      <w:r>
        <w:rPr>
          <w:rFonts w:hint="eastAsia" w:ascii="Times New Roman" w:hAnsi="Times New Roman"/>
          <w:color w:val="auto"/>
          <w:sz w:val="21"/>
          <w:szCs w:val="21"/>
          <w:highlight w:val="none"/>
        </w:rPr>
        <w:t>元，作为</w:t>
      </w:r>
      <w:r>
        <w:rPr>
          <w:rFonts w:hint="eastAsia" w:ascii="Times New Roman" w:hAnsi="Times New Roman"/>
          <w:color w:val="auto"/>
          <w:sz w:val="21"/>
          <w:szCs w:val="21"/>
          <w:highlight w:val="none"/>
          <w:lang w:val="en-US" w:eastAsia="zh-CN"/>
        </w:rPr>
        <w:t>响应</w:t>
      </w:r>
      <w:r>
        <w:rPr>
          <w:rFonts w:hint="eastAsia" w:ascii="Times New Roman" w:hAnsi="Times New Roman"/>
          <w:color w:val="auto"/>
          <w:sz w:val="21"/>
          <w:szCs w:val="21"/>
          <w:highlight w:val="none"/>
        </w:rPr>
        <w:t>时尚未能确定或详细说明的工程、服务和工程实施中可能发生的合同价款调整等所预留的费用。</w:t>
      </w:r>
    </w:p>
    <w:p w14:paraId="1BEA3806">
      <w:pPr>
        <w:pStyle w:val="27"/>
        <w:spacing w:line="360" w:lineRule="auto"/>
        <w:ind w:firstLine="420" w:firstLineChars="200"/>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1.7 本工程□有</w:t>
      </w:r>
      <w:r>
        <w:rPr>
          <w:rFonts w:hint="eastAsia" w:ascii="Times New Roman" w:hAnsi="Times New Roman"/>
          <w:color w:val="auto"/>
          <w:sz w:val="21"/>
          <w:szCs w:val="21"/>
          <w:highlight w:val="none"/>
          <w:lang w:eastAsia="zh-CN"/>
        </w:rPr>
        <w:t>☑</w:t>
      </w:r>
      <w:r>
        <w:rPr>
          <w:rFonts w:hint="eastAsia" w:ascii="Times New Roman" w:hAnsi="Times New Roman"/>
          <w:color w:val="auto"/>
          <w:sz w:val="21"/>
          <w:szCs w:val="21"/>
          <w:highlight w:val="none"/>
        </w:rPr>
        <w:t>无材料暂估价，具体内容详见《材料暂估价明细表》，结算按实调整。</w:t>
      </w:r>
    </w:p>
    <w:p w14:paraId="09C17CD8">
      <w:pPr>
        <w:pStyle w:val="27"/>
        <w:spacing w:line="360" w:lineRule="auto"/>
        <w:ind w:firstLine="420" w:firstLineChars="200"/>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1.8 本工程□有</w:t>
      </w:r>
      <w:r>
        <w:rPr>
          <w:rFonts w:hint="eastAsia" w:ascii="Times New Roman" w:hAnsi="Times New Roman"/>
          <w:color w:val="auto"/>
          <w:sz w:val="21"/>
          <w:szCs w:val="21"/>
          <w:highlight w:val="none"/>
          <w:lang w:eastAsia="zh-CN"/>
        </w:rPr>
        <w:t>☑</w:t>
      </w:r>
      <w:r>
        <w:rPr>
          <w:rFonts w:hint="eastAsia" w:ascii="Times New Roman" w:hAnsi="Times New Roman"/>
          <w:color w:val="auto"/>
          <w:sz w:val="21"/>
          <w:szCs w:val="21"/>
          <w:highlight w:val="none"/>
        </w:rPr>
        <w:t>无暂估专业工程，具体内容详见《专业工程暂估价明细表》，结算按实调整。</w:t>
      </w:r>
    </w:p>
    <w:p w14:paraId="1EC13C73">
      <w:pPr>
        <w:spacing w:line="360" w:lineRule="auto"/>
        <w:ind w:firstLine="420" w:firstLineChars="200"/>
        <w:rPr>
          <w:highlight w:val="none"/>
        </w:rPr>
      </w:pPr>
      <w:r>
        <w:rPr>
          <w:rFonts w:hint="eastAsia" w:ascii="Times New Roman" w:hAnsi="Times New Roman"/>
          <w:color w:val="auto"/>
          <w:sz w:val="21"/>
          <w:szCs w:val="21"/>
          <w:highlight w:val="none"/>
        </w:rPr>
        <w:t>1.9 本工程□有</w:t>
      </w:r>
      <w:r>
        <w:rPr>
          <w:rFonts w:hint="eastAsia" w:ascii="Times New Roman" w:hAnsi="Times New Roman"/>
          <w:color w:val="auto"/>
          <w:sz w:val="21"/>
          <w:szCs w:val="21"/>
          <w:highlight w:val="none"/>
          <w:lang w:eastAsia="zh-CN"/>
        </w:rPr>
        <w:t>☑</w:t>
      </w:r>
      <w:r>
        <w:rPr>
          <w:rFonts w:hint="eastAsia" w:ascii="Times New Roman" w:hAnsi="Times New Roman"/>
          <w:color w:val="auto"/>
          <w:sz w:val="21"/>
          <w:szCs w:val="21"/>
          <w:highlight w:val="none"/>
        </w:rPr>
        <w:t>无发包人提供的材料，具体内容详见《发包人提供材料一览表》。</w:t>
      </w:r>
    </w:p>
    <w:p w14:paraId="16267364">
      <w:pPr>
        <w:spacing w:line="360" w:lineRule="auto"/>
        <w:rPr>
          <w:highlight w:val="none"/>
        </w:rPr>
      </w:pPr>
      <w:r>
        <w:rPr>
          <w:highlight w:val="none"/>
        </w:rPr>
        <w:t>1.1</w:t>
      </w:r>
      <w:r>
        <w:rPr>
          <w:rFonts w:hint="eastAsia"/>
          <w:highlight w:val="none"/>
          <w:lang w:val="en-US" w:eastAsia="zh-CN"/>
        </w:rPr>
        <w:t>0</w:t>
      </w:r>
      <w:r>
        <w:rPr>
          <w:highlight w:val="none"/>
        </w:rPr>
        <w:t xml:space="preserve"> </w:t>
      </w:r>
      <w:r>
        <w:rPr>
          <w:rFonts w:hint="eastAsia" w:cs="宋体"/>
          <w:highlight w:val="none"/>
        </w:rPr>
        <w:t>其它需要说明的问题：</w:t>
      </w:r>
      <w:r>
        <w:rPr>
          <w:highlight w:val="none"/>
          <w:u w:val="single"/>
        </w:rPr>
        <w:t xml:space="preserve">  </w:t>
      </w:r>
      <w:r>
        <w:rPr>
          <w:rFonts w:hint="eastAsia"/>
          <w:highlight w:val="none"/>
          <w:u w:val="single"/>
          <w:lang w:eastAsia="zh-CN"/>
        </w:rPr>
        <w:t>无</w:t>
      </w:r>
      <w:r>
        <w:rPr>
          <w:highlight w:val="none"/>
          <w:u w:val="single"/>
        </w:rPr>
        <w:t xml:space="preserve">    </w:t>
      </w:r>
      <w:r>
        <w:rPr>
          <w:rFonts w:hint="eastAsia" w:cs="宋体"/>
          <w:highlight w:val="none"/>
        </w:rPr>
        <w:t>。</w:t>
      </w:r>
    </w:p>
    <w:p w14:paraId="7E8ED07B">
      <w:pPr>
        <w:spacing w:line="312" w:lineRule="auto"/>
        <w:ind w:firstLine="422" w:firstLineChars="200"/>
        <w:jc w:val="left"/>
        <w:rPr>
          <w:b/>
          <w:bCs/>
          <w:kern w:val="0"/>
          <w:szCs w:val="21"/>
          <w:highlight w:val="none"/>
        </w:rPr>
      </w:pPr>
      <w:r>
        <w:rPr>
          <w:rFonts w:hint="eastAsia"/>
          <w:b/>
          <w:bCs/>
          <w:kern w:val="0"/>
          <w:szCs w:val="21"/>
          <w:highlight w:val="none"/>
        </w:rPr>
        <w:t>2</w:t>
      </w:r>
      <w:r>
        <w:rPr>
          <w:b/>
          <w:bCs/>
          <w:kern w:val="0"/>
          <w:szCs w:val="21"/>
          <w:highlight w:val="none"/>
        </w:rPr>
        <w:t>.本工程预算金额评审依据</w:t>
      </w:r>
    </w:p>
    <w:p w14:paraId="06665362">
      <w:pPr>
        <w:spacing w:line="360" w:lineRule="auto"/>
        <w:ind w:firstLine="420" w:firstLineChars="200"/>
        <w:rPr>
          <w:rFonts w:hint="eastAsia"/>
          <w:highlight w:val="none"/>
        </w:rPr>
      </w:pPr>
      <w:r>
        <w:rPr>
          <w:highlight w:val="none"/>
        </w:rPr>
        <w:t>2.1</w:t>
      </w:r>
      <w:r>
        <w:rPr>
          <w:rFonts w:hint="eastAsia" w:hAnsi="宋体" w:cs="宋体"/>
          <w:highlight w:val="none"/>
        </w:rPr>
        <w:t>编制依据：</w:t>
      </w:r>
    </w:p>
    <w:p w14:paraId="3DF74D50">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宋体" w:hAnsi="宋体" w:cs="宋体"/>
          <w:b w:val="0"/>
          <w:bCs/>
          <w:color w:val="auto"/>
          <w:sz w:val="21"/>
          <w:szCs w:val="21"/>
          <w:highlight w:val="none"/>
          <w:lang w:val="en" w:eastAsia="zh-CN"/>
        </w:rPr>
      </w:pPr>
      <w:r>
        <w:rPr>
          <w:rFonts w:hint="eastAsia" w:ascii="宋体" w:hAnsi="宋体" w:cs="宋体"/>
          <w:b/>
          <w:bCs w:val="0"/>
          <w:color w:val="auto"/>
          <w:sz w:val="21"/>
          <w:szCs w:val="21"/>
          <w:highlight w:val="none"/>
          <w:lang w:val="en-US" w:eastAsia="zh-CN"/>
        </w:rPr>
        <w:t>（1）</w:t>
      </w:r>
      <w:r>
        <w:rPr>
          <w:rFonts w:hint="default" w:ascii="宋体" w:hAnsi="宋体" w:cs="宋体"/>
          <w:b w:val="0"/>
          <w:bCs/>
          <w:color w:val="auto"/>
          <w:sz w:val="21"/>
          <w:szCs w:val="21"/>
          <w:highlight w:val="none"/>
          <w:lang w:val="en" w:eastAsia="zh-CN"/>
        </w:rPr>
        <w:t>自治区建设行政主管部门颁发的</w:t>
      </w:r>
      <w:r>
        <w:rPr>
          <w:rFonts w:hint="eastAsia" w:ascii="宋体" w:hAnsi="宋体" w:cs="宋体"/>
          <w:b w:val="0"/>
          <w:bCs/>
          <w:color w:val="auto"/>
          <w:sz w:val="21"/>
          <w:szCs w:val="21"/>
          <w:highlight w:val="none"/>
          <w:lang w:val="en" w:eastAsia="zh-CN"/>
        </w:rPr>
        <w:t>《</w:t>
      </w:r>
      <w:r>
        <w:rPr>
          <w:rFonts w:hint="eastAsia" w:ascii="宋体" w:hAnsi="宋体" w:cs="宋体"/>
          <w:b w:val="0"/>
          <w:bCs/>
          <w:color w:val="auto"/>
          <w:sz w:val="21"/>
          <w:szCs w:val="21"/>
          <w:highlight w:val="none"/>
          <w:lang w:val="en-US" w:eastAsia="zh-CN"/>
        </w:rPr>
        <w:t>计价规范》《</w:t>
      </w:r>
      <w:r>
        <w:rPr>
          <w:rFonts w:hint="default" w:ascii="宋体" w:hAnsi="宋体" w:cs="宋体"/>
          <w:b w:val="0"/>
          <w:bCs/>
          <w:color w:val="auto"/>
          <w:sz w:val="21"/>
          <w:szCs w:val="21"/>
          <w:highlight w:val="none"/>
          <w:lang w:val="en" w:eastAsia="zh-CN"/>
        </w:rPr>
        <w:t>计算规范</w:t>
      </w:r>
      <w:r>
        <w:rPr>
          <w:rFonts w:hint="eastAsia" w:ascii="宋体" w:hAnsi="宋体" w:cs="宋体"/>
          <w:b w:val="0"/>
          <w:bCs/>
          <w:color w:val="auto"/>
          <w:sz w:val="21"/>
          <w:szCs w:val="21"/>
          <w:highlight w:val="none"/>
          <w:lang w:val="en" w:eastAsia="zh-CN"/>
        </w:rPr>
        <w:t>》，</w:t>
      </w:r>
      <w:r>
        <w:rPr>
          <w:rFonts w:hint="default" w:ascii="宋体" w:hAnsi="宋体" w:cs="宋体"/>
          <w:b w:val="0"/>
          <w:bCs/>
          <w:color w:val="auto"/>
          <w:sz w:val="21"/>
          <w:szCs w:val="21"/>
          <w:highlight w:val="none"/>
          <w:lang w:val="en" w:eastAsia="zh-CN"/>
        </w:rPr>
        <w:t>以及根据工程需要补充的工程量计算规则；</w:t>
      </w:r>
    </w:p>
    <w:p w14:paraId="1056A4B4">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宋体" w:hAnsi="宋体" w:cs="宋体"/>
          <w:b w:val="0"/>
          <w:bCs/>
          <w:color w:val="auto"/>
          <w:sz w:val="21"/>
          <w:szCs w:val="21"/>
          <w:highlight w:val="none"/>
          <w:lang w:val="en" w:eastAsia="zh-CN"/>
        </w:rPr>
      </w:pPr>
      <w:r>
        <w:rPr>
          <w:rFonts w:hint="eastAsia" w:ascii="宋体" w:hAnsi="宋体" w:cs="宋体"/>
          <w:b/>
          <w:bCs w:val="0"/>
          <w:color w:val="auto"/>
          <w:sz w:val="21"/>
          <w:szCs w:val="21"/>
          <w:highlight w:val="none"/>
          <w:lang w:val="en-US" w:eastAsia="zh-CN"/>
        </w:rPr>
        <w:t>（2）</w:t>
      </w:r>
      <w:r>
        <w:rPr>
          <w:rFonts w:hint="eastAsia" w:ascii="宋体" w:hAnsi="宋体" w:cs="宋体"/>
          <w:b w:val="0"/>
          <w:bCs/>
          <w:color w:val="auto"/>
          <w:sz w:val="21"/>
          <w:szCs w:val="21"/>
          <w:highlight w:val="none"/>
          <w:lang w:val="en-US" w:eastAsia="zh-CN"/>
        </w:rPr>
        <w:t>采购</w:t>
      </w:r>
      <w:r>
        <w:rPr>
          <w:rFonts w:hint="default" w:ascii="宋体" w:hAnsi="宋体" w:cs="宋体"/>
          <w:b w:val="0"/>
          <w:bCs/>
          <w:color w:val="auto"/>
          <w:sz w:val="21"/>
          <w:szCs w:val="21"/>
          <w:highlight w:val="none"/>
          <w:lang w:val="en" w:eastAsia="zh-CN"/>
        </w:rPr>
        <w:t>文件（包括工程量清单、合同条款、图纸等）及其补遗、澄清或修改；</w:t>
      </w:r>
    </w:p>
    <w:p w14:paraId="5F09A034">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宋体" w:hAnsi="宋体" w:cs="宋体"/>
          <w:b w:val="0"/>
          <w:bCs/>
          <w:color w:val="auto"/>
          <w:sz w:val="21"/>
          <w:szCs w:val="21"/>
          <w:highlight w:val="none"/>
          <w:lang w:val="en" w:eastAsia="zh-CN"/>
        </w:rPr>
      </w:pPr>
      <w:r>
        <w:rPr>
          <w:rFonts w:hint="eastAsia" w:ascii="宋体" w:hAnsi="宋体" w:cs="宋体"/>
          <w:b/>
          <w:bCs w:val="0"/>
          <w:color w:val="auto"/>
          <w:sz w:val="21"/>
          <w:szCs w:val="21"/>
          <w:highlight w:val="none"/>
          <w:lang w:val="en-US" w:eastAsia="zh-CN"/>
        </w:rPr>
        <w:t>（3）</w:t>
      </w:r>
      <w:r>
        <w:rPr>
          <w:rFonts w:hint="default" w:ascii="宋体" w:hAnsi="宋体" w:cs="宋体"/>
          <w:b w:val="0"/>
          <w:bCs/>
          <w:color w:val="auto"/>
          <w:sz w:val="21"/>
          <w:szCs w:val="21"/>
          <w:highlight w:val="none"/>
          <w:lang w:val="en" w:eastAsia="zh-CN"/>
        </w:rPr>
        <w:t>与</w:t>
      </w:r>
      <w:r>
        <w:rPr>
          <w:rFonts w:hint="eastAsia" w:ascii="宋体" w:hAnsi="宋体" w:cs="宋体"/>
          <w:b w:val="0"/>
          <w:bCs/>
          <w:color w:val="auto"/>
          <w:sz w:val="21"/>
          <w:szCs w:val="21"/>
          <w:highlight w:val="none"/>
          <w:lang w:val="en-US" w:eastAsia="zh-CN"/>
        </w:rPr>
        <w:t>本</w:t>
      </w:r>
      <w:r>
        <w:rPr>
          <w:rFonts w:hint="default" w:ascii="宋体" w:hAnsi="宋体" w:cs="宋体"/>
          <w:b w:val="0"/>
          <w:bCs/>
          <w:color w:val="auto"/>
          <w:sz w:val="21"/>
          <w:szCs w:val="21"/>
          <w:highlight w:val="none"/>
          <w:lang w:val="en" w:eastAsia="zh-CN"/>
        </w:rPr>
        <w:t>工程相关的标准、规范、技术资料；</w:t>
      </w:r>
    </w:p>
    <w:p w14:paraId="3A400E74">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宋体" w:hAnsi="宋体" w:cs="宋体"/>
          <w:b w:val="0"/>
          <w:bCs/>
          <w:color w:val="auto"/>
          <w:sz w:val="21"/>
          <w:szCs w:val="21"/>
          <w:highlight w:val="none"/>
          <w:lang w:val="en" w:eastAsia="zh-CN"/>
        </w:rPr>
      </w:pPr>
      <w:r>
        <w:rPr>
          <w:rFonts w:hint="eastAsia" w:ascii="宋体" w:hAnsi="宋体" w:cs="宋体"/>
          <w:b/>
          <w:bCs w:val="0"/>
          <w:color w:val="auto"/>
          <w:sz w:val="21"/>
          <w:szCs w:val="21"/>
          <w:highlight w:val="none"/>
          <w:lang w:val="en-US" w:eastAsia="zh-CN"/>
        </w:rPr>
        <w:t>（4）</w:t>
      </w:r>
      <w:r>
        <w:rPr>
          <w:rFonts w:hint="default" w:ascii="宋体" w:hAnsi="宋体" w:cs="宋体"/>
          <w:b w:val="0"/>
          <w:bCs/>
          <w:color w:val="auto"/>
          <w:sz w:val="21"/>
          <w:szCs w:val="21"/>
          <w:highlight w:val="none"/>
          <w:lang w:val="en" w:eastAsia="zh-CN"/>
        </w:rPr>
        <w:t>施工现场情况、地勘水文资料、工程特点等；</w:t>
      </w:r>
    </w:p>
    <w:p w14:paraId="6834E5F5">
      <w:pPr>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宋体" w:hAnsi="宋体" w:cs="宋体"/>
          <w:b w:val="0"/>
          <w:bCs/>
          <w:color w:val="auto"/>
          <w:sz w:val="21"/>
          <w:szCs w:val="21"/>
          <w:highlight w:val="none"/>
          <w:lang w:val="en" w:eastAsia="zh-CN"/>
        </w:rPr>
      </w:pPr>
      <w:r>
        <w:rPr>
          <w:rFonts w:hint="eastAsia" w:ascii="宋体" w:hAnsi="宋体" w:cs="宋体"/>
          <w:b/>
          <w:bCs w:val="0"/>
          <w:color w:val="auto"/>
          <w:sz w:val="21"/>
          <w:szCs w:val="21"/>
          <w:highlight w:val="none"/>
          <w:lang w:val="en-US" w:eastAsia="zh-CN"/>
        </w:rPr>
        <w:t>（5）</w:t>
      </w:r>
      <w:r>
        <w:rPr>
          <w:rFonts w:hint="default" w:ascii="宋体" w:hAnsi="宋体" w:cs="宋体"/>
          <w:b w:val="0"/>
          <w:bCs/>
          <w:color w:val="auto"/>
          <w:sz w:val="21"/>
          <w:szCs w:val="21"/>
          <w:highlight w:val="none"/>
          <w:lang w:val="en" w:eastAsia="zh-CN"/>
        </w:rPr>
        <w:t>合理施工工期及常规施工工艺、顺序；</w:t>
      </w:r>
    </w:p>
    <w:p w14:paraId="23775C87">
      <w:pPr>
        <w:spacing w:line="360" w:lineRule="auto"/>
        <w:ind w:firstLine="422" w:firstLineChars="200"/>
        <w:rPr>
          <w:highlight w:val="none"/>
        </w:rPr>
      </w:pPr>
      <w:r>
        <w:rPr>
          <w:rFonts w:hint="eastAsia" w:ascii="宋体" w:hAnsi="宋体" w:cs="宋体"/>
          <w:b/>
          <w:bCs w:val="0"/>
          <w:color w:val="auto"/>
          <w:sz w:val="21"/>
          <w:szCs w:val="21"/>
          <w:highlight w:val="none"/>
          <w:lang w:val="en-US" w:eastAsia="zh-CN"/>
        </w:rPr>
        <w:t>（6）</w:t>
      </w:r>
      <w:r>
        <w:rPr>
          <w:rFonts w:hint="eastAsia" w:ascii="宋体" w:hAnsi="宋体" w:eastAsia="宋体" w:cs="宋体"/>
          <w:b/>
          <w:bCs w:val="0"/>
          <w:color w:val="auto"/>
          <w:kern w:val="2"/>
          <w:szCs w:val="21"/>
          <w:highlight w:val="none"/>
        </w:rPr>
        <w:t>预算金额</w:t>
      </w:r>
      <w:r>
        <w:rPr>
          <w:rFonts w:hint="eastAsia" w:ascii="宋体" w:hAnsi="宋体" w:eastAsia="宋体" w:cs="宋体"/>
          <w:b/>
          <w:bCs w:val="0"/>
          <w:color w:val="auto"/>
          <w:sz w:val="21"/>
          <w:szCs w:val="21"/>
          <w:highlight w:val="none"/>
          <w:lang w:val="en-US" w:eastAsia="zh-CN"/>
        </w:rPr>
        <w:t>计算</w:t>
      </w:r>
      <w:r>
        <w:rPr>
          <w:rFonts w:hint="eastAsia" w:ascii="宋体" w:hAnsi="宋体" w:cs="宋体"/>
          <w:b/>
          <w:bCs w:val="0"/>
          <w:color w:val="auto"/>
          <w:sz w:val="21"/>
          <w:szCs w:val="21"/>
          <w:highlight w:val="none"/>
          <w:lang w:val="en-US" w:eastAsia="zh-CN"/>
        </w:rPr>
        <w:t>方法及价格来源：</w:t>
      </w:r>
      <w:r>
        <w:rPr>
          <w:rFonts w:hint="eastAsia" w:ascii="宋体" w:hAnsi="宋体" w:cs="宋体"/>
          <w:b/>
          <w:bCs w:val="0"/>
          <w:color w:val="auto"/>
          <w:sz w:val="21"/>
          <w:szCs w:val="21"/>
          <w:highlight w:val="none"/>
          <w:u w:val="single"/>
          <w:lang w:val="en-US" w:eastAsia="zh-CN"/>
        </w:rPr>
        <w:t xml:space="preserve"> 2026年《来宾市建设工程造价信息》第5期武宣县除税信息价。</w:t>
      </w:r>
    </w:p>
    <w:p w14:paraId="0F807410">
      <w:pPr>
        <w:spacing w:line="360" w:lineRule="auto"/>
        <w:ind w:firstLine="420" w:firstLineChars="200"/>
        <w:rPr>
          <w:highlight w:val="none"/>
        </w:rPr>
      </w:pPr>
      <w:r>
        <w:rPr>
          <w:highlight w:val="none"/>
        </w:rPr>
        <w:t xml:space="preserve">2.2 </w:t>
      </w:r>
      <w:r>
        <w:rPr>
          <w:rFonts w:hint="eastAsia" w:hAnsi="宋体" w:cs="宋体"/>
          <w:highlight w:val="none"/>
        </w:rPr>
        <w:t>分部分项及单价措施项目综合单价应包括</w:t>
      </w:r>
      <w:r>
        <w:rPr>
          <w:rFonts w:hint="eastAsia" w:cs="宋体"/>
          <w:highlight w:val="none"/>
        </w:rPr>
        <w:t>采购</w:t>
      </w:r>
      <w:r>
        <w:rPr>
          <w:rFonts w:hint="eastAsia" w:hAnsi="宋体" w:cs="宋体"/>
          <w:highlight w:val="none"/>
        </w:rPr>
        <w:t>文件中</w:t>
      </w:r>
      <w:r>
        <w:rPr>
          <w:rFonts w:hint="eastAsia" w:cs="宋体"/>
          <w:highlight w:val="none"/>
        </w:rPr>
        <w:t>采购</w:t>
      </w:r>
      <w:r>
        <w:rPr>
          <w:rFonts w:hint="eastAsia" w:hAnsi="宋体" w:cs="宋体"/>
          <w:highlight w:val="none"/>
        </w:rPr>
        <w:t>人要求成交供应商所承担的风险内容及其范围（幅度）产生的风险费用。</w:t>
      </w:r>
    </w:p>
    <w:p w14:paraId="68A94714">
      <w:pPr>
        <w:spacing w:line="360" w:lineRule="auto"/>
        <w:ind w:firstLine="420"/>
        <w:rPr>
          <w:highlight w:val="none"/>
        </w:rPr>
      </w:pPr>
      <w:r>
        <w:rPr>
          <w:highlight w:val="none"/>
        </w:rPr>
        <w:t xml:space="preserve">2.3 </w:t>
      </w:r>
      <w:r>
        <w:rPr>
          <w:rFonts w:hint="eastAsia" w:ascii="Times New Roman" w:hAnsi="Times New Roman" w:eastAsia="宋体" w:cs="宋体"/>
          <w:b w:val="0"/>
          <w:color w:val="auto"/>
          <w:sz w:val="21"/>
          <w:szCs w:val="21"/>
          <w:highlight w:val="none"/>
        </w:rPr>
        <w:t>技术措施项目</w:t>
      </w:r>
      <w:r>
        <w:rPr>
          <w:rFonts w:hint="eastAsia" w:ascii="Times New Roman" w:hAnsi="Times New Roman" w:eastAsia="宋体" w:cs="宋体"/>
          <w:b w:val="0"/>
          <w:color w:val="auto"/>
          <w:sz w:val="21"/>
          <w:szCs w:val="21"/>
          <w:highlight w:val="none"/>
          <w:lang w:val="en-US" w:eastAsia="zh-CN"/>
        </w:rPr>
        <w:t>清单和</w:t>
      </w:r>
      <w:r>
        <w:rPr>
          <w:rFonts w:hint="eastAsia" w:hAnsi="宋体" w:cs="宋体"/>
          <w:color w:val="auto"/>
          <w:highlight w:val="none"/>
          <w:lang w:val="en-US" w:eastAsia="zh-CN"/>
        </w:rPr>
        <w:t>综合措施</w:t>
      </w:r>
      <w:r>
        <w:rPr>
          <w:rFonts w:hint="eastAsia" w:hAnsi="宋体" w:cs="宋体"/>
          <w:color w:val="auto"/>
          <w:highlight w:val="none"/>
        </w:rPr>
        <w:t>项目</w:t>
      </w:r>
      <w:r>
        <w:rPr>
          <w:rFonts w:hint="eastAsia" w:hAnsi="宋体" w:cs="宋体"/>
          <w:color w:val="auto"/>
          <w:highlight w:val="none"/>
          <w:lang w:val="en-US" w:eastAsia="zh-CN"/>
        </w:rPr>
        <w:t>清单</w:t>
      </w:r>
      <w:r>
        <w:rPr>
          <w:rFonts w:hint="eastAsia" w:hAnsi="宋体" w:cs="宋体"/>
          <w:highlight w:val="none"/>
        </w:rPr>
        <w:t>根据拟定的</w:t>
      </w:r>
      <w:r>
        <w:rPr>
          <w:rFonts w:hint="eastAsia" w:cs="宋体"/>
          <w:highlight w:val="none"/>
        </w:rPr>
        <w:t>采购</w:t>
      </w:r>
      <w:r>
        <w:rPr>
          <w:rFonts w:hint="eastAsia" w:hAnsi="宋体" w:cs="宋体"/>
          <w:highlight w:val="none"/>
        </w:rPr>
        <w:t>文件和常规施工方案按《计价规范》和《计算规范》规定编制。</w:t>
      </w:r>
    </w:p>
    <w:p w14:paraId="7A81D1C1">
      <w:pPr>
        <w:spacing w:line="360" w:lineRule="auto"/>
        <w:ind w:firstLine="420" w:firstLineChars="200"/>
        <w:rPr>
          <w:highlight w:val="none"/>
        </w:rPr>
      </w:pPr>
      <w:r>
        <w:rPr>
          <w:highlight w:val="none"/>
        </w:rPr>
        <w:t xml:space="preserve">2.4 </w:t>
      </w:r>
      <w:r>
        <w:rPr>
          <w:rFonts w:hint="eastAsia" w:cs="宋体"/>
          <w:highlight w:val="none"/>
        </w:rPr>
        <w:t>其他项目费应按下列规定报价：</w:t>
      </w:r>
    </w:p>
    <w:p w14:paraId="58CF37F8">
      <w:pPr>
        <w:spacing w:line="360" w:lineRule="auto"/>
        <w:ind w:firstLine="420" w:firstLineChars="200"/>
        <w:rPr>
          <w:rFonts w:hint="eastAsia" w:ascii="Times New Roman" w:hAnsi="Times New Roman" w:eastAsia="宋体" w:cs="宋体"/>
          <w:color w:val="auto"/>
          <w:highlight w:val="none"/>
        </w:rPr>
      </w:pPr>
      <w:r>
        <w:rPr>
          <w:rFonts w:hint="eastAsia" w:cs="宋体"/>
          <w:color w:val="auto"/>
          <w:highlight w:val="none"/>
        </w:rPr>
        <w:t>（</w:t>
      </w:r>
      <w:r>
        <w:rPr>
          <w:color w:val="auto"/>
          <w:highlight w:val="none"/>
        </w:rPr>
        <w:t>1</w:t>
      </w:r>
      <w:r>
        <w:rPr>
          <w:rFonts w:hint="eastAsia" w:cs="宋体"/>
          <w:color w:val="auto"/>
          <w:highlight w:val="none"/>
        </w:rPr>
        <w:t>）</w:t>
      </w:r>
      <w:r>
        <w:rPr>
          <w:rFonts w:hint="eastAsia" w:ascii="Times New Roman" w:hAnsi="Times New Roman" w:eastAsia="宋体" w:cs="宋体"/>
          <w:color w:val="auto"/>
          <w:highlight w:val="none"/>
        </w:rPr>
        <w:t>材料暂估价按工程量清单中列出的单价</w:t>
      </w:r>
      <w:r>
        <w:rPr>
          <w:rFonts w:hint="eastAsia" w:ascii="Times New Roman" w:hAnsi="Times New Roman" w:eastAsia="宋体" w:cs="宋体"/>
          <w:color w:val="auto"/>
          <w:highlight w:val="none"/>
          <w:lang w:val="en-US" w:eastAsia="zh-CN"/>
        </w:rPr>
        <w:t>计算，不计入分部分项工程项目清单综合单价</w:t>
      </w:r>
      <w:r>
        <w:rPr>
          <w:rFonts w:hint="eastAsia" w:ascii="Times New Roman" w:hAnsi="Times New Roman" w:eastAsia="宋体" w:cs="宋体"/>
          <w:color w:val="auto"/>
          <w:highlight w:val="none"/>
        </w:rPr>
        <w:t>；</w:t>
      </w:r>
    </w:p>
    <w:p w14:paraId="0EDACBD3">
      <w:pPr>
        <w:ind w:firstLine="420" w:firstLineChars="200"/>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（2）专业工程暂估价按工程量清单中列出的金额</w:t>
      </w:r>
      <w:r>
        <w:rPr>
          <w:rFonts w:hint="eastAsia" w:ascii="Times New Roman" w:hAnsi="Times New Roman" w:eastAsia="宋体" w:cs="宋体"/>
          <w:color w:val="auto"/>
          <w:highlight w:val="none"/>
          <w:lang w:val="en-US" w:eastAsia="zh-CN"/>
        </w:rPr>
        <w:t>计算</w:t>
      </w:r>
      <w:r>
        <w:rPr>
          <w:rFonts w:hint="eastAsia" w:ascii="Times New Roman" w:hAnsi="Times New Roman" w:eastAsia="宋体" w:cs="宋体"/>
          <w:color w:val="auto"/>
          <w:highlight w:val="none"/>
        </w:rPr>
        <w:t>；</w:t>
      </w:r>
    </w:p>
    <w:p w14:paraId="38A840E2">
      <w:pPr>
        <w:spacing w:line="360" w:lineRule="auto"/>
        <w:ind w:firstLine="420" w:firstLineChars="200"/>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（3）暂列金额按工程量清单中列出的金额</w:t>
      </w:r>
      <w:r>
        <w:rPr>
          <w:rFonts w:hint="eastAsia" w:ascii="Times New Roman" w:hAnsi="Times New Roman" w:eastAsia="宋体" w:cs="宋体"/>
          <w:color w:val="auto"/>
          <w:highlight w:val="none"/>
          <w:lang w:val="en-US" w:eastAsia="zh-CN"/>
        </w:rPr>
        <w:t>计算</w:t>
      </w:r>
      <w:r>
        <w:rPr>
          <w:rFonts w:hint="eastAsia" w:ascii="Times New Roman" w:hAnsi="Times New Roman" w:eastAsia="宋体" w:cs="宋体"/>
          <w:color w:val="auto"/>
          <w:highlight w:val="none"/>
        </w:rPr>
        <w:t>；</w:t>
      </w:r>
    </w:p>
    <w:p w14:paraId="7EA13F18">
      <w:pPr>
        <w:spacing w:line="360" w:lineRule="auto"/>
        <w:ind w:firstLine="420" w:firstLineChars="200"/>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（4）</w:t>
      </w:r>
      <w:r>
        <w:rPr>
          <w:rFonts w:hint="eastAsia" w:ascii="Times New Roman" w:hAnsi="Times New Roman" w:eastAsia="宋体" w:cs="宋体"/>
          <w:b w:val="0"/>
          <w:bCs w:val="0"/>
          <w:color w:val="auto"/>
          <w:sz w:val="21"/>
          <w:szCs w:val="21"/>
          <w:highlight w:val="none"/>
          <w:lang w:val="zh-TW" w:eastAsia="zh-CN"/>
        </w:rPr>
        <w:t>总承包服务费按工程量清单列出的</w:t>
      </w:r>
      <w:r>
        <w:rPr>
          <w:rFonts w:hint="eastAsia" w:ascii="Times New Roman" w:hAnsi="Times New Roman" w:eastAsia="宋体" w:cs="宋体"/>
          <w:b w:val="0"/>
          <w:bCs w:val="0"/>
          <w:color w:val="auto"/>
          <w:sz w:val="21"/>
          <w:szCs w:val="21"/>
          <w:highlight w:val="none"/>
          <w:lang w:val="en-US" w:eastAsia="zh-CN"/>
        </w:rPr>
        <w:t>需要供应商提供服务的服务内容计价</w:t>
      </w:r>
      <w:r>
        <w:rPr>
          <w:rFonts w:hint="default" w:ascii="Times New Roman" w:hAnsi="Times New Roman" w:cs="Times New Roman"/>
          <w:color w:val="auto"/>
          <w:szCs w:val="21"/>
          <w:highlight w:val="none"/>
        </w:rPr>
        <w:t>。</w:t>
      </w:r>
    </w:p>
    <w:p w14:paraId="273B48F6">
      <w:pPr>
        <w:spacing w:line="360" w:lineRule="auto"/>
        <w:ind w:firstLine="420" w:firstLineChars="200"/>
        <w:rPr>
          <w:rFonts w:hint="eastAsia" w:cs="宋体"/>
          <w:color w:val="auto"/>
          <w:highlight w:val="none"/>
        </w:rPr>
      </w:pPr>
      <w:r>
        <w:rPr>
          <w:color w:val="auto"/>
          <w:highlight w:val="none"/>
        </w:rPr>
        <w:t xml:space="preserve">2.5 </w:t>
      </w:r>
      <w:r>
        <w:rPr>
          <w:rFonts w:hint="eastAsia" w:ascii="Times New Roman" w:hAnsi="Times New Roman" w:eastAsia="宋体" w:cs="宋体"/>
          <w:color w:val="auto"/>
          <w:sz w:val="21"/>
          <w:szCs w:val="21"/>
          <w:highlight w:val="none"/>
        </w:rPr>
        <w:t>安全生产费</w:t>
      </w:r>
      <w:r>
        <w:rPr>
          <w:rFonts w:hint="eastAsia" w:cs="宋体"/>
          <w:color w:val="auto"/>
          <w:highlight w:val="none"/>
        </w:rPr>
        <w:t>按</w:t>
      </w:r>
      <w:r>
        <w:rPr>
          <w:rFonts w:hint="default" w:cs="宋体"/>
          <w:color w:val="auto"/>
          <w:highlight w:val="none"/>
          <w:lang w:val="en"/>
        </w:rPr>
        <w:t>建设行政主管部门有关</w:t>
      </w:r>
      <w:r>
        <w:rPr>
          <w:rFonts w:hint="eastAsia" w:cs="宋体"/>
          <w:color w:val="auto"/>
          <w:highlight w:val="none"/>
        </w:rPr>
        <w:t>规定确定，作为不可竞争费用。</w:t>
      </w:r>
    </w:p>
    <w:p w14:paraId="2E735D46">
      <w:pPr>
        <w:spacing w:line="360" w:lineRule="auto"/>
        <w:ind w:firstLine="420" w:firstLineChars="200"/>
        <w:rPr>
          <w:rFonts w:hint="default" w:eastAsia="宋体" w:cs="宋体"/>
          <w:color w:val="auto"/>
          <w:highlight w:val="none"/>
          <w:lang w:val="en-US" w:eastAsia="zh-CN"/>
        </w:rPr>
      </w:pPr>
      <w:r>
        <w:rPr>
          <w:rFonts w:hint="eastAsia" w:cs="宋体"/>
          <w:color w:val="auto"/>
          <w:highlight w:val="none"/>
          <w:lang w:val="en-US" w:eastAsia="zh-CN"/>
        </w:rPr>
        <w:t>2.6</w:t>
      </w:r>
      <w:r>
        <w:rPr>
          <w:rFonts w:hint="eastAsia" w:ascii="宋体" w:hAnsi="宋体" w:eastAsia="宋体" w:cs="宋体"/>
          <w:color w:val="auto"/>
          <w:sz w:val="21"/>
          <w:szCs w:val="21"/>
          <w:highlight w:val="none"/>
          <w:lang w:val="zh-TW"/>
        </w:rPr>
        <w:t xml:space="preserve"> </w:t>
      </w:r>
      <w:r>
        <w:rPr>
          <w:rFonts w:hint="eastAsia" w:ascii="宋体" w:hAnsi="宋体" w:eastAsia="宋体" w:cs="宋体"/>
          <w:b w:val="0"/>
          <w:bCs w:val="0"/>
          <w:color w:val="auto"/>
          <w:sz w:val="21"/>
          <w:szCs w:val="21"/>
          <w:highlight w:val="none"/>
          <w:lang w:val="en-US" w:eastAsia="zh-CN"/>
        </w:rPr>
        <w:t>增值税按政府有关主管部门的规定计算</w:t>
      </w:r>
      <w:r>
        <w:rPr>
          <w:rFonts w:hint="eastAsia" w:ascii="宋体" w:hAnsi="宋体" w:cs="宋体"/>
          <w:b w:val="0"/>
          <w:bCs w:val="0"/>
          <w:color w:val="auto"/>
          <w:sz w:val="21"/>
          <w:szCs w:val="21"/>
          <w:highlight w:val="none"/>
          <w:lang w:val="en-US" w:eastAsia="zh-CN"/>
        </w:rPr>
        <w:t>。</w:t>
      </w:r>
    </w:p>
    <w:p w14:paraId="32097100">
      <w:pPr>
        <w:spacing w:line="360" w:lineRule="auto"/>
        <w:ind w:firstLine="420" w:firstLineChars="200"/>
        <w:rPr>
          <w:rFonts w:hAnsi="宋体"/>
          <w:highlight w:val="none"/>
        </w:rPr>
      </w:pPr>
      <w:r>
        <w:rPr>
          <w:highlight w:val="none"/>
        </w:rPr>
        <w:t>2.</w:t>
      </w:r>
      <w:r>
        <w:rPr>
          <w:rFonts w:hint="eastAsia"/>
          <w:highlight w:val="none"/>
          <w:lang w:val="en-US" w:eastAsia="zh-CN"/>
        </w:rPr>
        <w:t>7</w:t>
      </w:r>
      <w:r>
        <w:rPr>
          <w:highlight w:val="none"/>
        </w:rPr>
        <w:t xml:space="preserve"> </w:t>
      </w:r>
      <w:r>
        <w:rPr>
          <w:rFonts w:hint="eastAsia" w:hAnsi="宋体" w:cs="宋体"/>
          <w:highlight w:val="none"/>
        </w:rPr>
        <w:t>其它需要说明的问题：</w:t>
      </w:r>
      <w:r>
        <w:rPr>
          <w:highlight w:val="none"/>
          <w:u w:val="single"/>
        </w:rPr>
        <w:t xml:space="preserve">  </w:t>
      </w:r>
      <w:r>
        <w:rPr>
          <w:rFonts w:hint="eastAsia"/>
          <w:highlight w:val="none"/>
          <w:u w:val="single"/>
          <w:lang w:eastAsia="zh-CN"/>
        </w:rPr>
        <w:t>无</w:t>
      </w:r>
      <w:r>
        <w:rPr>
          <w:highlight w:val="none"/>
          <w:u w:val="single"/>
        </w:rPr>
        <w:t xml:space="preserve">   </w:t>
      </w:r>
      <w:r>
        <w:rPr>
          <w:rFonts w:hint="eastAsia"/>
          <w:highlight w:val="none"/>
          <w:u w:val="single"/>
          <w:lang w:eastAsia="zh-CN"/>
        </w:rPr>
        <w:t>。</w:t>
      </w:r>
      <w:r>
        <w:rPr>
          <w:highlight w:val="none"/>
          <w:u w:val="single"/>
        </w:rPr>
        <w:t xml:space="preserve"> </w:t>
      </w:r>
    </w:p>
    <w:p w14:paraId="14DB4E7B">
      <w:pPr>
        <w:spacing w:line="312" w:lineRule="auto"/>
        <w:ind w:firstLine="422" w:firstLineChars="200"/>
        <w:jc w:val="left"/>
        <w:rPr>
          <w:b/>
          <w:bCs/>
          <w:kern w:val="0"/>
          <w:szCs w:val="21"/>
          <w:highlight w:val="none"/>
        </w:rPr>
      </w:pPr>
      <w:r>
        <w:rPr>
          <w:b/>
          <w:bCs/>
          <w:kern w:val="0"/>
          <w:szCs w:val="21"/>
          <w:highlight w:val="none"/>
        </w:rPr>
        <w:t>3.</w:t>
      </w:r>
      <w:r>
        <w:rPr>
          <w:rFonts w:hint="eastAsia"/>
          <w:b/>
          <w:bCs/>
          <w:kern w:val="0"/>
          <w:szCs w:val="21"/>
          <w:highlight w:val="none"/>
        </w:rPr>
        <w:t>响应</w:t>
      </w:r>
      <w:r>
        <w:rPr>
          <w:b/>
          <w:bCs/>
          <w:kern w:val="0"/>
          <w:szCs w:val="21"/>
          <w:highlight w:val="none"/>
        </w:rPr>
        <w:t>报价（已标价工程量清单）编制说明</w:t>
      </w:r>
    </w:p>
    <w:p w14:paraId="2B4A49CB">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3.1</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依据</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文件、工程量清单以及《计价规范》《计算规范》自主确定</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报价</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zh-TW"/>
        </w:rPr>
        <w:t>并应对已标价工程量清单填报价格的一致性及合理性负责，承担不合理报价及总价合同工程量清单缺陷等风险</w:t>
      </w:r>
      <w:r>
        <w:rPr>
          <w:rFonts w:hint="default" w:ascii="Times New Roman" w:hAnsi="Times New Roman" w:eastAsia="宋体" w:cs="Times New Roman"/>
          <w:color w:val="auto"/>
          <w:szCs w:val="21"/>
          <w:highlight w:val="none"/>
        </w:rPr>
        <w:t>。</w:t>
      </w:r>
    </w:p>
    <w:p w14:paraId="03CC8AAC">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3.2  供应商</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报价不得高于</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人公布的最高限价。</w:t>
      </w:r>
    </w:p>
    <w:p w14:paraId="395A482D">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3.3</w:t>
      </w:r>
      <w:r>
        <w:rPr>
          <w:rFonts w:hint="default" w:ascii="Times New Roman" w:hAnsi="Times New Roman" w:eastAsia="宋体" w:cs="Times New Roman"/>
          <w:color w:val="auto"/>
          <w:szCs w:val="21"/>
          <w:highlight w:val="none"/>
          <w:lang w:val="zh-TW"/>
        </w:rPr>
        <w:t xml:space="preserve"> </w:t>
      </w:r>
      <w:r>
        <w:rPr>
          <w:rFonts w:hint="default" w:ascii="Times New Roman" w:hAnsi="Times New Roman" w:eastAsia="宋体" w:cs="Times New Roman"/>
          <w:color w:val="auto"/>
          <w:szCs w:val="21"/>
          <w:highlight w:val="none"/>
          <w:lang w:val="en-US" w:eastAsia="zh-CN"/>
        </w:rPr>
        <w:t xml:space="preserve"> 供应商</w:t>
      </w:r>
      <w:r>
        <w:rPr>
          <w:rFonts w:hint="default" w:ascii="Times New Roman" w:hAnsi="Times New Roman" w:eastAsia="宋体" w:cs="Times New Roman"/>
          <w:color w:val="auto"/>
          <w:szCs w:val="21"/>
          <w:highlight w:val="none"/>
        </w:rPr>
        <w:t>应在接收</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文件后，在规定时间内根据</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文件说明的工程特点及合同要求复查</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文件中计划工期的可行性及其风险与影响，对计划工期存有疑问的，应按</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文件的规定及时以书面形式提请</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人澄清</w:t>
      </w:r>
      <w:r>
        <w:rPr>
          <w:rFonts w:hint="default" w:ascii="Times New Roman" w:hAnsi="Times New Roman" w:eastAsia="宋体" w:cs="Times New Roman"/>
          <w:color w:val="auto"/>
          <w:szCs w:val="21"/>
          <w:highlight w:val="none"/>
          <w:lang w:eastAsia="zh-CN"/>
        </w:rPr>
        <w:t>或修正</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对计划工期或</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人澄清</w:t>
      </w:r>
      <w:r>
        <w:rPr>
          <w:rFonts w:hint="default" w:ascii="Times New Roman" w:hAnsi="Times New Roman" w:eastAsia="宋体" w:cs="Times New Roman"/>
          <w:color w:val="auto"/>
          <w:szCs w:val="21"/>
          <w:highlight w:val="none"/>
          <w:lang w:eastAsia="zh-CN"/>
        </w:rPr>
        <w:t>或修正</w:t>
      </w:r>
      <w:r>
        <w:rPr>
          <w:rFonts w:hint="default" w:ascii="Times New Roman" w:hAnsi="Times New Roman" w:eastAsia="宋体" w:cs="Times New Roman"/>
          <w:color w:val="auto"/>
          <w:szCs w:val="21"/>
          <w:highlight w:val="none"/>
        </w:rPr>
        <w:t>后的计划工期无疑问的，</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应根据自身的实施方案、施工技术、管理水平、合同履约风险及</w:t>
      </w:r>
      <w:r>
        <w:rPr>
          <w:rFonts w:hint="default" w:ascii="Times New Roman" w:hAnsi="Times New Roman" w:eastAsia="宋体" w:cs="Times New Roman"/>
          <w:color w:val="auto"/>
          <w:szCs w:val="21"/>
          <w:highlight w:val="none"/>
          <w:lang w:val="en-US"/>
        </w:rPr>
        <w:t>暂估</w:t>
      </w:r>
      <w:r>
        <w:rPr>
          <w:rFonts w:hint="default" w:ascii="Times New Roman" w:hAnsi="Times New Roman" w:eastAsia="宋体" w:cs="Times New Roman"/>
          <w:color w:val="auto"/>
          <w:szCs w:val="21"/>
          <w:highlight w:val="none"/>
        </w:rPr>
        <w:t>专业工程工期等合理确定</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工期并</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报价。</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工期不</w:t>
      </w:r>
      <w:r>
        <w:rPr>
          <w:rFonts w:hint="default" w:ascii="Times New Roman" w:hAnsi="Times New Roman" w:eastAsia="宋体" w:cs="Times New Roman"/>
          <w:color w:val="auto"/>
          <w:szCs w:val="21"/>
          <w:highlight w:val="none"/>
          <w:lang w:val="en-US" w:eastAsia="zh-CN"/>
        </w:rPr>
        <w:t>得</w:t>
      </w:r>
      <w:r>
        <w:rPr>
          <w:rFonts w:hint="default" w:ascii="Times New Roman" w:hAnsi="Times New Roman" w:eastAsia="宋体" w:cs="Times New Roman"/>
          <w:color w:val="auto"/>
          <w:szCs w:val="21"/>
          <w:highlight w:val="none"/>
        </w:rPr>
        <w:t>超过</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人的计划工期或澄清修</w:t>
      </w:r>
      <w:r>
        <w:rPr>
          <w:rFonts w:hint="default" w:ascii="Times New Roman" w:hAnsi="Times New Roman" w:eastAsia="宋体" w:cs="Times New Roman"/>
          <w:color w:val="auto"/>
          <w:szCs w:val="21"/>
          <w:highlight w:val="none"/>
          <w:lang w:val="en-US" w:eastAsia="zh-CN"/>
        </w:rPr>
        <w:t>正</w:t>
      </w:r>
      <w:r>
        <w:rPr>
          <w:rFonts w:hint="default" w:ascii="Times New Roman" w:hAnsi="Times New Roman" w:eastAsia="宋体" w:cs="Times New Roman"/>
          <w:color w:val="auto"/>
          <w:szCs w:val="21"/>
          <w:highlight w:val="none"/>
        </w:rPr>
        <w:t>的计划工期。</w:t>
      </w:r>
    </w:p>
    <w:p w14:paraId="25B9980F">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3.4</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en-US" w:eastAsia="zh-CN"/>
        </w:rPr>
        <w:t xml:space="preserve"> 供应商</w:t>
      </w:r>
      <w:r>
        <w:rPr>
          <w:rFonts w:hint="default" w:ascii="Times New Roman" w:hAnsi="Times New Roman" w:eastAsia="宋体" w:cs="Times New Roman"/>
          <w:color w:val="auto"/>
          <w:szCs w:val="21"/>
          <w:highlight w:val="none"/>
        </w:rPr>
        <w:t>应在接收</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文件后，在规定时间内根据工程特点、合同要求及现场踏勘情况，复查措施项目清单列项的完整性和适用性。如</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对措施项目清单有疑问的，可按</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文件的规定以书面形式提请</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人澄清</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人核实后作出修正的，</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应按修正后的</w:t>
      </w:r>
      <w:r>
        <w:rPr>
          <w:rFonts w:hint="default" w:ascii="Times New Roman" w:hAnsi="Times New Roman" w:eastAsia="宋体" w:cs="Times New Roman"/>
          <w:color w:val="auto"/>
          <w:szCs w:val="21"/>
          <w:highlight w:val="none"/>
          <w:lang w:eastAsia="zh-CN"/>
        </w:rPr>
        <w:t>措施</w:t>
      </w:r>
      <w:r>
        <w:rPr>
          <w:rFonts w:hint="default" w:ascii="Times New Roman" w:hAnsi="Times New Roman" w:eastAsia="宋体" w:cs="Times New Roman"/>
          <w:color w:val="auto"/>
          <w:szCs w:val="21"/>
          <w:highlight w:val="none"/>
        </w:rPr>
        <w:t>项目清单进行</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报价。若</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认为需要增加措施项目的，可在措施项目中补充列项及报价，并对措施项目清单的准确性和完整性负责。</w:t>
      </w:r>
    </w:p>
    <w:p w14:paraId="6F540B6E">
      <w:pPr>
        <w:spacing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3.5</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采用单价合同的工程，</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应在接收</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文件后，在规定时间内对工程量清单的分部分项工程项目清单进行复核。如</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对分部分项</w:t>
      </w:r>
      <w:r>
        <w:rPr>
          <w:rFonts w:hint="default" w:ascii="Times New Roman" w:hAnsi="Times New Roman" w:eastAsia="宋体" w:cs="Times New Roman"/>
          <w:color w:val="auto"/>
          <w:szCs w:val="21"/>
          <w:highlight w:val="none"/>
          <w:lang w:eastAsia="zh-CN"/>
        </w:rPr>
        <w:t>工</w:t>
      </w:r>
      <w:r>
        <w:rPr>
          <w:rFonts w:hint="default" w:ascii="Times New Roman" w:hAnsi="Times New Roman" w:eastAsia="宋体" w:cs="Times New Roman"/>
          <w:color w:val="auto"/>
          <w:szCs w:val="21"/>
          <w:highlight w:val="none"/>
        </w:rPr>
        <w:t>程项目清单有疑问的，应按</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文件的规定以书面形式提请</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lang w:val="en-US"/>
        </w:rPr>
        <w:t>人</w:t>
      </w:r>
      <w:r>
        <w:rPr>
          <w:rFonts w:hint="default" w:ascii="Times New Roman" w:hAnsi="Times New Roman" w:eastAsia="宋体" w:cs="Times New Roman"/>
          <w:color w:val="auto"/>
          <w:szCs w:val="21"/>
          <w:highlight w:val="none"/>
        </w:rPr>
        <w:t>澄清，</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人核实后作出修正的，</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应按修正后的分部分项工程项目清单进行</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报价。无论</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是否已提出疑问，分部分项工程项目清单的完整性和准</w:t>
      </w:r>
      <w:r>
        <w:rPr>
          <w:rFonts w:hint="default" w:ascii="Times New Roman" w:hAnsi="Times New Roman" w:eastAsia="宋体" w:cs="Times New Roman"/>
          <w:color w:val="auto"/>
          <w:szCs w:val="21"/>
          <w:highlight w:val="none"/>
          <w:lang w:val="en-US"/>
        </w:rPr>
        <w:t>确性由</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lang w:val="en-US"/>
        </w:rPr>
        <w:t>人负责</w:t>
      </w:r>
      <w:r>
        <w:rPr>
          <w:rFonts w:hint="default" w:ascii="Times New Roman" w:hAnsi="Times New Roman" w:eastAsia="宋体" w:cs="Times New Roman"/>
          <w:color w:val="auto"/>
          <w:szCs w:val="21"/>
          <w:highlight w:val="none"/>
        </w:rPr>
        <w:t>。</w:t>
      </w:r>
    </w:p>
    <w:p w14:paraId="7A671DF3">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3.6</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采用总价合同的工程，</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应在接收</w:t>
      </w:r>
      <w:r>
        <w:rPr>
          <w:rFonts w:hint="default" w:ascii="Times New Roman" w:hAnsi="Times New Roman" w:eastAsia="宋体" w:cs="Times New Roman"/>
          <w:color w:val="auto"/>
          <w:szCs w:val="21"/>
          <w:highlight w:val="none"/>
          <w:lang w:val="en-US" w:eastAsia="zh-CN"/>
        </w:rPr>
        <w:t>采购</w:t>
      </w:r>
      <w:r>
        <w:rPr>
          <w:rFonts w:hint="default" w:ascii="Times New Roman" w:hAnsi="Times New Roman" w:eastAsia="宋体" w:cs="Times New Roman"/>
          <w:color w:val="auto"/>
          <w:szCs w:val="21"/>
          <w:highlight w:val="none"/>
        </w:rPr>
        <w:t>文件后，在规定时间内对工程量清单进行复核。如</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对工程项目清单有疑问的，应按</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文件的规定以书面形式提请</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人澄清，</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人核实后作出修正的，</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应按修正后的工程量清单进行报价。如</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经复核认为工程量清单及其修正后</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如有</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的分部分项工程项目清单存在工程量清单缺陷的，可在已标价工程量清单的分部分项工程项目清单中进行补充完善及报价，并对已标价分部分项工程项目清单的完整性和准确性负责。无论</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是否已提出疑问或按已修正后的工程量清单报价</w:t>
      </w:r>
      <w:r>
        <w:rPr>
          <w:rFonts w:hint="default" w:ascii="Times New Roman" w:hAnsi="Times New Roman" w:eastAsia="宋体" w:cs="Times New Roman"/>
          <w:color w:val="auto"/>
          <w:szCs w:val="21"/>
          <w:highlight w:val="none"/>
          <w:lang w:eastAsia="zh-CN"/>
        </w:rPr>
        <w:t>或</w:t>
      </w:r>
      <w:r>
        <w:rPr>
          <w:rFonts w:hint="default" w:ascii="Times New Roman" w:hAnsi="Times New Roman" w:eastAsia="宋体" w:cs="Times New Roman"/>
          <w:color w:val="auto"/>
          <w:szCs w:val="21"/>
          <w:highlight w:val="none"/>
        </w:rPr>
        <w:t>对分部分项工程项目清单</w:t>
      </w:r>
      <w:r>
        <w:rPr>
          <w:rFonts w:hint="default" w:ascii="Times New Roman" w:hAnsi="Times New Roman" w:eastAsia="宋体" w:cs="Times New Roman"/>
          <w:color w:val="auto"/>
          <w:szCs w:val="21"/>
          <w:highlight w:val="none"/>
          <w:lang w:eastAsia="zh-CN"/>
        </w:rPr>
        <w:t>作出</w:t>
      </w:r>
      <w:r>
        <w:rPr>
          <w:rFonts w:hint="default" w:ascii="Times New Roman" w:hAnsi="Times New Roman" w:eastAsia="宋体" w:cs="Times New Roman"/>
          <w:color w:val="auto"/>
          <w:szCs w:val="21"/>
          <w:highlight w:val="none"/>
        </w:rPr>
        <w:t>补充完善及报价，除工程量清单说明为暂定数量的单价计价分部分项工程项目清单外，合同价格不应因存在工程量清单缺陷而调整。</w:t>
      </w:r>
    </w:p>
    <w:p w14:paraId="45FCF4A5">
      <w:pPr>
        <w:spacing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3.7  </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lang w:val="en-US" w:eastAsia="zh-CN"/>
        </w:rPr>
        <w:t>响应报</w:t>
      </w:r>
      <w:r>
        <w:rPr>
          <w:rFonts w:hint="default" w:ascii="Times New Roman" w:hAnsi="Times New Roman" w:eastAsia="宋体" w:cs="Times New Roman"/>
          <w:color w:val="auto"/>
          <w:szCs w:val="21"/>
          <w:highlight w:val="none"/>
        </w:rPr>
        <w:t>价应包括</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文件中规定的由承包人承担范围及幅度内的风险费用。如</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文件中未明确相关风险责任的，</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应在接收</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文件后，在规定的时间内提请</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人明确，</w:t>
      </w:r>
      <w:r>
        <w:rPr>
          <w:rFonts w:hint="default" w:ascii="Times New Roman" w:hAnsi="Times New Roman" w:eastAsia="宋体" w:cs="Times New Roman"/>
          <w:color w:val="auto"/>
          <w:szCs w:val="21"/>
          <w:highlight w:val="none"/>
          <w:lang w:eastAsia="zh-CN"/>
        </w:rPr>
        <w:t>采购</w:t>
      </w:r>
      <w:r>
        <w:rPr>
          <w:rFonts w:hint="default" w:ascii="Times New Roman" w:hAnsi="Times New Roman" w:eastAsia="宋体" w:cs="Times New Roman"/>
          <w:color w:val="auto"/>
          <w:szCs w:val="21"/>
          <w:highlight w:val="none"/>
        </w:rPr>
        <w:t>人应在规定时间内予以书面答复。</w:t>
      </w:r>
    </w:p>
    <w:p w14:paraId="49E27681">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3.8  </w:t>
      </w:r>
      <w:r>
        <w:rPr>
          <w:rFonts w:hint="default" w:ascii="Times New Roman" w:hAnsi="Times New Roman" w:eastAsia="宋体" w:cs="Times New Roman"/>
          <w:color w:val="auto"/>
          <w:szCs w:val="21"/>
          <w:highlight w:val="none"/>
        </w:rPr>
        <w:t>采用单价合同的工程，</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应按要求完整填报工程量清单中所有清单项目的综合单价及其合价和</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或</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总价计价项目的价格，且每个清单项目应只填报一个报价，未按要求填报</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漏填或未填</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综合单价及其合价和</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或</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清单项目价格的，相关清单项目报价可视为已包含在</w:t>
      </w:r>
      <w:r>
        <w:rPr>
          <w:rFonts w:hint="default" w:ascii="Times New Roman" w:hAnsi="Times New Roman" w:eastAsia="宋体" w:cs="Times New Roman"/>
          <w:color w:val="auto"/>
          <w:szCs w:val="21"/>
          <w:highlight w:val="none"/>
          <w:lang w:val="en-US"/>
        </w:rPr>
        <w:t>其他的清单项目</w:t>
      </w:r>
      <w:r>
        <w:rPr>
          <w:rFonts w:hint="default" w:ascii="Times New Roman" w:hAnsi="Times New Roman" w:eastAsia="宋体" w:cs="Times New Roman"/>
          <w:color w:val="auto"/>
          <w:szCs w:val="21"/>
          <w:highlight w:val="none"/>
        </w:rPr>
        <w:t>中。</w:t>
      </w:r>
    </w:p>
    <w:p w14:paraId="04344817">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3.9  </w:t>
      </w:r>
      <w:r>
        <w:rPr>
          <w:rFonts w:hint="default" w:ascii="Times New Roman" w:hAnsi="Times New Roman" w:eastAsia="宋体" w:cs="Times New Roman"/>
          <w:color w:val="auto"/>
          <w:szCs w:val="21"/>
          <w:highlight w:val="none"/>
        </w:rPr>
        <w:t>采用总价合同的工程，</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应按规定补充完善工程量清单，并完整填报工程量清单中所有清单项目的综合单价及其合价和</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或</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总价计价项目的价格，且每个清单项目应只填报一个报价，未按要求填报</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漏填或未填</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综合单价及其合价和</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或</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清单项目价格的，相关清单项目报价可视为已包含在其他的清单项目中。</w:t>
      </w:r>
    </w:p>
    <w:p w14:paraId="0C6499DE">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3.10</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总价应</w:t>
      </w:r>
      <w:r>
        <w:rPr>
          <w:rFonts w:hint="default" w:ascii="Times New Roman" w:hAnsi="Times New Roman" w:eastAsia="宋体" w:cs="Times New Roman"/>
          <w:color w:val="auto"/>
          <w:szCs w:val="21"/>
          <w:highlight w:val="none"/>
          <w:lang w:val="en-US" w:eastAsia="zh-CN"/>
        </w:rPr>
        <w:t>当与已标价工程量清单所含各项清单</w:t>
      </w:r>
      <w:r>
        <w:rPr>
          <w:rFonts w:hint="default" w:ascii="Times New Roman" w:hAnsi="Times New Roman" w:eastAsia="宋体" w:cs="Times New Roman"/>
          <w:color w:val="auto"/>
          <w:szCs w:val="21"/>
          <w:highlight w:val="none"/>
        </w:rPr>
        <w:t>合价总额一致。</w:t>
      </w:r>
    </w:p>
    <w:p w14:paraId="48AD36B4">
      <w:pPr>
        <w:pageBreakBefore w:val="0"/>
        <w:widowControl/>
        <w:tabs>
          <w:tab w:val="left" w:pos="8647"/>
        </w:tabs>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 xml:space="preserve">.11  </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b w:val="0"/>
          <w:bCs w:val="0"/>
          <w:color w:val="auto"/>
          <w:sz w:val="21"/>
          <w:szCs w:val="21"/>
          <w:highlight w:val="none"/>
          <w:lang w:val="en-US" w:eastAsia="zh-CN"/>
        </w:rPr>
        <w:t>报价编制应</w:t>
      </w:r>
      <w:r>
        <w:rPr>
          <w:rFonts w:hint="default" w:ascii="Times New Roman" w:hAnsi="Times New Roman" w:eastAsia="宋体" w:cs="Times New Roman"/>
          <w:b w:val="0"/>
          <w:bCs/>
          <w:color w:val="auto"/>
          <w:sz w:val="21"/>
          <w:szCs w:val="21"/>
          <w:highlight w:val="none"/>
          <w:lang w:val="zh-TW" w:eastAsia="zh-CN"/>
        </w:rPr>
        <w:t>符合下列规定：</w:t>
      </w:r>
    </w:p>
    <w:p w14:paraId="5268D45F">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《计价规范》</w:t>
      </w:r>
      <w:r>
        <w:rPr>
          <w:rFonts w:hint="default" w:ascii="Times New Roman" w:hAnsi="Times New Roman" w:eastAsia="宋体" w:cs="Times New Roman"/>
          <w:color w:val="auto"/>
          <w:sz w:val="21"/>
          <w:szCs w:val="21"/>
          <w:highlight w:val="none"/>
          <w:lang w:val="zh-TW" w:eastAsia="zh-CN"/>
        </w:rPr>
        <w:t>；</w:t>
      </w:r>
    </w:p>
    <w:p w14:paraId="1652CBEB">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color w:val="auto"/>
          <w:sz w:val="21"/>
          <w:szCs w:val="21"/>
          <w:highlight w:val="none"/>
          <w:lang w:val="zh-TW"/>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 w:val="0"/>
          <w:bCs/>
          <w:color w:val="auto"/>
          <w:sz w:val="21"/>
          <w:szCs w:val="21"/>
          <w:highlight w:val="none"/>
          <w:lang w:val="zh-TW" w:eastAsia="zh-CN"/>
        </w:rPr>
        <w:t>自治区建设行政主管部门颁发的建设工程计算规范及根据工程需要补充的工程量计算规则；</w:t>
      </w:r>
    </w:p>
    <w:p w14:paraId="5620CDD0">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val="0"/>
          <w:bCs/>
          <w:color w:val="auto"/>
          <w:sz w:val="21"/>
          <w:szCs w:val="21"/>
          <w:highlight w:val="none"/>
          <w:lang w:val="zh-TW"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 w:val="0"/>
          <w:bCs/>
          <w:color w:val="auto"/>
          <w:sz w:val="21"/>
          <w:szCs w:val="21"/>
          <w:highlight w:val="none"/>
          <w:lang w:val="zh-TW" w:eastAsia="zh-CN"/>
        </w:rPr>
        <w:t>采购文件（包括工程量清单、合同条款、</w:t>
      </w:r>
      <w:r>
        <w:rPr>
          <w:rFonts w:hint="default" w:ascii="Times New Roman" w:hAnsi="Times New Roman" w:eastAsia="宋体" w:cs="Times New Roman"/>
          <w:b w:val="0"/>
          <w:bCs/>
          <w:color w:val="auto"/>
          <w:sz w:val="21"/>
          <w:szCs w:val="21"/>
          <w:highlight w:val="none"/>
          <w:lang w:val="zh-TW" w:eastAsia="zh-TW"/>
        </w:rPr>
        <w:t>图纸等</w:t>
      </w:r>
      <w:r>
        <w:rPr>
          <w:rFonts w:hint="default" w:ascii="Times New Roman" w:hAnsi="Times New Roman" w:eastAsia="宋体" w:cs="Times New Roman"/>
          <w:b w:val="0"/>
          <w:bCs/>
          <w:color w:val="auto"/>
          <w:sz w:val="21"/>
          <w:szCs w:val="21"/>
          <w:highlight w:val="none"/>
          <w:lang w:val="zh-TW" w:eastAsia="zh-CN"/>
        </w:rPr>
        <w:t>）及其补</w:t>
      </w:r>
      <w:r>
        <w:rPr>
          <w:rFonts w:hint="default" w:ascii="Times New Roman" w:hAnsi="Times New Roman" w:eastAsia="宋体" w:cs="Times New Roman"/>
          <w:b w:val="0"/>
          <w:bCs/>
          <w:color w:val="auto"/>
          <w:sz w:val="21"/>
          <w:szCs w:val="21"/>
          <w:highlight w:val="none"/>
          <w:lang w:val="zh-TW" w:eastAsia="zh-TW"/>
        </w:rPr>
        <w:t>遗</w:t>
      </w:r>
      <w:r>
        <w:rPr>
          <w:rFonts w:hint="default" w:ascii="Times New Roman" w:hAnsi="Times New Roman" w:eastAsia="宋体" w:cs="Times New Roman"/>
          <w:b w:val="0"/>
          <w:bCs/>
          <w:color w:val="auto"/>
          <w:sz w:val="21"/>
          <w:szCs w:val="21"/>
          <w:highlight w:val="none"/>
          <w:lang w:val="zh-TW" w:eastAsia="zh-CN"/>
        </w:rPr>
        <w:t>、答疑、澄清或修正；</w:t>
      </w:r>
    </w:p>
    <w:p w14:paraId="3CBE8850">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val="0"/>
          <w:bCs/>
          <w:color w:val="auto"/>
          <w:sz w:val="21"/>
          <w:szCs w:val="21"/>
          <w:highlight w:val="none"/>
          <w:lang w:val="zh-TW"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 w:val="0"/>
          <w:bCs/>
          <w:color w:val="auto"/>
          <w:sz w:val="21"/>
          <w:szCs w:val="21"/>
          <w:highlight w:val="none"/>
          <w:lang w:val="zh-TW" w:eastAsia="zh-CN"/>
        </w:rPr>
        <w:t>与</w:t>
      </w:r>
      <w:r>
        <w:rPr>
          <w:rFonts w:hint="default" w:ascii="Times New Roman" w:hAnsi="Times New Roman" w:eastAsia="宋体" w:cs="Times New Roman"/>
          <w:b w:val="0"/>
          <w:bCs/>
          <w:color w:val="auto"/>
          <w:sz w:val="21"/>
          <w:szCs w:val="21"/>
          <w:highlight w:val="none"/>
          <w:lang w:val="en-US" w:eastAsia="zh-CN"/>
        </w:rPr>
        <w:t>本</w:t>
      </w:r>
      <w:r>
        <w:rPr>
          <w:rFonts w:hint="default" w:ascii="Times New Roman" w:hAnsi="Times New Roman" w:eastAsia="宋体" w:cs="Times New Roman"/>
          <w:b w:val="0"/>
          <w:bCs/>
          <w:color w:val="auto"/>
          <w:sz w:val="21"/>
          <w:szCs w:val="21"/>
          <w:highlight w:val="none"/>
          <w:lang w:val="zh-TW" w:eastAsia="zh-CN"/>
        </w:rPr>
        <w:t>工程相关的技术、标准、规范等技术资料；</w:t>
      </w:r>
    </w:p>
    <w:p w14:paraId="6A24881A">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val="0"/>
          <w:bCs/>
          <w:color w:val="auto"/>
          <w:sz w:val="21"/>
          <w:szCs w:val="21"/>
          <w:highlight w:val="none"/>
          <w:lang w:val="zh-TW"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 w:val="0"/>
          <w:bCs/>
          <w:color w:val="auto"/>
          <w:sz w:val="21"/>
          <w:szCs w:val="21"/>
          <w:highlight w:val="none"/>
          <w:lang w:val="zh-TW" w:eastAsia="zh-CN"/>
        </w:rPr>
        <w:t>工程特点、地勘水文资料、现场踏勘情况；</w:t>
      </w:r>
    </w:p>
    <w:p w14:paraId="413FF199">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val="0"/>
          <w:bCs/>
          <w:color w:val="auto"/>
          <w:sz w:val="21"/>
          <w:szCs w:val="21"/>
          <w:highlight w:val="none"/>
          <w:lang w:val="zh-TW"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 w:val="0"/>
          <w:bCs/>
          <w:color w:val="auto"/>
          <w:sz w:val="21"/>
          <w:szCs w:val="21"/>
          <w:highlight w:val="none"/>
          <w:lang w:val="zh-TW" w:eastAsia="zh-CN"/>
        </w:rPr>
        <w:t>供应商的工程实施方案及投标工期；</w:t>
      </w:r>
    </w:p>
    <w:p w14:paraId="7BC7532C">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color w:val="auto"/>
          <w:sz w:val="21"/>
          <w:szCs w:val="21"/>
          <w:highlight w:val="none"/>
          <w:lang w:val="zh-TW"/>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7</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 w:val="0"/>
          <w:bCs/>
          <w:color w:val="auto"/>
          <w:sz w:val="21"/>
          <w:szCs w:val="21"/>
          <w:highlight w:val="none"/>
          <w:lang w:val="zh-TW" w:eastAsia="zh-CN"/>
        </w:rPr>
        <w:t>供应商的企业定额、工程造价数据、价格指数、市场价格信息及价格变动预期、装备及管理水平、造价资讯等；</w:t>
      </w:r>
    </w:p>
    <w:p w14:paraId="5637AC3D">
      <w:pPr>
        <w:pageBreakBefore w:val="0"/>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8</w:t>
      </w:r>
      <w:r>
        <w:rPr>
          <w:rFonts w:hint="default" w:ascii="Times New Roman" w:hAnsi="Times New Roman" w:eastAsia="宋体" w:cs="Times New Roman"/>
          <w:color w:val="auto"/>
          <w:szCs w:val="21"/>
          <w:highlight w:val="none"/>
          <w:lang w:eastAsia="zh-CN"/>
        </w:rPr>
        <w:t>）其他</w:t>
      </w:r>
      <w:r>
        <w:rPr>
          <w:rFonts w:hint="default" w:ascii="Times New Roman" w:hAnsi="Times New Roman" w:eastAsia="宋体" w:cs="Times New Roman"/>
          <w:b w:val="0"/>
          <w:bCs/>
          <w:color w:val="auto"/>
          <w:sz w:val="21"/>
          <w:szCs w:val="21"/>
          <w:highlight w:val="none"/>
        </w:rPr>
        <w:t>相关资料。</w:t>
      </w:r>
    </w:p>
    <w:p w14:paraId="79A59444">
      <w:pPr>
        <w:pStyle w:val="19"/>
        <w:spacing w:before="63" w:line="360" w:lineRule="auto"/>
        <w:ind w:right="30" w:firstLine="2"/>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15"/>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b/>
          <w:bCs/>
          <w:color w:val="auto"/>
          <w:spacing w:val="15"/>
          <w:sz w:val="21"/>
          <w:szCs w:val="21"/>
          <w:highlight w:val="none"/>
          <w:lang w:val="en-US" w:eastAsia="zh-CN"/>
        </w:rPr>
        <w:t>.</w:t>
      </w:r>
      <w:r>
        <w:rPr>
          <w:rFonts w:hint="default" w:ascii="Times New Roman" w:hAnsi="Times New Roman" w:eastAsia="宋体" w:cs="Times New Roman"/>
          <w:b w:val="0"/>
          <w:bCs w:val="0"/>
          <w:color w:val="auto"/>
          <w:spacing w:val="15"/>
          <w:sz w:val="21"/>
          <w:szCs w:val="21"/>
          <w:highlight w:val="none"/>
          <w:lang w:val="en-US" w:eastAsia="zh-CN"/>
        </w:rPr>
        <w:t>12</w:t>
      </w:r>
      <w:r>
        <w:rPr>
          <w:rFonts w:hint="default" w:ascii="Times New Roman" w:hAnsi="Times New Roman" w:eastAsia="宋体" w:cs="Times New Roman"/>
          <w:color w:val="auto"/>
          <w:spacing w:val="15"/>
          <w:sz w:val="21"/>
          <w:szCs w:val="21"/>
          <w:highlight w:val="none"/>
        </w:rPr>
        <w:t xml:space="preserve">  </w:t>
      </w:r>
      <w:r>
        <w:rPr>
          <w:rFonts w:hint="default" w:ascii="Times New Roman" w:hAnsi="Times New Roman" w:eastAsia="宋体" w:cs="Times New Roman"/>
          <w:color w:val="auto"/>
          <w:spacing w:val="0"/>
          <w:sz w:val="21"/>
          <w:szCs w:val="21"/>
          <w:highlight w:val="none"/>
        </w:rPr>
        <w:t>下列事项引起的计量与计价风险应由承包人承担，承包人在响应报价中应予考虑，因其引起的合同价格和</w:t>
      </w:r>
      <w:r>
        <w:rPr>
          <w:rFonts w:hint="default"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或</w:t>
      </w:r>
      <w:r>
        <w:rPr>
          <w:rFonts w:hint="default"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工期变化应视为已包含在合同总价及合同工期内，除合同另有约定外，合同价格和工期不应予调整。</w:t>
      </w:r>
    </w:p>
    <w:p w14:paraId="7885EF8E">
      <w:pPr>
        <w:pStyle w:val="19"/>
        <w:spacing w:before="96" w:line="360" w:lineRule="auto"/>
        <w:ind w:left="0"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措施项目清单的准确性及完整性；</w:t>
      </w:r>
    </w:p>
    <w:p w14:paraId="58833744">
      <w:pPr>
        <w:pStyle w:val="19"/>
        <w:spacing w:before="82" w:line="360" w:lineRule="auto"/>
        <w:ind w:left="0" w:right="19"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采用总价合同的工程，已标价工程量清单存在的缺陷</w:t>
      </w:r>
      <w:r>
        <w:rPr>
          <w:rFonts w:hint="default"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单价计价的暂定数量清单项目除外</w:t>
      </w:r>
      <w:r>
        <w:rPr>
          <w:rFonts w:hint="default"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以及承包人为完成总价合同中合同图纸及合同规范所要求的工程、</w:t>
      </w:r>
      <w:r>
        <w:rPr>
          <w:rFonts w:hint="default" w:ascii="Times New Roman" w:hAnsi="Times New Roman" w:eastAsia="宋体" w:cs="Times New Roman"/>
          <w:color w:val="auto"/>
          <w:spacing w:val="0"/>
          <w:sz w:val="21"/>
          <w:szCs w:val="21"/>
          <w:highlight w:val="none"/>
          <w:lang w:eastAsia="zh-CN"/>
        </w:rPr>
        <w:t>自治区建设行政主管部门颁发的</w:t>
      </w:r>
      <w:r>
        <w:rPr>
          <w:rFonts w:hint="default" w:ascii="Times New Roman" w:hAnsi="Times New Roman" w:eastAsia="宋体" w:cs="Times New Roman"/>
          <w:color w:val="auto"/>
          <w:spacing w:val="0"/>
          <w:sz w:val="21"/>
          <w:szCs w:val="21"/>
          <w:highlight w:val="none"/>
        </w:rPr>
        <w:t>工程量计算</w:t>
      </w:r>
      <w:r>
        <w:rPr>
          <w:rFonts w:hint="default" w:ascii="Times New Roman" w:hAnsi="Times New Roman" w:eastAsia="宋体" w:cs="Times New Roman"/>
          <w:color w:val="auto"/>
          <w:spacing w:val="0"/>
          <w:sz w:val="21"/>
          <w:szCs w:val="21"/>
          <w:highlight w:val="none"/>
          <w:lang w:eastAsia="zh-CN"/>
        </w:rPr>
        <w:t>规范</w:t>
      </w:r>
      <w:r>
        <w:rPr>
          <w:rFonts w:hint="default" w:ascii="Times New Roman" w:hAnsi="Times New Roman" w:eastAsia="宋体" w:cs="Times New Roman"/>
          <w:color w:val="auto"/>
          <w:spacing w:val="0"/>
          <w:sz w:val="21"/>
          <w:szCs w:val="21"/>
          <w:highlight w:val="none"/>
        </w:rPr>
        <w:t>中工作内容说明的所有工作所需费用；</w:t>
      </w:r>
    </w:p>
    <w:p w14:paraId="6F419CF6">
      <w:pPr>
        <w:pStyle w:val="19"/>
        <w:spacing w:before="73" w:line="360" w:lineRule="auto"/>
        <w:ind w:left="0" w:right="8"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采用单价合同的工程，承包人为完成工程量清单及其项目特征所说明的工程、</w:t>
      </w:r>
      <w:r>
        <w:rPr>
          <w:rFonts w:hint="default" w:ascii="Times New Roman" w:hAnsi="Times New Roman" w:eastAsia="宋体" w:cs="Times New Roman"/>
          <w:b w:val="0"/>
          <w:bCs w:val="0"/>
          <w:color w:val="auto"/>
          <w:sz w:val="21"/>
          <w:szCs w:val="21"/>
          <w:highlight w:val="none"/>
          <w:lang w:val="en-US" w:eastAsia="zh-CN"/>
        </w:rPr>
        <w:t>自治区建设行政主管部门颁发的</w:t>
      </w:r>
      <w:r>
        <w:rPr>
          <w:rFonts w:hint="default" w:ascii="Times New Roman" w:hAnsi="Times New Roman" w:eastAsia="宋体" w:cs="Times New Roman"/>
          <w:color w:val="auto"/>
          <w:spacing w:val="0"/>
          <w:sz w:val="21"/>
          <w:szCs w:val="21"/>
          <w:highlight w:val="none"/>
        </w:rPr>
        <w:t>工程量计算</w:t>
      </w:r>
      <w:r>
        <w:rPr>
          <w:rFonts w:hint="default" w:ascii="Times New Roman" w:hAnsi="Times New Roman" w:eastAsia="宋体" w:cs="Times New Roman"/>
          <w:color w:val="auto"/>
          <w:spacing w:val="0"/>
          <w:sz w:val="21"/>
          <w:szCs w:val="21"/>
          <w:highlight w:val="none"/>
          <w:lang w:eastAsia="zh-CN"/>
        </w:rPr>
        <w:t>规范</w:t>
      </w:r>
      <w:r>
        <w:rPr>
          <w:rFonts w:hint="default" w:ascii="Times New Roman" w:hAnsi="Times New Roman" w:eastAsia="宋体" w:cs="Times New Roman"/>
          <w:color w:val="auto"/>
          <w:spacing w:val="0"/>
          <w:sz w:val="21"/>
          <w:szCs w:val="21"/>
          <w:highlight w:val="none"/>
        </w:rPr>
        <w:t>中工作内容说明的所有工作所需费用；</w:t>
      </w:r>
    </w:p>
    <w:p w14:paraId="2A95D866">
      <w:pPr>
        <w:pStyle w:val="19"/>
        <w:spacing w:before="94" w:line="360" w:lineRule="auto"/>
        <w:ind w:left="0"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承包人因自身原因引起实施方案变化引起的费用调整；</w:t>
      </w:r>
    </w:p>
    <w:p w14:paraId="7F966F41">
      <w:pPr>
        <w:pStyle w:val="19"/>
        <w:spacing w:before="73" w:line="360" w:lineRule="auto"/>
        <w:ind w:left="0"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承包人因施工机具使用、施工技术应用以及组织管理水平等自身原因造成的施工费用增加；</w:t>
      </w:r>
    </w:p>
    <w:p w14:paraId="5A881124">
      <w:pPr>
        <w:pStyle w:val="19"/>
        <w:spacing w:before="97" w:line="360" w:lineRule="auto"/>
        <w:ind w:left="0"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承包人因自身原因引起的赶工、停工或暂缓施</w:t>
      </w:r>
      <w:r>
        <w:rPr>
          <w:rFonts w:hint="default" w:ascii="Times New Roman" w:hAnsi="Times New Roman" w:eastAsia="宋体" w:cs="Times New Roman"/>
          <w:color w:val="auto"/>
          <w:spacing w:val="0"/>
          <w:sz w:val="21"/>
          <w:szCs w:val="21"/>
          <w:highlight w:val="none"/>
          <w:lang w:val="en-US"/>
        </w:rPr>
        <w:t>工</w:t>
      </w:r>
      <w:r>
        <w:rPr>
          <w:rFonts w:hint="default" w:ascii="Times New Roman" w:hAnsi="Times New Roman" w:eastAsia="宋体" w:cs="Times New Roman"/>
          <w:color w:val="auto"/>
          <w:spacing w:val="0"/>
          <w:sz w:val="21"/>
          <w:szCs w:val="21"/>
          <w:highlight w:val="none"/>
        </w:rPr>
        <w:t>；</w:t>
      </w:r>
    </w:p>
    <w:p w14:paraId="2BD872CA">
      <w:pPr>
        <w:pStyle w:val="19"/>
        <w:spacing w:before="72" w:line="360" w:lineRule="auto"/>
        <w:ind w:left="0"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pacing w:val="0"/>
          <w:sz w:val="21"/>
          <w:szCs w:val="21"/>
          <w:highlight w:val="none"/>
        </w:rPr>
        <w:t>未超出</w:t>
      </w:r>
      <w:r>
        <w:rPr>
          <w:rFonts w:hint="default" w:ascii="Times New Roman" w:hAnsi="Times New Roman" w:eastAsia="宋体" w:cs="Times New Roman"/>
          <w:color w:val="auto"/>
          <w:spacing w:val="0"/>
          <w:sz w:val="21"/>
          <w:szCs w:val="21"/>
          <w:highlight w:val="none"/>
          <w:lang w:eastAsia="zh-CN"/>
        </w:rPr>
        <w:t>采购</w:t>
      </w:r>
      <w:r>
        <w:rPr>
          <w:rFonts w:hint="default" w:ascii="Times New Roman" w:hAnsi="Times New Roman" w:eastAsia="宋体" w:cs="Times New Roman"/>
          <w:color w:val="auto"/>
          <w:spacing w:val="0"/>
          <w:sz w:val="21"/>
          <w:szCs w:val="21"/>
          <w:highlight w:val="none"/>
        </w:rPr>
        <w:t>文件、合同约定物价变化范围和波动幅度的市场物价变动；</w:t>
      </w:r>
    </w:p>
    <w:p w14:paraId="68B1464F">
      <w:pPr>
        <w:pStyle w:val="19"/>
        <w:spacing w:before="72" w:line="360" w:lineRule="auto"/>
        <w:ind w:left="0" w:firstLine="420" w:firstLineChars="200"/>
        <w:jc w:val="left"/>
        <w:rPr>
          <w:rFonts w:hint="default" w:ascii="Times New Roman" w:hAnsi="Times New Roman" w:eastAsia="宋体" w:cs="Times New Roman"/>
          <w:color w:val="auto"/>
          <w:spacing w:val="0"/>
          <w:sz w:val="21"/>
          <w:szCs w:val="21"/>
          <w:highlight w:val="none"/>
          <w:lang w:eastAsia="zh-CN"/>
        </w:rPr>
      </w:pPr>
      <w:r>
        <w:rPr>
          <w:rFonts w:hint="default"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pacing w:val="0"/>
          <w:sz w:val="21"/>
          <w:szCs w:val="21"/>
          <w:highlight w:val="none"/>
          <w:lang w:eastAsia="zh-CN"/>
        </w:rPr>
        <w:t>）</w:t>
      </w:r>
      <w:r>
        <w:rPr>
          <w:rFonts w:hint="default" w:ascii="Times New Roman" w:hAnsi="Times New Roman" w:eastAsia="宋体" w:cs="Times New Roman"/>
          <w:color w:val="auto"/>
          <w:spacing w:val="0"/>
          <w:sz w:val="21"/>
          <w:szCs w:val="21"/>
          <w:highlight w:val="none"/>
        </w:rPr>
        <w:t>其他应当由承包人承担责任的事项。</w:t>
      </w:r>
    </w:p>
    <w:p w14:paraId="0D977794">
      <w:pPr>
        <w:pageBreakBefore w:val="0"/>
        <w:widowControl/>
        <w:tabs>
          <w:tab w:val="left" w:pos="8647"/>
        </w:tabs>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13</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lang w:eastAsia="zh-CN"/>
        </w:rPr>
        <w:t>供应商</w:t>
      </w:r>
      <w:r>
        <w:rPr>
          <w:rFonts w:hint="default" w:ascii="Times New Roman" w:hAnsi="Times New Roman" w:eastAsia="宋体" w:cs="Times New Roman"/>
          <w:b w:val="0"/>
          <w:bCs w:val="0"/>
          <w:color w:val="auto"/>
          <w:sz w:val="21"/>
          <w:szCs w:val="21"/>
          <w:highlight w:val="none"/>
        </w:rPr>
        <w:t>按</w:t>
      </w:r>
      <w:r>
        <w:rPr>
          <w:rFonts w:hint="default" w:ascii="Times New Roman" w:hAnsi="Times New Roman" w:eastAsia="宋体" w:cs="Times New Roman"/>
          <w:b w:val="0"/>
          <w:bCs w:val="0"/>
          <w:color w:val="auto"/>
          <w:sz w:val="21"/>
          <w:szCs w:val="21"/>
          <w:highlight w:val="none"/>
          <w:lang w:val="zh-TW" w:eastAsia="zh-CN"/>
        </w:rPr>
        <w:t>自治区建设行政主管部门颁发的计算规范</w:t>
      </w:r>
      <w:r>
        <w:rPr>
          <w:rFonts w:hint="default" w:ascii="Times New Roman" w:hAnsi="Times New Roman" w:eastAsia="宋体" w:cs="Times New Roman"/>
          <w:b w:val="0"/>
          <w:bCs w:val="0"/>
          <w:color w:val="auto"/>
          <w:sz w:val="21"/>
          <w:szCs w:val="21"/>
          <w:highlight w:val="none"/>
        </w:rPr>
        <w:t>规定和</w:t>
      </w:r>
      <w:r>
        <w:rPr>
          <w:rFonts w:hint="default" w:ascii="Times New Roman" w:hAnsi="Times New Roman" w:eastAsia="宋体" w:cs="Times New Roman"/>
          <w:b w:val="0"/>
          <w:bCs w:val="0"/>
          <w:color w:val="auto"/>
          <w:sz w:val="21"/>
          <w:szCs w:val="21"/>
          <w:highlight w:val="none"/>
          <w:lang w:eastAsia="zh-CN"/>
        </w:rPr>
        <w:t>采购人</w:t>
      </w:r>
      <w:r>
        <w:rPr>
          <w:rFonts w:hint="default" w:ascii="Times New Roman" w:hAnsi="Times New Roman" w:eastAsia="宋体" w:cs="Times New Roman"/>
          <w:b w:val="0"/>
          <w:bCs w:val="0"/>
          <w:color w:val="auto"/>
          <w:sz w:val="21"/>
          <w:szCs w:val="21"/>
          <w:highlight w:val="none"/>
        </w:rPr>
        <w:t>补充的工程量计算规则，对分部分项工程项目清单的所有清单项目进行报价，其报价应满足下列因素对价格的要求</w:t>
      </w:r>
      <w:r>
        <w:rPr>
          <w:rFonts w:hint="default" w:ascii="Times New Roman" w:hAnsi="Times New Roman" w:eastAsia="宋体" w:cs="Times New Roman"/>
          <w:bCs/>
          <w:color w:val="auto"/>
          <w:sz w:val="21"/>
          <w:szCs w:val="21"/>
          <w:highlight w:val="none"/>
        </w:rPr>
        <w:t>：</w:t>
      </w:r>
    </w:p>
    <w:p w14:paraId="419EA15D">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Cs/>
          <w:color w:val="auto"/>
          <w:sz w:val="21"/>
          <w:szCs w:val="21"/>
          <w:highlight w:val="none"/>
        </w:rPr>
        <w:t>工程数量对材料采购及人工价格的影响；</w:t>
      </w:r>
    </w:p>
    <w:p w14:paraId="1DCC341D">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Cs/>
          <w:color w:val="auto"/>
          <w:sz w:val="21"/>
          <w:szCs w:val="21"/>
          <w:highlight w:val="none"/>
          <w:lang w:eastAsia="zh-CN"/>
        </w:rPr>
        <w:t>采购</w:t>
      </w:r>
      <w:r>
        <w:rPr>
          <w:rFonts w:hint="default" w:ascii="Times New Roman" w:hAnsi="Times New Roman" w:eastAsia="宋体" w:cs="Times New Roman"/>
          <w:bCs/>
          <w:color w:val="auto"/>
          <w:sz w:val="21"/>
          <w:szCs w:val="21"/>
          <w:highlight w:val="none"/>
        </w:rPr>
        <w:t>文件规定物价变化进行价格调整的清单项目，在调整的范围和波动幅度内市场物价变动及调整时段带来的承包风险的影响；</w:t>
      </w:r>
    </w:p>
    <w:p w14:paraId="5F9F39D5">
      <w:pPr>
        <w:pageBreakBefore w:val="0"/>
        <w:kinsoku/>
        <w:wordWrap/>
        <w:overflowPunct/>
        <w:topLinePunct w:val="0"/>
        <w:autoSpaceDE/>
        <w:autoSpaceDN/>
        <w:bidi w:val="0"/>
        <w:adjustRightInd/>
        <w:snapToGrid/>
        <w:spacing w:line="360" w:lineRule="auto"/>
        <w:ind w:left="0" w:leftChars="0" w:firstLine="424" w:firstLineChars="202"/>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Cs/>
          <w:color w:val="auto"/>
          <w:sz w:val="21"/>
          <w:szCs w:val="21"/>
          <w:highlight w:val="none"/>
          <w:lang w:eastAsia="zh-CN"/>
        </w:rPr>
        <w:t>采购</w:t>
      </w:r>
      <w:r>
        <w:rPr>
          <w:rFonts w:hint="default" w:ascii="Times New Roman" w:hAnsi="Times New Roman" w:eastAsia="宋体" w:cs="Times New Roman"/>
          <w:bCs/>
          <w:color w:val="auto"/>
          <w:sz w:val="21"/>
          <w:szCs w:val="21"/>
          <w:highlight w:val="none"/>
        </w:rPr>
        <w:t>文件未规定物价变化进行价格调整的清单项目的材料费、人工费、施工机具使用费等市场价格波动的影响；</w:t>
      </w:r>
    </w:p>
    <w:p w14:paraId="3A2AA283">
      <w:pPr>
        <w:pageBreakBefore w:val="0"/>
        <w:kinsoku/>
        <w:wordWrap/>
        <w:overflowPunct/>
        <w:topLinePunct w:val="0"/>
        <w:autoSpaceDE/>
        <w:autoSpaceDN/>
        <w:bidi w:val="0"/>
        <w:adjustRightInd/>
        <w:snapToGrid/>
        <w:spacing w:line="360" w:lineRule="auto"/>
        <w:ind w:left="0" w:leftChars="0" w:firstLine="424" w:firstLineChars="202"/>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Cs/>
          <w:strike w:val="0"/>
          <w:color w:val="auto"/>
          <w:sz w:val="21"/>
          <w:szCs w:val="21"/>
          <w:highlight w:val="none"/>
        </w:rPr>
        <w:t>单价合同</w:t>
      </w:r>
      <w:r>
        <w:rPr>
          <w:rFonts w:hint="default" w:ascii="Times New Roman" w:hAnsi="Times New Roman" w:eastAsia="宋体" w:cs="Times New Roman"/>
          <w:bCs/>
          <w:color w:val="auto"/>
          <w:sz w:val="21"/>
          <w:szCs w:val="21"/>
          <w:highlight w:val="none"/>
        </w:rPr>
        <w:t>工程量清单缺陷价格调整和工程变更计价规定的工程数量变化带来的承包风险的影响；</w:t>
      </w:r>
    </w:p>
    <w:p w14:paraId="56B13C53">
      <w:pPr>
        <w:pageBreakBefore w:val="0"/>
        <w:kinsoku/>
        <w:wordWrap/>
        <w:overflowPunct/>
        <w:topLinePunct w:val="0"/>
        <w:autoSpaceDE/>
        <w:autoSpaceDN/>
        <w:bidi w:val="0"/>
        <w:adjustRightInd/>
        <w:snapToGrid/>
        <w:spacing w:line="360" w:lineRule="auto"/>
        <w:ind w:left="0" w:leftChars="0" w:firstLine="424" w:firstLineChars="202"/>
        <w:jc w:val="left"/>
        <w:textAlignment w:val="auto"/>
        <w:rPr>
          <w:rFonts w:hint="default" w:ascii="Times New Roman" w:hAnsi="Times New Roman" w:eastAsia="宋体" w:cs="Times New Roman"/>
          <w:bCs/>
          <w:strike w:val="0"/>
          <w:color w:val="auto"/>
          <w:sz w:val="21"/>
          <w:szCs w:val="21"/>
          <w:highlight w:val="none"/>
          <w:lang w:val="en-US"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Cs/>
          <w:strike w:val="0"/>
          <w:color w:val="auto"/>
          <w:sz w:val="21"/>
          <w:szCs w:val="21"/>
          <w:highlight w:val="none"/>
        </w:rPr>
        <w:t>总价合同工程量清单缺陷责任及价格包干规定，以及工程变更计价规则带来的承包风险的影响；</w:t>
      </w:r>
    </w:p>
    <w:p w14:paraId="27C10512">
      <w:pPr>
        <w:pageBreakBefore w:val="0"/>
        <w:kinsoku/>
        <w:wordWrap/>
        <w:overflowPunct/>
        <w:topLinePunct w:val="0"/>
        <w:autoSpaceDE/>
        <w:autoSpaceDN/>
        <w:bidi w:val="0"/>
        <w:adjustRightInd/>
        <w:snapToGrid/>
        <w:spacing w:line="360" w:lineRule="auto"/>
        <w:ind w:left="0" w:leftChars="0" w:firstLine="424" w:firstLineChars="202"/>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bCs/>
          <w:strike w:val="0"/>
          <w:color w:val="auto"/>
          <w:sz w:val="21"/>
          <w:szCs w:val="21"/>
          <w:highlight w:val="none"/>
        </w:rPr>
        <w:t>除</w:t>
      </w:r>
      <w:r>
        <w:rPr>
          <w:rFonts w:hint="default" w:ascii="Times New Roman" w:hAnsi="Times New Roman" w:eastAsia="宋体" w:cs="Times New Roman"/>
          <w:bCs/>
          <w:strike w:val="0"/>
          <w:color w:val="auto"/>
          <w:sz w:val="21"/>
          <w:szCs w:val="21"/>
          <w:highlight w:val="none"/>
          <w:lang w:val="en-US" w:eastAsia="zh-CN"/>
        </w:rPr>
        <w:t>采购文件中</w:t>
      </w:r>
      <w:r>
        <w:rPr>
          <w:rFonts w:hint="default" w:ascii="Times New Roman" w:hAnsi="Times New Roman" w:eastAsia="宋体" w:cs="Times New Roman"/>
          <w:bCs/>
          <w:strike w:val="0"/>
          <w:color w:val="auto"/>
          <w:sz w:val="21"/>
          <w:szCs w:val="21"/>
          <w:highlight w:val="none"/>
        </w:rPr>
        <w:t>合同价款调整外，总价合同及单价合同中</w:t>
      </w:r>
      <w:r>
        <w:rPr>
          <w:rFonts w:hint="default" w:ascii="Times New Roman" w:hAnsi="Times New Roman" w:eastAsia="宋体" w:cs="Times New Roman"/>
          <w:bCs/>
          <w:color w:val="auto"/>
          <w:sz w:val="21"/>
          <w:szCs w:val="21"/>
          <w:highlight w:val="none"/>
        </w:rPr>
        <w:t>综合单价不作调整</w:t>
      </w:r>
      <w:r>
        <w:rPr>
          <w:rFonts w:hint="default" w:ascii="Times New Roman" w:hAnsi="Times New Roman" w:eastAsia="宋体" w:cs="Times New Roman"/>
          <w:bCs/>
          <w:color w:val="auto"/>
          <w:sz w:val="21"/>
          <w:szCs w:val="21"/>
          <w:highlight w:val="none"/>
          <w:lang w:val="en-US" w:eastAsia="zh-CN"/>
        </w:rPr>
        <w:t>的</w:t>
      </w:r>
      <w:r>
        <w:rPr>
          <w:rFonts w:hint="default" w:ascii="Times New Roman" w:hAnsi="Times New Roman" w:eastAsia="宋体" w:cs="Times New Roman"/>
          <w:bCs/>
          <w:color w:val="auto"/>
          <w:sz w:val="21"/>
          <w:szCs w:val="21"/>
          <w:highlight w:val="none"/>
        </w:rPr>
        <w:t>规定所引</w:t>
      </w:r>
      <w:r>
        <w:rPr>
          <w:rFonts w:hint="default" w:ascii="Times New Roman" w:hAnsi="Times New Roman" w:eastAsia="宋体" w:cs="Times New Roman"/>
          <w:bCs/>
          <w:color w:val="auto"/>
          <w:sz w:val="21"/>
          <w:szCs w:val="21"/>
          <w:highlight w:val="none"/>
          <w:lang w:val="en-US" w:eastAsia="zh-CN"/>
        </w:rPr>
        <w:t>起</w:t>
      </w:r>
      <w:r>
        <w:rPr>
          <w:rFonts w:hint="default" w:ascii="Times New Roman" w:hAnsi="Times New Roman" w:eastAsia="宋体" w:cs="Times New Roman"/>
          <w:bCs/>
          <w:color w:val="auto"/>
          <w:sz w:val="21"/>
          <w:szCs w:val="21"/>
          <w:highlight w:val="none"/>
        </w:rPr>
        <w:t>的承包风险</w:t>
      </w:r>
      <w:r>
        <w:rPr>
          <w:rFonts w:hint="default" w:ascii="Times New Roman" w:hAnsi="Times New Roman" w:eastAsia="宋体" w:cs="Times New Roman"/>
          <w:bCs/>
          <w:strike w:val="0"/>
          <w:color w:val="auto"/>
          <w:sz w:val="21"/>
          <w:szCs w:val="21"/>
          <w:highlight w:val="none"/>
        </w:rPr>
        <w:t>的影响</w:t>
      </w:r>
      <w:r>
        <w:rPr>
          <w:rFonts w:hint="default" w:ascii="Times New Roman" w:hAnsi="Times New Roman" w:eastAsia="宋体" w:cs="Times New Roman"/>
          <w:bCs/>
          <w:strike w:val="0"/>
          <w:color w:val="auto"/>
          <w:sz w:val="21"/>
          <w:szCs w:val="21"/>
          <w:highlight w:val="none"/>
          <w:lang w:eastAsia="zh-CN"/>
        </w:rPr>
        <w:t>；</w:t>
      </w:r>
    </w:p>
    <w:p w14:paraId="5AAE9A00">
      <w:pPr>
        <w:pageBreakBefore w:val="0"/>
        <w:widowControl/>
        <w:tabs>
          <w:tab w:val="left" w:pos="8647"/>
        </w:tabs>
        <w:kinsoku/>
        <w:wordWrap/>
        <w:overflowPunct/>
        <w:topLinePunct w:val="0"/>
        <w:autoSpaceDE/>
        <w:autoSpaceDN/>
        <w:bidi w:val="0"/>
        <w:adjustRightInd/>
        <w:snapToGrid/>
        <w:spacing w:line="360" w:lineRule="auto"/>
        <w:ind w:left="0" w:leftChars="0" w:firstLine="424" w:firstLineChars="202"/>
        <w:jc w:val="left"/>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7</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供应商可根据实际情况对</w:t>
      </w:r>
      <w:r>
        <w:rPr>
          <w:rFonts w:hint="default" w:ascii="Times New Roman" w:hAnsi="Times New Roman" w:eastAsia="宋体" w:cs="Times New Roman"/>
          <w:b w:val="0"/>
          <w:bCs/>
          <w:color w:val="auto"/>
          <w:sz w:val="21"/>
          <w:szCs w:val="21"/>
          <w:highlight w:val="none"/>
          <w:lang w:val="en-US" w:eastAsia="zh-CN"/>
        </w:rPr>
        <w:t>采购人提供的分部分项工程预算清单项目中的主要材料消耗量进行调整。</w:t>
      </w:r>
    </w:p>
    <w:p w14:paraId="4308BFFD">
      <w:pPr>
        <w:pageBreakBefore w:val="0"/>
        <w:widowControl/>
        <w:tabs>
          <w:tab w:val="left" w:pos="8647"/>
        </w:tabs>
        <w:kinsoku/>
        <w:wordWrap/>
        <w:overflowPunct/>
        <w:topLinePunct w:val="0"/>
        <w:autoSpaceDE/>
        <w:autoSpaceDN/>
        <w:bidi w:val="0"/>
        <w:adjustRightInd/>
        <w:snapToGrid/>
        <w:spacing w:line="360" w:lineRule="auto"/>
        <w:ind w:left="0" w:leftChars="0" w:firstLine="420" w:firstLineChars="200"/>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14</w:t>
      </w:r>
      <w:r>
        <w:rPr>
          <w:rFonts w:hint="default" w:ascii="Times New Roman" w:hAnsi="Times New Roman" w:eastAsia="宋体" w:cs="Times New Roman"/>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rPr>
        <w:t>对分部分项工程项目清单中按项计价的项目，</w:t>
      </w:r>
      <w:r>
        <w:rPr>
          <w:rFonts w:hint="default" w:ascii="Times New Roman" w:hAnsi="Times New Roman" w:eastAsia="宋体" w:cs="Times New Roman"/>
          <w:b w:val="0"/>
          <w:bCs w:val="0"/>
          <w:color w:val="auto"/>
          <w:sz w:val="21"/>
          <w:szCs w:val="21"/>
          <w:highlight w:val="none"/>
          <w:lang w:eastAsia="zh-CN"/>
        </w:rPr>
        <w:t>供应商</w:t>
      </w:r>
      <w:r>
        <w:rPr>
          <w:rFonts w:hint="default" w:ascii="Times New Roman" w:hAnsi="Times New Roman" w:eastAsia="宋体" w:cs="Times New Roman"/>
          <w:b w:val="0"/>
          <w:bCs w:val="0"/>
          <w:color w:val="auto"/>
          <w:sz w:val="21"/>
          <w:szCs w:val="21"/>
          <w:highlight w:val="none"/>
        </w:rPr>
        <w:t>应按其项目特征的工作内容、自身的实施方案、市场合理价格，以及履行</w:t>
      </w:r>
      <w:r>
        <w:rPr>
          <w:rFonts w:hint="default" w:ascii="Times New Roman" w:hAnsi="Times New Roman" w:eastAsia="宋体" w:cs="Times New Roman"/>
          <w:b w:val="0"/>
          <w:bCs w:val="0"/>
          <w:color w:val="auto"/>
          <w:sz w:val="21"/>
          <w:szCs w:val="21"/>
          <w:highlight w:val="none"/>
          <w:lang w:eastAsia="zh-CN"/>
        </w:rPr>
        <w:t>采购</w:t>
      </w:r>
      <w:r>
        <w:rPr>
          <w:rFonts w:hint="default" w:ascii="Times New Roman" w:hAnsi="Times New Roman" w:eastAsia="宋体" w:cs="Times New Roman"/>
          <w:b w:val="0"/>
          <w:bCs w:val="0"/>
          <w:color w:val="auto"/>
          <w:sz w:val="21"/>
          <w:szCs w:val="21"/>
          <w:highlight w:val="none"/>
        </w:rPr>
        <w:t>图纸和技术标准规范要求、工程变更价格调整引起的承包风险，对按项计价项目进行</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b w:val="0"/>
          <w:bCs w:val="0"/>
          <w:color w:val="auto"/>
          <w:sz w:val="21"/>
          <w:szCs w:val="21"/>
          <w:highlight w:val="none"/>
        </w:rPr>
        <w:t>报价。除合同另有约定外，按项计价项目报价为包干价，工程结算时不应做调整。</w:t>
      </w:r>
    </w:p>
    <w:p w14:paraId="77DAD350">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15</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rPr>
        <w:t>对分部分项工程项目清单中发包人提供材料的清单项目，</w:t>
      </w:r>
      <w:r>
        <w:rPr>
          <w:rFonts w:hint="default" w:ascii="Times New Roman" w:hAnsi="Times New Roman" w:eastAsia="宋体" w:cs="Times New Roman"/>
          <w:b w:val="0"/>
          <w:bCs w:val="0"/>
          <w:color w:val="auto"/>
          <w:sz w:val="21"/>
          <w:szCs w:val="21"/>
          <w:highlight w:val="none"/>
          <w:lang w:eastAsia="zh-CN"/>
        </w:rPr>
        <w:t>供应商</w:t>
      </w:r>
      <w:r>
        <w:rPr>
          <w:rFonts w:hint="default" w:ascii="Times New Roman" w:hAnsi="Times New Roman" w:eastAsia="宋体" w:cs="Times New Roman"/>
          <w:b w:val="0"/>
          <w:bCs w:val="0"/>
          <w:color w:val="auto"/>
          <w:sz w:val="21"/>
          <w:szCs w:val="21"/>
          <w:highlight w:val="none"/>
        </w:rPr>
        <w:t>应按</w:t>
      </w:r>
      <w:r>
        <w:rPr>
          <w:rFonts w:hint="default" w:ascii="Times New Roman" w:hAnsi="Times New Roman" w:eastAsia="宋体" w:cs="Times New Roman"/>
          <w:b w:val="0"/>
          <w:bCs w:val="0"/>
          <w:color w:val="auto"/>
          <w:sz w:val="21"/>
          <w:szCs w:val="21"/>
          <w:highlight w:val="none"/>
          <w:lang w:eastAsia="zh-CN"/>
        </w:rPr>
        <w:t>采购</w:t>
      </w:r>
      <w:r>
        <w:rPr>
          <w:rFonts w:hint="default" w:ascii="Times New Roman" w:hAnsi="Times New Roman" w:eastAsia="宋体" w:cs="Times New Roman"/>
          <w:b w:val="0"/>
          <w:bCs w:val="0"/>
          <w:color w:val="auto"/>
          <w:sz w:val="21"/>
          <w:szCs w:val="21"/>
          <w:highlight w:val="none"/>
        </w:rPr>
        <w:t>文件说明的发包人提供材料的规格型号，对发包人提供材料的清单项目进行安装报价</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rPr>
        <w:t>并应满足工程数量对人工价格变化、</w:t>
      </w:r>
      <w:r>
        <w:rPr>
          <w:rFonts w:hint="default" w:ascii="Times New Roman" w:hAnsi="Times New Roman" w:eastAsia="宋体" w:cs="Times New Roman"/>
          <w:b w:val="0"/>
          <w:bCs w:val="0"/>
          <w:color w:val="auto"/>
          <w:sz w:val="21"/>
          <w:szCs w:val="21"/>
          <w:highlight w:val="none"/>
          <w:lang w:eastAsia="zh-CN"/>
        </w:rPr>
        <w:t>采购</w:t>
      </w:r>
      <w:r>
        <w:rPr>
          <w:rFonts w:hint="default" w:ascii="Times New Roman" w:hAnsi="Times New Roman" w:eastAsia="宋体" w:cs="Times New Roman"/>
          <w:b w:val="0"/>
          <w:bCs w:val="0"/>
          <w:color w:val="auto"/>
          <w:sz w:val="21"/>
          <w:szCs w:val="21"/>
          <w:highlight w:val="none"/>
        </w:rPr>
        <w:t>文件规定的有效损耗率、自身原因超耗使用材料产生的承包风险等要求。</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b w:val="0"/>
          <w:bCs w:val="0"/>
          <w:color w:val="auto"/>
          <w:sz w:val="21"/>
          <w:szCs w:val="21"/>
          <w:highlight w:val="none"/>
        </w:rPr>
        <w:t>报价的综合单价及总价不应包含发包人提供材料的供货人将相关的材料运抵交货地点、完成卸货的费用。</w:t>
      </w:r>
    </w:p>
    <w:p w14:paraId="7DA888F6">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color w:val="auto"/>
          <w:szCs w:val="21"/>
          <w:highlight w:val="none"/>
          <w:lang w:val="en-US" w:eastAsia="zh-CN"/>
        </w:rPr>
        <w:t>3.16</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rPr>
        <w:t>对分部分项工程项目清单中载明材料暂估价的清单项目，应按</w:t>
      </w:r>
      <w:r>
        <w:rPr>
          <w:rFonts w:hint="default" w:ascii="Times New Roman" w:hAnsi="Times New Roman" w:eastAsia="宋体" w:cs="Times New Roman"/>
          <w:b w:val="0"/>
          <w:bCs w:val="0"/>
          <w:color w:val="auto"/>
          <w:sz w:val="21"/>
          <w:szCs w:val="21"/>
          <w:highlight w:val="none"/>
          <w:lang w:val="en-US" w:eastAsia="zh-CN"/>
        </w:rPr>
        <w:t>采购</w:t>
      </w:r>
      <w:r>
        <w:rPr>
          <w:rFonts w:hint="default" w:ascii="Times New Roman" w:hAnsi="Times New Roman" w:eastAsia="宋体" w:cs="Times New Roman"/>
          <w:b w:val="0"/>
          <w:bCs w:val="0"/>
          <w:color w:val="auto"/>
          <w:sz w:val="21"/>
          <w:szCs w:val="21"/>
          <w:highlight w:val="none"/>
          <w:lang w:val="en-US"/>
        </w:rPr>
        <w:t>人提供的</w:t>
      </w:r>
      <w:r>
        <w:rPr>
          <w:rFonts w:hint="default" w:ascii="Times New Roman" w:hAnsi="Times New Roman" w:eastAsia="宋体" w:cs="Times New Roman"/>
          <w:b w:val="0"/>
          <w:bCs w:val="0"/>
          <w:color w:val="auto"/>
          <w:sz w:val="21"/>
          <w:szCs w:val="21"/>
          <w:highlight w:val="none"/>
        </w:rPr>
        <w:t>工程量清单</w:t>
      </w:r>
      <w:r>
        <w:rPr>
          <w:rFonts w:hint="default" w:ascii="Times New Roman" w:hAnsi="Times New Roman" w:eastAsia="宋体" w:cs="Times New Roman"/>
          <w:b w:val="0"/>
          <w:bCs w:val="0"/>
          <w:color w:val="auto"/>
          <w:sz w:val="21"/>
          <w:szCs w:val="21"/>
          <w:highlight w:val="none"/>
          <w:lang w:val="en-US"/>
        </w:rPr>
        <w:t>中的《</w:t>
      </w:r>
      <w:r>
        <w:rPr>
          <w:rFonts w:hint="default" w:ascii="Times New Roman" w:hAnsi="Times New Roman" w:eastAsia="宋体" w:cs="Times New Roman"/>
          <w:b w:val="0"/>
          <w:bCs w:val="0"/>
          <w:color w:val="auto"/>
          <w:sz w:val="21"/>
          <w:szCs w:val="21"/>
          <w:highlight w:val="none"/>
          <w:lang w:val="en"/>
        </w:rPr>
        <w:t>材料暂估价</w:t>
      </w:r>
      <w:r>
        <w:rPr>
          <w:rFonts w:hint="default" w:ascii="Times New Roman" w:hAnsi="Times New Roman" w:eastAsia="宋体" w:cs="Times New Roman"/>
          <w:b w:val="0"/>
          <w:bCs w:val="0"/>
          <w:color w:val="auto"/>
          <w:sz w:val="21"/>
          <w:szCs w:val="21"/>
          <w:highlight w:val="none"/>
          <w:lang w:val="en-US" w:eastAsia="zh-CN"/>
        </w:rPr>
        <w:t>明细</w:t>
      </w:r>
      <w:r>
        <w:rPr>
          <w:rFonts w:hint="default" w:ascii="Times New Roman" w:hAnsi="Times New Roman" w:eastAsia="宋体" w:cs="Times New Roman"/>
          <w:b w:val="0"/>
          <w:bCs w:val="0"/>
          <w:color w:val="auto"/>
          <w:sz w:val="21"/>
          <w:szCs w:val="21"/>
          <w:highlight w:val="none"/>
          <w:lang w:val="en-US"/>
        </w:rPr>
        <w:t>表》</w:t>
      </w:r>
      <w:r>
        <w:rPr>
          <w:rFonts w:hint="default" w:ascii="Times New Roman" w:hAnsi="Times New Roman" w:eastAsia="宋体" w:cs="Times New Roman"/>
          <w:b w:val="0"/>
          <w:bCs w:val="0"/>
          <w:color w:val="auto"/>
          <w:sz w:val="21"/>
          <w:szCs w:val="21"/>
          <w:highlight w:val="none"/>
        </w:rPr>
        <w:t>载明的</w:t>
      </w:r>
      <w:r>
        <w:rPr>
          <w:rFonts w:hint="default" w:ascii="Times New Roman" w:hAnsi="Times New Roman" w:eastAsia="宋体" w:cs="Times New Roman"/>
          <w:b w:val="0"/>
          <w:bCs w:val="0"/>
          <w:color w:val="auto"/>
          <w:sz w:val="21"/>
          <w:szCs w:val="21"/>
          <w:highlight w:val="none"/>
          <w:lang w:eastAsia="zh-CN"/>
        </w:rPr>
        <w:t>材料</w:t>
      </w:r>
      <w:r>
        <w:rPr>
          <w:rFonts w:hint="default" w:ascii="Times New Roman" w:hAnsi="Times New Roman" w:eastAsia="宋体" w:cs="Times New Roman"/>
          <w:b w:val="0"/>
          <w:bCs w:val="0"/>
          <w:color w:val="auto"/>
          <w:sz w:val="21"/>
          <w:szCs w:val="21"/>
          <w:highlight w:val="none"/>
        </w:rPr>
        <w:t>暂估</w:t>
      </w:r>
      <w:r>
        <w:rPr>
          <w:rFonts w:hint="default" w:ascii="Times New Roman" w:hAnsi="Times New Roman" w:eastAsia="宋体" w:cs="Times New Roman"/>
          <w:b w:val="0"/>
          <w:bCs w:val="0"/>
          <w:color w:val="auto"/>
          <w:sz w:val="21"/>
          <w:szCs w:val="21"/>
          <w:highlight w:val="none"/>
          <w:lang w:eastAsia="zh-CN"/>
        </w:rPr>
        <w:t>单</w:t>
      </w:r>
      <w:r>
        <w:rPr>
          <w:rFonts w:hint="default" w:ascii="Times New Roman" w:hAnsi="Times New Roman" w:eastAsia="宋体" w:cs="Times New Roman"/>
          <w:b w:val="0"/>
          <w:bCs w:val="0"/>
          <w:color w:val="auto"/>
          <w:sz w:val="21"/>
          <w:szCs w:val="21"/>
          <w:highlight w:val="none"/>
        </w:rPr>
        <w:t>价计入</w:t>
      </w:r>
      <w:r>
        <w:rPr>
          <w:rFonts w:hint="default" w:ascii="Times New Roman" w:hAnsi="Times New Roman" w:eastAsia="宋体" w:cs="Times New Roman"/>
          <w:b w:val="0"/>
          <w:bCs w:val="0"/>
          <w:color w:val="auto"/>
          <w:sz w:val="21"/>
          <w:szCs w:val="21"/>
          <w:highlight w:val="none"/>
          <w:lang w:val="en-US" w:eastAsia="zh-CN"/>
        </w:rPr>
        <w:t>其他项目清单</w:t>
      </w:r>
      <w:r>
        <w:rPr>
          <w:rFonts w:hint="default" w:ascii="Times New Roman" w:hAnsi="Times New Roman" w:eastAsia="宋体" w:cs="Times New Roman"/>
          <w:b w:val="0"/>
          <w:bCs w:val="0"/>
          <w:color w:val="auto"/>
          <w:sz w:val="21"/>
          <w:szCs w:val="21"/>
          <w:highlight w:val="none"/>
          <w:lang w:val="en-US"/>
        </w:rPr>
        <w:t>费用，</w:t>
      </w:r>
      <w:r>
        <w:rPr>
          <w:rFonts w:hint="default" w:ascii="Times New Roman" w:hAnsi="Times New Roman" w:eastAsia="宋体" w:cs="Times New Roman"/>
          <w:b w:val="0"/>
          <w:bCs w:val="0"/>
          <w:color w:val="auto"/>
          <w:sz w:val="21"/>
          <w:szCs w:val="21"/>
          <w:highlight w:val="none"/>
          <w:lang w:eastAsia="zh-CN"/>
        </w:rPr>
        <w:t>不计入</w:t>
      </w:r>
      <w:r>
        <w:rPr>
          <w:rFonts w:hint="default" w:ascii="Times New Roman" w:hAnsi="Times New Roman" w:eastAsia="宋体" w:cs="Times New Roman"/>
          <w:b w:val="0"/>
          <w:bCs w:val="0"/>
          <w:color w:val="auto"/>
          <w:sz w:val="21"/>
          <w:szCs w:val="21"/>
          <w:highlight w:val="none"/>
          <w:lang w:val="en-US" w:eastAsia="zh-CN"/>
        </w:rPr>
        <w:t>清单项目</w:t>
      </w:r>
      <w:r>
        <w:rPr>
          <w:rFonts w:hint="default" w:ascii="Times New Roman" w:hAnsi="Times New Roman" w:eastAsia="宋体" w:cs="Times New Roman"/>
          <w:b w:val="0"/>
          <w:bCs w:val="0"/>
          <w:color w:val="auto"/>
          <w:sz w:val="21"/>
          <w:szCs w:val="21"/>
          <w:highlight w:val="none"/>
          <w:lang w:eastAsia="zh-CN"/>
        </w:rPr>
        <w:t>综合单价中，</w:t>
      </w:r>
      <w:r>
        <w:rPr>
          <w:rFonts w:hint="default" w:ascii="Times New Roman" w:hAnsi="Times New Roman" w:eastAsia="宋体" w:cs="Times New Roman"/>
          <w:b w:val="0"/>
          <w:bCs w:val="0"/>
          <w:color w:val="auto"/>
          <w:sz w:val="21"/>
          <w:szCs w:val="21"/>
          <w:highlight w:val="none"/>
          <w:lang w:val="en-US" w:eastAsia="zh-CN"/>
        </w:rPr>
        <w:t>清单项目</w:t>
      </w:r>
      <w:r>
        <w:rPr>
          <w:rFonts w:hint="default" w:ascii="Times New Roman" w:hAnsi="Times New Roman" w:eastAsia="宋体" w:cs="Times New Roman"/>
          <w:b w:val="0"/>
          <w:bCs w:val="0"/>
          <w:color w:val="auto"/>
          <w:sz w:val="21"/>
          <w:szCs w:val="21"/>
          <w:highlight w:val="none"/>
          <w:lang w:val="en-US"/>
        </w:rPr>
        <w:t>仅包含</w:t>
      </w:r>
      <w:r>
        <w:rPr>
          <w:rFonts w:hint="default" w:ascii="Times New Roman" w:hAnsi="Times New Roman" w:eastAsia="宋体" w:cs="Times New Roman"/>
          <w:b w:val="0"/>
          <w:bCs w:val="0"/>
          <w:color w:val="auto"/>
          <w:sz w:val="21"/>
          <w:szCs w:val="21"/>
          <w:highlight w:val="none"/>
          <w:lang w:val="en-US" w:eastAsia="zh-CN"/>
        </w:rPr>
        <w:t>安装费用</w:t>
      </w:r>
      <w:r>
        <w:rPr>
          <w:rFonts w:hint="default" w:ascii="Times New Roman" w:hAnsi="Times New Roman" w:eastAsia="宋体" w:cs="Times New Roman"/>
          <w:b w:val="0"/>
          <w:bCs w:val="0"/>
          <w:color w:val="auto"/>
          <w:sz w:val="21"/>
          <w:szCs w:val="21"/>
          <w:highlight w:val="none"/>
        </w:rPr>
        <w:t>。</w:t>
      </w:r>
    </w:p>
    <w:p w14:paraId="153859D5">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
          <w:bCs/>
          <w:color w:val="auto"/>
          <w:sz w:val="21"/>
          <w:szCs w:val="21"/>
          <w:highlight w:val="none"/>
          <w:lang w:val="zh-TW" w:eastAsia="zh-CN"/>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.17</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lang w:eastAsia="zh-CN"/>
        </w:rPr>
        <w:t>供应商</w:t>
      </w:r>
      <w:r>
        <w:rPr>
          <w:rFonts w:hint="default" w:ascii="Times New Roman" w:hAnsi="Times New Roman" w:eastAsia="宋体" w:cs="Times New Roman"/>
          <w:b w:val="0"/>
          <w:bCs w:val="0"/>
          <w:color w:val="auto"/>
          <w:sz w:val="21"/>
          <w:szCs w:val="21"/>
          <w:highlight w:val="none"/>
        </w:rPr>
        <w:t>应按自身的工程实施方案及</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b w:val="0"/>
          <w:bCs w:val="0"/>
          <w:color w:val="auto"/>
          <w:sz w:val="21"/>
          <w:szCs w:val="21"/>
          <w:highlight w:val="none"/>
        </w:rPr>
        <w:t>工期、</w:t>
      </w:r>
      <w:r>
        <w:rPr>
          <w:rFonts w:hint="default" w:ascii="Times New Roman" w:hAnsi="Times New Roman" w:eastAsia="宋体" w:cs="Times New Roman"/>
          <w:b w:val="0"/>
          <w:bCs w:val="0"/>
          <w:color w:val="auto"/>
          <w:sz w:val="21"/>
          <w:szCs w:val="21"/>
          <w:highlight w:val="none"/>
          <w:u w:val="none"/>
        </w:rPr>
        <w:t>拟定的措施项目</w:t>
      </w:r>
      <w:r>
        <w:rPr>
          <w:rFonts w:hint="default" w:ascii="Times New Roman" w:hAnsi="Times New Roman" w:eastAsia="宋体" w:cs="Times New Roman"/>
          <w:b w:val="0"/>
          <w:bCs w:val="0"/>
          <w:color w:val="auto"/>
          <w:sz w:val="21"/>
          <w:szCs w:val="21"/>
          <w:highlight w:val="none"/>
        </w:rPr>
        <w:t>，对措施项目清单进行自主报价。措施项目清单的报价应满足下列因素对价格影响的要求：</w:t>
      </w:r>
    </w:p>
    <w:p w14:paraId="222663F4">
      <w:pPr>
        <w:pStyle w:val="19"/>
        <w:keepNext w:val="0"/>
        <w:pageBreakBefore w:val="0"/>
        <w:kinsoku/>
        <w:wordWrap/>
        <w:overflowPunct/>
        <w:topLinePunct w:val="0"/>
        <w:autoSpaceDN/>
        <w:bidi w:val="0"/>
        <w:adjustRightInd/>
        <w:snapToGrid/>
        <w:spacing w:before="0" w:line="360" w:lineRule="auto"/>
        <w:ind w:left="0" w:right="0" w:firstLine="420" w:firstLineChars="200"/>
        <w:jc w:val="left"/>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b w:val="0"/>
          <w:bCs w:val="0"/>
          <w:color w:val="auto"/>
          <w:kern w:val="2"/>
          <w:sz w:val="21"/>
          <w:szCs w:val="21"/>
          <w:highlight w:val="none"/>
          <w:lang w:val="en-US" w:eastAsia="zh-CN" w:bidi="ar-SA"/>
        </w:rPr>
        <w:t>本</w:t>
      </w:r>
      <w:r>
        <w:rPr>
          <w:rFonts w:hint="default" w:ascii="Times New Roman" w:hAnsi="Times New Roman" w:eastAsia="宋体" w:cs="Times New Roman"/>
          <w:b w:val="0"/>
          <w:bCs w:val="0"/>
          <w:color w:val="auto"/>
          <w:kern w:val="2"/>
          <w:sz w:val="21"/>
          <w:szCs w:val="21"/>
          <w:highlight w:val="none"/>
          <w:lang w:val="en-US" w:eastAsia="zh-CN" w:bidi="ar-SA"/>
        </w:rPr>
        <w:t>工程的特点及其标段划分和完工交付标准；</w:t>
      </w:r>
    </w:p>
    <w:p w14:paraId="7BC0F5EC">
      <w:pPr>
        <w:pStyle w:val="19"/>
        <w:keepNext w:val="0"/>
        <w:pageBreakBefore w:val="0"/>
        <w:kinsoku/>
        <w:wordWrap/>
        <w:overflowPunct/>
        <w:topLinePunct w:val="0"/>
        <w:autoSpaceDN/>
        <w:bidi w:val="0"/>
        <w:adjustRightInd/>
        <w:snapToGrid/>
        <w:spacing w:before="0" w:line="360" w:lineRule="auto"/>
        <w:ind w:left="0" w:right="0" w:firstLine="420" w:firstLineChars="200"/>
        <w:jc w:val="left"/>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b w:val="0"/>
          <w:bCs w:val="0"/>
          <w:color w:val="auto"/>
          <w:kern w:val="2"/>
          <w:sz w:val="21"/>
          <w:szCs w:val="21"/>
          <w:highlight w:val="none"/>
          <w:lang w:val="en-US" w:eastAsia="zh-CN" w:bidi="ar-SA"/>
        </w:rPr>
        <w:t>工程地质条件、邻近建筑物、现场设施情况、周边道路、交通、水文、环境；</w:t>
      </w:r>
    </w:p>
    <w:p w14:paraId="44923893">
      <w:pPr>
        <w:pStyle w:val="19"/>
        <w:keepNext w:val="0"/>
        <w:pageBreakBefore w:val="0"/>
        <w:kinsoku/>
        <w:wordWrap/>
        <w:overflowPunct/>
        <w:topLinePunct w:val="0"/>
        <w:autoSpaceDN/>
        <w:bidi w:val="0"/>
        <w:adjustRightInd/>
        <w:snapToGrid/>
        <w:spacing w:before="0" w:line="360" w:lineRule="auto"/>
        <w:ind w:left="0" w:right="0" w:firstLine="420" w:firstLineChars="200"/>
        <w:jc w:val="left"/>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b w:val="0"/>
          <w:bCs w:val="0"/>
          <w:color w:val="auto"/>
          <w:kern w:val="2"/>
          <w:sz w:val="21"/>
          <w:szCs w:val="21"/>
          <w:highlight w:val="none"/>
          <w:lang w:val="en-US" w:eastAsia="zh-CN" w:bidi="ar-SA"/>
        </w:rPr>
        <w:t>采购文件说明的相关合同责任；</w:t>
      </w:r>
    </w:p>
    <w:p w14:paraId="40850FBD">
      <w:pPr>
        <w:pStyle w:val="19"/>
        <w:keepNext w:val="0"/>
        <w:pageBreakBefore w:val="0"/>
        <w:kinsoku/>
        <w:wordWrap/>
        <w:overflowPunct/>
        <w:topLinePunct w:val="0"/>
        <w:autoSpaceDN/>
        <w:bidi w:val="0"/>
        <w:adjustRightInd/>
        <w:snapToGrid/>
        <w:spacing w:before="0" w:line="360" w:lineRule="auto"/>
        <w:ind w:left="0" w:right="0" w:firstLine="420" w:firstLineChars="200"/>
        <w:jc w:val="left"/>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b w:val="0"/>
          <w:bCs w:val="0"/>
          <w:color w:val="auto"/>
          <w:kern w:val="2"/>
          <w:sz w:val="21"/>
          <w:szCs w:val="21"/>
          <w:highlight w:val="none"/>
          <w:lang w:val="en-US" w:eastAsia="zh-CN" w:bidi="ar-SA"/>
        </w:rPr>
        <w:t>采购文件规定的承包风险；</w:t>
      </w:r>
    </w:p>
    <w:p w14:paraId="28259E5C">
      <w:pPr>
        <w:keepNext w:val="0"/>
        <w:keepLines w:val="0"/>
        <w:pageBreakBefore w:val="0"/>
        <w:widowControl w:val="0"/>
        <w:kinsoku/>
        <w:wordWrap/>
        <w:overflowPunct/>
        <w:topLinePunct w:val="0"/>
        <w:autoSpaceDE w:val="0"/>
        <w:autoSpaceDN/>
        <w:bidi w:val="0"/>
        <w:adjustRightInd/>
        <w:snapToGrid/>
        <w:spacing w:line="360" w:lineRule="auto"/>
        <w:ind w:left="0" w:right="0" w:firstLine="420" w:firstLineChars="20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strike w:val="0"/>
          <w:color w:val="auto"/>
          <w:sz w:val="21"/>
          <w:szCs w:val="21"/>
          <w:highlight w:val="none"/>
        </w:rPr>
        <w:t>除</w:t>
      </w:r>
      <w:r>
        <w:rPr>
          <w:rFonts w:hint="default" w:ascii="Times New Roman" w:hAnsi="Times New Roman" w:eastAsia="宋体" w:cs="Times New Roman"/>
          <w:color w:val="auto"/>
          <w:sz w:val="21"/>
          <w:szCs w:val="21"/>
          <w:highlight w:val="none"/>
        </w:rPr>
        <w:t>工程变</w:t>
      </w:r>
      <w:r>
        <w:rPr>
          <w:rFonts w:hint="default" w:ascii="Times New Roman" w:hAnsi="Times New Roman" w:eastAsia="宋体" w:cs="Times New Roman"/>
          <w:b w:val="0"/>
          <w:bCs w:val="0"/>
          <w:color w:val="auto"/>
          <w:kern w:val="2"/>
          <w:sz w:val="21"/>
          <w:szCs w:val="21"/>
          <w:highlight w:val="none"/>
          <w:lang w:val="en-US" w:eastAsia="zh-CN" w:bidi="ar-SA"/>
        </w:rPr>
        <w:t>更、新增工程、工程索赔等引起的措施项目费用调整外，执行措施项目费用包干引起的承包风险</w:t>
      </w:r>
      <w:r>
        <w:rPr>
          <w:rFonts w:hint="default" w:ascii="Times New Roman" w:hAnsi="Times New Roman" w:eastAsia="宋体" w:cs="Times New Roman"/>
          <w:color w:val="auto"/>
          <w:sz w:val="21"/>
          <w:szCs w:val="21"/>
          <w:highlight w:val="none"/>
        </w:rPr>
        <w:t>。</w:t>
      </w:r>
    </w:p>
    <w:p w14:paraId="79BAACBC">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.18</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Cs/>
          <w:color w:val="auto"/>
          <w:sz w:val="21"/>
          <w:szCs w:val="21"/>
          <w:highlight w:val="none"/>
          <w:lang w:eastAsia="zh-CN"/>
        </w:rPr>
        <w:t>供应商</w:t>
      </w:r>
      <w:r>
        <w:rPr>
          <w:rFonts w:hint="default" w:ascii="Times New Roman" w:hAnsi="Times New Roman" w:eastAsia="宋体" w:cs="Times New Roman"/>
          <w:bCs/>
          <w:color w:val="auto"/>
          <w:sz w:val="21"/>
          <w:szCs w:val="21"/>
          <w:highlight w:val="none"/>
        </w:rPr>
        <w:t>应按工程量清单</w:t>
      </w:r>
      <w:r>
        <w:rPr>
          <w:rFonts w:hint="default" w:ascii="Times New Roman" w:hAnsi="Times New Roman" w:eastAsia="宋体" w:cs="Times New Roman"/>
          <w:color w:val="auto"/>
          <w:sz w:val="21"/>
          <w:szCs w:val="21"/>
          <w:highlight w:val="none"/>
        </w:rPr>
        <w:t>中提供的暂列金额、</w:t>
      </w:r>
      <w:r>
        <w:rPr>
          <w:rFonts w:hint="default" w:ascii="Times New Roman" w:hAnsi="Times New Roman" w:eastAsia="宋体" w:cs="Times New Roman"/>
          <w:color w:val="auto"/>
          <w:sz w:val="21"/>
          <w:szCs w:val="21"/>
          <w:highlight w:val="none"/>
          <w:lang w:eastAsia="zh-CN"/>
        </w:rPr>
        <w:t>材料暂估价、</w:t>
      </w:r>
      <w:r>
        <w:rPr>
          <w:rFonts w:hint="default" w:ascii="Times New Roman" w:hAnsi="Times New Roman" w:eastAsia="宋体" w:cs="Times New Roman"/>
          <w:color w:val="auto"/>
          <w:sz w:val="21"/>
          <w:szCs w:val="21"/>
          <w:highlight w:val="none"/>
        </w:rPr>
        <w:t>专业工程暂估价，准确填报在</w:t>
      </w:r>
      <w:r>
        <w:rPr>
          <w:rFonts w:hint="default" w:ascii="Times New Roman" w:hAnsi="Times New Roman" w:eastAsia="宋体" w:cs="Times New Roman"/>
          <w:color w:val="auto"/>
          <w:sz w:val="21"/>
          <w:szCs w:val="21"/>
          <w:highlight w:val="none"/>
          <w:lang w:val="en-US"/>
        </w:rPr>
        <w:t>其他项目清单</w:t>
      </w:r>
      <w:r>
        <w:rPr>
          <w:rFonts w:hint="default" w:ascii="Times New Roman" w:hAnsi="Times New Roman" w:eastAsia="宋体" w:cs="Times New Roman"/>
          <w:color w:val="auto"/>
          <w:sz w:val="21"/>
          <w:szCs w:val="21"/>
          <w:highlight w:val="none"/>
        </w:rPr>
        <w:t>内。</w:t>
      </w:r>
    </w:p>
    <w:p w14:paraId="1CFE5691">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color w:val="auto"/>
          <w:sz w:val="21"/>
          <w:szCs w:val="21"/>
          <w:highlight w:val="none"/>
          <w:lang w:val="zh-TW"/>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.19</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lang w:eastAsia="zh-CN"/>
        </w:rPr>
        <w:t>供应商</w:t>
      </w:r>
      <w:r>
        <w:rPr>
          <w:rFonts w:hint="default" w:ascii="Times New Roman" w:hAnsi="Times New Roman" w:eastAsia="宋体" w:cs="Times New Roman"/>
          <w:b w:val="0"/>
          <w:bCs w:val="0"/>
          <w:color w:val="auto"/>
          <w:sz w:val="21"/>
          <w:szCs w:val="21"/>
          <w:highlight w:val="none"/>
        </w:rPr>
        <w:t>应按工程实施方案和对</w:t>
      </w:r>
      <w:r>
        <w:rPr>
          <w:rFonts w:hint="default" w:ascii="Times New Roman" w:hAnsi="Times New Roman" w:eastAsia="宋体" w:cs="Times New Roman"/>
          <w:b w:val="0"/>
          <w:bCs w:val="0"/>
          <w:color w:val="auto"/>
          <w:sz w:val="21"/>
          <w:szCs w:val="21"/>
          <w:highlight w:val="none"/>
          <w:lang w:val="en-US"/>
        </w:rPr>
        <w:t>暂估</w:t>
      </w:r>
      <w:r>
        <w:rPr>
          <w:rFonts w:hint="default" w:ascii="Times New Roman" w:hAnsi="Times New Roman" w:eastAsia="宋体" w:cs="Times New Roman"/>
          <w:b w:val="0"/>
          <w:bCs w:val="0"/>
          <w:color w:val="auto"/>
          <w:sz w:val="21"/>
          <w:szCs w:val="21"/>
          <w:highlight w:val="none"/>
        </w:rPr>
        <w:t>专业工程的工期安排，以及对发包人提供材料的供应履行管理及协调责任、对各</w:t>
      </w:r>
      <w:r>
        <w:rPr>
          <w:rFonts w:hint="default" w:ascii="Times New Roman" w:hAnsi="Times New Roman" w:eastAsia="宋体" w:cs="Times New Roman"/>
          <w:b w:val="0"/>
          <w:bCs w:val="0"/>
          <w:color w:val="auto"/>
          <w:sz w:val="21"/>
          <w:szCs w:val="21"/>
          <w:highlight w:val="none"/>
          <w:lang w:val="en-US"/>
        </w:rPr>
        <w:t>暂估</w:t>
      </w:r>
      <w:r>
        <w:rPr>
          <w:rFonts w:hint="default" w:ascii="Times New Roman" w:hAnsi="Times New Roman" w:eastAsia="宋体" w:cs="Times New Roman"/>
          <w:b w:val="0"/>
          <w:bCs w:val="0"/>
          <w:color w:val="auto"/>
          <w:sz w:val="21"/>
          <w:szCs w:val="21"/>
          <w:highlight w:val="none"/>
        </w:rPr>
        <w:t>专业工程履行协调及配合责任等</w:t>
      </w:r>
      <w:r>
        <w:rPr>
          <w:rFonts w:hint="default" w:ascii="Times New Roman" w:hAnsi="Times New Roman" w:eastAsia="宋体" w:cs="Times New Roman"/>
          <w:b w:val="0"/>
          <w:bCs w:val="0"/>
          <w:color w:val="auto"/>
          <w:sz w:val="21"/>
          <w:szCs w:val="21"/>
          <w:highlight w:val="none"/>
          <w:lang w:eastAsia="zh-CN"/>
        </w:rPr>
        <w:t>采购</w:t>
      </w:r>
      <w:r>
        <w:rPr>
          <w:rFonts w:hint="default" w:ascii="Times New Roman" w:hAnsi="Times New Roman" w:eastAsia="宋体" w:cs="Times New Roman"/>
          <w:b w:val="0"/>
          <w:bCs w:val="0"/>
          <w:color w:val="auto"/>
          <w:sz w:val="21"/>
          <w:szCs w:val="21"/>
          <w:highlight w:val="none"/>
        </w:rPr>
        <w:t>文件规定的总承包服务内容及要求进行投标报价，并应满足总承包服务费计价风险的要求。</w:t>
      </w:r>
    </w:p>
    <w:p w14:paraId="3D7856BF">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.20</w:t>
      </w:r>
      <w:r>
        <w:rPr>
          <w:rFonts w:hint="default" w:ascii="Times New Roman" w:hAnsi="Times New Roman" w:eastAsia="宋体" w:cs="Times New Roman"/>
          <w:bCs/>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lang w:eastAsia="zh-CN"/>
        </w:rPr>
        <w:t>供应商</w:t>
      </w:r>
      <w:r>
        <w:rPr>
          <w:rFonts w:hint="default" w:ascii="Times New Roman" w:hAnsi="Times New Roman" w:eastAsia="宋体" w:cs="Times New Roman"/>
          <w:b w:val="0"/>
          <w:bCs w:val="0"/>
          <w:color w:val="auto"/>
          <w:sz w:val="21"/>
          <w:szCs w:val="21"/>
          <w:highlight w:val="none"/>
        </w:rPr>
        <w:t>应在</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b w:val="0"/>
          <w:bCs w:val="0"/>
          <w:color w:val="auto"/>
          <w:sz w:val="21"/>
          <w:szCs w:val="21"/>
          <w:highlight w:val="none"/>
        </w:rPr>
        <w:t>文件递交时完整递交与已标价工程量清单中综合单价及合价一致的费用构成明细表，相关表格应符合《分部分项工程项目清单综合单价分析表</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b w:val="0"/>
          <w:bCs w:val="0"/>
          <w:color w:val="auto"/>
          <w:sz w:val="21"/>
          <w:szCs w:val="21"/>
          <w:highlight w:val="none"/>
          <w:lang w:val="en-US" w:eastAsia="zh-CN"/>
        </w:rPr>
        <w:t>技术措施</w:t>
      </w:r>
      <w:r>
        <w:rPr>
          <w:rFonts w:hint="default" w:ascii="Times New Roman" w:hAnsi="Times New Roman" w:eastAsia="宋体" w:cs="Times New Roman"/>
          <w:b w:val="0"/>
          <w:bCs w:val="0"/>
          <w:color w:val="auto"/>
          <w:sz w:val="21"/>
          <w:szCs w:val="21"/>
          <w:highlight w:val="none"/>
        </w:rPr>
        <w:t>综合单价分析表》</w:t>
      </w:r>
      <w:r>
        <w:rPr>
          <w:rFonts w:hint="default" w:ascii="Times New Roman" w:hAnsi="Times New Roman" w:eastAsia="宋体" w:cs="Times New Roman"/>
          <w:b w:val="0"/>
          <w:bCs w:val="0"/>
          <w:color w:val="auto"/>
          <w:sz w:val="21"/>
          <w:szCs w:val="21"/>
          <w:highlight w:val="none"/>
          <w:lang w:val="en-US" w:eastAsia="zh-CN"/>
        </w:rPr>
        <w:t>要求</w:t>
      </w:r>
      <w:r>
        <w:rPr>
          <w:rFonts w:hint="default" w:ascii="Times New Roman" w:hAnsi="Times New Roman" w:eastAsia="宋体" w:cs="Times New Roman"/>
          <w:b w:val="0"/>
          <w:bCs w:val="0"/>
          <w:color w:val="auto"/>
          <w:sz w:val="21"/>
          <w:szCs w:val="21"/>
          <w:highlight w:val="none"/>
        </w:rPr>
        <w:t>。</w:t>
      </w:r>
    </w:p>
    <w:p w14:paraId="0B341FBE">
      <w:pPr>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color w:val="auto"/>
          <w:sz w:val="21"/>
          <w:szCs w:val="21"/>
          <w:highlight w:val="none"/>
          <w:lang w:val="en-US" w:eastAsia="zh-CN"/>
        </w:rPr>
        <w:t>.21</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 w:val="0"/>
          <w:bCs w:val="0"/>
          <w:color w:val="auto"/>
          <w:sz w:val="21"/>
          <w:szCs w:val="21"/>
          <w:highlight w:val="none"/>
          <w:lang w:val="en-US" w:eastAsia="zh-CN"/>
        </w:rPr>
        <w:t>供应商应根据政府有关主管部门的规定计算增值税。</w:t>
      </w:r>
    </w:p>
    <w:p w14:paraId="143BDE36">
      <w:pPr>
        <w:spacing w:line="360" w:lineRule="auto"/>
        <w:ind w:firstLine="420" w:firstLineChars="200"/>
        <w:jc w:val="left"/>
        <w:rPr>
          <w:rFonts w:hint="default" w:ascii="Times New Roman" w:hAnsi="Times New Roman" w:eastAsia="宋体" w:cs="Times New Roman"/>
          <w:color w:val="auto"/>
          <w:sz w:val="21"/>
          <w:szCs w:val="21"/>
          <w:highlight w:val="none"/>
          <w:lang w:val="en"/>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b w:val="0"/>
          <w:bCs w:val="0"/>
          <w:color w:val="auto"/>
          <w:sz w:val="21"/>
          <w:szCs w:val="21"/>
          <w:highlight w:val="none"/>
          <w:lang w:val="en-US" w:eastAsia="zh-CN"/>
        </w:rPr>
        <w:t>.22</w:t>
      </w:r>
      <w:r>
        <w:rPr>
          <w:rFonts w:hint="default" w:ascii="Times New Roman" w:hAnsi="Times New Roman" w:eastAsia="宋体" w:cs="Times New Roman"/>
          <w:color w:val="auto"/>
          <w:sz w:val="21"/>
          <w:szCs w:val="21"/>
          <w:highlight w:val="none"/>
          <w:lang w:val="en"/>
        </w:rPr>
        <w:t xml:space="preserve"> </w:t>
      </w:r>
      <w:r>
        <w:rPr>
          <w:rFonts w:hint="default" w:ascii="Times New Roman" w:hAnsi="Times New Roman" w:eastAsia="宋体" w:cs="Times New Roman"/>
          <w:color w:val="auto"/>
          <w:sz w:val="21"/>
          <w:szCs w:val="21"/>
          <w:highlight w:val="none"/>
          <w:lang w:val="en" w:eastAsia="zh-CN"/>
        </w:rPr>
        <w:t>供应商</w:t>
      </w:r>
      <w:r>
        <w:rPr>
          <w:rFonts w:hint="default" w:ascii="Times New Roman" w:hAnsi="Times New Roman" w:eastAsia="宋体" w:cs="Times New Roman"/>
          <w:color w:val="auto"/>
          <w:sz w:val="21"/>
          <w:szCs w:val="21"/>
          <w:highlight w:val="none"/>
          <w:lang w:val="en"/>
        </w:rPr>
        <w:t>响应</w:t>
      </w:r>
      <w:r>
        <w:rPr>
          <w:rFonts w:hint="default" w:ascii="Times New Roman" w:hAnsi="Times New Roman" w:eastAsia="宋体" w:cs="Times New Roman"/>
          <w:color w:val="auto"/>
          <w:sz w:val="21"/>
          <w:szCs w:val="21"/>
          <w:highlight w:val="none"/>
          <w:lang w:val="en" w:eastAsia="zh-CN"/>
        </w:rPr>
        <w:t>采购</w:t>
      </w:r>
      <w:r>
        <w:rPr>
          <w:rFonts w:hint="default" w:ascii="Times New Roman" w:hAnsi="Times New Roman" w:eastAsia="宋体" w:cs="Times New Roman"/>
          <w:color w:val="auto"/>
          <w:sz w:val="21"/>
          <w:szCs w:val="21"/>
          <w:highlight w:val="none"/>
          <w:lang w:val="en"/>
        </w:rPr>
        <w:t>文件的要求填写</w:t>
      </w:r>
      <w:r>
        <w:rPr>
          <w:rFonts w:hint="default" w:ascii="Times New Roman" w:hAnsi="Times New Roman" w:eastAsia="宋体" w:cs="Times New Roman"/>
          <w:color w:val="auto"/>
          <w:sz w:val="21"/>
          <w:szCs w:val="21"/>
          <w:highlight w:val="none"/>
          <w:lang w:val="en-US"/>
        </w:rPr>
        <w:t>《</w:t>
      </w:r>
      <w:r>
        <w:rPr>
          <w:rFonts w:hint="default" w:ascii="Times New Roman" w:hAnsi="Times New Roman" w:eastAsia="宋体" w:cs="Times New Roman"/>
          <w:color w:val="auto"/>
          <w:sz w:val="21"/>
          <w:szCs w:val="21"/>
          <w:highlight w:val="none"/>
          <w:lang w:val="en" w:eastAsia="zh-CN"/>
        </w:rPr>
        <w:t>允许调整价格的主要材料</w:t>
      </w:r>
      <w:r>
        <w:rPr>
          <w:rFonts w:hint="default" w:ascii="Times New Roman" w:hAnsi="Times New Roman" w:eastAsia="宋体" w:cs="Times New Roman"/>
          <w:color w:val="auto"/>
          <w:sz w:val="21"/>
          <w:szCs w:val="21"/>
          <w:highlight w:val="none"/>
          <w:lang w:val="en"/>
        </w:rPr>
        <w:t>一览表</w:t>
      </w:r>
      <w:r>
        <w:rPr>
          <w:rFonts w:hint="default" w:ascii="Times New Roman" w:hAnsi="Times New Roman" w:eastAsia="宋体" w:cs="Times New Roman"/>
          <w:color w:val="auto"/>
          <w:sz w:val="21"/>
          <w:szCs w:val="21"/>
          <w:highlight w:val="none"/>
          <w:lang w:val="en-US"/>
        </w:rPr>
        <w:t>》</w:t>
      </w:r>
      <w:r>
        <w:rPr>
          <w:rFonts w:hint="default" w:ascii="Times New Roman" w:hAnsi="Times New Roman" w:eastAsia="宋体" w:cs="Times New Roman"/>
          <w:color w:val="auto"/>
          <w:sz w:val="21"/>
          <w:szCs w:val="21"/>
          <w:highlight w:val="none"/>
          <w:lang w:val="en"/>
        </w:rPr>
        <w:t>相应材料的投标报价</w:t>
      </w:r>
      <w:r>
        <w:rPr>
          <w:rFonts w:hint="default" w:ascii="Times New Roman" w:hAnsi="Times New Roman" w:eastAsia="宋体" w:cs="Times New Roman"/>
          <w:color w:val="auto"/>
          <w:sz w:val="21"/>
          <w:szCs w:val="21"/>
          <w:highlight w:val="none"/>
          <w:lang w:val="en-US" w:eastAsia="zh-CN"/>
        </w:rPr>
        <w:t>或</w:t>
      </w:r>
      <w:r>
        <w:rPr>
          <w:rFonts w:hint="default" w:ascii="Times New Roman" w:hAnsi="Times New Roman" w:eastAsia="宋体" w:cs="Times New Roman"/>
          <w:color w:val="auto"/>
          <w:sz w:val="21"/>
          <w:szCs w:val="21"/>
          <w:highlight w:val="none"/>
          <w:lang w:val="en" w:eastAsia="zh-CN"/>
        </w:rPr>
        <w:t>《</w:t>
      </w:r>
      <w:r>
        <w:rPr>
          <w:rFonts w:hint="default" w:ascii="Times New Roman" w:hAnsi="Times New Roman" w:eastAsia="宋体" w:cs="Times New Roman"/>
          <w:b w:val="0"/>
          <w:bCs w:val="0"/>
          <w:color w:val="auto"/>
          <w:sz w:val="21"/>
          <w:szCs w:val="21"/>
          <w:highlight w:val="none"/>
          <w:lang w:val="en" w:eastAsia="zh-CN"/>
        </w:rPr>
        <w:t>人工及主要材料可调因子价格指数及</w:t>
      </w:r>
      <w:r>
        <w:rPr>
          <w:rFonts w:hint="default" w:ascii="Times New Roman" w:hAnsi="Times New Roman" w:eastAsia="宋体" w:cs="Times New Roman"/>
          <w:b w:val="0"/>
          <w:bCs w:val="0"/>
          <w:color w:val="auto"/>
          <w:sz w:val="21"/>
          <w:szCs w:val="21"/>
          <w:highlight w:val="none"/>
          <w:lang w:val="en"/>
        </w:rPr>
        <w:t>权重表</w:t>
      </w:r>
      <w:r>
        <w:rPr>
          <w:rFonts w:hint="default" w:ascii="Times New Roman" w:hAnsi="Times New Roman" w:eastAsia="宋体" w:cs="Times New Roman"/>
          <w:b w:val="0"/>
          <w:bCs w:val="0"/>
          <w:color w:val="auto"/>
          <w:sz w:val="21"/>
          <w:szCs w:val="21"/>
          <w:highlight w:val="none"/>
          <w:lang w:val="en" w:eastAsia="zh-CN"/>
        </w:rPr>
        <w:t>》</w:t>
      </w:r>
      <w:r>
        <w:rPr>
          <w:rFonts w:hint="default" w:ascii="Times New Roman" w:hAnsi="Times New Roman" w:eastAsia="宋体" w:cs="Times New Roman"/>
          <w:b w:val="0"/>
          <w:bCs w:val="0"/>
          <w:color w:val="auto"/>
          <w:sz w:val="21"/>
          <w:szCs w:val="21"/>
          <w:highlight w:val="none"/>
          <w:lang w:val="en-US" w:eastAsia="zh-CN"/>
        </w:rPr>
        <w:t>表中可调因子权重</w:t>
      </w:r>
      <w:r>
        <w:rPr>
          <w:rFonts w:hint="default" w:ascii="Times New Roman" w:hAnsi="Times New Roman" w:eastAsia="宋体" w:cs="Times New Roman"/>
          <w:color w:val="auto"/>
          <w:sz w:val="21"/>
          <w:szCs w:val="21"/>
          <w:highlight w:val="none"/>
          <w:lang w:val="en"/>
        </w:rPr>
        <w:t>。</w:t>
      </w:r>
      <w:r>
        <w:rPr>
          <w:rFonts w:hint="default" w:ascii="Times New Roman" w:hAnsi="Times New Roman" w:eastAsia="宋体" w:cs="Times New Roman"/>
          <w:color w:val="auto"/>
          <w:sz w:val="21"/>
          <w:szCs w:val="21"/>
          <w:highlight w:val="none"/>
          <w:lang w:val="en" w:eastAsia="zh-CN"/>
        </w:rPr>
        <w:t>供应商</w:t>
      </w:r>
      <w:r>
        <w:rPr>
          <w:rFonts w:hint="default" w:ascii="Times New Roman" w:hAnsi="Times New Roman" w:eastAsia="宋体" w:cs="Times New Roman"/>
          <w:color w:val="auto"/>
          <w:sz w:val="21"/>
          <w:szCs w:val="21"/>
          <w:highlight w:val="none"/>
          <w:lang w:val="en"/>
        </w:rPr>
        <w:t>若发现</w:t>
      </w:r>
      <w:r>
        <w:rPr>
          <w:rFonts w:hint="default" w:ascii="Times New Roman" w:hAnsi="Times New Roman" w:eastAsia="宋体" w:cs="Times New Roman"/>
          <w:color w:val="auto"/>
          <w:sz w:val="21"/>
          <w:szCs w:val="21"/>
          <w:highlight w:val="none"/>
          <w:lang w:val="en" w:eastAsia="zh-CN"/>
        </w:rPr>
        <w:t>采购</w:t>
      </w:r>
      <w:r>
        <w:rPr>
          <w:rFonts w:hint="default" w:ascii="Times New Roman" w:hAnsi="Times New Roman" w:eastAsia="宋体" w:cs="Times New Roman"/>
          <w:color w:val="auto"/>
          <w:sz w:val="21"/>
          <w:szCs w:val="21"/>
          <w:highlight w:val="none"/>
          <w:lang w:val="en"/>
        </w:rPr>
        <w:t>人提供的工程量清单或发包人要求中无</w:t>
      </w:r>
      <w:r>
        <w:rPr>
          <w:rFonts w:hint="default" w:ascii="Times New Roman" w:hAnsi="Times New Roman" w:eastAsia="宋体" w:cs="Times New Roman"/>
          <w:color w:val="auto"/>
          <w:sz w:val="21"/>
          <w:szCs w:val="21"/>
          <w:highlight w:val="none"/>
          <w:lang w:val="en-US"/>
        </w:rPr>
        <w:t>《</w:t>
      </w:r>
      <w:r>
        <w:rPr>
          <w:rFonts w:hint="default" w:ascii="Times New Roman" w:hAnsi="Times New Roman" w:eastAsia="宋体" w:cs="Times New Roman"/>
          <w:color w:val="auto"/>
          <w:sz w:val="21"/>
          <w:szCs w:val="21"/>
          <w:highlight w:val="none"/>
          <w:lang w:val="en" w:eastAsia="zh-CN"/>
        </w:rPr>
        <w:t>允许调整价格</w:t>
      </w:r>
      <w:r>
        <w:rPr>
          <w:rFonts w:hint="default" w:ascii="Times New Roman" w:hAnsi="Times New Roman" w:eastAsia="宋体" w:cs="Times New Roman"/>
          <w:color w:val="auto"/>
          <w:sz w:val="21"/>
          <w:szCs w:val="21"/>
          <w:highlight w:val="none"/>
          <w:lang w:val="en"/>
        </w:rPr>
        <w:t>主要材料一览表</w:t>
      </w:r>
      <w:r>
        <w:rPr>
          <w:rFonts w:hint="default" w:ascii="Times New Roman" w:hAnsi="Times New Roman" w:eastAsia="宋体" w:cs="Times New Roman"/>
          <w:color w:val="auto"/>
          <w:sz w:val="21"/>
          <w:szCs w:val="21"/>
          <w:highlight w:val="none"/>
          <w:lang w:val="en-US"/>
        </w:rPr>
        <w:t>》</w:t>
      </w:r>
      <w:r>
        <w:rPr>
          <w:rFonts w:hint="default" w:ascii="Times New Roman" w:hAnsi="Times New Roman" w:eastAsia="宋体" w:cs="Times New Roman"/>
          <w:color w:val="auto"/>
          <w:sz w:val="21"/>
          <w:szCs w:val="21"/>
          <w:highlight w:val="none"/>
          <w:lang w:val="en" w:eastAsia="zh-CN"/>
        </w:rPr>
        <w:t>《</w:t>
      </w:r>
      <w:r>
        <w:rPr>
          <w:rFonts w:hint="default" w:ascii="Times New Roman" w:hAnsi="Times New Roman" w:eastAsia="宋体" w:cs="Times New Roman"/>
          <w:b w:val="0"/>
          <w:bCs w:val="0"/>
          <w:color w:val="auto"/>
          <w:sz w:val="21"/>
          <w:szCs w:val="21"/>
          <w:highlight w:val="none"/>
          <w:lang w:val="en" w:eastAsia="zh-CN"/>
        </w:rPr>
        <w:t>人工及主要材料可调因子价格指数及</w:t>
      </w:r>
      <w:r>
        <w:rPr>
          <w:rFonts w:hint="default" w:ascii="Times New Roman" w:hAnsi="Times New Roman" w:eastAsia="宋体" w:cs="Times New Roman"/>
          <w:b w:val="0"/>
          <w:bCs w:val="0"/>
          <w:color w:val="auto"/>
          <w:sz w:val="21"/>
          <w:szCs w:val="21"/>
          <w:highlight w:val="none"/>
          <w:lang w:val="en"/>
        </w:rPr>
        <w:t>权重表</w:t>
      </w:r>
      <w:r>
        <w:rPr>
          <w:rFonts w:hint="default" w:ascii="Times New Roman" w:hAnsi="Times New Roman" w:eastAsia="宋体" w:cs="Times New Roman"/>
          <w:b w:val="0"/>
          <w:bCs w:val="0"/>
          <w:color w:val="auto"/>
          <w:sz w:val="21"/>
          <w:szCs w:val="21"/>
          <w:highlight w:val="none"/>
          <w:lang w:val="en" w:eastAsia="zh-CN"/>
        </w:rPr>
        <w:t>》</w:t>
      </w:r>
      <w:r>
        <w:rPr>
          <w:rFonts w:hint="default" w:ascii="Times New Roman" w:hAnsi="Times New Roman" w:eastAsia="宋体" w:cs="Times New Roman"/>
          <w:color w:val="auto"/>
          <w:sz w:val="21"/>
          <w:szCs w:val="21"/>
          <w:highlight w:val="none"/>
          <w:lang w:val="en"/>
        </w:rPr>
        <w:t>或表格内容未明确的，在规定时间内提出质疑，</w:t>
      </w:r>
      <w:r>
        <w:rPr>
          <w:rFonts w:hint="default" w:ascii="Times New Roman" w:hAnsi="Times New Roman" w:eastAsia="宋体" w:cs="Times New Roman"/>
          <w:color w:val="auto"/>
          <w:sz w:val="21"/>
          <w:szCs w:val="21"/>
          <w:highlight w:val="none"/>
          <w:lang w:val="en" w:eastAsia="zh-CN"/>
        </w:rPr>
        <w:t>采购</w:t>
      </w:r>
      <w:r>
        <w:rPr>
          <w:rFonts w:hint="default" w:ascii="Times New Roman" w:hAnsi="Times New Roman" w:eastAsia="宋体" w:cs="Times New Roman"/>
          <w:color w:val="auto"/>
          <w:sz w:val="21"/>
          <w:szCs w:val="21"/>
          <w:highlight w:val="none"/>
          <w:lang w:val="en"/>
        </w:rPr>
        <w:t>人在规定时间内进行修改。</w:t>
      </w:r>
      <w:r>
        <w:rPr>
          <w:rFonts w:hint="default" w:ascii="Times New Roman" w:hAnsi="Times New Roman" w:eastAsia="宋体" w:cs="Times New Roman"/>
          <w:b w:val="0"/>
          <w:bCs w:val="0"/>
          <w:color w:val="auto"/>
          <w:sz w:val="21"/>
          <w:szCs w:val="21"/>
          <w:highlight w:val="none"/>
          <w:lang w:val="en-US" w:eastAsia="zh-CN"/>
        </w:rPr>
        <w:t>如供应商未填写可调因子权重，材料价格上涨时则按采购人提供的权重范围低值计算，材料下跌时按采购人提供的权重范围高值计算。</w:t>
      </w:r>
    </w:p>
    <w:p w14:paraId="7B1491F0">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3.23</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 w:val="21"/>
          <w:szCs w:val="21"/>
          <w:highlight w:val="none"/>
          <w:lang w:val="en-US" w:eastAsia="zh-CN"/>
        </w:rPr>
        <w:t>安全生产费应</w:t>
      </w:r>
      <w:r>
        <w:rPr>
          <w:rFonts w:hint="default" w:ascii="Times New Roman" w:hAnsi="Times New Roman" w:eastAsia="宋体" w:cs="Times New Roman"/>
          <w:b w:val="0"/>
          <w:bCs w:val="0"/>
          <w:color w:val="auto"/>
          <w:szCs w:val="21"/>
          <w:highlight w:val="none"/>
        </w:rPr>
        <w:t>按</w:t>
      </w:r>
      <w:r>
        <w:rPr>
          <w:rFonts w:hint="default" w:ascii="Times New Roman" w:hAnsi="Times New Roman" w:eastAsia="宋体" w:cs="Times New Roman"/>
          <w:b w:val="0"/>
          <w:bCs w:val="0"/>
          <w:color w:val="auto"/>
          <w:szCs w:val="21"/>
          <w:highlight w:val="none"/>
          <w:lang w:eastAsia="zh-CN"/>
        </w:rPr>
        <w:t>自治区建设行政主管部门</w:t>
      </w:r>
      <w:r>
        <w:rPr>
          <w:rFonts w:hint="default" w:ascii="Times New Roman" w:hAnsi="Times New Roman" w:eastAsia="宋体" w:cs="Times New Roman"/>
          <w:b w:val="0"/>
          <w:bCs w:val="0"/>
          <w:color w:val="auto"/>
          <w:szCs w:val="21"/>
          <w:highlight w:val="none"/>
        </w:rPr>
        <w:t>规定</w:t>
      </w:r>
      <w:r>
        <w:rPr>
          <w:rFonts w:hint="default" w:ascii="Times New Roman" w:hAnsi="Times New Roman" w:eastAsia="宋体" w:cs="Times New Roman"/>
          <w:b w:val="0"/>
          <w:bCs w:val="0"/>
          <w:color w:val="auto"/>
          <w:szCs w:val="21"/>
          <w:highlight w:val="none"/>
          <w:lang w:eastAsia="zh-CN"/>
        </w:rPr>
        <w:t>的计算</w:t>
      </w:r>
      <w:r>
        <w:rPr>
          <w:rFonts w:hint="default" w:ascii="Times New Roman" w:hAnsi="Times New Roman" w:eastAsia="宋体" w:cs="Times New Roman"/>
          <w:b w:val="0"/>
          <w:bCs w:val="0"/>
          <w:color w:val="auto"/>
          <w:szCs w:val="21"/>
          <w:highlight w:val="none"/>
          <w:lang w:val="en-US" w:eastAsia="zh-CN"/>
        </w:rPr>
        <w:t>基础</w:t>
      </w:r>
      <w:r>
        <w:rPr>
          <w:rFonts w:hint="default" w:ascii="Times New Roman" w:hAnsi="Times New Roman" w:eastAsia="宋体" w:cs="Times New Roman"/>
          <w:b w:val="0"/>
          <w:bCs w:val="0"/>
          <w:color w:val="auto"/>
          <w:szCs w:val="21"/>
          <w:highlight w:val="none"/>
          <w:lang w:eastAsia="zh-CN"/>
        </w:rPr>
        <w:t>和费率</w:t>
      </w:r>
      <w:r>
        <w:rPr>
          <w:rFonts w:hint="default" w:ascii="Times New Roman" w:hAnsi="Times New Roman" w:eastAsia="宋体" w:cs="Times New Roman"/>
          <w:b w:val="0"/>
          <w:bCs w:val="0"/>
          <w:color w:val="auto"/>
          <w:szCs w:val="21"/>
          <w:highlight w:val="none"/>
        </w:rPr>
        <w:t>计算</w:t>
      </w:r>
      <w:r>
        <w:rPr>
          <w:rFonts w:hint="default" w:ascii="Times New Roman" w:hAnsi="Times New Roman" w:eastAsia="宋体" w:cs="Times New Roman"/>
          <w:color w:val="auto"/>
          <w:szCs w:val="21"/>
          <w:highlight w:val="none"/>
        </w:rPr>
        <w:t>，作为不可竞争费用。</w:t>
      </w:r>
    </w:p>
    <w:p w14:paraId="1A9ADDBB">
      <w:pPr>
        <w:spacing w:line="360" w:lineRule="auto"/>
        <w:ind w:firstLine="420" w:firstLineChars="200"/>
        <w:rPr>
          <w:color w:val="auto"/>
          <w:highlight w:val="none"/>
        </w:rPr>
      </w:pPr>
      <w:r>
        <w:rPr>
          <w:rFonts w:hint="default" w:ascii="Times New Roman" w:hAnsi="Times New Roman" w:eastAsia="宋体" w:cs="Times New Roman"/>
          <w:color w:val="auto"/>
          <w:szCs w:val="21"/>
          <w:highlight w:val="none"/>
          <w:lang w:val="en-US" w:eastAsia="zh-CN"/>
        </w:rPr>
        <w:t>3.24</w:t>
      </w: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总价应当与分部分项工程费、</w:t>
      </w:r>
      <w:r>
        <w:rPr>
          <w:rFonts w:hint="default" w:ascii="Times New Roman" w:hAnsi="Times New Roman" w:eastAsia="宋体" w:cs="Times New Roman"/>
          <w:color w:val="auto"/>
          <w:szCs w:val="21"/>
          <w:highlight w:val="none"/>
          <w:lang w:val="en-US" w:eastAsia="zh-CN"/>
        </w:rPr>
        <w:t>技术措施项目费、综合</w:t>
      </w:r>
      <w:r>
        <w:rPr>
          <w:rFonts w:hint="default" w:ascii="Times New Roman" w:hAnsi="Times New Roman" w:eastAsia="宋体" w:cs="Times New Roman"/>
          <w:color w:val="auto"/>
          <w:szCs w:val="21"/>
          <w:highlight w:val="none"/>
        </w:rPr>
        <w:t>措施项目费、其他项目费的合计金额一致。</w:t>
      </w:r>
    </w:p>
    <w:p w14:paraId="25BB749B">
      <w:pPr>
        <w:spacing w:line="360" w:lineRule="auto"/>
        <w:ind w:firstLine="420" w:firstLineChars="200"/>
        <w:jc w:val="left"/>
        <w:rPr>
          <w:bCs/>
          <w:kern w:val="0"/>
          <w:szCs w:val="21"/>
          <w:highlight w:val="none"/>
        </w:rPr>
      </w:pPr>
      <w:r>
        <w:rPr>
          <w:rFonts w:hint="eastAsia" w:cs="宋体"/>
          <w:color w:val="auto"/>
          <w:highlight w:val="none"/>
        </w:rPr>
        <w:t>未尽事宜详见本工程量清单以及现行《计价规范》等有关规定执行。</w:t>
      </w:r>
    </w:p>
    <w:p w14:paraId="0A9BDABA">
      <w:pPr>
        <w:spacing w:line="312" w:lineRule="auto"/>
        <w:ind w:firstLine="562" w:firstLineChars="200"/>
        <w:jc w:val="left"/>
        <w:outlineLvl w:val="1"/>
        <w:rPr>
          <w:rFonts w:ascii="黑体" w:hAnsi="黑体" w:eastAsia="黑体" w:cs="Arial"/>
          <w:b/>
          <w:color w:val="auto"/>
          <w:kern w:val="0"/>
          <w:sz w:val="28"/>
          <w:szCs w:val="28"/>
          <w:highlight w:val="none"/>
        </w:rPr>
      </w:pPr>
      <w:r>
        <w:rPr>
          <w:rFonts w:hint="eastAsia" w:ascii="黑体" w:hAnsi="黑体" w:eastAsia="黑体" w:cs="Arial"/>
          <w:b/>
          <w:kern w:val="0"/>
          <w:sz w:val="28"/>
          <w:szCs w:val="28"/>
          <w:highlight w:val="none"/>
        </w:rPr>
        <w:t>二、</w:t>
      </w:r>
      <w:r>
        <w:rPr>
          <w:rFonts w:hint="eastAsia" w:ascii="黑体" w:hAnsi="黑体" w:eastAsia="黑体" w:cs="Arial"/>
          <w:b/>
          <w:color w:val="auto"/>
          <w:kern w:val="0"/>
          <w:sz w:val="28"/>
          <w:szCs w:val="28"/>
          <w:highlight w:val="none"/>
        </w:rPr>
        <w:t>危险性较大的分部分项工程清单（如有）</w:t>
      </w:r>
    </w:p>
    <w:p w14:paraId="42AF46BA">
      <w:pPr>
        <w:spacing w:line="312" w:lineRule="auto"/>
        <w:ind w:firstLine="420" w:firstLineChars="200"/>
        <w:jc w:val="left"/>
        <w:rPr>
          <w:bCs/>
          <w:color w:val="auto"/>
          <w:kern w:val="0"/>
          <w:szCs w:val="21"/>
          <w:highlight w:val="none"/>
        </w:rPr>
      </w:pPr>
      <w:r>
        <w:rPr>
          <w:bCs/>
          <w:color w:val="auto"/>
          <w:kern w:val="0"/>
          <w:szCs w:val="21"/>
          <w:highlight w:val="none"/>
        </w:rPr>
        <w:t>本</w:t>
      </w:r>
      <w:r>
        <w:rPr>
          <w:rFonts w:hint="eastAsia"/>
          <w:bCs/>
          <w:color w:val="auto"/>
          <w:kern w:val="0"/>
          <w:szCs w:val="21"/>
          <w:highlight w:val="none"/>
        </w:rPr>
        <w:t>部分</w:t>
      </w:r>
      <w:r>
        <w:rPr>
          <w:bCs/>
          <w:color w:val="auto"/>
          <w:kern w:val="0"/>
          <w:szCs w:val="21"/>
          <w:highlight w:val="none"/>
        </w:rPr>
        <w:t>由</w:t>
      </w:r>
      <w:r>
        <w:rPr>
          <w:rFonts w:hint="eastAsia"/>
          <w:bCs/>
          <w:color w:val="auto"/>
          <w:kern w:val="0"/>
          <w:szCs w:val="21"/>
          <w:highlight w:val="none"/>
        </w:rPr>
        <w:t>采购</w:t>
      </w:r>
      <w:r>
        <w:rPr>
          <w:bCs/>
          <w:color w:val="auto"/>
          <w:kern w:val="0"/>
          <w:szCs w:val="21"/>
          <w:highlight w:val="none"/>
        </w:rPr>
        <w:t>人根据国家行业和地方现行标准、规范和规程等</w:t>
      </w:r>
      <w:r>
        <w:rPr>
          <w:rFonts w:hint="eastAsia"/>
          <w:bCs/>
          <w:color w:val="auto"/>
          <w:kern w:val="0"/>
          <w:szCs w:val="21"/>
          <w:highlight w:val="none"/>
        </w:rPr>
        <w:t>，以及项目具体情况</w:t>
      </w:r>
      <w:r>
        <w:rPr>
          <w:bCs/>
          <w:color w:val="auto"/>
          <w:kern w:val="0"/>
          <w:szCs w:val="21"/>
          <w:highlight w:val="none"/>
        </w:rPr>
        <w:t>摘录</w:t>
      </w:r>
      <w:r>
        <w:rPr>
          <w:rFonts w:hint="eastAsia"/>
          <w:bCs/>
          <w:color w:val="auto"/>
          <w:kern w:val="0"/>
          <w:szCs w:val="21"/>
          <w:highlight w:val="none"/>
        </w:rPr>
        <w:t>。</w:t>
      </w:r>
    </w:p>
    <w:p w14:paraId="007AD9DA">
      <w:pPr>
        <w:spacing w:line="360" w:lineRule="auto"/>
        <w:ind w:firstLine="420" w:firstLineChars="200"/>
        <w:rPr>
          <w:rFonts w:hint="eastAsia" w:hAnsi="宋体" w:cs="宋体"/>
          <w:color w:val="auto"/>
          <w:highlight w:val="none"/>
        </w:rPr>
      </w:pPr>
      <w:r>
        <w:rPr>
          <w:rFonts w:hint="eastAsia" w:ascii="宋体" w:hAnsi="宋体" w:cs="宋体"/>
          <w:color w:val="auto"/>
          <w:highlight w:val="none"/>
        </w:rPr>
        <w:t>《危险性较大的分部分项工程安全管理规定》（建设部令第37号）</w:t>
      </w:r>
      <w:r>
        <w:rPr>
          <w:rFonts w:hint="eastAsia" w:ascii="宋体" w:hAnsi="宋体" w:cs="宋体"/>
          <w:color w:val="auto"/>
          <w:szCs w:val="22"/>
          <w:highlight w:val="none"/>
        </w:rPr>
        <w:t>2019年修订版</w:t>
      </w:r>
      <w:r>
        <w:rPr>
          <w:rFonts w:hint="eastAsia" w:ascii="宋体" w:hAnsi="宋体" w:cs="宋体"/>
          <w:color w:val="auto"/>
          <w:highlight w:val="none"/>
        </w:rPr>
        <w:t>以及《住房城乡建设部办公厅关于实施&lt;危险性较大的分部分项工程安全管理规定&gt;有关问题的通知》（建办质〔</w:t>
      </w:r>
      <w:r>
        <w:rPr>
          <w:rFonts w:ascii="宋体" w:hAnsi="宋体" w:cs="宋体"/>
          <w:color w:val="auto"/>
          <w:highlight w:val="none"/>
        </w:rPr>
        <w:t>2018〕31号</w:t>
      </w:r>
      <w:r>
        <w:rPr>
          <w:rFonts w:hint="eastAsia" w:ascii="宋体" w:hAnsi="宋体" w:cs="宋体"/>
          <w:color w:val="auto"/>
          <w:highlight w:val="none"/>
        </w:rPr>
        <w:t>）。</w:t>
      </w:r>
    </w:p>
    <w:p w14:paraId="00D98AFC">
      <w:pPr>
        <w:spacing w:line="312" w:lineRule="auto"/>
        <w:ind w:firstLine="562" w:firstLineChars="200"/>
        <w:jc w:val="left"/>
        <w:outlineLvl w:val="1"/>
        <w:rPr>
          <w:rFonts w:ascii="黑体" w:hAnsi="黑体" w:eastAsia="黑体" w:cs="Arial"/>
          <w:b/>
          <w:color w:val="auto"/>
          <w:kern w:val="0"/>
          <w:sz w:val="28"/>
          <w:szCs w:val="28"/>
          <w:highlight w:val="none"/>
        </w:rPr>
      </w:pPr>
      <w:r>
        <w:rPr>
          <w:rFonts w:hint="eastAsia" w:ascii="黑体" w:hAnsi="黑体" w:eastAsia="黑体" w:cs="Arial"/>
          <w:b/>
          <w:color w:val="auto"/>
          <w:kern w:val="0"/>
          <w:sz w:val="28"/>
          <w:szCs w:val="28"/>
          <w:highlight w:val="none"/>
        </w:rPr>
        <w:t>三、</w:t>
      </w:r>
      <w:r>
        <w:rPr>
          <w:rFonts w:ascii="黑体" w:hAnsi="黑体" w:eastAsia="黑体" w:cs="Arial"/>
          <w:b/>
          <w:color w:val="auto"/>
          <w:kern w:val="0"/>
          <w:sz w:val="28"/>
          <w:szCs w:val="28"/>
          <w:highlight w:val="none"/>
        </w:rPr>
        <w:t>图纸</w:t>
      </w:r>
    </w:p>
    <w:p w14:paraId="2BCA675D">
      <w:pPr>
        <w:spacing w:line="312" w:lineRule="auto"/>
        <w:ind w:firstLine="420" w:firstLineChars="200"/>
        <w:jc w:val="left"/>
        <w:rPr>
          <w:bCs/>
          <w:color w:val="auto"/>
          <w:kern w:val="0"/>
          <w:szCs w:val="21"/>
          <w:highlight w:val="none"/>
        </w:rPr>
      </w:pPr>
      <w:r>
        <w:rPr>
          <w:rFonts w:hint="eastAsia"/>
          <w:bCs/>
          <w:color w:val="auto"/>
          <w:kern w:val="0"/>
          <w:szCs w:val="21"/>
          <w:highlight w:val="none"/>
        </w:rPr>
        <w:t>图纸详见本采购文件附件。</w:t>
      </w:r>
    </w:p>
    <w:p w14:paraId="293871C8">
      <w:pPr>
        <w:spacing w:line="312" w:lineRule="auto"/>
        <w:ind w:firstLine="562" w:firstLineChars="200"/>
        <w:jc w:val="left"/>
        <w:outlineLvl w:val="1"/>
        <w:rPr>
          <w:rFonts w:ascii="黑体" w:hAnsi="黑体" w:eastAsia="黑体" w:cs="Arial"/>
          <w:b/>
          <w:color w:val="auto"/>
          <w:kern w:val="0"/>
          <w:sz w:val="28"/>
          <w:szCs w:val="28"/>
          <w:highlight w:val="none"/>
        </w:rPr>
      </w:pPr>
      <w:r>
        <w:rPr>
          <w:rFonts w:hint="eastAsia" w:ascii="黑体" w:hAnsi="黑体" w:eastAsia="黑体" w:cs="Arial"/>
          <w:b/>
          <w:color w:val="auto"/>
          <w:kern w:val="0"/>
          <w:sz w:val="28"/>
          <w:szCs w:val="28"/>
          <w:highlight w:val="none"/>
        </w:rPr>
        <w:t>四、技术</w:t>
      </w:r>
      <w:r>
        <w:rPr>
          <w:rFonts w:ascii="黑体" w:hAnsi="黑体" w:eastAsia="黑体" w:cs="Arial"/>
          <w:b/>
          <w:color w:val="auto"/>
          <w:kern w:val="0"/>
          <w:sz w:val="28"/>
          <w:szCs w:val="28"/>
          <w:highlight w:val="none"/>
        </w:rPr>
        <w:t>标准和要求</w:t>
      </w:r>
    </w:p>
    <w:p w14:paraId="27A238D7">
      <w:pPr>
        <w:spacing w:line="312" w:lineRule="auto"/>
        <w:ind w:firstLine="420" w:firstLineChars="200"/>
        <w:jc w:val="left"/>
        <w:rPr>
          <w:rFonts w:hint="eastAsia"/>
          <w:bCs/>
          <w:color w:val="auto"/>
          <w:kern w:val="0"/>
          <w:szCs w:val="21"/>
          <w:highlight w:val="none"/>
        </w:rPr>
      </w:pPr>
      <w:r>
        <w:rPr>
          <w:bCs/>
          <w:color w:val="auto"/>
          <w:kern w:val="0"/>
          <w:szCs w:val="21"/>
          <w:highlight w:val="none"/>
        </w:rPr>
        <w:t>本</w:t>
      </w:r>
      <w:r>
        <w:rPr>
          <w:rFonts w:hint="eastAsia"/>
          <w:bCs/>
          <w:color w:val="auto"/>
          <w:kern w:val="0"/>
          <w:szCs w:val="21"/>
          <w:highlight w:val="none"/>
        </w:rPr>
        <w:t>部分</w:t>
      </w:r>
      <w:r>
        <w:rPr>
          <w:bCs/>
          <w:color w:val="auto"/>
          <w:kern w:val="0"/>
          <w:szCs w:val="21"/>
          <w:highlight w:val="none"/>
        </w:rPr>
        <w:t>由</w:t>
      </w:r>
      <w:r>
        <w:rPr>
          <w:rFonts w:hint="eastAsia"/>
          <w:bCs/>
          <w:color w:val="auto"/>
          <w:kern w:val="0"/>
          <w:szCs w:val="21"/>
          <w:highlight w:val="none"/>
        </w:rPr>
        <w:t>采购</w:t>
      </w:r>
      <w:r>
        <w:rPr>
          <w:bCs/>
          <w:color w:val="auto"/>
          <w:kern w:val="0"/>
          <w:szCs w:val="21"/>
          <w:highlight w:val="none"/>
        </w:rPr>
        <w:t>人根据国家行业和地方现行标准、规范和规程等</w:t>
      </w:r>
      <w:r>
        <w:rPr>
          <w:rFonts w:hint="eastAsia"/>
          <w:bCs/>
          <w:color w:val="auto"/>
          <w:kern w:val="0"/>
          <w:szCs w:val="21"/>
          <w:highlight w:val="none"/>
        </w:rPr>
        <w:t>，以及项目具体情况</w:t>
      </w:r>
      <w:r>
        <w:rPr>
          <w:bCs/>
          <w:color w:val="auto"/>
          <w:kern w:val="0"/>
          <w:szCs w:val="21"/>
          <w:highlight w:val="none"/>
        </w:rPr>
        <w:t>摘录</w:t>
      </w:r>
      <w:r>
        <w:rPr>
          <w:rFonts w:hint="eastAsia"/>
          <w:bCs/>
          <w:color w:val="auto"/>
          <w:kern w:val="0"/>
          <w:szCs w:val="21"/>
          <w:highlight w:val="none"/>
        </w:rPr>
        <w:t>。</w:t>
      </w:r>
    </w:p>
    <w:p w14:paraId="39EAAA75">
      <w:pPr>
        <w:spacing w:line="312" w:lineRule="auto"/>
        <w:ind w:firstLine="562" w:firstLineChars="200"/>
        <w:jc w:val="left"/>
        <w:outlineLvl w:val="1"/>
        <w:rPr>
          <w:rFonts w:hint="eastAsia" w:ascii="黑体" w:hAnsi="黑体" w:eastAsia="黑体" w:cs="Arial"/>
          <w:b/>
          <w:color w:val="auto"/>
          <w:kern w:val="0"/>
          <w:sz w:val="28"/>
          <w:szCs w:val="28"/>
          <w:highlight w:val="none"/>
        </w:rPr>
      </w:pPr>
      <w:bookmarkStart w:id="22" w:name="_Hlk101188646"/>
      <w:r>
        <w:rPr>
          <w:rFonts w:hint="eastAsia" w:ascii="黑体" w:hAnsi="黑体" w:eastAsia="黑体" w:cs="Arial"/>
          <w:b/>
          <w:color w:val="auto"/>
          <w:kern w:val="0"/>
          <w:sz w:val="28"/>
          <w:szCs w:val="28"/>
          <w:highlight w:val="none"/>
        </w:rPr>
        <w:t>五、本项目标的所属行业</w:t>
      </w:r>
    </w:p>
    <w:p w14:paraId="06BF3960">
      <w:pPr>
        <w:spacing w:line="312" w:lineRule="auto"/>
        <w:ind w:firstLine="420" w:firstLineChars="200"/>
        <w:jc w:val="left"/>
        <w:rPr>
          <w:bCs/>
          <w:kern w:val="0"/>
          <w:szCs w:val="21"/>
          <w:highlight w:val="none"/>
        </w:rPr>
      </w:pPr>
      <w:bookmarkStart w:id="23" w:name="_Hlk74905748"/>
      <w:r>
        <w:rPr>
          <w:rFonts w:hint="eastAsia"/>
          <w:bCs/>
          <w:kern w:val="0"/>
          <w:szCs w:val="21"/>
          <w:highlight w:val="none"/>
        </w:rPr>
        <w:t>本项目所属行业建筑业</w:t>
      </w:r>
      <w:bookmarkEnd w:id="23"/>
      <w:r>
        <w:rPr>
          <w:rFonts w:hint="eastAsia"/>
          <w:bCs/>
          <w:kern w:val="0"/>
          <w:szCs w:val="21"/>
          <w:highlight w:val="none"/>
        </w:rPr>
        <w:t>。</w:t>
      </w:r>
    </w:p>
    <w:p w14:paraId="414DDB22">
      <w:pPr>
        <w:spacing w:line="528" w:lineRule="exact"/>
        <w:ind w:firstLine="210" w:firstLineChars="100"/>
        <w:rPr>
          <w:sz w:val="28"/>
          <w:szCs w:val="28"/>
          <w:highlight w:val="none"/>
        </w:rPr>
      </w:pPr>
      <w:r>
        <w:rPr>
          <w:bCs/>
          <w:kern w:val="0"/>
          <w:szCs w:val="21"/>
          <w:highlight w:val="none"/>
        </w:rPr>
        <w:br w:type="page"/>
      </w:r>
      <w:bookmarkStart w:id="24" w:name="_Hlk133572867"/>
      <w:r>
        <w:rPr>
          <w:rFonts w:hint="eastAsia"/>
          <w:sz w:val="28"/>
          <w:szCs w:val="28"/>
          <w:highlight w:val="none"/>
        </w:rPr>
        <w:t xml:space="preserve">附件： </w:t>
      </w:r>
      <w:r>
        <w:rPr>
          <w:sz w:val="28"/>
          <w:szCs w:val="28"/>
          <w:highlight w:val="none"/>
        </w:rPr>
        <w:t xml:space="preserve">                             </w:t>
      </w:r>
    </w:p>
    <w:p w14:paraId="5058150B">
      <w:pPr>
        <w:spacing w:line="528" w:lineRule="exact"/>
        <w:ind w:firstLine="280" w:firstLineChars="100"/>
        <w:jc w:val="center"/>
        <w:rPr>
          <w:sz w:val="28"/>
          <w:szCs w:val="28"/>
          <w:highlight w:val="none"/>
        </w:rPr>
      </w:pPr>
      <w:r>
        <w:rPr>
          <w:rFonts w:hint="eastAsia"/>
          <w:sz w:val="28"/>
          <w:szCs w:val="28"/>
          <w:highlight w:val="none"/>
        </w:rPr>
        <w:t>中小微企业划型标准</w:t>
      </w:r>
    </w:p>
    <w:tbl>
      <w:tblPr>
        <w:tblStyle w:val="54"/>
        <w:tblW w:w="8706" w:type="dxa"/>
        <w:tblInd w:w="250" w:type="dxa"/>
        <w:tblLayout w:type="fixed"/>
        <w:tblCellMar>
          <w:top w:w="0" w:type="dxa"/>
          <w:left w:w="108" w:type="dxa"/>
          <w:bottom w:w="0" w:type="dxa"/>
          <w:right w:w="108" w:type="dxa"/>
        </w:tblCellMar>
      </w:tblPr>
      <w:tblGrid>
        <w:gridCol w:w="1446"/>
        <w:gridCol w:w="1701"/>
        <w:gridCol w:w="1134"/>
        <w:gridCol w:w="1846"/>
        <w:gridCol w:w="1570"/>
        <w:gridCol w:w="1009"/>
      </w:tblGrid>
      <w:tr w14:paraId="515899E7">
        <w:tblPrEx>
          <w:tblCellMar>
            <w:top w:w="0" w:type="dxa"/>
            <w:left w:w="108" w:type="dxa"/>
            <w:bottom w:w="0" w:type="dxa"/>
            <w:right w:w="108" w:type="dxa"/>
          </w:tblCellMar>
        </w:tblPrEx>
        <w:trPr>
          <w:trHeight w:val="279" w:hRule="atLeast"/>
        </w:trPr>
        <w:tc>
          <w:tcPr>
            <w:tcW w:w="1446" w:type="dxa"/>
            <w:tcBorders>
              <w:top w:val="single" w:color="auto" w:sz="4" w:space="0"/>
              <w:left w:val="single" w:color="auto" w:sz="4" w:space="0"/>
              <w:bottom w:val="single" w:color="auto" w:sz="4" w:space="0"/>
              <w:right w:val="single" w:color="auto" w:sz="4" w:space="0"/>
            </w:tcBorders>
            <w:noWrap w:val="0"/>
            <w:vAlign w:val="center"/>
          </w:tcPr>
          <w:p w14:paraId="489D6505">
            <w:pPr>
              <w:widowControl/>
              <w:jc w:val="left"/>
              <w:rPr>
                <w:szCs w:val="21"/>
                <w:highlight w:val="none"/>
              </w:rPr>
            </w:pPr>
            <w:r>
              <w:rPr>
                <w:rFonts w:hint="eastAsia"/>
                <w:szCs w:val="21"/>
                <w:highlight w:val="none"/>
              </w:rPr>
              <w:t>行业名称</w:t>
            </w:r>
          </w:p>
        </w:tc>
        <w:tc>
          <w:tcPr>
            <w:tcW w:w="1701" w:type="dxa"/>
            <w:tcBorders>
              <w:top w:val="single" w:color="auto" w:sz="4" w:space="0"/>
              <w:left w:val="nil"/>
              <w:bottom w:val="single" w:color="auto" w:sz="4" w:space="0"/>
              <w:right w:val="single" w:color="auto" w:sz="4" w:space="0"/>
            </w:tcBorders>
            <w:noWrap w:val="0"/>
            <w:vAlign w:val="center"/>
          </w:tcPr>
          <w:p w14:paraId="6F1FF5B0">
            <w:pPr>
              <w:widowControl/>
              <w:jc w:val="left"/>
              <w:rPr>
                <w:szCs w:val="21"/>
                <w:highlight w:val="none"/>
              </w:rPr>
            </w:pPr>
            <w:r>
              <w:rPr>
                <w:rFonts w:hint="eastAsia"/>
                <w:szCs w:val="21"/>
                <w:highlight w:val="none"/>
              </w:rPr>
              <w:t>指标名称</w:t>
            </w:r>
          </w:p>
        </w:tc>
        <w:tc>
          <w:tcPr>
            <w:tcW w:w="1134" w:type="dxa"/>
            <w:tcBorders>
              <w:top w:val="single" w:color="auto" w:sz="4" w:space="0"/>
              <w:left w:val="nil"/>
              <w:bottom w:val="single" w:color="auto" w:sz="4" w:space="0"/>
              <w:right w:val="single" w:color="auto" w:sz="4" w:space="0"/>
            </w:tcBorders>
            <w:noWrap w:val="0"/>
            <w:vAlign w:val="center"/>
          </w:tcPr>
          <w:p w14:paraId="20CD571D">
            <w:pPr>
              <w:widowControl/>
              <w:jc w:val="left"/>
              <w:rPr>
                <w:szCs w:val="21"/>
                <w:highlight w:val="none"/>
              </w:rPr>
            </w:pPr>
            <w:r>
              <w:rPr>
                <w:rFonts w:hint="eastAsia"/>
                <w:szCs w:val="21"/>
                <w:highlight w:val="none"/>
              </w:rPr>
              <w:t>计量单位</w:t>
            </w:r>
          </w:p>
        </w:tc>
        <w:tc>
          <w:tcPr>
            <w:tcW w:w="1846" w:type="dxa"/>
            <w:tcBorders>
              <w:top w:val="single" w:color="auto" w:sz="4" w:space="0"/>
              <w:left w:val="nil"/>
              <w:bottom w:val="single" w:color="auto" w:sz="4" w:space="0"/>
              <w:right w:val="single" w:color="auto" w:sz="4" w:space="0"/>
            </w:tcBorders>
            <w:noWrap w:val="0"/>
            <w:vAlign w:val="center"/>
          </w:tcPr>
          <w:p w14:paraId="742270BC">
            <w:pPr>
              <w:widowControl/>
              <w:jc w:val="left"/>
              <w:rPr>
                <w:szCs w:val="21"/>
                <w:highlight w:val="none"/>
              </w:rPr>
            </w:pPr>
            <w:r>
              <w:rPr>
                <w:rFonts w:hint="eastAsia"/>
                <w:szCs w:val="21"/>
                <w:highlight w:val="none"/>
              </w:rPr>
              <w:t>中型</w:t>
            </w:r>
          </w:p>
        </w:tc>
        <w:tc>
          <w:tcPr>
            <w:tcW w:w="1570" w:type="dxa"/>
            <w:tcBorders>
              <w:top w:val="single" w:color="auto" w:sz="4" w:space="0"/>
              <w:left w:val="nil"/>
              <w:bottom w:val="single" w:color="auto" w:sz="4" w:space="0"/>
              <w:right w:val="single" w:color="auto" w:sz="4" w:space="0"/>
            </w:tcBorders>
            <w:noWrap w:val="0"/>
            <w:vAlign w:val="center"/>
          </w:tcPr>
          <w:p w14:paraId="4BF11A90">
            <w:pPr>
              <w:widowControl/>
              <w:jc w:val="left"/>
              <w:rPr>
                <w:szCs w:val="21"/>
                <w:highlight w:val="none"/>
              </w:rPr>
            </w:pPr>
            <w:r>
              <w:rPr>
                <w:rFonts w:hint="eastAsia"/>
                <w:szCs w:val="21"/>
                <w:highlight w:val="none"/>
              </w:rPr>
              <w:t>小型</w:t>
            </w:r>
          </w:p>
        </w:tc>
        <w:tc>
          <w:tcPr>
            <w:tcW w:w="1009" w:type="dxa"/>
            <w:tcBorders>
              <w:top w:val="single" w:color="auto" w:sz="4" w:space="0"/>
              <w:left w:val="nil"/>
              <w:bottom w:val="single" w:color="auto" w:sz="4" w:space="0"/>
              <w:right w:val="single" w:color="auto" w:sz="4" w:space="0"/>
            </w:tcBorders>
            <w:noWrap w:val="0"/>
            <w:vAlign w:val="center"/>
          </w:tcPr>
          <w:p w14:paraId="2EE9574A">
            <w:pPr>
              <w:widowControl/>
              <w:jc w:val="left"/>
              <w:rPr>
                <w:szCs w:val="21"/>
                <w:highlight w:val="none"/>
              </w:rPr>
            </w:pPr>
            <w:r>
              <w:rPr>
                <w:rFonts w:hint="eastAsia"/>
                <w:szCs w:val="21"/>
                <w:highlight w:val="none"/>
              </w:rPr>
              <w:t>微型</w:t>
            </w:r>
          </w:p>
        </w:tc>
      </w:tr>
      <w:tr w14:paraId="0390C07A">
        <w:tblPrEx>
          <w:tblCellMar>
            <w:top w:w="0" w:type="dxa"/>
            <w:left w:w="108" w:type="dxa"/>
            <w:bottom w:w="0" w:type="dxa"/>
            <w:right w:w="108" w:type="dxa"/>
          </w:tblCellMar>
        </w:tblPrEx>
        <w:trPr>
          <w:trHeight w:val="220" w:hRule="atLeast"/>
        </w:trPr>
        <w:tc>
          <w:tcPr>
            <w:tcW w:w="1446" w:type="dxa"/>
            <w:tcBorders>
              <w:top w:val="nil"/>
              <w:left w:val="single" w:color="auto" w:sz="4" w:space="0"/>
              <w:bottom w:val="single" w:color="auto" w:sz="4" w:space="0"/>
              <w:right w:val="single" w:color="auto" w:sz="4" w:space="0"/>
            </w:tcBorders>
            <w:noWrap w:val="0"/>
            <w:vAlign w:val="bottom"/>
          </w:tcPr>
          <w:p w14:paraId="56A76568">
            <w:pPr>
              <w:widowControl/>
              <w:jc w:val="center"/>
              <w:rPr>
                <w:szCs w:val="21"/>
                <w:highlight w:val="none"/>
              </w:rPr>
            </w:pPr>
            <w:r>
              <w:rPr>
                <w:rFonts w:hint="eastAsia"/>
                <w:szCs w:val="21"/>
                <w:highlight w:val="none"/>
              </w:rPr>
              <w:t>农、林、牧、渔</w:t>
            </w:r>
          </w:p>
        </w:tc>
        <w:tc>
          <w:tcPr>
            <w:tcW w:w="1701" w:type="dxa"/>
            <w:tcBorders>
              <w:top w:val="nil"/>
              <w:left w:val="nil"/>
              <w:bottom w:val="single" w:color="auto" w:sz="4" w:space="0"/>
              <w:right w:val="single" w:color="auto" w:sz="4" w:space="0"/>
            </w:tcBorders>
            <w:noWrap w:val="0"/>
            <w:vAlign w:val="center"/>
          </w:tcPr>
          <w:p w14:paraId="58329A22">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7B9ED071">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553BDF38">
            <w:pPr>
              <w:widowControl/>
              <w:jc w:val="left"/>
              <w:rPr>
                <w:szCs w:val="21"/>
                <w:highlight w:val="none"/>
              </w:rPr>
            </w:pPr>
            <w:r>
              <w:rPr>
                <w:rFonts w:hint="eastAsia"/>
                <w:szCs w:val="21"/>
                <w:highlight w:val="none"/>
              </w:rPr>
              <w:t>500≤Y＜20000</w:t>
            </w:r>
          </w:p>
        </w:tc>
        <w:tc>
          <w:tcPr>
            <w:tcW w:w="1570" w:type="dxa"/>
            <w:tcBorders>
              <w:top w:val="nil"/>
              <w:left w:val="nil"/>
              <w:bottom w:val="single" w:color="auto" w:sz="4" w:space="0"/>
              <w:right w:val="single" w:color="auto" w:sz="4" w:space="0"/>
            </w:tcBorders>
            <w:noWrap w:val="0"/>
            <w:vAlign w:val="center"/>
          </w:tcPr>
          <w:p w14:paraId="443FA86F">
            <w:pPr>
              <w:widowControl/>
              <w:jc w:val="left"/>
              <w:rPr>
                <w:szCs w:val="21"/>
                <w:highlight w:val="none"/>
              </w:rPr>
            </w:pPr>
            <w:r>
              <w:rPr>
                <w:rFonts w:hint="eastAsia"/>
                <w:szCs w:val="21"/>
                <w:highlight w:val="none"/>
              </w:rPr>
              <w:t>50≤Y＜500</w:t>
            </w:r>
          </w:p>
        </w:tc>
        <w:tc>
          <w:tcPr>
            <w:tcW w:w="1009" w:type="dxa"/>
            <w:tcBorders>
              <w:top w:val="nil"/>
              <w:left w:val="nil"/>
              <w:bottom w:val="single" w:color="auto" w:sz="4" w:space="0"/>
              <w:right w:val="single" w:color="auto" w:sz="4" w:space="0"/>
            </w:tcBorders>
            <w:noWrap w:val="0"/>
            <w:vAlign w:val="center"/>
          </w:tcPr>
          <w:p w14:paraId="6F80E681">
            <w:pPr>
              <w:widowControl/>
              <w:jc w:val="left"/>
              <w:rPr>
                <w:szCs w:val="21"/>
                <w:highlight w:val="none"/>
              </w:rPr>
            </w:pPr>
            <w:r>
              <w:rPr>
                <w:rFonts w:hint="eastAsia"/>
                <w:szCs w:val="21"/>
                <w:highlight w:val="none"/>
              </w:rPr>
              <w:t>Y＜50</w:t>
            </w:r>
          </w:p>
        </w:tc>
      </w:tr>
      <w:tr w14:paraId="77DB0FBC">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7DB7D808">
            <w:pPr>
              <w:widowControl/>
              <w:jc w:val="center"/>
              <w:rPr>
                <w:szCs w:val="21"/>
                <w:highlight w:val="none"/>
              </w:rPr>
            </w:pPr>
            <w:r>
              <w:rPr>
                <w:rFonts w:hint="eastAsia"/>
                <w:szCs w:val="21"/>
                <w:highlight w:val="none"/>
              </w:rPr>
              <w:t>工业</w:t>
            </w:r>
          </w:p>
        </w:tc>
        <w:tc>
          <w:tcPr>
            <w:tcW w:w="1701" w:type="dxa"/>
            <w:tcBorders>
              <w:top w:val="nil"/>
              <w:left w:val="nil"/>
              <w:bottom w:val="single" w:color="auto" w:sz="4" w:space="0"/>
              <w:right w:val="single" w:color="auto" w:sz="4" w:space="0"/>
            </w:tcBorders>
            <w:noWrap w:val="0"/>
            <w:vAlign w:val="center"/>
          </w:tcPr>
          <w:p w14:paraId="3FEDA2B3">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2DF070BD">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0119CFC6">
            <w:pPr>
              <w:widowControl/>
              <w:jc w:val="left"/>
              <w:rPr>
                <w:szCs w:val="21"/>
                <w:highlight w:val="none"/>
              </w:rPr>
            </w:pPr>
            <w:r>
              <w:rPr>
                <w:rFonts w:hint="eastAsia"/>
                <w:szCs w:val="21"/>
                <w:highlight w:val="none"/>
              </w:rPr>
              <w:t>300≤X＜1000</w:t>
            </w:r>
          </w:p>
        </w:tc>
        <w:tc>
          <w:tcPr>
            <w:tcW w:w="1570" w:type="dxa"/>
            <w:tcBorders>
              <w:top w:val="nil"/>
              <w:left w:val="nil"/>
              <w:bottom w:val="single" w:color="auto" w:sz="4" w:space="0"/>
              <w:right w:val="single" w:color="auto" w:sz="4" w:space="0"/>
            </w:tcBorders>
            <w:noWrap w:val="0"/>
            <w:vAlign w:val="center"/>
          </w:tcPr>
          <w:p w14:paraId="740361DE">
            <w:pPr>
              <w:widowControl/>
              <w:jc w:val="left"/>
              <w:rPr>
                <w:szCs w:val="21"/>
                <w:highlight w:val="none"/>
              </w:rPr>
            </w:pPr>
            <w:r>
              <w:rPr>
                <w:rFonts w:hint="eastAsia"/>
                <w:szCs w:val="21"/>
                <w:highlight w:val="none"/>
              </w:rPr>
              <w:t>20≤X＜300</w:t>
            </w:r>
          </w:p>
        </w:tc>
        <w:tc>
          <w:tcPr>
            <w:tcW w:w="1009" w:type="dxa"/>
            <w:tcBorders>
              <w:top w:val="nil"/>
              <w:left w:val="nil"/>
              <w:bottom w:val="single" w:color="auto" w:sz="4" w:space="0"/>
              <w:right w:val="single" w:color="auto" w:sz="4" w:space="0"/>
            </w:tcBorders>
            <w:noWrap w:val="0"/>
            <w:vAlign w:val="center"/>
          </w:tcPr>
          <w:p w14:paraId="25ECE53F">
            <w:pPr>
              <w:widowControl/>
              <w:jc w:val="left"/>
              <w:rPr>
                <w:szCs w:val="21"/>
                <w:highlight w:val="none"/>
              </w:rPr>
            </w:pPr>
            <w:r>
              <w:rPr>
                <w:rFonts w:hint="eastAsia"/>
                <w:szCs w:val="21"/>
                <w:highlight w:val="none"/>
              </w:rPr>
              <w:t>X＜20</w:t>
            </w:r>
          </w:p>
        </w:tc>
      </w:tr>
      <w:tr w14:paraId="1DF88B85">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3944844E">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05142157">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CD09155">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618E341B">
            <w:pPr>
              <w:widowControl/>
              <w:jc w:val="left"/>
              <w:rPr>
                <w:szCs w:val="21"/>
                <w:highlight w:val="none"/>
              </w:rPr>
            </w:pPr>
            <w:r>
              <w:rPr>
                <w:rFonts w:hint="eastAsia"/>
                <w:szCs w:val="21"/>
                <w:highlight w:val="none"/>
              </w:rPr>
              <w:t>2000≤Y＜40000</w:t>
            </w:r>
          </w:p>
        </w:tc>
        <w:tc>
          <w:tcPr>
            <w:tcW w:w="1570" w:type="dxa"/>
            <w:tcBorders>
              <w:top w:val="nil"/>
              <w:left w:val="nil"/>
              <w:bottom w:val="single" w:color="auto" w:sz="4" w:space="0"/>
              <w:right w:val="single" w:color="auto" w:sz="4" w:space="0"/>
            </w:tcBorders>
            <w:noWrap w:val="0"/>
            <w:vAlign w:val="center"/>
          </w:tcPr>
          <w:p w14:paraId="48371B81">
            <w:pPr>
              <w:widowControl/>
              <w:jc w:val="left"/>
              <w:rPr>
                <w:szCs w:val="21"/>
                <w:highlight w:val="none"/>
              </w:rPr>
            </w:pPr>
            <w:r>
              <w:rPr>
                <w:rFonts w:hint="eastAsia"/>
                <w:szCs w:val="21"/>
                <w:highlight w:val="none"/>
              </w:rPr>
              <w:t>300≤Y＜2000</w:t>
            </w:r>
          </w:p>
        </w:tc>
        <w:tc>
          <w:tcPr>
            <w:tcW w:w="1009" w:type="dxa"/>
            <w:tcBorders>
              <w:top w:val="nil"/>
              <w:left w:val="nil"/>
              <w:bottom w:val="single" w:color="auto" w:sz="4" w:space="0"/>
              <w:right w:val="single" w:color="auto" w:sz="4" w:space="0"/>
            </w:tcBorders>
            <w:noWrap w:val="0"/>
            <w:vAlign w:val="center"/>
          </w:tcPr>
          <w:p w14:paraId="5EA78DC7">
            <w:pPr>
              <w:widowControl/>
              <w:jc w:val="left"/>
              <w:rPr>
                <w:szCs w:val="21"/>
                <w:highlight w:val="none"/>
              </w:rPr>
            </w:pPr>
            <w:r>
              <w:rPr>
                <w:rFonts w:hint="eastAsia"/>
                <w:szCs w:val="21"/>
                <w:highlight w:val="none"/>
              </w:rPr>
              <w:t>Y＜300</w:t>
            </w:r>
          </w:p>
        </w:tc>
      </w:tr>
      <w:tr w14:paraId="64E8A34F">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77E1F71C">
            <w:pPr>
              <w:widowControl/>
              <w:jc w:val="center"/>
              <w:rPr>
                <w:szCs w:val="21"/>
                <w:highlight w:val="none"/>
              </w:rPr>
            </w:pPr>
            <w:r>
              <w:rPr>
                <w:rFonts w:hint="eastAsia"/>
                <w:szCs w:val="21"/>
                <w:highlight w:val="none"/>
              </w:rPr>
              <w:t>建筑业</w:t>
            </w:r>
          </w:p>
        </w:tc>
        <w:tc>
          <w:tcPr>
            <w:tcW w:w="1701" w:type="dxa"/>
            <w:tcBorders>
              <w:top w:val="nil"/>
              <w:left w:val="nil"/>
              <w:bottom w:val="single" w:color="auto" w:sz="4" w:space="0"/>
              <w:right w:val="single" w:color="auto" w:sz="4" w:space="0"/>
            </w:tcBorders>
            <w:noWrap w:val="0"/>
            <w:vAlign w:val="center"/>
          </w:tcPr>
          <w:p w14:paraId="7FE9BAB4">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BEF4536">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649789D1">
            <w:pPr>
              <w:widowControl/>
              <w:jc w:val="left"/>
              <w:rPr>
                <w:szCs w:val="21"/>
                <w:highlight w:val="none"/>
              </w:rPr>
            </w:pPr>
            <w:r>
              <w:rPr>
                <w:rFonts w:hint="eastAsia"/>
                <w:szCs w:val="21"/>
                <w:highlight w:val="none"/>
              </w:rPr>
              <w:t>6000≤Y＜80000</w:t>
            </w:r>
          </w:p>
        </w:tc>
        <w:tc>
          <w:tcPr>
            <w:tcW w:w="1570" w:type="dxa"/>
            <w:tcBorders>
              <w:top w:val="nil"/>
              <w:left w:val="nil"/>
              <w:bottom w:val="single" w:color="auto" w:sz="4" w:space="0"/>
              <w:right w:val="single" w:color="auto" w:sz="4" w:space="0"/>
            </w:tcBorders>
            <w:noWrap w:val="0"/>
            <w:vAlign w:val="center"/>
          </w:tcPr>
          <w:p w14:paraId="3D599FF9">
            <w:pPr>
              <w:widowControl/>
              <w:jc w:val="left"/>
              <w:rPr>
                <w:szCs w:val="21"/>
                <w:highlight w:val="none"/>
              </w:rPr>
            </w:pPr>
            <w:r>
              <w:rPr>
                <w:rFonts w:hint="eastAsia"/>
                <w:szCs w:val="21"/>
                <w:highlight w:val="none"/>
              </w:rPr>
              <w:t>300≤Y＜6000</w:t>
            </w:r>
          </w:p>
        </w:tc>
        <w:tc>
          <w:tcPr>
            <w:tcW w:w="1009" w:type="dxa"/>
            <w:tcBorders>
              <w:top w:val="nil"/>
              <w:left w:val="nil"/>
              <w:bottom w:val="single" w:color="auto" w:sz="4" w:space="0"/>
              <w:right w:val="single" w:color="auto" w:sz="4" w:space="0"/>
            </w:tcBorders>
            <w:noWrap w:val="0"/>
            <w:vAlign w:val="center"/>
          </w:tcPr>
          <w:p w14:paraId="768DCA53">
            <w:pPr>
              <w:widowControl/>
              <w:jc w:val="left"/>
              <w:rPr>
                <w:szCs w:val="21"/>
                <w:highlight w:val="none"/>
              </w:rPr>
            </w:pPr>
            <w:r>
              <w:rPr>
                <w:rFonts w:hint="eastAsia"/>
                <w:szCs w:val="21"/>
                <w:highlight w:val="none"/>
              </w:rPr>
              <w:t>Y＜300</w:t>
            </w:r>
          </w:p>
        </w:tc>
      </w:tr>
      <w:tr w14:paraId="37697DB4">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155D5C29">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070FCF3A">
            <w:pPr>
              <w:widowControl/>
              <w:jc w:val="left"/>
              <w:rPr>
                <w:szCs w:val="21"/>
                <w:highlight w:val="none"/>
              </w:rPr>
            </w:pPr>
            <w:r>
              <w:rPr>
                <w:rFonts w:hint="eastAsia"/>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7A5A26C1">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15A0D944">
            <w:pPr>
              <w:widowControl/>
              <w:jc w:val="left"/>
              <w:rPr>
                <w:szCs w:val="21"/>
                <w:highlight w:val="none"/>
              </w:rPr>
            </w:pPr>
            <w:r>
              <w:rPr>
                <w:rFonts w:hint="eastAsia"/>
                <w:szCs w:val="21"/>
                <w:highlight w:val="none"/>
              </w:rPr>
              <w:t>5000≤Z＜80000</w:t>
            </w:r>
          </w:p>
        </w:tc>
        <w:tc>
          <w:tcPr>
            <w:tcW w:w="1570" w:type="dxa"/>
            <w:tcBorders>
              <w:top w:val="nil"/>
              <w:left w:val="nil"/>
              <w:bottom w:val="single" w:color="auto" w:sz="4" w:space="0"/>
              <w:right w:val="single" w:color="auto" w:sz="4" w:space="0"/>
            </w:tcBorders>
            <w:noWrap w:val="0"/>
            <w:vAlign w:val="center"/>
          </w:tcPr>
          <w:p w14:paraId="2A3AFEF8">
            <w:pPr>
              <w:widowControl/>
              <w:jc w:val="left"/>
              <w:rPr>
                <w:szCs w:val="21"/>
                <w:highlight w:val="none"/>
              </w:rPr>
            </w:pPr>
            <w:r>
              <w:rPr>
                <w:rFonts w:hint="eastAsia"/>
                <w:szCs w:val="21"/>
                <w:highlight w:val="none"/>
              </w:rPr>
              <w:t>300≤Z＜5000</w:t>
            </w:r>
          </w:p>
        </w:tc>
        <w:tc>
          <w:tcPr>
            <w:tcW w:w="1009" w:type="dxa"/>
            <w:tcBorders>
              <w:top w:val="nil"/>
              <w:left w:val="nil"/>
              <w:bottom w:val="single" w:color="auto" w:sz="4" w:space="0"/>
              <w:right w:val="single" w:color="auto" w:sz="4" w:space="0"/>
            </w:tcBorders>
            <w:noWrap w:val="0"/>
            <w:vAlign w:val="center"/>
          </w:tcPr>
          <w:p w14:paraId="45D20232">
            <w:pPr>
              <w:widowControl/>
              <w:jc w:val="left"/>
              <w:rPr>
                <w:szCs w:val="21"/>
                <w:highlight w:val="none"/>
              </w:rPr>
            </w:pPr>
            <w:r>
              <w:rPr>
                <w:rFonts w:hint="eastAsia"/>
                <w:szCs w:val="21"/>
                <w:highlight w:val="none"/>
              </w:rPr>
              <w:t>Z＜300</w:t>
            </w:r>
          </w:p>
        </w:tc>
      </w:tr>
      <w:tr w14:paraId="0AD210C6">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22DC02FA">
            <w:pPr>
              <w:widowControl/>
              <w:ind w:firstLine="315" w:firstLineChars="150"/>
              <w:rPr>
                <w:szCs w:val="21"/>
                <w:highlight w:val="none"/>
              </w:rPr>
            </w:pPr>
            <w:r>
              <w:rPr>
                <w:rFonts w:hint="eastAsia"/>
                <w:szCs w:val="21"/>
                <w:highlight w:val="none"/>
              </w:rPr>
              <w:t>批发业</w:t>
            </w:r>
          </w:p>
        </w:tc>
        <w:tc>
          <w:tcPr>
            <w:tcW w:w="1701" w:type="dxa"/>
            <w:tcBorders>
              <w:top w:val="nil"/>
              <w:left w:val="nil"/>
              <w:bottom w:val="single" w:color="auto" w:sz="4" w:space="0"/>
              <w:right w:val="single" w:color="auto" w:sz="4" w:space="0"/>
            </w:tcBorders>
            <w:noWrap w:val="0"/>
            <w:vAlign w:val="center"/>
          </w:tcPr>
          <w:p w14:paraId="618F01EA">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DFE5C78">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62699D3A">
            <w:pPr>
              <w:widowControl/>
              <w:jc w:val="left"/>
              <w:rPr>
                <w:szCs w:val="21"/>
                <w:highlight w:val="none"/>
              </w:rPr>
            </w:pPr>
            <w:r>
              <w:rPr>
                <w:rFonts w:hint="eastAsia"/>
                <w:szCs w:val="21"/>
                <w:highlight w:val="none"/>
              </w:rPr>
              <w:t>20≤X＜200</w:t>
            </w:r>
          </w:p>
        </w:tc>
        <w:tc>
          <w:tcPr>
            <w:tcW w:w="1570" w:type="dxa"/>
            <w:tcBorders>
              <w:top w:val="nil"/>
              <w:left w:val="nil"/>
              <w:bottom w:val="single" w:color="auto" w:sz="4" w:space="0"/>
              <w:right w:val="single" w:color="auto" w:sz="4" w:space="0"/>
            </w:tcBorders>
            <w:noWrap w:val="0"/>
            <w:vAlign w:val="center"/>
          </w:tcPr>
          <w:p w14:paraId="3D7EB290">
            <w:pPr>
              <w:widowControl/>
              <w:jc w:val="left"/>
              <w:rPr>
                <w:szCs w:val="21"/>
                <w:highlight w:val="none"/>
              </w:rPr>
            </w:pPr>
            <w:r>
              <w:rPr>
                <w:rFonts w:hint="eastAsia"/>
                <w:szCs w:val="21"/>
                <w:highlight w:val="none"/>
              </w:rPr>
              <w:t>5≤X＜20</w:t>
            </w:r>
          </w:p>
        </w:tc>
        <w:tc>
          <w:tcPr>
            <w:tcW w:w="1009" w:type="dxa"/>
            <w:tcBorders>
              <w:top w:val="nil"/>
              <w:left w:val="nil"/>
              <w:bottom w:val="single" w:color="auto" w:sz="4" w:space="0"/>
              <w:right w:val="single" w:color="auto" w:sz="4" w:space="0"/>
            </w:tcBorders>
            <w:noWrap w:val="0"/>
            <w:vAlign w:val="center"/>
          </w:tcPr>
          <w:p w14:paraId="53B319B2">
            <w:pPr>
              <w:widowControl/>
              <w:jc w:val="left"/>
              <w:rPr>
                <w:szCs w:val="21"/>
                <w:highlight w:val="none"/>
              </w:rPr>
            </w:pPr>
            <w:r>
              <w:rPr>
                <w:rFonts w:hint="eastAsia"/>
                <w:szCs w:val="21"/>
                <w:highlight w:val="none"/>
              </w:rPr>
              <w:t>X＜5</w:t>
            </w:r>
          </w:p>
        </w:tc>
      </w:tr>
      <w:tr w14:paraId="3E05A39E">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6D35AEF2">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055AF8F6">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B301A87">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2530C887">
            <w:pPr>
              <w:widowControl/>
              <w:jc w:val="left"/>
              <w:rPr>
                <w:szCs w:val="21"/>
                <w:highlight w:val="none"/>
              </w:rPr>
            </w:pPr>
            <w:r>
              <w:rPr>
                <w:rFonts w:hint="eastAsia"/>
                <w:szCs w:val="21"/>
                <w:highlight w:val="none"/>
              </w:rPr>
              <w:t>5000≤Y＜40000</w:t>
            </w:r>
          </w:p>
        </w:tc>
        <w:tc>
          <w:tcPr>
            <w:tcW w:w="1570" w:type="dxa"/>
            <w:tcBorders>
              <w:top w:val="nil"/>
              <w:left w:val="nil"/>
              <w:bottom w:val="single" w:color="auto" w:sz="4" w:space="0"/>
              <w:right w:val="single" w:color="auto" w:sz="4" w:space="0"/>
            </w:tcBorders>
            <w:noWrap w:val="0"/>
            <w:vAlign w:val="center"/>
          </w:tcPr>
          <w:p w14:paraId="51106F18">
            <w:pPr>
              <w:widowControl/>
              <w:jc w:val="left"/>
              <w:rPr>
                <w:szCs w:val="21"/>
                <w:highlight w:val="none"/>
              </w:rPr>
            </w:pPr>
            <w:r>
              <w:rPr>
                <w:rFonts w:hint="eastAsia"/>
                <w:szCs w:val="21"/>
                <w:highlight w:val="none"/>
              </w:rPr>
              <w:t>1000≤Y＜5000</w:t>
            </w:r>
          </w:p>
        </w:tc>
        <w:tc>
          <w:tcPr>
            <w:tcW w:w="1009" w:type="dxa"/>
            <w:tcBorders>
              <w:top w:val="nil"/>
              <w:left w:val="nil"/>
              <w:bottom w:val="single" w:color="auto" w:sz="4" w:space="0"/>
              <w:right w:val="single" w:color="auto" w:sz="4" w:space="0"/>
            </w:tcBorders>
            <w:noWrap w:val="0"/>
            <w:vAlign w:val="center"/>
          </w:tcPr>
          <w:p w14:paraId="43A439E4">
            <w:pPr>
              <w:widowControl/>
              <w:jc w:val="left"/>
              <w:rPr>
                <w:szCs w:val="21"/>
                <w:highlight w:val="none"/>
              </w:rPr>
            </w:pPr>
            <w:r>
              <w:rPr>
                <w:rFonts w:hint="eastAsia"/>
                <w:szCs w:val="21"/>
                <w:highlight w:val="none"/>
              </w:rPr>
              <w:t>Y＜1000</w:t>
            </w:r>
          </w:p>
        </w:tc>
      </w:tr>
      <w:tr w14:paraId="14B6C42B">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7FAE3CDE">
            <w:pPr>
              <w:widowControl/>
              <w:jc w:val="center"/>
              <w:rPr>
                <w:szCs w:val="21"/>
                <w:highlight w:val="none"/>
              </w:rPr>
            </w:pPr>
            <w:r>
              <w:rPr>
                <w:rFonts w:hint="eastAsia"/>
                <w:szCs w:val="21"/>
                <w:highlight w:val="none"/>
              </w:rPr>
              <w:t>零售业</w:t>
            </w:r>
          </w:p>
        </w:tc>
        <w:tc>
          <w:tcPr>
            <w:tcW w:w="1701" w:type="dxa"/>
            <w:tcBorders>
              <w:top w:val="nil"/>
              <w:left w:val="nil"/>
              <w:bottom w:val="single" w:color="auto" w:sz="4" w:space="0"/>
              <w:right w:val="single" w:color="auto" w:sz="4" w:space="0"/>
            </w:tcBorders>
            <w:noWrap w:val="0"/>
            <w:vAlign w:val="center"/>
          </w:tcPr>
          <w:p w14:paraId="4F93828F">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E572C47">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05105A9D">
            <w:pPr>
              <w:widowControl/>
              <w:jc w:val="left"/>
              <w:rPr>
                <w:szCs w:val="21"/>
                <w:highlight w:val="none"/>
              </w:rPr>
            </w:pPr>
            <w:r>
              <w:rPr>
                <w:rFonts w:hint="eastAsia"/>
                <w:szCs w:val="21"/>
                <w:highlight w:val="none"/>
              </w:rPr>
              <w:t>50≤X＜300</w:t>
            </w:r>
          </w:p>
        </w:tc>
        <w:tc>
          <w:tcPr>
            <w:tcW w:w="1570" w:type="dxa"/>
            <w:tcBorders>
              <w:top w:val="nil"/>
              <w:left w:val="nil"/>
              <w:bottom w:val="single" w:color="auto" w:sz="4" w:space="0"/>
              <w:right w:val="single" w:color="auto" w:sz="4" w:space="0"/>
            </w:tcBorders>
            <w:noWrap w:val="0"/>
            <w:vAlign w:val="center"/>
          </w:tcPr>
          <w:p w14:paraId="2F2054F6">
            <w:pPr>
              <w:widowControl/>
              <w:jc w:val="left"/>
              <w:rPr>
                <w:szCs w:val="21"/>
                <w:highlight w:val="none"/>
              </w:rPr>
            </w:pPr>
            <w:r>
              <w:rPr>
                <w:rFonts w:hint="eastAsia"/>
                <w:szCs w:val="21"/>
                <w:highlight w:val="none"/>
              </w:rPr>
              <w:t>10≤X＜50</w:t>
            </w:r>
          </w:p>
        </w:tc>
        <w:tc>
          <w:tcPr>
            <w:tcW w:w="1009" w:type="dxa"/>
            <w:tcBorders>
              <w:top w:val="nil"/>
              <w:left w:val="nil"/>
              <w:bottom w:val="single" w:color="auto" w:sz="4" w:space="0"/>
              <w:right w:val="single" w:color="auto" w:sz="4" w:space="0"/>
            </w:tcBorders>
            <w:noWrap w:val="0"/>
            <w:vAlign w:val="center"/>
          </w:tcPr>
          <w:p w14:paraId="13840FC8">
            <w:pPr>
              <w:widowControl/>
              <w:jc w:val="left"/>
              <w:rPr>
                <w:szCs w:val="21"/>
                <w:highlight w:val="none"/>
              </w:rPr>
            </w:pPr>
            <w:r>
              <w:rPr>
                <w:rFonts w:hint="eastAsia"/>
                <w:szCs w:val="21"/>
                <w:highlight w:val="none"/>
              </w:rPr>
              <w:t>X＜10</w:t>
            </w:r>
          </w:p>
        </w:tc>
      </w:tr>
      <w:tr w14:paraId="3C11F7B0">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662C0E96">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154DF8FA">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B765320">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104F454F">
            <w:pPr>
              <w:widowControl/>
              <w:jc w:val="left"/>
              <w:rPr>
                <w:szCs w:val="21"/>
                <w:highlight w:val="none"/>
              </w:rPr>
            </w:pPr>
            <w:r>
              <w:rPr>
                <w:rFonts w:hint="eastAsia"/>
                <w:szCs w:val="21"/>
                <w:highlight w:val="none"/>
              </w:rPr>
              <w:t>500≤Y＜20000</w:t>
            </w:r>
          </w:p>
        </w:tc>
        <w:tc>
          <w:tcPr>
            <w:tcW w:w="1570" w:type="dxa"/>
            <w:tcBorders>
              <w:top w:val="nil"/>
              <w:left w:val="nil"/>
              <w:bottom w:val="single" w:color="auto" w:sz="4" w:space="0"/>
              <w:right w:val="single" w:color="auto" w:sz="4" w:space="0"/>
            </w:tcBorders>
            <w:noWrap w:val="0"/>
            <w:vAlign w:val="center"/>
          </w:tcPr>
          <w:p w14:paraId="09D0493D">
            <w:pPr>
              <w:widowControl/>
              <w:jc w:val="left"/>
              <w:rPr>
                <w:szCs w:val="21"/>
                <w:highlight w:val="none"/>
              </w:rPr>
            </w:pPr>
            <w:r>
              <w:rPr>
                <w:rFonts w:hint="eastAsia"/>
                <w:szCs w:val="21"/>
                <w:highlight w:val="none"/>
              </w:rPr>
              <w:t>100≤Y＜500</w:t>
            </w:r>
          </w:p>
        </w:tc>
        <w:tc>
          <w:tcPr>
            <w:tcW w:w="1009" w:type="dxa"/>
            <w:tcBorders>
              <w:top w:val="nil"/>
              <w:left w:val="nil"/>
              <w:bottom w:val="single" w:color="auto" w:sz="4" w:space="0"/>
              <w:right w:val="single" w:color="auto" w:sz="4" w:space="0"/>
            </w:tcBorders>
            <w:noWrap w:val="0"/>
            <w:vAlign w:val="center"/>
          </w:tcPr>
          <w:p w14:paraId="543281C2">
            <w:pPr>
              <w:widowControl/>
              <w:jc w:val="left"/>
              <w:rPr>
                <w:szCs w:val="21"/>
                <w:highlight w:val="none"/>
              </w:rPr>
            </w:pPr>
            <w:r>
              <w:rPr>
                <w:rFonts w:hint="eastAsia"/>
                <w:szCs w:val="21"/>
                <w:highlight w:val="none"/>
              </w:rPr>
              <w:t>Y＜100</w:t>
            </w:r>
          </w:p>
        </w:tc>
      </w:tr>
      <w:tr w14:paraId="4CC2F112">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330AAD4D">
            <w:pPr>
              <w:widowControl/>
              <w:jc w:val="center"/>
              <w:rPr>
                <w:szCs w:val="21"/>
                <w:highlight w:val="none"/>
              </w:rPr>
            </w:pPr>
            <w:r>
              <w:rPr>
                <w:rFonts w:hint="eastAsia"/>
                <w:szCs w:val="21"/>
                <w:highlight w:val="none"/>
              </w:rPr>
              <w:t>交通运输业</w:t>
            </w:r>
          </w:p>
        </w:tc>
        <w:tc>
          <w:tcPr>
            <w:tcW w:w="1701" w:type="dxa"/>
            <w:tcBorders>
              <w:top w:val="nil"/>
              <w:left w:val="nil"/>
              <w:bottom w:val="single" w:color="auto" w:sz="4" w:space="0"/>
              <w:right w:val="single" w:color="auto" w:sz="4" w:space="0"/>
            </w:tcBorders>
            <w:noWrap w:val="0"/>
            <w:vAlign w:val="center"/>
          </w:tcPr>
          <w:p w14:paraId="12F017E0">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7B8AC5DB">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1305B04F">
            <w:pPr>
              <w:widowControl/>
              <w:jc w:val="left"/>
              <w:rPr>
                <w:szCs w:val="21"/>
                <w:highlight w:val="none"/>
              </w:rPr>
            </w:pPr>
            <w:r>
              <w:rPr>
                <w:rFonts w:hint="eastAsia"/>
                <w:szCs w:val="21"/>
                <w:highlight w:val="none"/>
              </w:rPr>
              <w:t>300≤X＜1000</w:t>
            </w:r>
          </w:p>
        </w:tc>
        <w:tc>
          <w:tcPr>
            <w:tcW w:w="1570" w:type="dxa"/>
            <w:tcBorders>
              <w:top w:val="nil"/>
              <w:left w:val="nil"/>
              <w:bottom w:val="single" w:color="auto" w:sz="4" w:space="0"/>
              <w:right w:val="single" w:color="auto" w:sz="4" w:space="0"/>
            </w:tcBorders>
            <w:noWrap w:val="0"/>
            <w:vAlign w:val="center"/>
          </w:tcPr>
          <w:p w14:paraId="2A59F3ED">
            <w:pPr>
              <w:widowControl/>
              <w:jc w:val="left"/>
              <w:rPr>
                <w:szCs w:val="21"/>
                <w:highlight w:val="none"/>
              </w:rPr>
            </w:pPr>
            <w:r>
              <w:rPr>
                <w:rFonts w:hint="eastAsia"/>
                <w:szCs w:val="21"/>
                <w:highlight w:val="none"/>
              </w:rPr>
              <w:t>20≤X＜300</w:t>
            </w:r>
          </w:p>
        </w:tc>
        <w:tc>
          <w:tcPr>
            <w:tcW w:w="1009" w:type="dxa"/>
            <w:tcBorders>
              <w:top w:val="nil"/>
              <w:left w:val="nil"/>
              <w:bottom w:val="single" w:color="auto" w:sz="4" w:space="0"/>
              <w:right w:val="single" w:color="auto" w:sz="4" w:space="0"/>
            </w:tcBorders>
            <w:noWrap w:val="0"/>
            <w:vAlign w:val="center"/>
          </w:tcPr>
          <w:p w14:paraId="7DFBC1D0">
            <w:pPr>
              <w:widowControl/>
              <w:jc w:val="left"/>
              <w:rPr>
                <w:szCs w:val="21"/>
                <w:highlight w:val="none"/>
              </w:rPr>
            </w:pPr>
            <w:r>
              <w:rPr>
                <w:rFonts w:hint="eastAsia"/>
                <w:szCs w:val="21"/>
                <w:highlight w:val="none"/>
              </w:rPr>
              <w:t>X＜20</w:t>
            </w:r>
          </w:p>
        </w:tc>
      </w:tr>
      <w:tr w14:paraId="0FB69A44">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5FDBC011">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6ED8E764">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65D328C">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55ACAF10">
            <w:pPr>
              <w:widowControl/>
              <w:jc w:val="left"/>
              <w:rPr>
                <w:szCs w:val="21"/>
                <w:highlight w:val="none"/>
              </w:rPr>
            </w:pPr>
            <w:r>
              <w:rPr>
                <w:rFonts w:hint="eastAsia"/>
                <w:szCs w:val="21"/>
                <w:highlight w:val="none"/>
              </w:rPr>
              <w:t>3000≤Y＜30000</w:t>
            </w:r>
          </w:p>
        </w:tc>
        <w:tc>
          <w:tcPr>
            <w:tcW w:w="1570" w:type="dxa"/>
            <w:tcBorders>
              <w:top w:val="nil"/>
              <w:left w:val="nil"/>
              <w:bottom w:val="single" w:color="auto" w:sz="4" w:space="0"/>
              <w:right w:val="single" w:color="auto" w:sz="4" w:space="0"/>
            </w:tcBorders>
            <w:noWrap w:val="0"/>
            <w:vAlign w:val="center"/>
          </w:tcPr>
          <w:p w14:paraId="28F4FCEA">
            <w:pPr>
              <w:widowControl/>
              <w:jc w:val="left"/>
              <w:rPr>
                <w:szCs w:val="21"/>
                <w:highlight w:val="none"/>
              </w:rPr>
            </w:pPr>
            <w:r>
              <w:rPr>
                <w:rFonts w:hint="eastAsia"/>
                <w:szCs w:val="21"/>
                <w:highlight w:val="none"/>
              </w:rPr>
              <w:t>200≤Y＜3000</w:t>
            </w:r>
          </w:p>
        </w:tc>
        <w:tc>
          <w:tcPr>
            <w:tcW w:w="1009" w:type="dxa"/>
            <w:tcBorders>
              <w:top w:val="nil"/>
              <w:left w:val="nil"/>
              <w:bottom w:val="single" w:color="auto" w:sz="4" w:space="0"/>
              <w:right w:val="single" w:color="auto" w:sz="4" w:space="0"/>
            </w:tcBorders>
            <w:noWrap w:val="0"/>
            <w:vAlign w:val="center"/>
          </w:tcPr>
          <w:p w14:paraId="13EC79F8">
            <w:pPr>
              <w:widowControl/>
              <w:jc w:val="left"/>
              <w:rPr>
                <w:szCs w:val="21"/>
                <w:highlight w:val="none"/>
              </w:rPr>
            </w:pPr>
            <w:r>
              <w:rPr>
                <w:rFonts w:hint="eastAsia"/>
                <w:szCs w:val="21"/>
                <w:highlight w:val="none"/>
              </w:rPr>
              <w:t>Y＜200</w:t>
            </w:r>
          </w:p>
        </w:tc>
      </w:tr>
      <w:tr w14:paraId="3C08568D">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6277CA31">
            <w:pPr>
              <w:widowControl/>
              <w:jc w:val="center"/>
              <w:rPr>
                <w:szCs w:val="21"/>
                <w:highlight w:val="none"/>
              </w:rPr>
            </w:pPr>
            <w:r>
              <w:rPr>
                <w:rFonts w:hint="eastAsia"/>
                <w:szCs w:val="21"/>
                <w:highlight w:val="none"/>
              </w:rPr>
              <w:t>仓储业</w:t>
            </w:r>
          </w:p>
        </w:tc>
        <w:tc>
          <w:tcPr>
            <w:tcW w:w="1701" w:type="dxa"/>
            <w:tcBorders>
              <w:top w:val="nil"/>
              <w:left w:val="nil"/>
              <w:bottom w:val="single" w:color="auto" w:sz="4" w:space="0"/>
              <w:right w:val="single" w:color="auto" w:sz="4" w:space="0"/>
            </w:tcBorders>
            <w:noWrap w:val="0"/>
            <w:vAlign w:val="center"/>
          </w:tcPr>
          <w:p w14:paraId="48D6D9C5">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E6B0FE3">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1F31A58D">
            <w:pPr>
              <w:widowControl/>
              <w:jc w:val="left"/>
              <w:rPr>
                <w:szCs w:val="21"/>
                <w:highlight w:val="none"/>
              </w:rPr>
            </w:pPr>
            <w:r>
              <w:rPr>
                <w:rFonts w:hint="eastAsia"/>
                <w:szCs w:val="21"/>
                <w:highlight w:val="none"/>
              </w:rPr>
              <w:t>100≤X＜200</w:t>
            </w:r>
          </w:p>
        </w:tc>
        <w:tc>
          <w:tcPr>
            <w:tcW w:w="1570" w:type="dxa"/>
            <w:tcBorders>
              <w:top w:val="nil"/>
              <w:left w:val="nil"/>
              <w:bottom w:val="single" w:color="auto" w:sz="4" w:space="0"/>
              <w:right w:val="single" w:color="auto" w:sz="4" w:space="0"/>
            </w:tcBorders>
            <w:noWrap w:val="0"/>
            <w:vAlign w:val="center"/>
          </w:tcPr>
          <w:p w14:paraId="60AC2863">
            <w:pPr>
              <w:widowControl/>
              <w:jc w:val="left"/>
              <w:rPr>
                <w:szCs w:val="21"/>
                <w:highlight w:val="none"/>
              </w:rPr>
            </w:pPr>
            <w:r>
              <w:rPr>
                <w:rFonts w:hint="eastAsia"/>
                <w:szCs w:val="21"/>
                <w:highlight w:val="none"/>
              </w:rPr>
              <w:t>20≤X＜100</w:t>
            </w:r>
          </w:p>
        </w:tc>
        <w:tc>
          <w:tcPr>
            <w:tcW w:w="1009" w:type="dxa"/>
            <w:tcBorders>
              <w:top w:val="nil"/>
              <w:left w:val="nil"/>
              <w:bottom w:val="single" w:color="auto" w:sz="4" w:space="0"/>
              <w:right w:val="single" w:color="auto" w:sz="4" w:space="0"/>
            </w:tcBorders>
            <w:noWrap w:val="0"/>
            <w:vAlign w:val="center"/>
          </w:tcPr>
          <w:p w14:paraId="4A220C1E">
            <w:pPr>
              <w:widowControl/>
              <w:jc w:val="left"/>
              <w:rPr>
                <w:szCs w:val="21"/>
                <w:highlight w:val="none"/>
              </w:rPr>
            </w:pPr>
            <w:r>
              <w:rPr>
                <w:rFonts w:hint="eastAsia"/>
                <w:szCs w:val="21"/>
                <w:highlight w:val="none"/>
              </w:rPr>
              <w:t>X＜20</w:t>
            </w:r>
          </w:p>
        </w:tc>
      </w:tr>
      <w:tr w14:paraId="499EA8E3">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2A9A9894">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01038DBE">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3B63B504">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0D33A805">
            <w:pPr>
              <w:widowControl/>
              <w:jc w:val="left"/>
              <w:rPr>
                <w:szCs w:val="21"/>
                <w:highlight w:val="none"/>
              </w:rPr>
            </w:pPr>
            <w:r>
              <w:rPr>
                <w:rFonts w:hint="eastAsia"/>
                <w:szCs w:val="21"/>
                <w:highlight w:val="none"/>
              </w:rPr>
              <w:t>1000≤Y＜30000</w:t>
            </w:r>
          </w:p>
        </w:tc>
        <w:tc>
          <w:tcPr>
            <w:tcW w:w="1570" w:type="dxa"/>
            <w:tcBorders>
              <w:top w:val="nil"/>
              <w:left w:val="nil"/>
              <w:bottom w:val="single" w:color="auto" w:sz="4" w:space="0"/>
              <w:right w:val="single" w:color="auto" w:sz="4" w:space="0"/>
            </w:tcBorders>
            <w:noWrap w:val="0"/>
            <w:vAlign w:val="center"/>
          </w:tcPr>
          <w:p w14:paraId="15CA3C8E">
            <w:pPr>
              <w:widowControl/>
              <w:jc w:val="left"/>
              <w:rPr>
                <w:szCs w:val="21"/>
                <w:highlight w:val="none"/>
              </w:rPr>
            </w:pPr>
            <w:r>
              <w:rPr>
                <w:rFonts w:hint="eastAsia"/>
                <w:szCs w:val="21"/>
                <w:highlight w:val="none"/>
              </w:rPr>
              <w:t>100≤Y＜1000</w:t>
            </w:r>
          </w:p>
        </w:tc>
        <w:tc>
          <w:tcPr>
            <w:tcW w:w="1009" w:type="dxa"/>
            <w:tcBorders>
              <w:top w:val="nil"/>
              <w:left w:val="nil"/>
              <w:bottom w:val="single" w:color="auto" w:sz="4" w:space="0"/>
              <w:right w:val="single" w:color="auto" w:sz="4" w:space="0"/>
            </w:tcBorders>
            <w:noWrap w:val="0"/>
            <w:vAlign w:val="center"/>
          </w:tcPr>
          <w:p w14:paraId="11D177D4">
            <w:pPr>
              <w:widowControl/>
              <w:jc w:val="left"/>
              <w:rPr>
                <w:szCs w:val="21"/>
                <w:highlight w:val="none"/>
              </w:rPr>
            </w:pPr>
            <w:r>
              <w:rPr>
                <w:rFonts w:hint="eastAsia"/>
                <w:szCs w:val="21"/>
                <w:highlight w:val="none"/>
              </w:rPr>
              <w:t>Y＜100</w:t>
            </w:r>
          </w:p>
        </w:tc>
      </w:tr>
      <w:tr w14:paraId="55E39850">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7B12BF54">
            <w:pPr>
              <w:widowControl/>
              <w:jc w:val="center"/>
              <w:rPr>
                <w:szCs w:val="21"/>
                <w:highlight w:val="none"/>
              </w:rPr>
            </w:pPr>
            <w:r>
              <w:rPr>
                <w:rFonts w:hint="eastAsia"/>
                <w:szCs w:val="21"/>
                <w:highlight w:val="none"/>
              </w:rPr>
              <w:t>邮政业</w:t>
            </w:r>
          </w:p>
        </w:tc>
        <w:tc>
          <w:tcPr>
            <w:tcW w:w="1701" w:type="dxa"/>
            <w:tcBorders>
              <w:top w:val="nil"/>
              <w:left w:val="nil"/>
              <w:bottom w:val="single" w:color="auto" w:sz="4" w:space="0"/>
              <w:right w:val="single" w:color="auto" w:sz="4" w:space="0"/>
            </w:tcBorders>
            <w:noWrap w:val="0"/>
            <w:vAlign w:val="center"/>
          </w:tcPr>
          <w:p w14:paraId="314F1DE4">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91EA1D0">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61510964">
            <w:pPr>
              <w:widowControl/>
              <w:jc w:val="left"/>
              <w:rPr>
                <w:szCs w:val="21"/>
                <w:highlight w:val="none"/>
              </w:rPr>
            </w:pPr>
            <w:r>
              <w:rPr>
                <w:rFonts w:hint="eastAsia"/>
                <w:szCs w:val="21"/>
                <w:highlight w:val="none"/>
              </w:rPr>
              <w:t>300≤X＜1000</w:t>
            </w:r>
          </w:p>
        </w:tc>
        <w:tc>
          <w:tcPr>
            <w:tcW w:w="1570" w:type="dxa"/>
            <w:tcBorders>
              <w:top w:val="nil"/>
              <w:left w:val="nil"/>
              <w:bottom w:val="single" w:color="auto" w:sz="4" w:space="0"/>
              <w:right w:val="single" w:color="auto" w:sz="4" w:space="0"/>
            </w:tcBorders>
            <w:noWrap w:val="0"/>
            <w:vAlign w:val="center"/>
          </w:tcPr>
          <w:p w14:paraId="27368BA7">
            <w:pPr>
              <w:widowControl/>
              <w:jc w:val="left"/>
              <w:rPr>
                <w:szCs w:val="21"/>
                <w:highlight w:val="none"/>
              </w:rPr>
            </w:pPr>
            <w:r>
              <w:rPr>
                <w:rFonts w:hint="eastAsia"/>
                <w:szCs w:val="21"/>
                <w:highlight w:val="none"/>
              </w:rPr>
              <w:t>20≤X＜300</w:t>
            </w:r>
          </w:p>
        </w:tc>
        <w:tc>
          <w:tcPr>
            <w:tcW w:w="1009" w:type="dxa"/>
            <w:tcBorders>
              <w:top w:val="nil"/>
              <w:left w:val="nil"/>
              <w:bottom w:val="single" w:color="auto" w:sz="4" w:space="0"/>
              <w:right w:val="single" w:color="auto" w:sz="4" w:space="0"/>
            </w:tcBorders>
            <w:noWrap w:val="0"/>
            <w:vAlign w:val="center"/>
          </w:tcPr>
          <w:p w14:paraId="486DEA5C">
            <w:pPr>
              <w:widowControl/>
              <w:jc w:val="left"/>
              <w:rPr>
                <w:szCs w:val="21"/>
                <w:highlight w:val="none"/>
              </w:rPr>
            </w:pPr>
            <w:r>
              <w:rPr>
                <w:rFonts w:hint="eastAsia"/>
                <w:szCs w:val="21"/>
                <w:highlight w:val="none"/>
              </w:rPr>
              <w:t>X＜20</w:t>
            </w:r>
          </w:p>
        </w:tc>
      </w:tr>
      <w:tr w14:paraId="1813F17F">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1C284E46">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121BBA92">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5BFB4770">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57087D0F">
            <w:pPr>
              <w:widowControl/>
              <w:jc w:val="left"/>
              <w:rPr>
                <w:szCs w:val="21"/>
                <w:highlight w:val="none"/>
              </w:rPr>
            </w:pPr>
            <w:r>
              <w:rPr>
                <w:rFonts w:hint="eastAsia"/>
                <w:szCs w:val="21"/>
                <w:highlight w:val="none"/>
              </w:rPr>
              <w:t>2000≤Y＜30000</w:t>
            </w:r>
          </w:p>
        </w:tc>
        <w:tc>
          <w:tcPr>
            <w:tcW w:w="1570" w:type="dxa"/>
            <w:tcBorders>
              <w:top w:val="nil"/>
              <w:left w:val="nil"/>
              <w:bottom w:val="single" w:color="auto" w:sz="4" w:space="0"/>
              <w:right w:val="single" w:color="auto" w:sz="4" w:space="0"/>
            </w:tcBorders>
            <w:noWrap w:val="0"/>
            <w:vAlign w:val="center"/>
          </w:tcPr>
          <w:p w14:paraId="27F8E8F7">
            <w:pPr>
              <w:widowControl/>
              <w:jc w:val="left"/>
              <w:rPr>
                <w:szCs w:val="21"/>
                <w:highlight w:val="none"/>
              </w:rPr>
            </w:pPr>
            <w:r>
              <w:rPr>
                <w:rFonts w:hint="eastAsia"/>
                <w:szCs w:val="21"/>
                <w:highlight w:val="none"/>
              </w:rPr>
              <w:t>100≤Y＜2000</w:t>
            </w:r>
          </w:p>
        </w:tc>
        <w:tc>
          <w:tcPr>
            <w:tcW w:w="1009" w:type="dxa"/>
            <w:tcBorders>
              <w:top w:val="nil"/>
              <w:left w:val="nil"/>
              <w:bottom w:val="single" w:color="auto" w:sz="4" w:space="0"/>
              <w:right w:val="single" w:color="auto" w:sz="4" w:space="0"/>
            </w:tcBorders>
            <w:noWrap w:val="0"/>
            <w:vAlign w:val="center"/>
          </w:tcPr>
          <w:p w14:paraId="6B6E663B">
            <w:pPr>
              <w:widowControl/>
              <w:jc w:val="left"/>
              <w:rPr>
                <w:szCs w:val="21"/>
                <w:highlight w:val="none"/>
              </w:rPr>
            </w:pPr>
            <w:r>
              <w:rPr>
                <w:rFonts w:hint="eastAsia"/>
                <w:szCs w:val="21"/>
                <w:highlight w:val="none"/>
              </w:rPr>
              <w:t>Y＜100</w:t>
            </w:r>
          </w:p>
        </w:tc>
      </w:tr>
      <w:tr w14:paraId="0AF18218">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224D3EE7">
            <w:pPr>
              <w:widowControl/>
              <w:jc w:val="center"/>
              <w:rPr>
                <w:szCs w:val="21"/>
                <w:highlight w:val="none"/>
              </w:rPr>
            </w:pPr>
            <w:r>
              <w:rPr>
                <w:rFonts w:hint="eastAsia"/>
                <w:szCs w:val="21"/>
                <w:highlight w:val="none"/>
              </w:rPr>
              <w:t>住宿业</w:t>
            </w:r>
          </w:p>
        </w:tc>
        <w:tc>
          <w:tcPr>
            <w:tcW w:w="1701" w:type="dxa"/>
            <w:tcBorders>
              <w:top w:val="nil"/>
              <w:left w:val="nil"/>
              <w:bottom w:val="single" w:color="auto" w:sz="4" w:space="0"/>
              <w:right w:val="single" w:color="auto" w:sz="4" w:space="0"/>
            </w:tcBorders>
            <w:noWrap w:val="0"/>
            <w:vAlign w:val="center"/>
          </w:tcPr>
          <w:p w14:paraId="47FF8062">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568B759">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02AAF269">
            <w:pPr>
              <w:widowControl/>
              <w:jc w:val="left"/>
              <w:rPr>
                <w:szCs w:val="21"/>
                <w:highlight w:val="none"/>
              </w:rPr>
            </w:pPr>
            <w:r>
              <w:rPr>
                <w:rFonts w:hint="eastAsia"/>
                <w:szCs w:val="21"/>
                <w:highlight w:val="none"/>
              </w:rPr>
              <w:t>100≤X＜300</w:t>
            </w:r>
          </w:p>
        </w:tc>
        <w:tc>
          <w:tcPr>
            <w:tcW w:w="1570" w:type="dxa"/>
            <w:tcBorders>
              <w:top w:val="nil"/>
              <w:left w:val="nil"/>
              <w:bottom w:val="single" w:color="auto" w:sz="4" w:space="0"/>
              <w:right w:val="single" w:color="auto" w:sz="4" w:space="0"/>
            </w:tcBorders>
            <w:noWrap w:val="0"/>
            <w:vAlign w:val="center"/>
          </w:tcPr>
          <w:p w14:paraId="47EBE163">
            <w:pPr>
              <w:widowControl/>
              <w:jc w:val="left"/>
              <w:rPr>
                <w:szCs w:val="21"/>
                <w:highlight w:val="none"/>
              </w:rPr>
            </w:pPr>
            <w:r>
              <w:rPr>
                <w:rFonts w:hint="eastAsia"/>
                <w:szCs w:val="21"/>
                <w:highlight w:val="none"/>
              </w:rPr>
              <w:t>10≤X＜100</w:t>
            </w:r>
          </w:p>
        </w:tc>
        <w:tc>
          <w:tcPr>
            <w:tcW w:w="1009" w:type="dxa"/>
            <w:tcBorders>
              <w:top w:val="nil"/>
              <w:left w:val="nil"/>
              <w:bottom w:val="single" w:color="auto" w:sz="4" w:space="0"/>
              <w:right w:val="single" w:color="auto" w:sz="4" w:space="0"/>
            </w:tcBorders>
            <w:noWrap w:val="0"/>
            <w:vAlign w:val="center"/>
          </w:tcPr>
          <w:p w14:paraId="4EF68D87">
            <w:pPr>
              <w:widowControl/>
              <w:jc w:val="left"/>
              <w:rPr>
                <w:szCs w:val="21"/>
                <w:highlight w:val="none"/>
              </w:rPr>
            </w:pPr>
            <w:r>
              <w:rPr>
                <w:rFonts w:hint="eastAsia"/>
                <w:szCs w:val="21"/>
                <w:highlight w:val="none"/>
              </w:rPr>
              <w:t>X＜10</w:t>
            </w:r>
          </w:p>
        </w:tc>
      </w:tr>
      <w:tr w14:paraId="4480A414">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6A4C60ED">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1F4D0512">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4A9ABF9C">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103C0000">
            <w:pPr>
              <w:widowControl/>
              <w:jc w:val="left"/>
              <w:rPr>
                <w:szCs w:val="21"/>
                <w:highlight w:val="none"/>
              </w:rPr>
            </w:pPr>
            <w:r>
              <w:rPr>
                <w:rFonts w:hint="eastAsia"/>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416D8301">
            <w:pPr>
              <w:widowControl/>
              <w:jc w:val="left"/>
              <w:rPr>
                <w:szCs w:val="21"/>
                <w:highlight w:val="none"/>
              </w:rPr>
            </w:pPr>
            <w:r>
              <w:rPr>
                <w:rFonts w:hint="eastAsia"/>
                <w:szCs w:val="21"/>
                <w:highlight w:val="none"/>
              </w:rPr>
              <w:t>100≤Y＜2000</w:t>
            </w:r>
          </w:p>
        </w:tc>
        <w:tc>
          <w:tcPr>
            <w:tcW w:w="1009" w:type="dxa"/>
            <w:tcBorders>
              <w:top w:val="nil"/>
              <w:left w:val="nil"/>
              <w:bottom w:val="single" w:color="auto" w:sz="4" w:space="0"/>
              <w:right w:val="single" w:color="auto" w:sz="4" w:space="0"/>
            </w:tcBorders>
            <w:noWrap w:val="0"/>
            <w:vAlign w:val="center"/>
          </w:tcPr>
          <w:p w14:paraId="7A31DBF5">
            <w:pPr>
              <w:widowControl/>
              <w:jc w:val="left"/>
              <w:rPr>
                <w:szCs w:val="21"/>
                <w:highlight w:val="none"/>
              </w:rPr>
            </w:pPr>
            <w:r>
              <w:rPr>
                <w:rFonts w:hint="eastAsia"/>
                <w:szCs w:val="21"/>
                <w:highlight w:val="none"/>
              </w:rPr>
              <w:t>Y＜100</w:t>
            </w:r>
          </w:p>
        </w:tc>
      </w:tr>
      <w:tr w14:paraId="272FC8A4">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368832BE">
            <w:pPr>
              <w:widowControl/>
              <w:jc w:val="center"/>
              <w:rPr>
                <w:szCs w:val="21"/>
                <w:highlight w:val="none"/>
              </w:rPr>
            </w:pPr>
            <w:r>
              <w:rPr>
                <w:rFonts w:hint="eastAsia"/>
                <w:szCs w:val="21"/>
                <w:highlight w:val="none"/>
              </w:rPr>
              <w:t>餐饮业</w:t>
            </w:r>
          </w:p>
        </w:tc>
        <w:tc>
          <w:tcPr>
            <w:tcW w:w="1701" w:type="dxa"/>
            <w:tcBorders>
              <w:top w:val="nil"/>
              <w:left w:val="nil"/>
              <w:bottom w:val="single" w:color="auto" w:sz="4" w:space="0"/>
              <w:right w:val="single" w:color="auto" w:sz="4" w:space="0"/>
            </w:tcBorders>
            <w:noWrap w:val="0"/>
            <w:vAlign w:val="center"/>
          </w:tcPr>
          <w:p w14:paraId="5B7E0AB5">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53435125">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33484BE6">
            <w:pPr>
              <w:widowControl/>
              <w:jc w:val="left"/>
              <w:rPr>
                <w:szCs w:val="21"/>
                <w:highlight w:val="none"/>
              </w:rPr>
            </w:pPr>
            <w:r>
              <w:rPr>
                <w:rFonts w:hint="eastAsia"/>
                <w:szCs w:val="21"/>
                <w:highlight w:val="none"/>
              </w:rPr>
              <w:t>100≤X＜300</w:t>
            </w:r>
          </w:p>
        </w:tc>
        <w:tc>
          <w:tcPr>
            <w:tcW w:w="1570" w:type="dxa"/>
            <w:tcBorders>
              <w:top w:val="nil"/>
              <w:left w:val="nil"/>
              <w:bottom w:val="single" w:color="auto" w:sz="4" w:space="0"/>
              <w:right w:val="single" w:color="auto" w:sz="4" w:space="0"/>
            </w:tcBorders>
            <w:noWrap w:val="0"/>
            <w:vAlign w:val="center"/>
          </w:tcPr>
          <w:p w14:paraId="52575305">
            <w:pPr>
              <w:widowControl/>
              <w:jc w:val="left"/>
              <w:rPr>
                <w:szCs w:val="21"/>
                <w:highlight w:val="none"/>
              </w:rPr>
            </w:pPr>
            <w:r>
              <w:rPr>
                <w:rFonts w:hint="eastAsia"/>
                <w:szCs w:val="21"/>
                <w:highlight w:val="none"/>
              </w:rPr>
              <w:t>10≤X＜100</w:t>
            </w:r>
          </w:p>
        </w:tc>
        <w:tc>
          <w:tcPr>
            <w:tcW w:w="1009" w:type="dxa"/>
            <w:tcBorders>
              <w:top w:val="nil"/>
              <w:left w:val="nil"/>
              <w:bottom w:val="single" w:color="auto" w:sz="4" w:space="0"/>
              <w:right w:val="single" w:color="auto" w:sz="4" w:space="0"/>
            </w:tcBorders>
            <w:noWrap w:val="0"/>
            <w:vAlign w:val="center"/>
          </w:tcPr>
          <w:p w14:paraId="39B2B17D">
            <w:pPr>
              <w:widowControl/>
              <w:jc w:val="left"/>
              <w:rPr>
                <w:szCs w:val="21"/>
                <w:highlight w:val="none"/>
              </w:rPr>
            </w:pPr>
            <w:r>
              <w:rPr>
                <w:rFonts w:hint="eastAsia"/>
                <w:szCs w:val="21"/>
                <w:highlight w:val="none"/>
              </w:rPr>
              <w:t>X＜10</w:t>
            </w:r>
          </w:p>
        </w:tc>
      </w:tr>
      <w:tr w14:paraId="7EBE195B">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32C14C98">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095BA1AB">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512E0F5A">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4FEC6A2B">
            <w:pPr>
              <w:widowControl/>
              <w:jc w:val="left"/>
              <w:rPr>
                <w:szCs w:val="21"/>
                <w:highlight w:val="none"/>
              </w:rPr>
            </w:pPr>
            <w:r>
              <w:rPr>
                <w:rFonts w:hint="eastAsia"/>
                <w:szCs w:val="21"/>
                <w:highlight w:val="none"/>
              </w:rPr>
              <w:t>2000≤Y＜10000</w:t>
            </w:r>
          </w:p>
        </w:tc>
        <w:tc>
          <w:tcPr>
            <w:tcW w:w="1570" w:type="dxa"/>
            <w:tcBorders>
              <w:top w:val="nil"/>
              <w:left w:val="nil"/>
              <w:bottom w:val="single" w:color="auto" w:sz="4" w:space="0"/>
              <w:right w:val="single" w:color="auto" w:sz="4" w:space="0"/>
            </w:tcBorders>
            <w:noWrap w:val="0"/>
            <w:vAlign w:val="center"/>
          </w:tcPr>
          <w:p w14:paraId="39646B7C">
            <w:pPr>
              <w:widowControl/>
              <w:jc w:val="left"/>
              <w:rPr>
                <w:szCs w:val="21"/>
                <w:highlight w:val="none"/>
              </w:rPr>
            </w:pPr>
            <w:r>
              <w:rPr>
                <w:rFonts w:hint="eastAsia"/>
                <w:szCs w:val="21"/>
                <w:highlight w:val="none"/>
              </w:rPr>
              <w:t>100≤Y＜2000</w:t>
            </w:r>
          </w:p>
        </w:tc>
        <w:tc>
          <w:tcPr>
            <w:tcW w:w="1009" w:type="dxa"/>
            <w:tcBorders>
              <w:top w:val="nil"/>
              <w:left w:val="nil"/>
              <w:bottom w:val="single" w:color="auto" w:sz="4" w:space="0"/>
              <w:right w:val="single" w:color="auto" w:sz="4" w:space="0"/>
            </w:tcBorders>
            <w:noWrap w:val="0"/>
            <w:vAlign w:val="center"/>
          </w:tcPr>
          <w:p w14:paraId="574152F0">
            <w:pPr>
              <w:widowControl/>
              <w:jc w:val="left"/>
              <w:rPr>
                <w:szCs w:val="21"/>
                <w:highlight w:val="none"/>
              </w:rPr>
            </w:pPr>
            <w:r>
              <w:rPr>
                <w:rFonts w:hint="eastAsia"/>
                <w:szCs w:val="21"/>
                <w:highlight w:val="none"/>
              </w:rPr>
              <w:t>Y＜100</w:t>
            </w:r>
          </w:p>
        </w:tc>
      </w:tr>
      <w:tr w14:paraId="4F47BEDD">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528E09EE">
            <w:pPr>
              <w:widowControl/>
              <w:jc w:val="center"/>
              <w:rPr>
                <w:szCs w:val="21"/>
                <w:highlight w:val="none"/>
              </w:rPr>
            </w:pPr>
            <w:r>
              <w:rPr>
                <w:rFonts w:hint="eastAsia"/>
                <w:szCs w:val="21"/>
                <w:highlight w:val="none"/>
              </w:rPr>
              <w:t>信息传输业</w:t>
            </w:r>
          </w:p>
        </w:tc>
        <w:tc>
          <w:tcPr>
            <w:tcW w:w="1701" w:type="dxa"/>
            <w:tcBorders>
              <w:top w:val="nil"/>
              <w:left w:val="nil"/>
              <w:bottom w:val="single" w:color="auto" w:sz="4" w:space="0"/>
              <w:right w:val="single" w:color="auto" w:sz="4" w:space="0"/>
            </w:tcBorders>
            <w:noWrap w:val="0"/>
            <w:vAlign w:val="center"/>
          </w:tcPr>
          <w:p w14:paraId="702DC519">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37205693">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7FEAA072">
            <w:pPr>
              <w:widowControl/>
              <w:jc w:val="left"/>
              <w:rPr>
                <w:szCs w:val="21"/>
                <w:highlight w:val="none"/>
              </w:rPr>
            </w:pPr>
            <w:r>
              <w:rPr>
                <w:rFonts w:hint="eastAsia"/>
                <w:szCs w:val="21"/>
                <w:highlight w:val="none"/>
              </w:rPr>
              <w:t>100≤X＜2000</w:t>
            </w:r>
          </w:p>
        </w:tc>
        <w:tc>
          <w:tcPr>
            <w:tcW w:w="1570" w:type="dxa"/>
            <w:tcBorders>
              <w:top w:val="nil"/>
              <w:left w:val="nil"/>
              <w:bottom w:val="single" w:color="auto" w:sz="4" w:space="0"/>
              <w:right w:val="single" w:color="auto" w:sz="4" w:space="0"/>
            </w:tcBorders>
            <w:noWrap w:val="0"/>
            <w:vAlign w:val="center"/>
          </w:tcPr>
          <w:p w14:paraId="1DD95CB6">
            <w:pPr>
              <w:widowControl/>
              <w:jc w:val="left"/>
              <w:rPr>
                <w:szCs w:val="21"/>
                <w:highlight w:val="none"/>
              </w:rPr>
            </w:pPr>
            <w:r>
              <w:rPr>
                <w:rFonts w:hint="eastAsia"/>
                <w:szCs w:val="21"/>
                <w:highlight w:val="none"/>
              </w:rPr>
              <w:t>10≤X＜100</w:t>
            </w:r>
          </w:p>
        </w:tc>
        <w:tc>
          <w:tcPr>
            <w:tcW w:w="1009" w:type="dxa"/>
            <w:tcBorders>
              <w:top w:val="nil"/>
              <w:left w:val="nil"/>
              <w:bottom w:val="single" w:color="auto" w:sz="4" w:space="0"/>
              <w:right w:val="single" w:color="auto" w:sz="4" w:space="0"/>
            </w:tcBorders>
            <w:noWrap w:val="0"/>
            <w:vAlign w:val="center"/>
          </w:tcPr>
          <w:p w14:paraId="7FC05FDF">
            <w:pPr>
              <w:widowControl/>
              <w:jc w:val="left"/>
              <w:rPr>
                <w:szCs w:val="21"/>
                <w:highlight w:val="none"/>
              </w:rPr>
            </w:pPr>
            <w:r>
              <w:rPr>
                <w:rFonts w:hint="eastAsia"/>
                <w:szCs w:val="21"/>
                <w:highlight w:val="none"/>
              </w:rPr>
              <w:t>X＜10</w:t>
            </w:r>
          </w:p>
        </w:tc>
      </w:tr>
      <w:tr w14:paraId="5A8C635E">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3E1082D1">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1C6805C3">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7761A22C">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6715A4B3">
            <w:pPr>
              <w:widowControl/>
              <w:jc w:val="left"/>
              <w:rPr>
                <w:szCs w:val="21"/>
                <w:highlight w:val="none"/>
              </w:rPr>
            </w:pPr>
            <w:r>
              <w:rPr>
                <w:rFonts w:hint="eastAsia"/>
                <w:szCs w:val="21"/>
                <w:highlight w:val="none"/>
              </w:rPr>
              <w:t>1000≤Y＜100000</w:t>
            </w:r>
          </w:p>
        </w:tc>
        <w:tc>
          <w:tcPr>
            <w:tcW w:w="1570" w:type="dxa"/>
            <w:tcBorders>
              <w:top w:val="nil"/>
              <w:left w:val="nil"/>
              <w:bottom w:val="single" w:color="auto" w:sz="4" w:space="0"/>
              <w:right w:val="single" w:color="auto" w:sz="4" w:space="0"/>
            </w:tcBorders>
            <w:noWrap w:val="0"/>
            <w:vAlign w:val="center"/>
          </w:tcPr>
          <w:p w14:paraId="6A704F30">
            <w:pPr>
              <w:widowControl/>
              <w:jc w:val="left"/>
              <w:rPr>
                <w:szCs w:val="21"/>
                <w:highlight w:val="none"/>
              </w:rPr>
            </w:pPr>
            <w:r>
              <w:rPr>
                <w:rFonts w:hint="eastAsia"/>
                <w:szCs w:val="21"/>
                <w:highlight w:val="none"/>
              </w:rPr>
              <w:t>100≤Y＜1000</w:t>
            </w:r>
          </w:p>
        </w:tc>
        <w:tc>
          <w:tcPr>
            <w:tcW w:w="1009" w:type="dxa"/>
            <w:tcBorders>
              <w:top w:val="nil"/>
              <w:left w:val="nil"/>
              <w:bottom w:val="single" w:color="auto" w:sz="4" w:space="0"/>
              <w:right w:val="single" w:color="auto" w:sz="4" w:space="0"/>
            </w:tcBorders>
            <w:noWrap w:val="0"/>
            <w:vAlign w:val="center"/>
          </w:tcPr>
          <w:p w14:paraId="2ECCC97E">
            <w:pPr>
              <w:widowControl/>
              <w:jc w:val="left"/>
              <w:rPr>
                <w:szCs w:val="21"/>
                <w:highlight w:val="none"/>
              </w:rPr>
            </w:pPr>
            <w:r>
              <w:rPr>
                <w:rFonts w:hint="eastAsia"/>
                <w:szCs w:val="21"/>
                <w:highlight w:val="none"/>
              </w:rPr>
              <w:t>Y＜100</w:t>
            </w:r>
          </w:p>
        </w:tc>
      </w:tr>
      <w:tr w14:paraId="492635B0">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46EBB090">
            <w:pPr>
              <w:widowControl/>
              <w:jc w:val="center"/>
              <w:rPr>
                <w:szCs w:val="21"/>
                <w:highlight w:val="none"/>
              </w:rPr>
            </w:pPr>
            <w:r>
              <w:rPr>
                <w:rFonts w:hint="eastAsia"/>
                <w:szCs w:val="21"/>
                <w:highlight w:val="none"/>
              </w:rPr>
              <w:t>软件和信息技术服务业</w:t>
            </w:r>
          </w:p>
        </w:tc>
        <w:tc>
          <w:tcPr>
            <w:tcW w:w="1701" w:type="dxa"/>
            <w:tcBorders>
              <w:top w:val="nil"/>
              <w:left w:val="nil"/>
              <w:bottom w:val="single" w:color="auto" w:sz="4" w:space="0"/>
              <w:right w:val="single" w:color="auto" w:sz="4" w:space="0"/>
            </w:tcBorders>
            <w:noWrap w:val="0"/>
            <w:vAlign w:val="center"/>
          </w:tcPr>
          <w:p w14:paraId="77C887CA">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50706A3B">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1DB7B90F">
            <w:pPr>
              <w:widowControl/>
              <w:jc w:val="left"/>
              <w:rPr>
                <w:szCs w:val="21"/>
                <w:highlight w:val="none"/>
              </w:rPr>
            </w:pPr>
            <w:r>
              <w:rPr>
                <w:rFonts w:hint="eastAsia"/>
                <w:szCs w:val="21"/>
                <w:highlight w:val="none"/>
              </w:rPr>
              <w:t>100≤X＜300</w:t>
            </w:r>
          </w:p>
        </w:tc>
        <w:tc>
          <w:tcPr>
            <w:tcW w:w="1570" w:type="dxa"/>
            <w:tcBorders>
              <w:top w:val="nil"/>
              <w:left w:val="nil"/>
              <w:bottom w:val="single" w:color="auto" w:sz="4" w:space="0"/>
              <w:right w:val="single" w:color="auto" w:sz="4" w:space="0"/>
            </w:tcBorders>
            <w:noWrap w:val="0"/>
            <w:vAlign w:val="center"/>
          </w:tcPr>
          <w:p w14:paraId="1C81EB80">
            <w:pPr>
              <w:widowControl/>
              <w:jc w:val="left"/>
              <w:rPr>
                <w:szCs w:val="21"/>
                <w:highlight w:val="none"/>
              </w:rPr>
            </w:pPr>
            <w:r>
              <w:rPr>
                <w:rFonts w:hint="eastAsia"/>
                <w:szCs w:val="21"/>
                <w:highlight w:val="none"/>
              </w:rPr>
              <w:t>10≤X＜100</w:t>
            </w:r>
          </w:p>
        </w:tc>
        <w:tc>
          <w:tcPr>
            <w:tcW w:w="1009" w:type="dxa"/>
            <w:tcBorders>
              <w:top w:val="nil"/>
              <w:left w:val="nil"/>
              <w:bottom w:val="single" w:color="auto" w:sz="4" w:space="0"/>
              <w:right w:val="single" w:color="auto" w:sz="4" w:space="0"/>
            </w:tcBorders>
            <w:noWrap w:val="0"/>
            <w:vAlign w:val="center"/>
          </w:tcPr>
          <w:p w14:paraId="2E3709BD">
            <w:pPr>
              <w:widowControl/>
              <w:jc w:val="left"/>
              <w:rPr>
                <w:szCs w:val="21"/>
                <w:highlight w:val="none"/>
              </w:rPr>
            </w:pPr>
            <w:r>
              <w:rPr>
                <w:rFonts w:hint="eastAsia"/>
                <w:szCs w:val="21"/>
                <w:highlight w:val="none"/>
              </w:rPr>
              <w:t>X＜10</w:t>
            </w:r>
          </w:p>
        </w:tc>
      </w:tr>
      <w:tr w14:paraId="0F0AE1A7">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1B4A2D18">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456602B6">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69E87551">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2E9C9C6E">
            <w:pPr>
              <w:widowControl/>
              <w:jc w:val="left"/>
              <w:rPr>
                <w:szCs w:val="21"/>
                <w:highlight w:val="none"/>
              </w:rPr>
            </w:pPr>
            <w:r>
              <w:rPr>
                <w:rFonts w:hint="eastAsia"/>
                <w:szCs w:val="21"/>
                <w:highlight w:val="none"/>
              </w:rPr>
              <w:t>1000≤Y＜10000</w:t>
            </w:r>
          </w:p>
        </w:tc>
        <w:tc>
          <w:tcPr>
            <w:tcW w:w="1570" w:type="dxa"/>
            <w:tcBorders>
              <w:top w:val="nil"/>
              <w:left w:val="nil"/>
              <w:bottom w:val="single" w:color="auto" w:sz="4" w:space="0"/>
              <w:right w:val="single" w:color="auto" w:sz="4" w:space="0"/>
            </w:tcBorders>
            <w:noWrap w:val="0"/>
            <w:vAlign w:val="center"/>
          </w:tcPr>
          <w:p w14:paraId="4E7E10B8">
            <w:pPr>
              <w:widowControl/>
              <w:jc w:val="left"/>
              <w:rPr>
                <w:szCs w:val="21"/>
                <w:highlight w:val="none"/>
              </w:rPr>
            </w:pPr>
            <w:r>
              <w:rPr>
                <w:rFonts w:hint="eastAsia"/>
                <w:szCs w:val="21"/>
                <w:highlight w:val="none"/>
              </w:rPr>
              <w:t>50≤Y＜1000</w:t>
            </w:r>
          </w:p>
        </w:tc>
        <w:tc>
          <w:tcPr>
            <w:tcW w:w="1009" w:type="dxa"/>
            <w:tcBorders>
              <w:top w:val="nil"/>
              <w:left w:val="nil"/>
              <w:bottom w:val="single" w:color="auto" w:sz="4" w:space="0"/>
              <w:right w:val="single" w:color="auto" w:sz="4" w:space="0"/>
            </w:tcBorders>
            <w:noWrap w:val="0"/>
            <w:vAlign w:val="center"/>
          </w:tcPr>
          <w:p w14:paraId="73993211">
            <w:pPr>
              <w:widowControl/>
              <w:jc w:val="left"/>
              <w:rPr>
                <w:szCs w:val="21"/>
                <w:highlight w:val="none"/>
              </w:rPr>
            </w:pPr>
            <w:r>
              <w:rPr>
                <w:rFonts w:hint="eastAsia"/>
                <w:szCs w:val="21"/>
                <w:highlight w:val="none"/>
              </w:rPr>
              <w:t>Y＜50</w:t>
            </w:r>
          </w:p>
        </w:tc>
      </w:tr>
      <w:tr w14:paraId="7D832717">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4088B1F1">
            <w:pPr>
              <w:widowControl/>
              <w:jc w:val="center"/>
              <w:rPr>
                <w:szCs w:val="21"/>
                <w:highlight w:val="none"/>
              </w:rPr>
            </w:pPr>
            <w:r>
              <w:rPr>
                <w:rFonts w:hint="eastAsia"/>
                <w:szCs w:val="21"/>
                <w:highlight w:val="none"/>
              </w:rPr>
              <w:t>房地产开发经营</w:t>
            </w:r>
          </w:p>
        </w:tc>
        <w:tc>
          <w:tcPr>
            <w:tcW w:w="1701" w:type="dxa"/>
            <w:tcBorders>
              <w:top w:val="nil"/>
              <w:left w:val="nil"/>
              <w:bottom w:val="single" w:color="auto" w:sz="4" w:space="0"/>
              <w:right w:val="single" w:color="auto" w:sz="4" w:space="0"/>
            </w:tcBorders>
            <w:noWrap w:val="0"/>
            <w:vAlign w:val="center"/>
          </w:tcPr>
          <w:p w14:paraId="122F11F8">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042A1150">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16C7E6CE">
            <w:pPr>
              <w:widowControl/>
              <w:jc w:val="left"/>
              <w:rPr>
                <w:szCs w:val="21"/>
                <w:highlight w:val="none"/>
              </w:rPr>
            </w:pPr>
            <w:r>
              <w:rPr>
                <w:rFonts w:hint="eastAsia"/>
                <w:szCs w:val="21"/>
                <w:highlight w:val="none"/>
              </w:rPr>
              <w:t>1000≤Y＜200000</w:t>
            </w:r>
          </w:p>
        </w:tc>
        <w:tc>
          <w:tcPr>
            <w:tcW w:w="1570" w:type="dxa"/>
            <w:tcBorders>
              <w:top w:val="nil"/>
              <w:left w:val="nil"/>
              <w:bottom w:val="single" w:color="auto" w:sz="4" w:space="0"/>
              <w:right w:val="single" w:color="auto" w:sz="4" w:space="0"/>
            </w:tcBorders>
            <w:noWrap w:val="0"/>
            <w:vAlign w:val="center"/>
          </w:tcPr>
          <w:p w14:paraId="11825B90">
            <w:pPr>
              <w:widowControl/>
              <w:jc w:val="left"/>
              <w:rPr>
                <w:szCs w:val="21"/>
                <w:highlight w:val="none"/>
              </w:rPr>
            </w:pPr>
            <w:r>
              <w:rPr>
                <w:rFonts w:hint="eastAsia"/>
                <w:szCs w:val="21"/>
                <w:highlight w:val="none"/>
              </w:rPr>
              <w:t>100≤X＜1000</w:t>
            </w:r>
          </w:p>
        </w:tc>
        <w:tc>
          <w:tcPr>
            <w:tcW w:w="1009" w:type="dxa"/>
            <w:tcBorders>
              <w:top w:val="nil"/>
              <w:left w:val="nil"/>
              <w:bottom w:val="single" w:color="auto" w:sz="4" w:space="0"/>
              <w:right w:val="single" w:color="auto" w:sz="4" w:space="0"/>
            </w:tcBorders>
            <w:noWrap w:val="0"/>
            <w:vAlign w:val="center"/>
          </w:tcPr>
          <w:p w14:paraId="689E5242">
            <w:pPr>
              <w:widowControl/>
              <w:jc w:val="left"/>
              <w:rPr>
                <w:szCs w:val="21"/>
                <w:highlight w:val="none"/>
              </w:rPr>
            </w:pPr>
            <w:r>
              <w:rPr>
                <w:rFonts w:hint="eastAsia"/>
                <w:szCs w:val="21"/>
                <w:highlight w:val="none"/>
              </w:rPr>
              <w:t>X＜100</w:t>
            </w:r>
          </w:p>
        </w:tc>
      </w:tr>
      <w:tr w14:paraId="154A3E60">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70AEC11C">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1F7A916D">
            <w:pPr>
              <w:widowControl/>
              <w:jc w:val="left"/>
              <w:rPr>
                <w:szCs w:val="21"/>
                <w:highlight w:val="none"/>
              </w:rPr>
            </w:pPr>
            <w:r>
              <w:rPr>
                <w:rFonts w:hint="eastAsia"/>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58171F95">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317CB22C">
            <w:pPr>
              <w:widowControl/>
              <w:jc w:val="left"/>
              <w:rPr>
                <w:szCs w:val="21"/>
                <w:highlight w:val="none"/>
              </w:rPr>
            </w:pPr>
            <w:r>
              <w:rPr>
                <w:rFonts w:hint="eastAsia"/>
                <w:szCs w:val="21"/>
                <w:highlight w:val="none"/>
              </w:rPr>
              <w:t>5000≤Z＜10000</w:t>
            </w:r>
          </w:p>
        </w:tc>
        <w:tc>
          <w:tcPr>
            <w:tcW w:w="1570" w:type="dxa"/>
            <w:tcBorders>
              <w:top w:val="nil"/>
              <w:left w:val="nil"/>
              <w:bottom w:val="single" w:color="auto" w:sz="4" w:space="0"/>
              <w:right w:val="single" w:color="auto" w:sz="4" w:space="0"/>
            </w:tcBorders>
            <w:noWrap w:val="0"/>
            <w:vAlign w:val="center"/>
          </w:tcPr>
          <w:p w14:paraId="1C5B1F07">
            <w:pPr>
              <w:widowControl/>
              <w:jc w:val="left"/>
              <w:rPr>
                <w:szCs w:val="21"/>
                <w:highlight w:val="none"/>
              </w:rPr>
            </w:pPr>
            <w:r>
              <w:rPr>
                <w:rFonts w:hint="eastAsia"/>
                <w:szCs w:val="21"/>
                <w:highlight w:val="none"/>
              </w:rPr>
              <w:t>2000≤Y＜5000</w:t>
            </w:r>
          </w:p>
        </w:tc>
        <w:tc>
          <w:tcPr>
            <w:tcW w:w="1009" w:type="dxa"/>
            <w:tcBorders>
              <w:top w:val="nil"/>
              <w:left w:val="nil"/>
              <w:bottom w:val="single" w:color="auto" w:sz="4" w:space="0"/>
              <w:right w:val="single" w:color="auto" w:sz="4" w:space="0"/>
            </w:tcBorders>
            <w:noWrap w:val="0"/>
            <w:vAlign w:val="center"/>
          </w:tcPr>
          <w:p w14:paraId="74B29A03">
            <w:pPr>
              <w:widowControl/>
              <w:jc w:val="left"/>
              <w:rPr>
                <w:szCs w:val="21"/>
                <w:highlight w:val="none"/>
              </w:rPr>
            </w:pPr>
            <w:r>
              <w:rPr>
                <w:rFonts w:hint="eastAsia"/>
                <w:szCs w:val="21"/>
                <w:highlight w:val="none"/>
              </w:rPr>
              <w:t>Y＜2000</w:t>
            </w:r>
          </w:p>
        </w:tc>
      </w:tr>
      <w:tr w14:paraId="75B18275">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36468171">
            <w:pPr>
              <w:widowControl/>
              <w:jc w:val="center"/>
              <w:rPr>
                <w:szCs w:val="21"/>
                <w:highlight w:val="none"/>
              </w:rPr>
            </w:pPr>
            <w:r>
              <w:rPr>
                <w:rFonts w:hint="eastAsia"/>
                <w:szCs w:val="21"/>
                <w:highlight w:val="none"/>
              </w:rPr>
              <w:t>物业管理</w:t>
            </w:r>
          </w:p>
        </w:tc>
        <w:tc>
          <w:tcPr>
            <w:tcW w:w="1701" w:type="dxa"/>
            <w:tcBorders>
              <w:top w:val="nil"/>
              <w:left w:val="nil"/>
              <w:bottom w:val="single" w:color="auto" w:sz="4" w:space="0"/>
              <w:right w:val="single" w:color="auto" w:sz="4" w:space="0"/>
            </w:tcBorders>
            <w:noWrap w:val="0"/>
            <w:vAlign w:val="center"/>
          </w:tcPr>
          <w:p w14:paraId="5BDC88B9">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1D2CFCD7">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6EBF3EA7">
            <w:pPr>
              <w:widowControl/>
              <w:jc w:val="left"/>
              <w:rPr>
                <w:szCs w:val="21"/>
                <w:highlight w:val="none"/>
              </w:rPr>
            </w:pPr>
            <w:r>
              <w:rPr>
                <w:rFonts w:hint="eastAsia"/>
                <w:szCs w:val="21"/>
                <w:highlight w:val="none"/>
              </w:rPr>
              <w:t>300≤X＜1000</w:t>
            </w:r>
          </w:p>
        </w:tc>
        <w:tc>
          <w:tcPr>
            <w:tcW w:w="1570" w:type="dxa"/>
            <w:tcBorders>
              <w:top w:val="nil"/>
              <w:left w:val="nil"/>
              <w:bottom w:val="single" w:color="auto" w:sz="4" w:space="0"/>
              <w:right w:val="single" w:color="auto" w:sz="4" w:space="0"/>
            </w:tcBorders>
            <w:noWrap w:val="0"/>
            <w:vAlign w:val="center"/>
          </w:tcPr>
          <w:p w14:paraId="3FD64601">
            <w:pPr>
              <w:widowControl/>
              <w:jc w:val="left"/>
              <w:rPr>
                <w:szCs w:val="21"/>
                <w:highlight w:val="none"/>
              </w:rPr>
            </w:pPr>
            <w:r>
              <w:rPr>
                <w:rFonts w:hint="eastAsia"/>
                <w:szCs w:val="21"/>
                <w:highlight w:val="none"/>
              </w:rPr>
              <w:t>100≤X＜300</w:t>
            </w:r>
          </w:p>
        </w:tc>
        <w:tc>
          <w:tcPr>
            <w:tcW w:w="1009" w:type="dxa"/>
            <w:tcBorders>
              <w:top w:val="nil"/>
              <w:left w:val="nil"/>
              <w:bottom w:val="single" w:color="auto" w:sz="4" w:space="0"/>
              <w:right w:val="single" w:color="auto" w:sz="4" w:space="0"/>
            </w:tcBorders>
            <w:noWrap w:val="0"/>
            <w:vAlign w:val="center"/>
          </w:tcPr>
          <w:p w14:paraId="3B2D884D">
            <w:pPr>
              <w:widowControl/>
              <w:jc w:val="left"/>
              <w:rPr>
                <w:szCs w:val="21"/>
                <w:highlight w:val="none"/>
              </w:rPr>
            </w:pPr>
            <w:r>
              <w:rPr>
                <w:rFonts w:hint="eastAsia"/>
                <w:szCs w:val="21"/>
                <w:highlight w:val="none"/>
              </w:rPr>
              <w:t>X＜100</w:t>
            </w:r>
          </w:p>
        </w:tc>
      </w:tr>
      <w:tr w14:paraId="74CB14F9">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6195EE54">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4BC27045">
            <w:pPr>
              <w:widowControl/>
              <w:jc w:val="left"/>
              <w:rPr>
                <w:szCs w:val="21"/>
                <w:highlight w:val="none"/>
              </w:rPr>
            </w:pPr>
            <w:r>
              <w:rPr>
                <w:rFonts w:hint="eastAsia"/>
                <w:szCs w:val="21"/>
                <w:highlight w:val="none"/>
              </w:rPr>
              <w:t>营业收入（Y）</w:t>
            </w:r>
          </w:p>
        </w:tc>
        <w:tc>
          <w:tcPr>
            <w:tcW w:w="1134" w:type="dxa"/>
            <w:tcBorders>
              <w:top w:val="nil"/>
              <w:left w:val="nil"/>
              <w:bottom w:val="single" w:color="auto" w:sz="4" w:space="0"/>
              <w:right w:val="single" w:color="auto" w:sz="4" w:space="0"/>
            </w:tcBorders>
            <w:noWrap w:val="0"/>
            <w:vAlign w:val="center"/>
          </w:tcPr>
          <w:p w14:paraId="130388A1">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0DE8AF06">
            <w:pPr>
              <w:widowControl/>
              <w:jc w:val="left"/>
              <w:rPr>
                <w:szCs w:val="21"/>
                <w:highlight w:val="none"/>
              </w:rPr>
            </w:pPr>
            <w:r>
              <w:rPr>
                <w:rFonts w:hint="eastAsia"/>
                <w:szCs w:val="21"/>
                <w:highlight w:val="none"/>
              </w:rPr>
              <w:t>1000≤Y＜5000</w:t>
            </w:r>
          </w:p>
        </w:tc>
        <w:tc>
          <w:tcPr>
            <w:tcW w:w="1570" w:type="dxa"/>
            <w:tcBorders>
              <w:top w:val="nil"/>
              <w:left w:val="nil"/>
              <w:bottom w:val="single" w:color="auto" w:sz="4" w:space="0"/>
              <w:right w:val="single" w:color="auto" w:sz="4" w:space="0"/>
            </w:tcBorders>
            <w:noWrap w:val="0"/>
            <w:vAlign w:val="center"/>
          </w:tcPr>
          <w:p w14:paraId="1104C959">
            <w:pPr>
              <w:widowControl/>
              <w:jc w:val="left"/>
              <w:rPr>
                <w:szCs w:val="21"/>
                <w:highlight w:val="none"/>
              </w:rPr>
            </w:pPr>
            <w:r>
              <w:rPr>
                <w:rFonts w:hint="eastAsia"/>
                <w:szCs w:val="21"/>
                <w:highlight w:val="none"/>
              </w:rPr>
              <w:t>500≤Y＜1000</w:t>
            </w:r>
          </w:p>
        </w:tc>
        <w:tc>
          <w:tcPr>
            <w:tcW w:w="1009" w:type="dxa"/>
            <w:tcBorders>
              <w:top w:val="nil"/>
              <w:left w:val="nil"/>
              <w:bottom w:val="single" w:color="auto" w:sz="4" w:space="0"/>
              <w:right w:val="single" w:color="auto" w:sz="4" w:space="0"/>
            </w:tcBorders>
            <w:noWrap w:val="0"/>
            <w:vAlign w:val="center"/>
          </w:tcPr>
          <w:p w14:paraId="5CBFF8FC">
            <w:pPr>
              <w:widowControl/>
              <w:jc w:val="left"/>
              <w:rPr>
                <w:szCs w:val="21"/>
                <w:highlight w:val="none"/>
              </w:rPr>
            </w:pPr>
            <w:r>
              <w:rPr>
                <w:rFonts w:hint="eastAsia"/>
                <w:szCs w:val="21"/>
                <w:highlight w:val="none"/>
              </w:rPr>
              <w:t>Y＜500</w:t>
            </w:r>
          </w:p>
        </w:tc>
      </w:tr>
      <w:tr w14:paraId="165F20D0">
        <w:tblPrEx>
          <w:tblCellMar>
            <w:top w:w="0" w:type="dxa"/>
            <w:left w:w="108" w:type="dxa"/>
            <w:bottom w:w="0" w:type="dxa"/>
            <w:right w:w="108" w:type="dxa"/>
          </w:tblCellMar>
        </w:tblPrEx>
        <w:trPr>
          <w:trHeight w:val="220" w:hRule="atLeast"/>
        </w:trPr>
        <w:tc>
          <w:tcPr>
            <w:tcW w:w="1446" w:type="dxa"/>
            <w:vMerge w:val="restart"/>
            <w:tcBorders>
              <w:top w:val="nil"/>
              <w:left w:val="single" w:color="auto" w:sz="4" w:space="0"/>
              <w:bottom w:val="single" w:color="auto" w:sz="4" w:space="0"/>
              <w:right w:val="single" w:color="auto" w:sz="4" w:space="0"/>
            </w:tcBorders>
            <w:noWrap w:val="0"/>
            <w:vAlign w:val="bottom"/>
          </w:tcPr>
          <w:p w14:paraId="00BDE7E9">
            <w:pPr>
              <w:widowControl/>
              <w:jc w:val="center"/>
              <w:rPr>
                <w:szCs w:val="21"/>
                <w:highlight w:val="none"/>
              </w:rPr>
            </w:pPr>
            <w:r>
              <w:rPr>
                <w:rFonts w:hint="eastAsia"/>
                <w:szCs w:val="21"/>
                <w:highlight w:val="none"/>
              </w:rPr>
              <w:t>租赁和商务服务业</w:t>
            </w:r>
          </w:p>
        </w:tc>
        <w:tc>
          <w:tcPr>
            <w:tcW w:w="1701" w:type="dxa"/>
            <w:tcBorders>
              <w:top w:val="nil"/>
              <w:left w:val="nil"/>
              <w:bottom w:val="single" w:color="auto" w:sz="4" w:space="0"/>
              <w:right w:val="single" w:color="auto" w:sz="4" w:space="0"/>
            </w:tcBorders>
            <w:noWrap w:val="0"/>
            <w:vAlign w:val="center"/>
          </w:tcPr>
          <w:p w14:paraId="4CC14EA1">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079EB0D3">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5B9CAD85">
            <w:pPr>
              <w:widowControl/>
              <w:jc w:val="left"/>
              <w:rPr>
                <w:szCs w:val="21"/>
                <w:highlight w:val="none"/>
              </w:rPr>
            </w:pPr>
            <w:r>
              <w:rPr>
                <w:rFonts w:hint="eastAsia"/>
                <w:szCs w:val="21"/>
                <w:highlight w:val="none"/>
              </w:rPr>
              <w:t>100≤X＜300</w:t>
            </w:r>
          </w:p>
        </w:tc>
        <w:tc>
          <w:tcPr>
            <w:tcW w:w="1570" w:type="dxa"/>
            <w:tcBorders>
              <w:top w:val="nil"/>
              <w:left w:val="nil"/>
              <w:bottom w:val="single" w:color="auto" w:sz="4" w:space="0"/>
              <w:right w:val="single" w:color="auto" w:sz="4" w:space="0"/>
            </w:tcBorders>
            <w:noWrap w:val="0"/>
            <w:vAlign w:val="center"/>
          </w:tcPr>
          <w:p w14:paraId="025CD94A">
            <w:pPr>
              <w:widowControl/>
              <w:jc w:val="left"/>
              <w:rPr>
                <w:szCs w:val="21"/>
                <w:highlight w:val="none"/>
              </w:rPr>
            </w:pPr>
            <w:r>
              <w:rPr>
                <w:rFonts w:hint="eastAsia"/>
                <w:szCs w:val="21"/>
                <w:highlight w:val="none"/>
              </w:rPr>
              <w:t>10≤X＜100</w:t>
            </w:r>
          </w:p>
        </w:tc>
        <w:tc>
          <w:tcPr>
            <w:tcW w:w="1009" w:type="dxa"/>
            <w:tcBorders>
              <w:top w:val="nil"/>
              <w:left w:val="nil"/>
              <w:bottom w:val="single" w:color="auto" w:sz="4" w:space="0"/>
              <w:right w:val="single" w:color="auto" w:sz="4" w:space="0"/>
            </w:tcBorders>
            <w:noWrap w:val="0"/>
            <w:vAlign w:val="center"/>
          </w:tcPr>
          <w:p w14:paraId="1B63B62D">
            <w:pPr>
              <w:widowControl/>
              <w:jc w:val="left"/>
              <w:rPr>
                <w:szCs w:val="21"/>
                <w:highlight w:val="none"/>
              </w:rPr>
            </w:pPr>
            <w:r>
              <w:rPr>
                <w:rFonts w:hint="eastAsia"/>
                <w:szCs w:val="21"/>
                <w:highlight w:val="none"/>
              </w:rPr>
              <w:t>X＜10</w:t>
            </w:r>
          </w:p>
        </w:tc>
      </w:tr>
      <w:tr w14:paraId="78EEC19E">
        <w:tblPrEx>
          <w:tblCellMar>
            <w:top w:w="0" w:type="dxa"/>
            <w:left w:w="108" w:type="dxa"/>
            <w:bottom w:w="0" w:type="dxa"/>
            <w:right w:w="108" w:type="dxa"/>
          </w:tblCellMar>
        </w:tblPrEx>
        <w:trPr>
          <w:trHeight w:val="220" w:hRule="atLeast"/>
        </w:trPr>
        <w:tc>
          <w:tcPr>
            <w:tcW w:w="1446" w:type="dxa"/>
            <w:vMerge w:val="continue"/>
            <w:tcBorders>
              <w:top w:val="nil"/>
              <w:left w:val="single" w:color="auto" w:sz="4" w:space="0"/>
              <w:bottom w:val="single" w:color="auto" w:sz="4" w:space="0"/>
              <w:right w:val="single" w:color="auto" w:sz="4" w:space="0"/>
            </w:tcBorders>
            <w:noWrap w:val="0"/>
            <w:vAlign w:val="center"/>
          </w:tcPr>
          <w:p w14:paraId="3B4D482F">
            <w:pPr>
              <w:widowControl/>
              <w:jc w:val="left"/>
              <w:rPr>
                <w:szCs w:val="21"/>
                <w:highlight w:val="none"/>
              </w:rPr>
            </w:pPr>
          </w:p>
        </w:tc>
        <w:tc>
          <w:tcPr>
            <w:tcW w:w="1701" w:type="dxa"/>
            <w:tcBorders>
              <w:top w:val="nil"/>
              <w:left w:val="nil"/>
              <w:bottom w:val="single" w:color="auto" w:sz="4" w:space="0"/>
              <w:right w:val="single" w:color="auto" w:sz="4" w:space="0"/>
            </w:tcBorders>
            <w:noWrap w:val="0"/>
            <w:vAlign w:val="center"/>
          </w:tcPr>
          <w:p w14:paraId="2259D479">
            <w:pPr>
              <w:widowControl/>
              <w:jc w:val="left"/>
              <w:rPr>
                <w:szCs w:val="21"/>
                <w:highlight w:val="none"/>
              </w:rPr>
            </w:pPr>
            <w:r>
              <w:rPr>
                <w:rFonts w:hint="eastAsia"/>
                <w:szCs w:val="21"/>
                <w:highlight w:val="none"/>
              </w:rPr>
              <w:t>资产总额（Z）</w:t>
            </w:r>
          </w:p>
        </w:tc>
        <w:tc>
          <w:tcPr>
            <w:tcW w:w="1134" w:type="dxa"/>
            <w:tcBorders>
              <w:top w:val="nil"/>
              <w:left w:val="nil"/>
              <w:bottom w:val="single" w:color="auto" w:sz="4" w:space="0"/>
              <w:right w:val="single" w:color="auto" w:sz="4" w:space="0"/>
            </w:tcBorders>
            <w:noWrap w:val="0"/>
            <w:vAlign w:val="center"/>
          </w:tcPr>
          <w:p w14:paraId="778A5F0A">
            <w:pPr>
              <w:widowControl/>
              <w:jc w:val="left"/>
              <w:rPr>
                <w:szCs w:val="21"/>
                <w:highlight w:val="none"/>
              </w:rPr>
            </w:pPr>
            <w:r>
              <w:rPr>
                <w:rFonts w:hint="eastAsia"/>
                <w:szCs w:val="21"/>
                <w:highlight w:val="none"/>
              </w:rPr>
              <w:t>万元</w:t>
            </w:r>
          </w:p>
        </w:tc>
        <w:tc>
          <w:tcPr>
            <w:tcW w:w="1846" w:type="dxa"/>
            <w:tcBorders>
              <w:top w:val="nil"/>
              <w:left w:val="nil"/>
              <w:bottom w:val="single" w:color="auto" w:sz="4" w:space="0"/>
              <w:right w:val="single" w:color="auto" w:sz="4" w:space="0"/>
            </w:tcBorders>
            <w:noWrap w:val="0"/>
            <w:vAlign w:val="center"/>
          </w:tcPr>
          <w:p w14:paraId="0AB9726C">
            <w:pPr>
              <w:widowControl/>
              <w:jc w:val="left"/>
              <w:rPr>
                <w:szCs w:val="21"/>
                <w:highlight w:val="none"/>
              </w:rPr>
            </w:pPr>
            <w:r>
              <w:rPr>
                <w:rFonts w:hint="eastAsia"/>
                <w:szCs w:val="21"/>
                <w:highlight w:val="none"/>
              </w:rPr>
              <w:t>8000≤Z＜120000</w:t>
            </w:r>
          </w:p>
        </w:tc>
        <w:tc>
          <w:tcPr>
            <w:tcW w:w="1570" w:type="dxa"/>
            <w:tcBorders>
              <w:top w:val="nil"/>
              <w:left w:val="nil"/>
              <w:bottom w:val="single" w:color="auto" w:sz="4" w:space="0"/>
              <w:right w:val="single" w:color="auto" w:sz="4" w:space="0"/>
            </w:tcBorders>
            <w:noWrap w:val="0"/>
            <w:vAlign w:val="center"/>
          </w:tcPr>
          <w:p w14:paraId="4C531822">
            <w:pPr>
              <w:widowControl/>
              <w:jc w:val="left"/>
              <w:rPr>
                <w:szCs w:val="21"/>
                <w:highlight w:val="none"/>
              </w:rPr>
            </w:pPr>
            <w:r>
              <w:rPr>
                <w:rFonts w:hint="eastAsia"/>
                <w:szCs w:val="21"/>
                <w:highlight w:val="none"/>
              </w:rPr>
              <w:t>100≤Z＜8000</w:t>
            </w:r>
          </w:p>
        </w:tc>
        <w:tc>
          <w:tcPr>
            <w:tcW w:w="1009" w:type="dxa"/>
            <w:tcBorders>
              <w:top w:val="nil"/>
              <w:left w:val="nil"/>
              <w:bottom w:val="single" w:color="auto" w:sz="4" w:space="0"/>
              <w:right w:val="single" w:color="auto" w:sz="4" w:space="0"/>
            </w:tcBorders>
            <w:noWrap w:val="0"/>
            <w:vAlign w:val="center"/>
          </w:tcPr>
          <w:p w14:paraId="160CACE2">
            <w:pPr>
              <w:widowControl/>
              <w:jc w:val="left"/>
              <w:rPr>
                <w:szCs w:val="21"/>
                <w:highlight w:val="none"/>
              </w:rPr>
            </w:pPr>
            <w:r>
              <w:rPr>
                <w:rFonts w:hint="eastAsia"/>
                <w:szCs w:val="21"/>
                <w:highlight w:val="none"/>
              </w:rPr>
              <w:t>Y＜100</w:t>
            </w:r>
          </w:p>
        </w:tc>
      </w:tr>
      <w:tr w14:paraId="0D69A0B3">
        <w:tblPrEx>
          <w:tblCellMar>
            <w:top w:w="0" w:type="dxa"/>
            <w:left w:w="108" w:type="dxa"/>
            <w:bottom w:w="0" w:type="dxa"/>
            <w:right w:w="108" w:type="dxa"/>
          </w:tblCellMar>
        </w:tblPrEx>
        <w:trPr>
          <w:trHeight w:val="220" w:hRule="atLeast"/>
        </w:trPr>
        <w:tc>
          <w:tcPr>
            <w:tcW w:w="1446" w:type="dxa"/>
            <w:tcBorders>
              <w:top w:val="nil"/>
              <w:left w:val="single" w:color="auto" w:sz="4" w:space="0"/>
              <w:bottom w:val="single" w:color="auto" w:sz="4" w:space="0"/>
              <w:right w:val="single" w:color="auto" w:sz="4" w:space="0"/>
            </w:tcBorders>
            <w:noWrap w:val="0"/>
            <w:vAlign w:val="bottom"/>
          </w:tcPr>
          <w:p w14:paraId="7BE114BB">
            <w:pPr>
              <w:widowControl/>
              <w:jc w:val="center"/>
              <w:rPr>
                <w:szCs w:val="21"/>
                <w:highlight w:val="none"/>
              </w:rPr>
            </w:pPr>
            <w:r>
              <w:rPr>
                <w:rFonts w:hint="eastAsia"/>
                <w:szCs w:val="21"/>
                <w:highlight w:val="none"/>
              </w:rPr>
              <w:t>其他未列明行业</w:t>
            </w:r>
          </w:p>
        </w:tc>
        <w:tc>
          <w:tcPr>
            <w:tcW w:w="1701" w:type="dxa"/>
            <w:tcBorders>
              <w:top w:val="nil"/>
              <w:left w:val="nil"/>
              <w:bottom w:val="single" w:color="auto" w:sz="4" w:space="0"/>
              <w:right w:val="single" w:color="auto" w:sz="4" w:space="0"/>
            </w:tcBorders>
            <w:noWrap w:val="0"/>
            <w:vAlign w:val="center"/>
          </w:tcPr>
          <w:p w14:paraId="4D50922A">
            <w:pPr>
              <w:widowControl/>
              <w:jc w:val="left"/>
              <w:rPr>
                <w:szCs w:val="21"/>
                <w:highlight w:val="none"/>
              </w:rPr>
            </w:pPr>
            <w:r>
              <w:rPr>
                <w:rFonts w:hint="eastAsia"/>
                <w:szCs w:val="21"/>
                <w:highlight w:val="none"/>
              </w:rPr>
              <w:t>从业人员（X）</w:t>
            </w:r>
          </w:p>
        </w:tc>
        <w:tc>
          <w:tcPr>
            <w:tcW w:w="1134" w:type="dxa"/>
            <w:tcBorders>
              <w:top w:val="nil"/>
              <w:left w:val="nil"/>
              <w:bottom w:val="single" w:color="auto" w:sz="4" w:space="0"/>
              <w:right w:val="single" w:color="auto" w:sz="4" w:space="0"/>
            </w:tcBorders>
            <w:noWrap w:val="0"/>
            <w:vAlign w:val="center"/>
          </w:tcPr>
          <w:p w14:paraId="3BEA9F9E">
            <w:pPr>
              <w:widowControl/>
              <w:jc w:val="left"/>
              <w:rPr>
                <w:szCs w:val="21"/>
                <w:highlight w:val="none"/>
              </w:rPr>
            </w:pPr>
            <w:r>
              <w:rPr>
                <w:rFonts w:hint="eastAsia"/>
                <w:szCs w:val="21"/>
                <w:highlight w:val="none"/>
              </w:rPr>
              <w:t>人</w:t>
            </w:r>
          </w:p>
        </w:tc>
        <w:tc>
          <w:tcPr>
            <w:tcW w:w="1846" w:type="dxa"/>
            <w:tcBorders>
              <w:top w:val="nil"/>
              <w:left w:val="nil"/>
              <w:bottom w:val="single" w:color="auto" w:sz="4" w:space="0"/>
              <w:right w:val="single" w:color="auto" w:sz="4" w:space="0"/>
            </w:tcBorders>
            <w:noWrap w:val="0"/>
            <w:vAlign w:val="center"/>
          </w:tcPr>
          <w:p w14:paraId="1B51C3F2">
            <w:pPr>
              <w:widowControl/>
              <w:jc w:val="left"/>
              <w:rPr>
                <w:szCs w:val="21"/>
                <w:highlight w:val="none"/>
              </w:rPr>
            </w:pPr>
            <w:r>
              <w:rPr>
                <w:rFonts w:hint="eastAsia"/>
                <w:szCs w:val="21"/>
                <w:highlight w:val="none"/>
              </w:rPr>
              <w:t>100≤X＜300</w:t>
            </w:r>
          </w:p>
        </w:tc>
        <w:tc>
          <w:tcPr>
            <w:tcW w:w="1570" w:type="dxa"/>
            <w:tcBorders>
              <w:top w:val="nil"/>
              <w:left w:val="nil"/>
              <w:bottom w:val="single" w:color="auto" w:sz="4" w:space="0"/>
              <w:right w:val="single" w:color="auto" w:sz="4" w:space="0"/>
            </w:tcBorders>
            <w:noWrap w:val="0"/>
            <w:vAlign w:val="center"/>
          </w:tcPr>
          <w:p w14:paraId="39DFA292">
            <w:pPr>
              <w:widowControl/>
              <w:jc w:val="left"/>
              <w:rPr>
                <w:szCs w:val="21"/>
                <w:highlight w:val="none"/>
              </w:rPr>
            </w:pPr>
            <w:r>
              <w:rPr>
                <w:rFonts w:hint="eastAsia"/>
                <w:szCs w:val="21"/>
                <w:highlight w:val="none"/>
              </w:rPr>
              <w:t>10≤X＜100</w:t>
            </w:r>
          </w:p>
        </w:tc>
        <w:tc>
          <w:tcPr>
            <w:tcW w:w="1009" w:type="dxa"/>
            <w:tcBorders>
              <w:top w:val="nil"/>
              <w:left w:val="nil"/>
              <w:bottom w:val="single" w:color="auto" w:sz="4" w:space="0"/>
              <w:right w:val="single" w:color="auto" w:sz="4" w:space="0"/>
            </w:tcBorders>
            <w:noWrap w:val="0"/>
            <w:vAlign w:val="center"/>
          </w:tcPr>
          <w:p w14:paraId="152235D3">
            <w:pPr>
              <w:widowControl/>
              <w:jc w:val="left"/>
              <w:rPr>
                <w:szCs w:val="21"/>
                <w:highlight w:val="none"/>
              </w:rPr>
            </w:pPr>
            <w:r>
              <w:rPr>
                <w:rFonts w:hint="eastAsia"/>
                <w:szCs w:val="21"/>
                <w:highlight w:val="none"/>
              </w:rPr>
              <w:t>X＜10</w:t>
            </w:r>
          </w:p>
        </w:tc>
      </w:tr>
    </w:tbl>
    <w:p w14:paraId="1BD7FA3D">
      <w:pPr>
        <w:spacing w:line="360" w:lineRule="auto"/>
        <w:ind w:firstLine="525" w:firstLineChars="250"/>
        <w:rPr>
          <w:szCs w:val="21"/>
          <w:highlight w:val="none"/>
        </w:rPr>
      </w:pPr>
      <w:r>
        <w:rPr>
          <w:rFonts w:hint="eastAsia"/>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bookmarkEnd w:id="24"/>
    <w:p w14:paraId="46F58DE2">
      <w:pPr>
        <w:spacing w:line="312" w:lineRule="auto"/>
        <w:ind w:firstLine="420" w:firstLineChars="200"/>
        <w:jc w:val="left"/>
        <w:rPr>
          <w:rFonts w:hint="eastAsia"/>
          <w:bCs/>
          <w:kern w:val="0"/>
          <w:szCs w:val="21"/>
          <w:highlight w:val="none"/>
        </w:rPr>
        <w:sectPr>
          <w:headerReference r:id="rId13" w:type="first"/>
          <w:headerReference r:id="rId12" w:type="default"/>
          <w:pgSz w:w="11906" w:h="16838"/>
          <w:pgMar w:top="1418" w:right="1133" w:bottom="1246" w:left="1418" w:header="851" w:footer="992" w:gutter="0"/>
          <w:cols w:space="720" w:num="1"/>
          <w:docGrid w:linePitch="312" w:charSpace="0"/>
        </w:sectPr>
      </w:pPr>
    </w:p>
    <w:bookmarkEnd w:id="21"/>
    <w:bookmarkEnd w:id="22"/>
    <w:p w14:paraId="53B24635">
      <w:pPr>
        <w:pStyle w:val="27"/>
        <w:snapToGrid w:val="0"/>
        <w:spacing w:before="120" w:after="120" w:line="320" w:lineRule="exact"/>
        <w:jc w:val="center"/>
        <w:outlineLvl w:val="0"/>
        <w:rPr>
          <w:rFonts w:ascii="Times New Roman" w:hAnsi="Times New Roman" w:cs="Times New Roman"/>
          <w:sz w:val="32"/>
          <w:szCs w:val="32"/>
          <w:highlight w:val="none"/>
        </w:rPr>
      </w:pPr>
      <w:bookmarkStart w:id="25" w:name="_Toc89186351"/>
      <w:r>
        <w:rPr>
          <w:rFonts w:ascii="Times New Roman" w:hAnsi="Times New Roman" w:cs="Times New Roman"/>
          <w:sz w:val="32"/>
          <w:szCs w:val="32"/>
          <w:highlight w:val="none"/>
        </w:rPr>
        <w:t>第三章  供应商须知</w:t>
      </w:r>
      <w:bookmarkEnd w:id="25"/>
      <w:bookmarkStart w:id="26" w:name="_投标人须知前附表"/>
      <w:bookmarkEnd w:id="26"/>
    </w:p>
    <w:p w14:paraId="6C16A4AE">
      <w:pPr>
        <w:pStyle w:val="27"/>
        <w:snapToGrid w:val="0"/>
        <w:spacing w:before="120" w:after="120" w:line="320" w:lineRule="exact"/>
        <w:jc w:val="center"/>
        <w:outlineLvl w:val="1"/>
        <w:rPr>
          <w:rFonts w:hint="eastAsia" w:ascii="Times New Roman" w:hAnsi="Times New Roman" w:cs="Times New Roman"/>
          <w:b/>
          <w:bCs/>
          <w:sz w:val="24"/>
          <w:szCs w:val="24"/>
          <w:highlight w:val="none"/>
        </w:rPr>
      </w:pPr>
      <w:bookmarkStart w:id="27" w:name="_Hlk89187839"/>
      <w:r>
        <w:rPr>
          <w:rFonts w:hint="eastAsia" w:ascii="Times New Roman" w:hAnsi="Times New Roman" w:cs="Times New Roman"/>
          <w:b/>
          <w:bCs/>
          <w:sz w:val="24"/>
          <w:szCs w:val="24"/>
          <w:highlight w:val="none"/>
        </w:rPr>
        <w:t>供应商须知前附表</w:t>
      </w:r>
    </w:p>
    <w:bookmarkEnd w:id="27"/>
    <w:tbl>
      <w:tblPr>
        <w:tblStyle w:val="54"/>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54"/>
        <w:gridCol w:w="1204"/>
        <w:gridCol w:w="6905"/>
      </w:tblGrid>
      <w:tr w14:paraId="2405A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7290E041">
            <w:pPr>
              <w:jc w:val="center"/>
              <w:rPr>
                <w:b/>
                <w:szCs w:val="21"/>
                <w:highlight w:val="none"/>
              </w:rPr>
            </w:pPr>
            <w:r>
              <w:rPr>
                <w:b/>
                <w:szCs w:val="21"/>
                <w:highlight w:val="none"/>
              </w:rPr>
              <w:t>条款号</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574FC095">
            <w:pPr>
              <w:jc w:val="center"/>
              <w:rPr>
                <w:b/>
                <w:szCs w:val="21"/>
                <w:highlight w:val="none"/>
              </w:rPr>
            </w:pPr>
            <w:r>
              <w:rPr>
                <w:b/>
                <w:szCs w:val="21"/>
                <w:highlight w:val="none"/>
              </w:rPr>
              <w:t>要点</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F49180D">
            <w:pPr>
              <w:jc w:val="center"/>
              <w:rPr>
                <w:b/>
                <w:szCs w:val="21"/>
                <w:highlight w:val="none"/>
              </w:rPr>
            </w:pPr>
            <w:r>
              <w:rPr>
                <w:b/>
                <w:szCs w:val="21"/>
                <w:highlight w:val="none"/>
              </w:rPr>
              <w:t>内容、要求</w:t>
            </w:r>
          </w:p>
        </w:tc>
      </w:tr>
      <w:tr w14:paraId="2F37E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2FC9E72A">
            <w:pPr>
              <w:spacing w:line="300" w:lineRule="exact"/>
              <w:jc w:val="center"/>
              <w:rPr>
                <w:szCs w:val="21"/>
                <w:highlight w:val="none"/>
              </w:rPr>
            </w:pPr>
            <w:r>
              <w:rPr>
                <w:b/>
                <w:szCs w:val="21"/>
                <w:highlight w:val="none"/>
              </w:rPr>
              <w:t>1.3.1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D50290D">
            <w:pPr>
              <w:spacing w:line="300" w:lineRule="exact"/>
              <w:jc w:val="center"/>
              <w:rPr>
                <w:szCs w:val="21"/>
                <w:highlight w:val="none"/>
              </w:rPr>
            </w:pPr>
            <w:r>
              <w:rPr>
                <w:szCs w:val="21"/>
                <w:highlight w:val="none"/>
              </w:rPr>
              <w:t>项目基本信息</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574F7466">
            <w:pPr>
              <w:spacing w:line="300" w:lineRule="exact"/>
              <w:jc w:val="left"/>
              <w:rPr>
                <w:rFonts w:hint="eastAsia" w:eastAsia="宋体"/>
                <w:color w:val="auto"/>
                <w:szCs w:val="21"/>
                <w:highlight w:val="none"/>
                <w:lang w:eastAsia="zh-CN"/>
              </w:rPr>
            </w:pPr>
            <w:r>
              <w:rPr>
                <w:color w:val="auto"/>
                <w:szCs w:val="21"/>
                <w:highlight w:val="none"/>
              </w:rPr>
              <w:t>项目名称：</w:t>
            </w:r>
            <w:r>
              <w:rPr>
                <w:rFonts w:hint="eastAsia"/>
                <w:color w:val="auto"/>
                <w:szCs w:val="21"/>
                <w:highlight w:val="none"/>
                <w:lang w:eastAsia="zh-CN"/>
              </w:rPr>
              <w:t>武宣乡村工匠建设项目</w:t>
            </w:r>
          </w:p>
          <w:p w14:paraId="610C304D">
            <w:pPr>
              <w:spacing w:line="300" w:lineRule="exact"/>
              <w:jc w:val="left"/>
              <w:rPr>
                <w:rFonts w:hint="eastAsia" w:eastAsia="宋体"/>
                <w:color w:val="auto"/>
                <w:szCs w:val="21"/>
                <w:highlight w:val="none"/>
                <w:lang w:eastAsia="zh-CN"/>
              </w:rPr>
            </w:pPr>
            <w:r>
              <w:rPr>
                <w:color w:val="auto"/>
                <w:szCs w:val="21"/>
                <w:highlight w:val="none"/>
              </w:rPr>
              <w:t>项目编号：</w:t>
            </w:r>
            <w:r>
              <w:rPr>
                <w:rFonts w:hint="eastAsia"/>
                <w:color w:val="auto"/>
                <w:szCs w:val="21"/>
                <w:highlight w:val="none"/>
                <w:lang w:eastAsia="zh-CN"/>
              </w:rPr>
              <w:t>LBZC2026-C2-230071-JDZB</w:t>
            </w:r>
          </w:p>
          <w:p w14:paraId="79B13126">
            <w:pPr>
              <w:spacing w:line="300" w:lineRule="exact"/>
              <w:jc w:val="left"/>
              <w:rPr>
                <w:rFonts w:hint="eastAsia"/>
                <w:color w:val="auto"/>
                <w:szCs w:val="21"/>
                <w:highlight w:val="none"/>
              </w:rPr>
            </w:pPr>
            <w:r>
              <w:rPr>
                <w:rFonts w:hint="eastAsia"/>
                <w:color w:val="auto"/>
                <w:szCs w:val="21"/>
                <w:highlight w:val="none"/>
              </w:rPr>
              <w:t>采购计划号：</w:t>
            </w:r>
            <w:r>
              <w:rPr>
                <w:rFonts w:hint="eastAsia"/>
                <w:color w:val="auto"/>
                <w:szCs w:val="21"/>
                <w:highlight w:val="none"/>
              </w:rPr>
              <w:fldChar w:fldCharType="begin"/>
            </w:r>
            <w:r>
              <w:rPr>
                <w:rFonts w:hint="eastAsia"/>
                <w:color w:val="auto"/>
                <w:szCs w:val="21"/>
                <w:highlight w:val="none"/>
              </w:rPr>
              <w:instrText xml:space="preserve"> HYPERLINK "https://middle.gcy.zfcg.gxzf.gov.cn/purchaseplan_front/" \l "/plan/list/view?id=1000000000026194836&amp;_app_=zcy.procurement" \t "https://www.gcy.zfcg.gxzf.gov.cn/project-center/_procurement_/purchasePlans/_blank" </w:instrText>
            </w:r>
            <w:r>
              <w:rPr>
                <w:rFonts w:hint="eastAsia"/>
                <w:color w:val="auto"/>
                <w:szCs w:val="21"/>
                <w:highlight w:val="none"/>
              </w:rPr>
              <w:fldChar w:fldCharType="separate"/>
            </w:r>
            <w:r>
              <w:rPr>
                <w:rFonts w:hint="eastAsia"/>
                <w:color w:val="auto"/>
                <w:szCs w:val="21"/>
                <w:highlight w:val="none"/>
              </w:rPr>
              <w:t>WXZC2026-C2-00811</w:t>
            </w:r>
            <w:r>
              <w:rPr>
                <w:rFonts w:hint="eastAsia"/>
                <w:color w:val="auto"/>
                <w:szCs w:val="21"/>
                <w:highlight w:val="none"/>
              </w:rPr>
              <w:fldChar w:fldCharType="end"/>
            </w:r>
          </w:p>
        </w:tc>
      </w:tr>
      <w:tr w14:paraId="005512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059D702B">
            <w:pPr>
              <w:spacing w:line="300" w:lineRule="exact"/>
              <w:jc w:val="center"/>
              <w:rPr>
                <w:szCs w:val="21"/>
                <w:highlight w:val="none"/>
              </w:rPr>
            </w:pPr>
            <w:r>
              <w:rPr>
                <w:b/>
                <w:szCs w:val="21"/>
                <w:highlight w:val="none"/>
              </w:rPr>
              <w:t>1.3.1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B48694D">
            <w:pPr>
              <w:spacing w:line="300" w:lineRule="exact"/>
              <w:jc w:val="center"/>
              <w:rPr>
                <w:szCs w:val="21"/>
                <w:highlight w:val="none"/>
              </w:rPr>
            </w:pPr>
            <w:r>
              <w:rPr>
                <w:rFonts w:hint="eastAsia"/>
                <w:szCs w:val="21"/>
                <w:highlight w:val="none"/>
              </w:rPr>
              <w:t>建设地点、建设范围、工期及质量要求</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02095390">
            <w:pPr>
              <w:spacing w:line="300" w:lineRule="exact"/>
              <w:jc w:val="left"/>
              <w:rPr>
                <w:color w:val="auto"/>
                <w:szCs w:val="21"/>
                <w:highlight w:val="none"/>
              </w:rPr>
            </w:pPr>
            <w:r>
              <w:rPr>
                <w:color w:val="auto"/>
                <w:szCs w:val="21"/>
                <w:highlight w:val="none"/>
              </w:rPr>
              <w:t>建设地点：</w:t>
            </w:r>
            <w:r>
              <w:rPr>
                <w:rFonts w:hint="default"/>
                <w:color w:val="auto"/>
                <w:szCs w:val="21"/>
                <w:highlight w:val="none"/>
                <w:lang w:eastAsia="zh-CN"/>
              </w:rPr>
              <w:t>金鸡乡仁元村廷乃屯永灵蛋鸡场。</w:t>
            </w:r>
          </w:p>
          <w:p w14:paraId="1F174D44">
            <w:pPr>
              <w:spacing w:line="300" w:lineRule="exact"/>
              <w:jc w:val="left"/>
              <w:rPr>
                <w:rFonts w:hint="eastAsia" w:eastAsia="宋体"/>
                <w:color w:val="auto"/>
                <w:szCs w:val="21"/>
                <w:highlight w:val="none"/>
                <w:lang w:eastAsia="zh-CN"/>
              </w:rPr>
            </w:pPr>
            <w:r>
              <w:rPr>
                <w:rFonts w:hint="eastAsia"/>
                <w:color w:val="auto"/>
                <w:szCs w:val="21"/>
                <w:highlight w:val="none"/>
              </w:rPr>
              <w:t>建设</w:t>
            </w:r>
            <w:r>
              <w:rPr>
                <w:color w:val="auto"/>
                <w:szCs w:val="21"/>
                <w:highlight w:val="none"/>
              </w:rPr>
              <w:t>范围：</w:t>
            </w:r>
            <w:r>
              <w:rPr>
                <w:rFonts w:hint="default"/>
                <w:color w:val="auto"/>
                <w:szCs w:val="21"/>
                <w:highlight w:val="none"/>
              </w:rPr>
              <w:t>武宣乡村工匠建设项目建筑面积为</w:t>
            </w:r>
            <w:r>
              <w:rPr>
                <w:rFonts w:hint="eastAsia"/>
                <w:color w:val="auto"/>
                <w:szCs w:val="21"/>
                <w:highlight w:val="none"/>
                <w:lang w:eastAsia="zh-CN"/>
              </w:rPr>
              <w:t>1197.91㎡</w:t>
            </w:r>
            <w:r>
              <w:rPr>
                <w:rFonts w:hint="default"/>
                <w:color w:val="auto"/>
                <w:szCs w:val="21"/>
                <w:highlight w:val="none"/>
              </w:rPr>
              <w:t>；主要结构类型为：框架结构+轻钢屋面；建筑高度7.6；抗震设防分类：丙类；建筑层数：一层。</w:t>
            </w:r>
            <w:r>
              <w:rPr>
                <w:rFonts w:hint="eastAsia"/>
                <w:color w:val="auto"/>
                <w:szCs w:val="21"/>
                <w:highlight w:val="none"/>
                <w:lang w:eastAsia="zh-CN"/>
              </w:rPr>
              <w:t>具体详见工程量清单及图纸。</w:t>
            </w:r>
          </w:p>
          <w:p w14:paraId="3FB5DD6C">
            <w:pPr>
              <w:spacing w:line="300" w:lineRule="exact"/>
              <w:jc w:val="left"/>
              <w:rPr>
                <w:rFonts w:hint="eastAsia" w:eastAsia="宋体"/>
                <w:color w:val="auto"/>
                <w:szCs w:val="21"/>
                <w:highlight w:val="none"/>
                <w:lang w:eastAsia="zh-CN"/>
              </w:rPr>
            </w:pPr>
            <w:r>
              <w:rPr>
                <w:rFonts w:hint="eastAsia"/>
                <w:color w:val="auto"/>
                <w:szCs w:val="21"/>
                <w:highlight w:val="none"/>
              </w:rPr>
              <w:t>资金来源：</w:t>
            </w:r>
            <w:r>
              <w:rPr>
                <w:rFonts w:hint="eastAsia"/>
                <w:color w:val="auto"/>
                <w:szCs w:val="21"/>
                <w:highlight w:val="none"/>
                <w:lang w:eastAsia="zh-CN"/>
              </w:rPr>
              <w:t>财政性资金</w:t>
            </w:r>
          </w:p>
          <w:p w14:paraId="330A077A">
            <w:pPr>
              <w:spacing w:line="300" w:lineRule="exact"/>
              <w:jc w:val="left"/>
              <w:rPr>
                <w:rFonts w:hint="eastAsia" w:eastAsia="宋体"/>
                <w:color w:val="auto"/>
                <w:szCs w:val="21"/>
                <w:highlight w:val="none"/>
                <w:lang w:eastAsia="zh-CN"/>
              </w:rPr>
            </w:pPr>
            <w:r>
              <w:rPr>
                <w:color w:val="auto"/>
                <w:szCs w:val="21"/>
                <w:highlight w:val="none"/>
              </w:rPr>
              <w:t>工期要求：</w:t>
            </w:r>
            <w:r>
              <w:rPr>
                <w:rFonts w:hint="eastAsia"/>
                <w:color w:val="auto"/>
                <w:szCs w:val="21"/>
                <w:highlight w:val="none"/>
                <w:lang w:val="en-US" w:eastAsia="zh-CN"/>
              </w:rPr>
              <w:t>90</w:t>
            </w:r>
            <w:r>
              <w:rPr>
                <w:color w:val="auto"/>
                <w:szCs w:val="21"/>
                <w:highlight w:val="none"/>
              </w:rPr>
              <w:t>日历</w:t>
            </w:r>
            <w:r>
              <w:rPr>
                <w:rFonts w:hint="eastAsia"/>
                <w:color w:val="auto"/>
                <w:szCs w:val="21"/>
                <w:highlight w:val="none"/>
                <w:lang w:eastAsia="zh-CN"/>
              </w:rPr>
              <w:t>天</w:t>
            </w:r>
          </w:p>
          <w:p w14:paraId="5C7CEBF4">
            <w:pPr>
              <w:spacing w:line="300" w:lineRule="exact"/>
              <w:jc w:val="left"/>
              <w:rPr>
                <w:color w:val="auto"/>
                <w:szCs w:val="21"/>
                <w:highlight w:val="none"/>
              </w:rPr>
            </w:pPr>
            <w:r>
              <w:rPr>
                <w:rFonts w:hint="eastAsia"/>
                <w:color w:val="auto"/>
                <w:szCs w:val="21"/>
                <w:highlight w:val="none"/>
              </w:rPr>
              <w:t>计划开工日期：</w:t>
            </w:r>
            <w:r>
              <w:rPr>
                <w:rFonts w:hint="eastAsia"/>
                <w:color w:val="auto"/>
                <w:szCs w:val="21"/>
                <w:highlight w:val="none"/>
                <w:u w:val="single"/>
                <w:lang w:val="en-US" w:eastAsia="zh-CN"/>
              </w:rPr>
              <w:t>2026</w:t>
            </w:r>
            <w:r>
              <w:rPr>
                <w:rFonts w:hint="eastAsia"/>
                <w:color w:val="auto"/>
                <w:szCs w:val="21"/>
                <w:highlight w:val="none"/>
                <w:u w:val="single"/>
              </w:rPr>
              <w:t>年</w:t>
            </w:r>
            <w:r>
              <w:rPr>
                <w:color w:val="auto"/>
                <w:szCs w:val="21"/>
                <w:highlight w:val="none"/>
                <w:u w:val="single"/>
              </w:rPr>
              <w:t xml:space="preserve"> </w:t>
            </w:r>
            <w:r>
              <w:rPr>
                <w:rFonts w:hint="eastAsia"/>
                <w:color w:val="auto"/>
                <w:szCs w:val="21"/>
                <w:highlight w:val="none"/>
                <w:u w:val="single"/>
                <w:lang w:val="en-US" w:eastAsia="zh-CN"/>
              </w:rPr>
              <w:t>10</w:t>
            </w:r>
            <w:r>
              <w:rPr>
                <w:color w:val="auto"/>
                <w:szCs w:val="21"/>
                <w:highlight w:val="none"/>
                <w:u w:val="single"/>
              </w:rPr>
              <w:t xml:space="preserve"> </w:t>
            </w:r>
            <w:r>
              <w:rPr>
                <w:rFonts w:hint="eastAsia"/>
                <w:color w:val="auto"/>
                <w:szCs w:val="21"/>
                <w:highlight w:val="none"/>
                <w:u w:val="single"/>
              </w:rPr>
              <w:t>月</w:t>
            </w:r>
            <w:r>
              <w:rPr>
                <w:color w:val="auto"/>
                <w:szCs w:val="21"/>
                <w:highlight w:val="none"/>
                <w:u w:val="single"/>
              </w:rPr>
              <w:t xml:space="preserve"> </w:t>
            </w:r>
            <w:r>
              <w:rPr>
                <w:rFonts w:hint="eastAsia"/>
                <w:color w:val="auto"/>
                <w:szCs w:val="21"/>
                <w:highlight w:val="none"/>
                <w:u w:val="single"/>
                <w:lang w:val="en-US" w:eastAsia="zh-CN"/>
              </w:rPr>
              <w:t>8</w:t>
            </w:r>
            <w:r>
              <w:rPr>
                <w:color w:val="auto"/>
                <w:szCs w:val="21"/>
                <w:highlight w:val="none"/>
                <w:u w:val="single"/>
              </w:rPr>
              <w:t xml:space="preserve"> </w:t>
            </w:r>
            <w:r>
              <w:rPr>
                <w:rFonts w:hint="eastAsia"/>
                <w:color w:val="auto"/>
                <w:szCs w:val="21"/>
                <w:highlight w:val="none"/>
                <w:u w:val="single"/>
              </w:rPr>
              <w:t>日</w:t>
            </w:r>
            <w:r>
              <w:rPr>
                <w:rFonts w:hint="eastAsia"/>
                <w:color w:val="auto"/>
                <w:szCs w:val="21"/>
                <w:highlight w:val="none"/>
              </w:rPr>
              <w:t>，计划竣工日期：</w:t>
            </w:r>
            <w:r>
              <w:rPr>
                <w:rFonts w:hint="eastAsia"/>
                <w:color w:val="auto"/>
                <w:szCs w:val="21"/>
                <w:highlight w:val="none"/>
                <w:u w:val="single"/>
                <w:lang w:val="en-US" w:eastAsia="zh-CN"/>
              </w:rPr>
              <w:t>2027</w:t>
            </w:r>
            <w:r>
              <w:rPr>
                <w:rFonts w:hint="eastAsia"/>
                <w:color w:val="auto"/>
                <w:szCs w:val="21"/>
                <w:highlight w:val="none"/>
                <w:u w:val="single"/>
              </w:rPr>
              <w:t>年</w:t>
            </w:r>
            <w:r>
              <w:rPr>
                <w:color w:val="auto"/>
                <w:szCs w:val="21"/>
                <w:highlight w:val="none"/>
                <w:u w:val="single"/>
              </w:rPr>
              <w:t xml:space="preserve"> </w:t>
            </w:r>
            <w:r>
              <w:rPr>
                <w:rFonts w:hint="eastAsia"/>
                <w:color w:val="auto"/>
                <w:szCs w:val="21"/>
                <w:highlight w:val="none"/>
                <w:u w:val="single"/>
                <w:lang w:val="en-US" w:eastAsia="zh-CN"/>
              </w:rPr>
              <w:t>1</w:t>
            </w:r>
            <w:r>
              <w:rPr>
                <w:color w:val="auto"/>
                <w:szCs w:val="21"/>
                <w:highlight w:val="none"/>
                <w:u w:val="single"/>
              </w:rPr>
              <w:t xml:space="preserve"> </w:t>
            </w:r>
            <w:r>
              <w:rPr>
                <w:rFonts w:hint="eastAsia"/>
                <w:color w:val="auto"/>
                <w:szCs w:val="21"/>
                <w:highlight w:val="none"/>
                <w:u w:val="single"/>
              </w:rPr>
              <w:t>月</w:t>
            </w:r>
            <w:r>
              <w:rPr>
                <w:color w:val="auto"/>
                <w:szCs w:val="21"/>
                <w:highlight w:val="none"/>
                <w:u w:val="single"/>
              </w:rPr>
              <w:t xml:space="preserve"> </w:t>
            </w:r>
            <w:r>
              <w:rPr>
                <w:rFonts w:hint="eastAsia"/>
                <w:color w:val="auto"/>
                <w:szCs w:val="21"/>
                <w:highlight w:val="none"/>
                <w:u w:val="single"/>
                <w:lang w:val="en-US" w:eastAsia="zh-CN"/>
              </w:rPr>
              <w:t>6</w:t>
            </w:r>
            <w:r>
              <w:rPr>
                <w:color w:val="auto"/>
                <w:szCs w:val="21"/>
                <w:highlight w:val="none"/>
                <w:u w:val="single"/>
              </w:rPr>
              <w:t xml:space="preserve"> </w:t>
            </w:r>
            <w:r>
              <w:rPr>
                <w:rFonts w:hint="eastAsia"/>
                <w:color w:val="auto"/>
                <w:szCs w:val="21"/>
                <w:highlight w:val="none"/>
                <w:u w:val="single"/>
              </w:rPr>
              <w:t>日</w:t>
            </w:r>
          </w:p>
          <w:p w14:paraId="34BEE38B">
            <w:pPr>
              <w:spacing w:line="300" w:lineRule="exact"/>
              <w:jc w:val="left"/>
              <w:rPr>
                <w:color w:val="auto"/>
                <w:szCs w:val="21"/>
                <w:highlight w:val="none"/>
              </w:rPr>
            </w:pPr>
            <w:r>
              <w:rPr>
                <w:color w:val="auto"/>
                <w:szCs w:val="21"/>
                <w:highlight w:val="none"/>
              </w:rPr>
              <w:t>质量要求：合格</w:t>
            </w:r>
          </w:p>
          <w:p w14:paraId="5B88109C">
            <w:pPr>
              <w:spacing w:line="300" w:lineRule="exact"/>
              <w:jc w:val="left"/>
              <w:rPr>
                <w:rFonts w:hint="eastAsia"/>
                <w:color w:val="auto"/>
                <w:szCs w:val="21"/>
                <w:highlight w:val="none"/>
              </w:rPr>
            </w:pPr>
            <w:r>
              <w:rPr>
                <w:color w:val="auto"/>
                <w:szCs w:val="21"/>
                <w:highlight w:val="none"/>
              </w:rPr>
              <w:t>其他要求：</w:t>
            </w:r>
            <w:r>
              <w:rPr>
                <w:rFonts w:hint="eastAsia"/>
                <w:color w:val="auto"/>
                <w:szCs w:val="21"/>
                <w:highlight w:val="none"/>
              </w:rPr>
              <w:t>无</w:t>
            </w:r>
          </w:p>
        </w:tc>
      </w:tr>
      <w:tr w14:paraId="03C9B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038207A6">
            <w:pPr>
              <w:spacing w:line="300" w:lineRule="exact"/>
              <w:jc w:val="center"/>
              <w:rPr>
                <w:rFonts w:hint="eastAsia"/>
                <w:szCs w:val="21"/>
                <w:highlight w:val="none"/>
              </w:rPr>
            </w:pPr>
            <w:r>
              <w:rPr>
                <w:b/>
                <w:szCs w:val="21"/>
                <w:highlight w:val="none"/>
              </w:rPr>
              <w:t>1.3.2</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DE373AA">
            <w:pPr>
              <w:spacing w:line="300" w:lineRule="exact"/>
              <w:jc w:val="center"/>
              <w:rPr>
                <w:szCs w:val="21"/>
                <w:highlight w:val="none"/>
              </w:rPr>
            </w:pPr>
            <w:r>
              <w:rPr>
                <w:szCs w:val="21"/>
                <w:highlight w:val="none"/>
              </w:rPr>
              <w:t>采购方式</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016774A">
            <w:pPr>
              <w:spacing w:line="300" w:lineRule="exact"/>
              <w:jc w:val="left"/>
              <w:rPr>
                <w:rFonts w:hint="eastAsia"/>
                <w:szCs w:val="21"/>
                <w:highlight w:val="none"/>
              </w:rPr>
            </w:pPr>
            <w:r>
              <w:rPr>
                <w:szCs w:val="21"/>
                <w:highlight w:val="none"/>
              </w:rPr>
              <w:t>竞争性磋商</w:t>
            </w:r>
          </w:p>
        </w:tc>
      </w:tr>
      <w:tr w14:paraId="735936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0E3A126B">
            <w:pPr>
              <w:spacing w:line="300" w:lineRule="exact"/>
              <w:jc w:val="center"/>
              <w:rPr>
                <w:b/>
                <w:szCs w:val="21"/>
                <w:highlight w:val="none"/>
              </w:rPr>
            </w:pPr>
            <w:r>
              <w:rPr>
                <w:rFonts w:hint="eastAsia"/>
                <w:b/>
                <w:szCs w:val="21"/>
                <w:highlight w:val="none"/>
              </w:rPr>
              <w:t>1</w:t>
            </w:r>
            <w:r>
              <w:rPr>
                <w:b/>
                <w:szCs w:val="21"/>
                <w:highlight w:val="none"/>
              </w:rPr>
              <w:t>.4</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55659CAD">
            <w:pPr>
              <w:spacing w:line="300" w:lineRule="exact"/>
              <w:jc w:val="center"/>
              <w:rPr>
                <w:szCs w:val="21"/>
                <w:highlight w:val="none"/>
                <w:lang w:val="zh-CN"/>
              </w:rPr>
            </w:pPr>
            <w:r>
              <w:rPr>
                <w:rFonts w:hint="eastAsia"/>
                <w:szCs w:val="21"/>
                <w:highlight w:val="none"/>
                <w:lang w:val="zh-CN"/>
              </w:rPr>
              <w:t>促进中小企业发展措施</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453860E3">
            <w:pPr>
              <w:spacing w:line="300" w:lineRule="exact"/>
              <w:jc w:val="left"/>
              <w:rPr>
                <w:szCs w:val="21"/>
                <w:highlight w:val="none"/>
              </w:rPr>
            </w:pPr>
            <w:r>
              <w:rPr>
                <w:rFonts w:hint="eastAsia"/>
                <w:szCs w:val="21"/>
                <w:highlight w:val="none"/>
              </w:rPr>
              <w:t>专门面向中小微企业采购。</w:t>
            </w:r>
          </w:p>
          <w:p w14:paraId="2950DC80">
            <w:pPr>
              <w:spacing w:line="300" w:lineRule="exact"/>
              <w:jc w:val="left"/>
              <w:rPr>
                <w:rFonts w:hint="eastAsia"/>
                <w:szCs w:val="21"/>
                <w:highlight w:val="none"/>
              </w:rPr>
            </w:pPr>
            <w:r>
              <w:rPr>
                <w:rFonts w:hint="eastAsia"/>
                <w:szCs w:val="21"/>
                <w:highlight w:val="none"/>
              </w:rPr>
              <w:t>供应商提供《中小企业声明函》中填报采购文件标明所属行业的标的物的工程施工单位应均为中型或小型或微型企业。</w:t>
            </w:r>
          </w:p>
        </w:tc>
      </w:tr>
      <w:tr w14:paraId="60062A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139D7AC1">
            <w:pPr>
              <w:spacing w:line="300" w:lineRule="exact"/>
              <w:jc w:val="center"/>
              <w:rPr>
                <w:szCs w:val="21"/>
                <w:highlight w:val="none"/>
              </w:rPr>
            </w:pPr>
            <w:r>
              <w:rPr>
                <w:b/>
                <w:szCs w:val="21"/>
                <w:highlight w:val="none"/>
              </w:rPr>
              <w:t>1.5.1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62CD198B">
            <w:pPr>
              <w:spacing w:line="300" w:lineRule="exact"/>
              <w:jc w:val="center"/>
              <w:rPr>
                <w:szCs w:val="21"/>
                <w:highlight w:val="none"/>
              </w:rPr>
            </w:pPr>
            <w:r>
              <w:rPr>
                <w:szCs w:val="21"/>
                <w:highlight w:val="none"/>
                <w:lang w:val="zh-CN"/>
              </w:rPr>
              <w:t>供应商资格条件</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3BF45814">
            <w:pPr>
              <w:spacing w:line="300" w:lineRule="exact"/>
              <w:jc w:val="left"/>
              <w:rPr>
                <w:szCs w:val="21"/>
                <w:highlight w:val="none"/>
              </w:rPr>
            </w:pPr>
            <w:r>
              <w:rPr>
                <w:rFonts w:hint="eastAsia"/>
                <w:szCs w:val="21"/>
                <w:highlight w:val="none"/>
              </w:rPr>
              <w:t>详</w:t>
            </w:r>
            <w:r>
              <w:rPr>
                <w:szCs w:val="21"/>
                <w:highlight w:val="none"/>
              </w:rPr>
              <w:t>见</w:t>
            </w:r>
            <w:r>
              <w:rPr>
                <w:rFonts w:hint="eastAsia"/>
                <w:szCs w:val="21"/>
                <w:highlight w:val="none"/>
              </w:rPr>
              <w:t>磋商</w:t>
            </w:r>
            <w:r>
              <w:rPr>
                <w:szCs w:val="21"/>
                <w:highlight w:val="none"/>
              </w:rPr>
              <w:t>公告</w:t>
            </w:r>
            <w:r>
              <w:rPr>
                <w:rFonts w:hint="eastAsia"/>
                <w:szCs w:val="21"/>
                <w:highlight w:val="none"/>
              </w:rPr>
              <w:t>。</w:t>
            </w:r>
          </w:p>
        </w:tc>
      </w:tr>
      <w:tr w14:paraId="7CB80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412BEE3F">
            <w:pPr>
              <w:spacing w:line="300" w:lineRule="exact"/>
              <w:jc w:val="center"/>
              <w:rPr>
                <w:b/>
                <w:szCs w:val="21"/>
                <w:highlight w:val="none"/>
              </w:rPr>
            </w:pPr>
            <w:r>
              <w:rPr>
                <w:b/>
                <w:szCs w:val="21"/>
                <w:highlight w:val="none"/>
              </w:rPr>
              <w:t>1.5.1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2F6743E2">
            <w:pPr>
              <w:spacing w:line="300" w:lineRule="exact"/>
              <w:jc w:val="center"/>
              <w:rPr>
                <w:szCs w:val="21"/>
                <w:highlight w:val="none"/>
              </w:rPr>
            </w:pPr>
            <w:r>
              <w:rPr>
                <w:szCs w:val="21"/>
                <w:highlight w:val="none"/>
              </w:rPr>
              <w:t>供应商不得存在</w:t>
            </w:r>
            <w:r>
              <w:rPr>
                <w:rFonts w:hint="eastAsia"/>
                <w:szCs w:val="21"/>
                <w:highlight w:val="none"/>
              </w:rPr>
              <w:t>的</w:t>
            </w:r>
            <w:r>
              <w:rPr>
                <w:szCs w:val="21"/>
                <w:highlight w:val="none"/>
              </w:rPr>
              <w:t>情形</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7638792E">
            <w:pPr>
              <w:spacing w:line="300" w:lineRule="exact"/>
              <w:jc w:val="left"/>
              <w:rPr>
                <w:rFonts w:hint="eastAsia"/>
                <w:szCs w:val="21"/>
                <w:highlight w:val="none"/>
              </w:rPr>
            </w:pPr>
            <w:r>
              <w:rPr>
                <w:rFonts w:hint="eastAsia"/>
                <w:szCs w:val="21"/>
                <w:highlight w:val="none"/>
              </w:rPr>
              <w:t>（1）与采购人存在利害关系可能影响采购公正性的法人、其他组织；</w:t>
            </w:r>
          </w:p>
          <w:p w14:paraId="74C4114D">
            <w:pPr>
              <w:spacing w:line="300" w:lineRule="exact"/>
              <w:jc w:val="left"/>
              <w:rPr>
                <w:rFonts w:hint="eastAsia"/>
                <w:szCs w:val="21"/>
                <w:highlight w:val="none"/>
              </w:rPr>
            </w:pPr>
            <w:r>
              <w:rPr>
                <w:rFonts w:hint="eastAsia"/>
                <w:szCs w:val="21"/>
                <w:highlight w:val="none"/>
              </w:rPr>
              <w:t>（2）为本标段前期准备提供设计或咨询服务的，但设计施工总承包的除外；</w:t>
            </w:r>
          </w:p>
          <w:p w14:paraId="50DF86C5">
            <w:pPr>
              <w:spacing w:line="300" w:lineRule="exact"/>
              <w:jc w:val="left"/>
              <w:rPr>
                <w:rFonts w:hint="eastAsia"/>
                <w:szCs w:val="21"/>
                <w:highlight w:val="none"/>
              </w:rPr>
            </w:pPr>
            <w:r>
              <w:rPr>
                <w:rFonts w:hint="eastAsia"/>
                <w:szCs w:val="21"/>
                <w:highlight w:val="none"/>
              </w:rPr>
              <w:t>（3）为本标段的监理人；</w:t>
            </w:r>
          </w:p>
          <w:p w14:paraId="56B88F84">
            <w:pPr>
              <w:spacing w:line="300" w:lineRule="exact"/>
              <w:jc w:val="left"/>
              <w:rPr>
                <w:rFonts w:hint="eastAsia"/>
                <w:szCs w:val="21"/>
                <w:highlight w:val="none"/>
              </w:rPr>
            </w:pPr>
            <w:r>
              <w:rPr>
                <w:rFonts w:hint="eastAsia"/>
                <w:szCs w:val="21"/>
                <w:highlight w:val="none"/>
              </w:rPr>
              <w:t>（4）为本标段的代建人；</w:t>
            </w:r>
          </w:p>
          <w:p w14:paraId="55F32E9D">
            <w:pPr>
              <w:spacing w:line="300" w:lineRule="exact"/>
              <w:jc w:val="left"/>
              <w:rPr>
                <w:rFonts w:hint="eastAsia"/>
                <w:szCs w:val="21"/>
                <w:highlight w:val="none"/>
              </w:rPr>
            </w:pPr>
            <w:r>
              <w:rPr>
                <w:rFonts w:hint="eastAsia"/>
                <w:szCs w:val="21"/>
                <w:highlight w:val="none"/>
              </w:rPr>
              <w:t>（5）为本标段提供采购代理服务的；</w:t>
            </w:r>
          </w:p>
          <w:p w14:paraId="1EC53B25">
            <w:pPr>
              <w:spacing w:line="300" w:lineRule="exact"/>
              <w:jc w:val="left"/>
              <w:rPr>
                <w:rFonts w:hint="eastAsia"/>
                <w:szCs w:val="21"/>
                <w:highlight w:val="none"/>
              </w:rPr>
            </w:pPr>
            <w:r>
              <w:rPr>
                <w:rFonts w:hint="eastAsia"/>
                <w:szCs w:val="21"/>
                <w:highlight w:val="none"/>
              </w:rPr>
              <w:t>（6）与本标段的监理人或代建人或采购代理机构同为一个法定代表人的；</w:t>
            </w:r>
          </w:p>
          <w:p w14:paraId="3343A569">
            <w:pPr>
              <w:spacing w:line="300" w:lineRule="exact"/>
              <w:jc w:val="left"/>
              <w:rPr>
                <w:rFonts w:hint="eastAsia"/>
                <w:szCs w:val="21"/>
                <w:highlight w:val="none"/>
              </w:rPr>
            </w:pPr>
            <w:r>
              <w:rPr>
                <w:rFonts w:hint="eastAsia"/>
                <w:szCs w:val="21"/>
                <w:highlight w:val="none"/>
              </w:rPr>
              <w:t>（7）与本标段的监理人或代建人或采购代理机构相互控股或参股的；</w:t>
            </w:r>
          </w:p>
          <w:p w14:paraId="120B4231">
            <w:pPr>
              <w:spacing w:line="300" w:lineRule="exact"/>
              <w:jc w:val="left"/>
              <w:rPr>
                <w:rFonts w:hint="eastAsia"/>
                <w:szCs w:val="21"/>
                <w:highlight w:val="none"/>
              </w:rPr>
            </w:pPr>
            <w:r>
              <w:rPr>
                <w:rFonts w:hint="eastAsia"/>
                <w:szCs w:val="21"/>
                <w:highlight w:val="none"/>
              </w:rPr>
              <w:t>（8）与本标段的监理人或代建人或采购代理机构相互任职或工作的；</w:t>
            </w:r>
          </w:p>
          <w:p w14:paraId="5CD19FA5">
            <w:pPr>
              <w:spacing w:line="300" w:lineRule="exact"/>
              <w:jc w:val="left"/>
              <w:rPr>
                <w:rFonts w:hint="eastAsia"/>
                <w:szCs w:val="21"/>
                <w:highlight w:val="none"/>
              </w:rPr>
            </w:pPr>
            <w:r>
              <w:rPr>
                <w:rFonts w:hint="eastAsia"/>
                <w:szCs w:val="21"/>
                <w:highlight w:val="none"/>
              </w:rPr>
              <w:t>（9）吊销或暂扣营业执照、安全生产许可证期间；</w:t>
            </w:r>
          </w:p>
          <w:p w14:paraId="3E3EAE41">
            <w:pPr>
              <w:spacing w:line="300" w:lineRule="exact"/>
              <w:jc w:val="left"/>
              <w:rPr>
                <w:rFonts w:hint="eastAsia"/>
                <w:szCs w:val="21"/>
                <w:highlight w:val="none"/>
              </w:rPr>
            </w:pPr>
            <w:r>
              <w:rPr>
                <w:rFonts w:hint="eastAsia"/>
                <w:szCs w:val="21"/>
                <w:highlight w:val="none"/>
              </w:rPr>
              <w:t>（10）在本行政区域被暂停或取消投标资格的；</w:t>
            </w:r>
          </w:p>
          <w:p w14:paraId="2D501AE4">
            <w:pPr>
              <w:spacing w:line="300" w:lineRule="exact"/>
              <w:jc w:val="left"/>
              <w:rPr>
                <w:rFonts w:hint="eastAsia"/>
                <w:szCs w:val="21"/>
                <w:highlight w:val="none"/>
              </w:rPr>
            </w:pPr>
            <w:r>
              <w:rPr>
                <w:rFonts w:hint="eastAsia"/>
                <w:szCs w:val="21"/>
                <w:highlight w:val="none"/>
              </w:rPr>
              <w:t>（11）财产被接管或基本账户被冻结的；</w:t>
            </w:r>
          </w:p>
          <w:p w14:paraId="084693ED">
            <w:pPr>
              <w:spacing w:line="300" w:lineRule="exact"/>
              <w:jc w:val="left"/>
              <w:rPr>
                <w:rFonts w:hint="eastAsia"/>
                <w:szCs w:val="21"/>
                <w:highlight w:val="none"/>
              </w:rPr>
            </w:pPr>
            <w:r>
              <w:rPr>
                <w:rFonts w:hint="eastAsia"/>
                <w:szCs w:val="21"/>
                <w:highlight w:val="none"/>
              </w:rPr>
              <w:t>（12）有骗取中标或严重违约或工程质量安全问题，在本行政区域正处在停业整顿或暂停投标期间的；</w:t>
            </w:r>
          </w:p>
          <w:p w14:paraId="2FA9EC08">
            <w:pPr>
              <w:spacing w:line="300" w:lineRule="exact"/>
              <w:jc w:val="left"/>
              <w:rPr>
                <w:rFonts w:hint="eastAsia"/>
                <w:szCs w:val="21"/>
                <w:highlight w:val="none"/>
              </w:rPr>
            </w:pPr>
            <w:r>
              <w:rPr>
                <w:rFonts w:hint="eastAsia"/>
                <w:szCs w:val="21"/>
                <w:highlight w:val="none"/>
              </w:rPr>
              <w:t>（13）被责令停业的。</w:t>
            </w:r>
          </w:p>
        </w:tc>
      </w:tr>
      <w:tr w14:paraId="2AEA4F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1B9E8D09">
            <w:pPr>
              <w:spacing w:line="300" w:lineRule="exact"/>
              <w:jc w:val="center"/>
              <w:rPr>
                <w:b/>
                <w:szCs w:val="21"/>
                <w:highlight w:val="none"/>
              </w:rPr>
            </w:pPr>
            <w:r>
              <w:rPr>
                <w:b/>
                <w:szCs w:val="21"/>
                <w:highlight w:val="none"/>
              </w:rPr>
              <w:t>1.5.3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1165386">
            <w:pPr>
              <w:spacing w:line="300" w:lineRule="exact"/>
              <w:jc w:val="center"/>
              <w:rPr>
                <w:szCs w:val="21"/>
                <w:highlight w:val="none"/>
              </w:rPr>
            </w:pPr>
            <w:r>
              <w:rPr>
                <w:rFonts w:hint="eastAsia"/>
                <w:szCs w:val="21"/>
                <w:highlight w:val="none"/>
              </w:rPr>
              <w:t>联合体</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5F7EB94F">
            <w:pPr>
              <w:spacing w:line="300" w:lineRule="exact"/>
              <w:jc w:val="left"/>
              <w:rPr>
                <w:szCs w:val="21"/>
                <w:highlight w:val="none"/>
              </w:rPr>
            </w:pPr>
            <w:r>
              <w:rPr>
                <w:rFonts w:hint="eastAsia"/>
                <w:szCs w:val="21"/>
                <w:highlight w:val="none"/>
              </w:rPr>
              <w:t>是否接受联合体详见磋商公告</w:t>
            </w:r>
          </w:p>
        </w:tc>
      </w:tr>
      <w:tr w14:paraId="72D72F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21486080">
            <w:pPr>
              <w:spacing w:line="300" w:lineRule="exact"/>
              <w:jc w:val="center"/>
              <w:rPr>
                <w:szCs w:val="21"/>
                <w:highlight w:val="none"/>
              </w:rPr>
            </w:pPr>
            <w:r>
              <w:rPr>
                <w:b/>
                <w:szCs w:val="21"/>
                <w:highlight w:val="none"/>
              </w:rPr>
              <w:t>1.6</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8961343">
            <w:pPr>
              <w:spacing w:line="300" w:lineRule="exact"/>
              <w:jc w:val="center"/>
              <w:rPr>
                <w:color w:val="auto"/>
                <w:szCs w:val="21"/>
                <w:highlight w:val="none"/>
              </w:rPr>
            </w:pPr>
            <w:r>
              <w:rPr>
                <w:rFonts w:hint="eastAsia"/>
                <w:color w:val="auto"/>
                <w:szCs w:val="21"/>
                <w:highlight w:val="none"/>
              </w:rPr>
              <w:t>踏勘</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223A0084">
            <w:pPr>
              <w:pStyle w:val="17"/>
              <w:rPr>
                <w:rFonts w:hint="eastAsia"/>
                <w:color w:val="auto"/>
                <w:szCs w:val="21"/>
                <w:highlight w:val="none"/>
              </w:rPr>
            </w:pPr>
            <w:r>
              <w:rPr>
                <w:color w:val="auto"/>
                <w:szCs w:val="21"/>
                <w:highlight w:val="none"/>
              </w:rPr>
              <w:sym w:font="Wingdings 2" w:char="00A3"/>
            </w:r>
            <w:r>
              <w:rPr>
                <w:rFonts w:hint="eastAsia"/>
                <w:color w:val="auto"/>
                <w:szCs w:val="21"/>
                <w:highlight w:val="none"/>
                <w:lang w:val="en-US" w:eastAsia="zh-CN"/>
              </w:rPr>
              <w:t>不组织</w:t>
            </w:r>
            <w:r>
              <w:rPr>
                <w:rFonts w:hint="eastAsia"/>
                <w:color w:val="auto"/>
                <w:szCs w:val="21"/>
                <w:highlight w:val="none"/>
              </w:rPr>
              <w:t xml:space="preserve"> </w:t>
            </w:r>
          </w:p>
          <w:p w14:paraId="47805135">
            <w:pPr>
              <w:pStyle w:val="17"/>
              <w:rPr>
                <w:rFonts w:hint="eastAsia" w:eastAsia="宋体"/>
                <w:color w:val="auto"/>
                <w:szCs w:val="21"/>
                <w:highlight w:val="none"/>
                <w:lang w:val="en-US" w:eastAsia="zh-CN"/>
              </w:rPr>
            </w:pPr>
            <w:r>
              <w:rPr>
                <w:rFonts w:hint="eastAsia"/>
                <w:color w:val="auto"/>
                <w:szCs w:val="21"/>
                <w:highlight w:val="none"/>
              </w:rPr>
              <w:t>□</w:t>
            </w:r>
            <w:r>
              <w:rPr>
                <w:rFonts w:hint="eastAsia"/>
                <w:color w:val="auto"/>
                <w:szCs w:val="21"/>
                <w:highlight w:val="none"/>
                <w:lang w:val="en-US" w:eastAsia="zh-CN"/>
              </w:rPr>
              <w:t>组织</w:t>
            </w:r>
          </w:p>
          <w:p w14:paraId="6A9B91D5">
            <w:pPr>
              <w:pStyle w:val="17"/>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踏勘时间：              </w:t>
            </w:r>
          </w:p>
          <w:p w14:paraId="0D20985B">
            <w:pPr>
              <w:pStyle w:val="17"/>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踏勘</w:t>
            </w:r>
            <w:r>
              <w:rPr>
                <w:rFonts w:hint="eastAsia" w:cs="Times New Roman"/>
                <w:color w:val="auto"/>
                <w:kern w:val="2"/>
                <w:sz w:val="21"/>
                <w:szCs w:val="21"/>
                <w:highlight w:val="none"/>
                <w:lang w:val="en-US" w:eastAsia="zh-CN" w:bidi="ar-SA"/>
              </w:rPr>
              <w:t>集中</w:t>
            </w:r>
            <w:r>
              <w:rPr>
                <w:rFonts w:hint="eastAsia" w:ascii="Times New Roman" w:hAnsi="Times New Roman" w:eastAsia="宋体" w:cs="Times New Roman"/>
                <w:color w:val="auto"/>
                <w:kern w:val="2"/>
                <w:sz w:val="21"/>
                <w:szCs w:val="21"/>
                <w:highlight w:val="none"/>
                <w:lang w:val="en-US" w:eastAsia="zh-CN" w:bidi="ar-SA"/>
              </w:rPr>
              <w:t xml:space="preserve">地点：           </w:t>
            </w:r>
          </w:p>
          <w:p w14:paraId="135C0ABE">
            <w:pPr>
              <w:pStyle w:val="17"/>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联系人及电话</w:t>
            </w:r>
            <w:r>
              <w:rPr>
                <w:rFonts w:hint="eastAsia" w:ascii="Times New Roman" w:hAnsi="Times New Roman" w:eastAsia="宋体" w:cs="Times New Roman"/>
                <w:color w:val="auto"/>
                <w:kern w:val="2"/>
                <w:sz w:val="21"/>
                <w:szCs w:val="21"/>
                <w:highlight w:val="none"/>
                <w:lang w:val="en-US" w:eastAsia="zh-CN" w:bidi="ar-SA"/>
              </w:rPr>
              <w:t>：</w:t>
            </w:r>
          </w:p>
          <w:p w14:paraId="3FC5111F">
            <w:pPr>
              <w:pStyle w:val="17"/>
              <w:rPr>
                <w:color w:val="auto"/>
                <w:szCs w:val="21"/>
                <w:highlight w:val="none"/>
              </w:rPr>
            </w:pPr>
            <w:r>
              <w:rPr>
                <w:rFonts w:hint="eastAsia"/>
                <w:color w:val="auto"/>
                <w:szCs w:val="21"/>
                <w:highlight w:val="none"/>
              </w:rPr>
              <w:t>☑可申请踏勘（如有需要供应商自行与采购人联系申请踏勘）</w:t>
            </w:r>
            <w:r>
              <w:rPr>
                <w:color w:val="auto"/>
                <w:szCs w:val="21"/>
                <w:highlight w:val="none"/>
              </w:rPr>
              <w:t>/</w:t>
            </w:r>
            <w:r>
              <w:rPr>
                <w:rFonts w:hint="eastAsia"/>
                <w:color w:val="auto"/>
                <w:szCs w:val="21"/>
                <w:highlight w:val="none"/>
              </w:rPr>
              <w:t xml:space="preserve">自行踏勘    </w:t>
            </w:r>
          </w:p>
        </w:tc>
      </w:tr>
      <w:tr w14:paraId="69422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0576D936">
            <w:pPr>
              <w:spacing w:line="300" w:lineRule="exact"/>
              <w:jc w:val="center"/>
              <w:rPr>
                <w:b/>
                <w:szCs w:val="21"/>
                <w:highlight w:val="none"/>
              </w:rPr>
            </w:pPr>
            <w:r>
              <w:rPr>
                <w:b/>
                <w:szCs w:val="21"/>
                <w:highlight w:val="none"/>
              </w:rPr>
              <w:t>1.7.1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2804C147">
            <w:pPr>
              <w:spacing w:line="300" w:lineRule="exact"/>
              <w:jc w:val="center"/>
              <w:rPr>
                <w:szCs w:val="21"/>
                <w:highlight w:val="none"/>
              </w:rPr>
            </w:pPr>
            <w:r>
              <w:rPr>
                <w:szCs w:val="21"/>
                <w:highlight w:val="none"/>
              </w:rPr>
              <w:t>转包</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7FC6367B">
            <w:pPr>
              <w:spacing w:line="300" w:lineRule="exact"/>
              <w:jc w:val="left"/>
              <w:rPr>
                <w:szCs w:val="21"/>
                <w:highlight w:val="none"/>
              </w:rPr>
            </w:pPr>
            <w:r>
              <w:rPr>
                <w:szCs w:val="21"/>
                <w:highlight w:val="none"/>
              </w:rPr>
              <w:t>本项目不允许转包</w:t>
            </w:r>
            <w:r>
              <w:rPr>
                <w:rFonts w:hint="eastAsia"/>
                <w:szCs w:val="21"/>
                <w:highlight w:val="none"/>
              </w:rPr>
              <w:t>。</w:t>
            </w:r>
          </w:p>
        </w:tc>
      </w:tr>
      <w:tr w14:paraId="01855D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1563FB6B">
            <w:pPr>
              <w:spacing w:line="300" w:lineRule="exact"/>
              <w:jc w:val="center"/>
              <w:rPr>
                <w:szCs w:val="21"/>
                <w:highlight w:val="none"/>
              </w:rPr>
            </w:pPr>
            <w:r>
              <w:rPr>
                <w:b/>
                <w:szCs w:val="21"/>
                <w:highlight w:val="none"/>
              </w:rPr>
              <w:t>1.7.2</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F0325E2">
            <w:pPr>
              <w:spacing w:line="300" w:lineRule="exact"/>
              <w:jc w:val="center"/>
              <w:rPr>
                <w:szCs w:val="21"/>
                <w:highlight w:val="none"/>
              </w:rPr>
            </w:pPr>
            <w:r>
              <w:rPr>
                <w:szCs w:val="21"/>
                <w:highlight w:val="none"/>
              </w:rPr>
              <w:t>分包</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7A9F79D4">
            <w:pPr>
              <w:spacing w:line="300" w:lineRule="exact"/>
              <w:jc w:val="left"/>
              <w:rPr>
                <w:rFonts w:hint="eastAsia"/>
                <w:szCs w:val="21"/>
                <w:highlight w:val="none"/>
              </w:rPr>
            </w:pPr>
            <w:r>
              <w:rPr>
                <w:rFonts w:hint="eastAsia"/>
                <w:szCs w:val="21"/>
                <w:highlight w:val="none"/>
              </w:rPr>
              <w:t>是否接受分包详见磋商公告</w:t>
            </w:r>
          </w:p>
        </w:tc>
      </w:tr>
      <w:tr w14:paraId="710BB4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3726FAC4">
            <w:pPr>
              <w:spacing w:line="300" w:lineRule="exact"/>
              <w:jc w:val="center"/>
              <w:rPr>
                <w:szCs w:val="21"/>
                <w:highlight w:val="none"/>
              </w:rPr>
            </w:pPr>
            <w:r>
              <w:rPr>
                <w:b/>
                <w:szCs w:val="21"/>
                <w:highlight w:val="none"/>
              </w:rPr>
              <w:t>2.3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61E3B208">
            <w:pPr>
              <w:spacing w:line="300" w:lineRule="exact"/>
              <w:jc w:val="center"/>
              <w:rPr>
                <w:szCs w:val="21"/>
                <w:highlight w:val="none"/>
              </w:rPr>
            </w:pPr>
            <w:r>
              <w:rPr>
                <w:szCs w:val="21"/>
                <w:highlight w:val="none"/>
              </w:rPr>
              <w:t>采购文件澄清、修改</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54997D79">
            <w:pPr>
              <w:spacing w:line="300" w:lineRule="exact"/>
              <w:jc w:val="left"/>
              <w:rPr>
                <w:szCs w:val="21"/>
                <w:highlight w:val="none"/>
              </w:rPr>
            </w:pPr>
            <w:r>
              <w:rPr>
                <w:szCs w:val="21"/>
                <w:highlight w:val="none"/>
              </w:rPr>
              <w:t>在</w:t>
            </w:r>
            <w:r>
              <w:rPr>
                <w:rFonts w:hint="eastAsia"/>
                <w:szCs w:val="21"/>
                <w:highlight w:val="none"/>
              </w:rPr>
              <w:t>磋商</w:t>
            </w:r>
            <w:r>
              <w:rPr>
                <w:szCs w:val="21"/>
                <w:highlight w:val="none"/>
              </w:rPr>
              <w:t>公告发布媒介发布</w:t>
            </w:r>
            <w:r>
              <w:rPr>
                <w:rFonts w:hint="eastAsia"/>
                <w:szCs w:val="21"/>
                <w:highlight w:val="none"/>
              </w:rPr>
              <w:t>。</w:t>
            </w:r>
          </w:p>
        </w:tc>
      </w:tr>
      <w:tr w14:paraId="5852A1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105A6742">
            <w:pPr>
              <w:spacing w:line="300" w:lineRule="exact"/>
              <w:jc w:val="center"/>
              <w:rPr>
                <w:b/>
                <w:szCs w:val="21"/>
                <w:highlight w:val="none"/>
              </w:rPr>
            </w:pPr>
            <w:r>
              <w:rPr>
                <w:b/>
                <w:szCs w:val="21"/>
                <w:highlight w:val="none"/>
              </w:rPr>
              <w:t>2.3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8608565">
            <w:pPr>
              <w:spacing w:line="300" w:lineRule="exact"/>
              <w:jc w:val="center"/>
              <w:rPr>
                <w:szCs w:val="21"/>
                <w:highlight w:val="none"/>
              </w:rPr>
            </w:pPr>
            <w:r>
              <w:rPr>
                <w:szCs w:val="21"/>
                <w:highlight w:val="none"/>
              </w:rPr>
              <w:t>确认收到澄清、修改发布的方式</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3F7409F8">
            <w:pPr>
              <w:spacing w:line="300" w:lineRule="exact"/>
              <w:jc w:val="left"/>
              <w:rPr>
                <w:szCs w:val="21"/>
                <w:highlight w:val="none"/>
              </w:rPr>
            </w:pPr>
            <w:r>
              <w:rPr>
                <w:szCs w:val="21"/>
                <w:highlight w:val="none"/>
              </w:rPr>
              <w:t>澄清、修改文件</w:t>
            </w:r>
            <w:r>
              <w:rPr>
                <w:rFonts w:hint="eastAsia"/>
                <w:szCs w:val="21"/>
                <w:highlight w:val="none"/>
              </w:rPr>
              <w:t>自磋商</w:t>
            </w:r>
            <w:r>
              <w:rPr>
                <w:szCs w:val="21"/>
                <w:highlight w:val="none"/>
              </w:rPr>
              <w:t>公告发布媒</w:t>
            </w:r>
            <w:r>
              <w:rPr>
                <w:rFonts w:hint="eastAsia"/>
                <w:szCs w:val="21"/>
                <w:highlight w:val="none"/>
              </w:rPr>
              <w:t>体</w:t>
            </w:r>
            <w:r>
              <w:rPr>
                <w:szCs w:val="21"/>
                <w:highlight w:val="none"/>
              </w:rPr>
              <w:t>发布之日起，视为供应商已收到该澄清、修改。供应商未及时关注</w:t>
            </w:r>
            <w:r>
              <w:rPr>
                <w:rFonts w:hint="eastAsia"/>
                <w:szCs w:val="21"/>
                <w:highlight w:val="none"/>
              </w:rPr>
              <w:t>磋商</w:t>
            </w:r>
            <w:r>
              <w:rPr>
                <w:szCs w:val="21"/>
                <w:highlight w:val="none"/>
              </w:rPr>
              <w:t>公告发布媒</w:t>
            </w:r>
            <w:r>
              <w:rPr>
                <w:rFonts w:hint="eastAsia"/>
                <w:szCs w:val="21"/>
                <w:highlight w:val="none"/>
              </w:rPr>
              <w:t>体</w:t>
            </w:r>
            <w:r>
              <w:rPr>
                <w:szCs w:val="21"/>
                <w:highlight w:val="none"/>
              </w:rPr>
              <w:t>造成的损失，由供应商自行负责。</w:t>
            </w:r>
          </w:p>
        </w:tc>
      </w:tr>
      <w:tr w14:paraId="67690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075EB2EE">
            <w:pPr>
              <w:spacing w:line="300" w:lineRule="exact"/>
              <w:jc w:val="center"/>
              <w:rPr>
                <w:b/>
                <w:szCs w:val="21"/>
                <w:highlight w:val="none"/>
              </w:rPr>
            </w:pPr>
            <w:r>
              <w:rPr>
                <w:b/>
                <w:szCs w:val="21"/>
                <w:highlight w:val="none"/>
              </w:rPr>
              <w:t>3.4.1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5B6506D">
            <w:pPr>
              <w:spacing w:line="300" w:lineRule="exact"/>
              <w:jc w:val="center"/>
              <w:rPr>
                <w:szCs w:val="21"/>
                <w:highlight w:val="none"/>
              </w:rPr>
            </w:pPr>
            <w:r>
              <w:rPr>
                <w:rFonts w:hint="eastAsia"/>
                <w:szCs w:val="21"/>
                <w:highlight w:val="none"/>
              </w:rPr>
              <w:t>响应</w:t>
            </w:r>
            <w:r>
              <w:rPr>
                <w:szCs w:val="21"/>
                <w:highlight w:val="none"/>
              </w:rPr>
              <w:t>有效期</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41096758">
            <w:pPr>
              <w:spacing w:line="300" w:lineRule="exact"/>
              <w:jc w:val="left"/>
              <w:rPr>
                <w:szCs w:val="21"/>
                <w:highlight w:val="none"/>
              </w:rPr>
            </w:pPr>
            <w:r>
              <w:rPr>
                <w:szCs w:val="21"/>
                <w:highlight w:val="none"/>
              </w:rPr>
              <w:t>响应截止</w:t>
            </w:r>
            <w:r>
              <w:rPr>
                <w:color w:val="auto"/>
                <w:szCs w:val="21"/>
                <w:highlight w:val="none"/>
              </w:rPr>
              <w:t>之日起90天。</w:t>
            </w:r>
          </w:p>
        </w:tc>
      </w:tr>
      <w:tr w14:paraId="4C389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1EA6257E">
            <w:pPr>
              <w:spacing w:line="300" w:lineRule="exact"/>
              <w:jc w:val="center"/>
              <w:rPr>
                <w:b/>
                <w:szCs w:val="21"/>
                <w:highlight w:val="none"/>
              </w:rPr>
            </w:pPr>
            <w:r>
              <w:rPr>
                <w:b/>
                <w:szCs w:val="21"/>
                <w:highlight w:val="none"/>
              </w:rPr>
              <w:t>3.5</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6EBD73AA">
            <w:pPr>
              <w:spacing w:line="300" w:lineRule="exact"/>
              <w:jc w:val="center"/>
              <w:rPr>
                <w:szCs w:val="21"/>
                <w:highlight w:val="none"/>
              </w:rPr>
            </w:pPr>
            <w:r>
              <w:rPr>
                <w:rFonts w:hint="eastAsia"/>
                <w:szCs w:val="21"/>
                <w:highlight w:val="none"/>
              </w:rPr>
              <w:t>磋商</w:t>
            </w:r>
            <w:r>
              <w:rPr>
                <w:szCs w:val="21"/>
                <w:highlight w:val="none"/>
              </w:rPr>
              <w:t>保证金</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6CD5F267">
            <w:pPr>
              <w:spacing w:line="300" w:lineRule="exact"/>
              <w:jc w:val="left"/>
              <w:rPr>
                <w:rFonts w:hint="eastAsia" w:eastAsia="宋体"/>
                <w:b/>
                <w:bCs/>
                <w:szCs w:val="21"/>
                <w:highlight w:val="none"/>
                <w:lang w:eastAsia="zh-CN"/>
              </w:rPr>
            </w:pPr>
            <w:r>
              <w:rPr>
                <w:rFonts w:hint="eastAsia"/>
                <w:b/>
                <w:bCs/>
                <w:szCs w:val="21"/>
                <w:highlight w:val="none"/>
                <w:lang w:eastAsia="zh-CN"/>
              </w:rPr>
              <w:t>无要求。</w:t>
            </w:r>
          </w:p>
        </w:tc>
      </w:tr>
      <w:tr w14:paraId="6BD343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42B6540B">
            <w:pPr>
              <w:spacing w:line="300" w:lineRule="exact"/>
              <w:jc w:val="center"/>
              <w:rPr>
                <w:b/>
                <w:szCs w:val="21"/>
                <w:highlight w:val="none"/>
              </w:rPr>
            </w:pPr>
            <w:r>
              <w:rPr>
                <w:rFonts w:hint="eastAsia"/>
                <w:b/>
                <w:szCs w:val="21"/>
                <w:highlight w:val="none"/>
              </w:rPr>
              <w:t>3</w:t>
            </w:r>
            <w:r>
              <w:rPr>
                <w:b/>
                <w:szCs w:val="21"/>
                <w:highlight w:val="none"/>
              </w:rPr>
              <w:t>.6</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1496B1B">
            <w:pPr>
              <w:spacing w:line="300" w:lineRule="exact"/>
              <w:jc w:val="center"/>
              <w:rPr>
                <w:szCs w:val="21"/>
                <w:highlight w:val="none"/>
              </w:rPr>
            </w:pPr>
            <w:r>
              <w:rPr>
                <w:rFonts w:hint="eastAsia"/>
                <w:szCs w:val="21"/>
                <w:highlight w:val="none"/>
              </w:rPr>
              <w:t>响应文件的编制</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0F744005">
            <w:pPr>
              <w:spacing w:line="300" w:lineRule="exact"/>
              <w:jc w:val="left"/>
              <w:rPr>
                <w:szCs w:val="21"/>
                <w:highlight w:val="none"/>
              </w:rPr>
            </w:pPr>
            <w:r>
              <w:rPr>
                <w:rFonts w:hint="eastAsia" w:hAnsi="宋体"/>
                <w:szCs w:val="21"/>
                <w:highlight w:val="none"/>
              </w:rPr>
              <w:t>响应文件应按第六章响应文件格式分别编制并使用下载的广西政府采购云平台新版客户端制作并上传。</w:t>
            </w:r>
          </w:p>
        </w:tc>
      </w:tr>
      <w:tr w14:paraId="0A4CA1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62B621A3">
            <w:pPr>
              <w:spacing w:line="300" w:lineRule="exact"/>
              <w:jc w:val="center"/>
              <w:rPr>
                <w:b/>
                <w:szCs w:val="21"/>
                <w:highlight w:val="none"/>
              </w:rPr>
            </w:pPr>
            <w:r>
              <w:rPr>
                <w:b/>
                <w:szCs w:val="21"/>
                <w:highlight w:val="none"/>
              </w:rPr>
              <w:t>3.7</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6B8DFB2F">
            <w:pPr>
              <w:spacing w:line="300" w:lineRule="exact"/>
              <w:jc w:val="center"/>
              <w:rPr>
                <w:color w:val="auto"/>
                <w:szCs w:val="21"/>
                <w:highlight w:val="none"/>
              </w:rPr>
            </w:pPr>
            <w:r>
              <w:rPr>
                <w:color w:val="auto"/>
                <w:szCs w:val="21"/>
                <w:highlight w:val="none"/>
              </w:rPr>
              <w:t>响应文件递交</w:t>
            </w:r>
            <w:r>
              <w:rPr>
                <w:rFonts w:hint="eastAsia"/>
                <w:color w:val="auto"/>
                <w:szCs w:val="21"/>
                <w:highlight w:val="none"/>
              </w:rPr>
              <w:t>截止时间及截标时间</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404CB666">
            <w:pPr>
              <w:spacing w:line="300" w:lineRule="exact"/>
              <w:jc w:val="left"/>
              <w:rPr>
                <w:color w:val="auto"/>
                <w:szCs w:val="21"/>
                <w:highlight w:val="none"/>
              </w:rPr>
            </w:pPr>
            <w:r>
              <w:rPr>
                <w:rFonts w:hint="eastAsia"/>
                <w:color w:val="auto"/>
                <w:kern w:val="0"/>
                <w:szCs w:val="21"/>
                <w:highlight w:val="none"/>
              </w:rPr>
              <w:t>见磋商公告要求</w:t>
            </w:r>
            <w:r>
              <w:rPr>
                <w:rFonts w:hint="eastAsia"/>
                <w:color w:val="auto"/>
                <w:szCs w:val="21"/>
                <w:highlight w:val="none"/>
              </w:rPr>
              <w:t>。</w:t>
            </w:r>
          </w:p>
        </w:tc>
      </w:tr>
      <w:tr w14:paraId="6D2D5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249BD439">
            <w:pPr>
              <w:spacing w:line="300" w:lineRule="exact"/>
              <w:jc w:val="center"/>
              <w:rPr>
                <w:b/>
                <w:szCs w:val="21"/>
                <w:highlight w:val="none"/>
              </w:rPr>
            </w:pPr>
            <w:r>
              <w:rPr>
                <w:rFonts w:hint="eastAsia"/>
                <w:b/>
                <w:szCs w:val="21"/>
                <w:highlight w:val="none"/>
              </w:rPr>
              <w:t>4</w:t>
            </w:r>
            <w:r>
              <w:rPr>
                <w:b/>
                <w:szCs w:val="21"/>
                <w:highlight w:val="none"/>
              </w:rPr>
              <w:t>.2</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6F8F499">
            <w:pPr>
              <w:spacing w:line="300" w:lineRule="exact"/>
              <w:jc w:val="center"/>
              <w:rPr>
                <w:color w:val="auto"/>
                <w:szCs w:val="20"/>
                <w:highlight w:val="none"/>
              </w:rPr>
            </w:pPr>
            <w:r>
              <w:rPr>
                <w:rFonts w:hint="eastAsia"/>
                <w:color w:val="auto"/>
                <w:szCs w:val="21"/>
                <w:highlight w:val="none"/>
              </w:rPr>
              <w:t>备份响应文件</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0964D7B0">
            <w:pPr>
              <w:spacing w:line="276" w:lineRule="auto"/>
              <w:rPr>
                <w:rFonts w:ascii="宋体" w:hAnsi="宋体"/>
                <w:color w:val="auto"/>
                <w:szCs w:val="21"/>
                <w:highlight w:val="none"/>
              </w:rPr>
            </w:pPr>
            <w:r>
              <w:rPr>
                <w:rFonts w:hint="eastAsia" w:ascii="宋体" w:hAnsi="宋体"/>
                <w:color w:val="auto"/>
                <w:szCs w:val="21"/>
                <w:highlight w:val="none"/>
              </w:rPr>
              <w:t>本项目</w:t>
            </w:r>
            <w:r>
              <w:rPr>
                <w:color w:val="auto"/>
                <w:sz w:val="22"/>
                <w:szCs w:val="22"/>
                <w:highlight w:val="none"/>
              </w:rPr>
              <w:sym w:font="Wingdings 2" w:char="F052"/>
            </w:r>
            <w:r>
              <w:rPr>
                <w:rFonts w:hint="eastAsia"/>
                <w:color w:val="auto"/>
                <w:szCs w:val="21"/>
                <w:highlight w:val="none"/>
              </w:rPr>
              <w:t>接受   □不接受</w:t>
            </w:r>
            <w:r>
              <w:rPr>
                <w:rFonts w:hint="eastAsia" w:ascii="宋体" w:hAnsi="宋体"/>
                <w:color w:val="auto"/>
                <w:szCs w:val="21"/>
                <w:highlight w:val="none"/>
              </w:rPr>
              <w:t>备份响应文件</w:t>
            </w:r>
          </w:p>
          <w:p w14:paraId="7EB121F2">
            <w:pPr>
              <w:rPr>
                <w:rFonts w:hint="eastAsia"/>
                <w:color w:val="auto"/>
                <w:szCs w:val="21"/>
                <w:highlight w:val="none"/>
              </w:rPr>
            </w:pPr>
            <w:r>
              <w:rPr>
                <w:rFonts w:hint="eastAsia" w:ascii="宋体" w:hAnsi="宋体"/>
                <w:color w:val="auto"/>
                <w:highlight w:val="none"/>
              </w:rPr>
              <w:t>以</w:t>
            </w:r>
            <w:r>
              <w:rPr>
                <w:rFonts w:hint="eastAsia" w:ascii="宋体" w:hAnsi="宋体" w:cs="宋体"/>
                <w:color w:val="auto"/>
                <w:kern w:val="0"/>
                <w:szCs w:val="21"/>
                <w:highlight w:val="none"/>
              </w:rPr>
              <w:t>广西政府采购云平台</w:t>
            </w:r>
            <w:r>
              <w:rPr>
                <w:rFonts w:hint="eastAsia" w:ascii="宋体" w:hAnsi="宋体"/>
                <w:color w:val="auto"/>
                <w:highlight w:val="none"/>
              </w:rPr>
              <w:t>自动生成的备份文件为依据，当项目允许接受备份响应文件时，供应商才可以按规定上传备份响应文件。</w:t>
            </w:r>
          </w:p>
        </w:tc>
      </w:tr>
      <w:tr w14:paraId="54EF8C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302BBF7C">
            <w:pPr>
              <w:spacing w:line="300" w:lineRule="exact"/>
              <w:jc w:val="center"/>
              <w:rPr>
                <w:b/>
                <w:szCs w:val="21"/>
                <w:highlight w:val="none"/>
              </w:rPr>
            </w:pPr>
            <w:r>
              <w:rPr>
                <w:rFonts w:hint="eastAsia"/>
                <w:b/>
                <w:szCs w:val="21"/>
                <w:highlight w:val="none"/>
              </w:rPr>
              <w:t>4</w:t>
            </w:r>
            <w:r>
              <w:rPr>
                <w:b/>
                <w:szCs w:val="21"/>
                <w:highlight w:val="none"/>
              </w:rPr>
              <w:t>.3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231E3B91">
            <w:pPr>
              <w:spacing w:line="300" w:lineRule="exact"/>
              <w:jc w:val="center"/>
              <w:rPr>
                <w:szCs w:val="21"/>
                <w:highlight w:val="none"/>
              </w:rPr>
            </w:pPr>
            <w:r>
              <w:rPr>
                <w:rFonts w:hint="eastAsia"/>
                <w:szCs w:val="20"/>
                <w:highlight w:val="none"/>
              </w:rPr>
              <w:t>演示</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00445DE1">
            <w:pPr>
              <w:spacing w:line="276" w:lineRule="auto"/>
              <w:rPr>
                <w:color w:val="4472C4"/>
                <w:szCs w:val="21"/>
                <w:highlight w:val="none"/>
              </w:rPr>
            </w:pPr>
            <w:r>
              <w:rPr>
                <w:rFonts w:hint="eastAsia"/>
                <w:szCs w:val="21"/>
                <w:highlight w:val="none"/>
              </w:rPr>
              <w:t xml:space="preserve">否  </w:t>
            </w:r>
          </w:p>
        </w:tc>
      </w:tr>
      <w:tr w14:paraId="737C56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75249D99">
            <w:pPr>
              <w:spacing w:line="300" w:lineRule="exact"/>
              <w:jc w:val="center"/>
              <w:rPr>
                <w:b/>
                <w:szCs w:val="21"/>
                <w:highlight w:val="none"/>
              </w:rPr>
            </w:pPr>
            <w:r>
              <w:rPr>
                <w:rFonts w:hint="eastAsia"/>
                <w:b/>
                <w:szCs w:val="21"/>
                <w:highlight w:val="none"/>
              </w:rPr>
              <w:t>4</w:t>
            </w:r>
            <w:r>
              <w:rPr>
                <w:b/>
                <w:szCs w:val="21"/>
                <w:highlight w:val="none"/>
              </w:rPr>
              <w:t>.4</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2B64596A">
            <w:pPr>
              <w:spacing w:line="300" w:lineRule="exact"/>
              <w:jc w:val="center"/>
              <w:rPr>
                <w:szCs w:val="21"/>
                <w:highlight w:val="none"/>
              </w:rPr>
            </w:pPr>
            <w:r>
              <w:rPr>
                <w:rFonts w:hint="eastAsia"/>
                <w:szCs w:val="20"/>
                <w:highlight w:val="none"/>
              </w:rPr>
              <w:t>样品</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5BC5AD32">
            <w:pPr>
              <w:spacing w:line="276" w:lineRule="auto"/>
              <w:rPr>
                <w:szCs w:val="21"/>
                <w:highlight w:val="none"/>
              </w:rPr>
            </w:pPr>
            <w:r>
              <w:rPr>
                <w:rFonts w:hint="eastAsia"/>
                <w:szCs w:val="21"/>
                <w:highlight w:val="none"/>
              </w:rPr>
              <w:t xml:space="preserve">否 </w:t>
            </w:r>
          </w:p>
        </w:tc>
      </w:tr>
      <w:tr w14:paraId="18B18A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4FFB2764">
            <w:pPr>
              <w:spacing w:line="300" w:lineRule="exact"/>
              <w:jc w:val="center"/>
              <w:rPr>
                <w:rFonts w:hint="eastAsia" w:ascii="Times New Roman" w:hAnsi="Times New Roman" w:eastAsia="宋体" w:cs="Times New Roman"/>
                <w:b/>
                <w:kern w:val="2"/>
                <w:sz w:val="21"/>
                <w:szCs w:val="21"/>
                <w:highlight w:val="none"/>
                <w:lang w:val="en-US" w:eastAsia="zh-CN" w:bidi="ar-SA"/>
              </w:rPr>
            </w:pPr>
            <w:r>
              <w:rPr>
                <w:rFonts w:hint="eastAsia"/>
                <w:b/>
                <w:szCs w:val="21"/>
                <w:highlight w:val="none"/>
                <w:lang w:val="en-US" w:eastAsia="zh-CN"/>
              </w:rPr>
              <w:t>5.3.1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3F851258">
            <w:pPr>
              <w:spacing w:line="300" w:lineRule="exact"/>
              <w:jc w:val="center"/>
              <w:rPr>
                <w:rFonts w:hint="eastAsia" w:ascii="Times New Roman" w:hAnsi="Times New Roman" w:eastAsia="宋体" w:cs="Times New Roman"/>
                <w:kern w:val="2"/>
                <w:sz w:val="21"/>
                <w:szCs w:val="21"/>
                <w:highlight w:val="none"/>
                <w:lang w:val="en-US" w:eastAsia="zh-CN" w:bidi="ar-SA"/>
              </w:rPr>
            </w:pPr>
            <w:r>
              <w:rPr>
                <w:rFonts w:hint="eastAsia" w:cs="Times New Roman"/>
                <w:kern w:val="2"/>
                <w:sz w:val="21"/>
                <w:szCs w:val="21"/>
                <w:highlight w:val="none"/>
                <w:lang w:val="en-US" w:eastAsia="zh-CN" w:bidi="ar-SA"/>
              </w:rPr>
              <w:t>信用中国查询</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0594CCE4">
            <w:pPr>
              <w:snapToGrid w:val="0"/>
              <w:spacing w:line="380" w:lineRule="exact"/>
              <w:rPr>
                <w:rFonts w:hint="eastAsia" w:ascii="宋体" w:hAnsi="宋体"/>
                <w:szCs w:val="21"/>
                <w:highlight w:val="none"/>
                <w:lang w:eastAsia="zh-CN"/>
              </w:rPr>
            </w:pPr>
            <w:r>
              <w:rPr>
                <w:rFonts w:hint="eastAsia" w:ascii="宋体" w:hAnsi="宋体"/>
                <w:szCs w:val="21"/>
                <w:highlight w:val="none"/>
                <w:lang w:eastAsia="zh-CN"/>
              </w:rPr>
              <w:t>磋商小组在资格审查结束前，对</w:t>
            </w:r>
            <w:r>
              <w:rPr>
                <w:rFonts w:hint="eastAsia" w:ascii="宋体" w:hAnsi="宋体"/>
                <w:szCs w:val="21"/>
                <w:highlight w:val="none"/>
                <w:lang w:val="en-US" w:eastAsia="zh-CN"/>
              </w:rPr>
              <w:t>供应商</w:t>
            </w:r>
            <w:r>
              <w:rPr>
                <w:rFonts w:hint="eastAsia" w:ascii="宋体" w:hAnsi="宋体"/>
                <w:szCs w:val="21"/>
                <w:highlight w:val="none"/>
                <w:lang w:eastAsia="zh-CN"/>
              </w:rPr>
              <w:t>进行信用查询。</w:t>
            </w:r>
          </w:p>
          <w:p w14:paraId="737F365C">
            <w:pPr>
              <w:snapToGrid w:val="0"/>
              <w:spacing w:line="380" w:lineRule="exact"/>
              <w:rPr>
                <w:rFonts w:hint="eastAsia" w:ascii="宋体" w:hAnsi="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）查询渠道：</w:t>
            </w:r>
            <w:r>
              <w:rPr>
                <w:rFonts w:hint="eastAsia" w:ascii="宋体" w:hAnsi="宋体"/>
                <w:szCs w:val="21"/>
                <w:highlight w:val="none"/>
                <w:lang w:val="en-US" w:eastAsia="zh-CN"/>
              </w:rPr>
              <w:t>广西政府采购云平台</w:t>
            </w:r>
            <w:r>
              <w:rPr>
                <w:rFonts w:hint="eastAsia" w:ascii="宋体" w:hAnsi="宋体"/>
                <w:szCs w:val="21"/>
                <w:highlight w:val="none"/>
                <w:lang w:eastAsia="zh-CN"/>
              </w:rPr>
              <w:t>“信用中国”网站(www.creditchina.gov.cn) 、中国政府采购网(www.ccgp.gov.cn)</w:t>
            </w:r>
            <w:r>
              <w:rPr>
                <w:rFonts w:hint="eastAsia" w:ascii="宋体" w:hAnsi="宋体"/>
                <w:szCs w:val="21"/>
                <w:highlight w:val="none"/>
                <w:lang w:val="en-US" w:eastAsia="zh-CN"/>
              </w:rPr>
              <w:t>链接入口</w:t>
            </w:r>
            <w:r>
              <w:rPr>
                <w:rFonts w:hint="eastAsia" w:ascii="宋体" w:hAnsi="宋体"/>
                <w:szCs w:val="21"/>
                <w:highlight w:val="none"/>
                <w:lang w:eastAsia="zh-CN"/>
              </w:rPr>
              <w:t>。</w:t>
            </w:r>
          </w:p>
          <w:p w14:paraId="2C5BBAB7">
            <w:pPr>
              <w:snapToGrid w:val="0"/>
              <w:spacing w:line="380" w:lineRule="exact"/>
              <w:rPr>
                <w:rFonts w:hint="eastAsia" w:ascii="宋体" w:hAnsi="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）信用查询截止时点：</w:t>
            </w:r>
            <w:r>
              <w:rPr>
                <w:rFonts w:hint="eastAsia" w:ascii="宋体" w:hAnsi="宋体"/>
                <w:szCs w:val="21"/>
                <w:highlight w:val="none"/>
                <w:lang w:val="en-US" w:eastAsia="zh-CN"/>
              </w:rPr>
              <w:t>资</w:t>
            </w:r>
            <w:r>
              <w:rPr>
                <w:rFonts w:hint="eastAsia" w:ascii="宋体" w:hAnsi="宋体"/>
                <w:szCs w:val="21"/>
                <w:highlight w:val="none"/>
                <w:lang w:eastAsia="zh-CN"/>
              </w:rPr>
              <w:t>格审查结束前</w:t>
            </w:r>
          </w:p>
          <w:p w14:paraId="71798ED8">
            <w:pPr>
              <w:snapToGrid w:val="0"/>
              <w:spacing w:line="380" w:lineRule="exact"/>
              <w:rPr>
                <w:rFonts w:hint="eastAsia" w:ascii="宋体" w:hAnsi="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）查询记录和证据留存方式：在查询网站中直接截图查询记录，截图作为在“广西政府采购云”平台作为附件上传保存。</w:t>
            </w:r>
          </w:p>
          <w:p w14:paraId="77522542">
            <w:pPr>
              <w:snapToGrid w:val="0"/>
              <w:spacing w:line="38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eastAsia="zh-CN"/>
              </w:rPr>
              <w:t>（</w:t>
            </w:r>
            <w:r>
              <w:rPr>
                <w:rFonts w:hint="eastAsia" w:ascii="宋体" w:hAnsi="宋体"/>
                <w:szCs w:val="21"/>
                <w:highlight w:val="none"/>
                <w:lang w:val="en-US" w:eastAsia="zh-CN"/>
              </w:rPr>
              <w:t>4</w:t>
            </w:r>
            <w:r>
              <w:rPr>
                <w:rFonts w:hint="eastAsia" w:ascii="宋体" w:hAnsi="宋体"/>
                <w:szCs w:val="21"/>
                <w:highlight w:val="none"/>
                <w:lang w:eastAsia="zh-CN"/>
              </w:rPr>
              <w:t>）信用信息使用规则：对在“信用中国”网站(www.creditchina.gov.cn) 、中国政府采购网(www.ccgp.gov.cn)被列入失信被执行人、</w:t>
            </w:r>
            <w:r>
              <w:rPr>
                <w:kern w:val="0"/>
                <w:szCs w:val="21"/>
                <w:highlight w:val="none"/>
              </w:rPr>
              <w:t>重大税收违法失信主体</w:t>
            </w:r>
            <w:r>
              <w:rPr>
                <w:rFonts w:hint="eastAsia" w:ascii="宋体" w:hAnsi="宋体"/>
                <w:szCs w:val="21"/>
                <w:highlight w:val="none"/>
                <w:lang w:eastAsia="zh-CN"/>
              </w:rPr>
              <w:t>、政府采购严重违法失信行为记录名单及其他不符合《中华人民共和国政府采购法》第二十二条规定条件的供应商，采购人或者采购代理机构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2E4F2E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00111501">
            <w:pPr>
              <w:spacing w:line="300" w:lineRule="exact"/>
              <w:jc w:val="center"/>
              <w:rPr>
                <w:rFonts w:hint="eastAsia" w:ascii="Times New Roman" w:hAnsi="Times New Roman" w:eastAsia="宋体" w:cs="Times New Roman"/>
                <w:b/>
                <w:kern w:val="2"/>
                <w:sz w:val="21"/>
                <w:szCs w:val="21"/>
                <w:highlight w:val="none"/>
                <w:lang w:val="en-US" w:eastAsia="zh-CN" w:bidi="ar-SA"/>
              </w:rPr>
            </w:pPr>
            <w:r>
              <w:rPr>
                <w:rFonts w:hint="eastAsia"/>
                <w:b/>
                <w:szCs w:val="21"/>
                <w:highlight w:val="none"/>
              </w:rPr>
              <w:t>6.</w:t>
            </w:r>
            <w:r>
              <w:rPr>
                <w:b/>
                <w:szCs w:val="21"/>
                <w:highlight w:val="none"/>
              </w:rPr>
              <w:t>3</w:t>
            </w:r>
            <w:r>
              <w:rPr>
                <w:rFonts w:hint="eastAsia"/>
                <w:b/>
                <w:szCs w:val="21"/>
                <w:highlight w:val="none"/>
              </w:rPr>
              <w:t>.</w:t>
            </w:r>
            <w:r>
              <w:rPr>
                <w:b/>
                <w:szCs w:val="21"/>
                <w:highlight w:val="none"/>
              </w:rPr>
              <w:t>5</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762E1C84">
            <w:pPr>
              <w:spacing w:line="300" w:lineRule="exact"/>
              <w:jc w:val="center"/>
              <w:rPr>
                <w:rFonts w:hint="eastAsia"/>
                <w:szCs w:val="21"/>
                <w:highlight w:val="none"/>
                <w:lang w:val="en-US" w:eastAsia="zh-CN"/>
              </w:rPr>
            </w:pPr>
            <w:r>
              <w:rPr>
                <w:rFonts w:hint="eastAsia"/>
                <w:szCs w:val="21"/>
                <w:highlight w:val="none"/>
                <w:lang w:val="en-US" w:eastAsia="zh-CN"/>
              </w:rPr>
              <w:t>异常低价审查</w:t>
            </w:r>
          </w:p>
          <w:p w14:paraId="13F2F917">
            <w:pPr>
              <w:spacing w:line="300" w:lineRule="exact"/>
              <w:jc w:val="center"/>
              <w:rPr>
                <w:rFonts w:hint="eastAsia" w:ascii="Times New Roman" w:hAnsi="Times New Roman" w:eastAsia="宋体" w:cs="Times New Roman"/>
                <w:kern w:val="2"/>
                <w:sz w:val="21"/>
                <w:szCs w:val="21"/>
                <w:highlight w:val="none"/>
                <w:lang w:val="en-US" w:eastAsia="zh-CN" w:bidi="ar-SA"/>
              </w:rPr>
            </w:pP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AED1981">
            <w:pPr>
              <w:pStyle w:val="19"/>
              <w:rPr>
                <w:rFonts w:hint="eastAsia"/>
                <w:sz w:val="21"/>
                <w:szCs w:val="21"/>
                <w:highlight w:val="none"/>
                <w:lang w:val="en-US" w:eastAsia="zh-CN"/>
              </w:rPr>
            </w:pPr>
            <w:r>
              <w:rPr>
                <w:rFonts w:hint="eastAsia"/>
                <w:sz w:val="21"/>
                <w:szCs w:val="21"/>
                <w:highlight w:val="none"/>
                <w:lang w:val="en-US" w:eastAsia="zh-CN"/>
              </w:rPr>
              <w:t>评审中出现下列情形之一的，评审委员会应当启动异常低价响应审查程序</w:t>
            </w:r>
            <w:r>
              <w:rPr>
                <w:rFonts w:hint="eastAsia"/>
                <w:sz w:val="21"/>
                <w:szCs w:val="21"/>
                <w:highlight w:val="none"/>
                <w:lang w:eastAsia="zh-CN"/>
              </w:rPr>
              <w:t>：</w:t>
            </w:r>
          </w:p>
          <w:p w14:paraId="5371924B">
            <w:pPr>
              <w:pStyle w:val="19"/>
              <w:rPr>
                <w:rFonts w:hint="default"/>
                <w:sz w:val="21"/>
                <w:szCs w:val="21"/>
                <w:highlight w:val="none"/>
                <w:lang w:val="en-US" w:eastAsia="zh-CN"/>
              </w:rPr>
            </w:pPr>
            <w:r>
              <w:rPr>
                <w:rFonts w:hint="eastAsia"/>
                <w:sz w:val="21"/>
                <w:szCs w:val="21"/>
                <w:highlight w:val="none"/>
                <w:lang w:val="en-US" w:eastAsia="zh-CN"/>
              </w:rPr>
              <w:t>（1）投标（响应）报价低于全部通过符合性审查供应商投标（响应）报价平均值</w:t>
            </w:r>
            <w:r>
              <w:rPr>
                <w:rFonts w:hint="eastAsia"/>
                <w:sz w:val="21"/>
                <w:szCs w:val="21"/>
                <w:highlight w:val="none"/>
                <w:u w:val="single"/>
                <w:lang w:val="en-US" w:eastAsia="zh-CN"/>
              </w:rPr>
              <w:t xml:space="preserve"> 65 </w:t>
            </w:r>
            <w:r>
              <w:rPr>
                <w:rFonts w:hint="eastAsia"/>
                <w:sz w:val="21"/>
                <w:szCs w:val="21"/>
                <w:highlight w:val="none"/>
                <w:lang w:val="en-US" w:eastAsia="zh-CN"/>
              </w:rPr>
              <w:t>%的，即投标（响应）报价&lt;全部通过符合性审查供应商投标（响应）报价平均值×</w:t>
            </w:r>
            <w:r>
              <w:rPr>
                <w:rFonts w:hint="eastAsia"/>
                <w:sz w:val="21"/>
                <w:szCs w:val="21"/>
                <w:highlight w:val="none"/>
                <w:u w:val="single"/>
                <w:lang w:val="en-US" w:eastAsia="zh-CN"/>
              </w:rPr>
              <w:t xml:space="preserve"> 65 </w:t>
            </w:r>
            <w:r>
              <w:rPr>
                <w:rFonts w:hint="eastAsia"/>
                <w:sz w:val="21"/>
                <w:szCs w:val="21"/>
                <w:highlight w:val="none"/>
                <w:lang w:val="en-US" w:eastAsia="zh-CN"/>
              </w:rPr>
              <w:t>%；</w:t>
            </w:r>
          </w:p>
          <w:p w14:paraId="6CFF5045">
            <w:pPr>
              <w:pStyle w:val="19"/>
              <w:rPr>
                <w:rFonts w:hint="eastAsia"/>
                <w:sz w:val="21"/>
                <w:szCs w:val="21"/>
                <w:highlight w:val="none"/>
                <w:lang w:val="en-US" w:eastAsia="zh-CN"/>
              </w:rPr>
            </w:pPr>
            <w:r>
              <w:rPr>
                <w:rFonts w:hint="eastAsia"/>
                <w:sz w:val="21"/>
                <w:szCs w:val="21"/>
                <w:highlight w:val="none"/>
                <w:lang w:val="en-US" w:eastAsia="zh-CN"/>
              </w:rPr>
              <w:t>（2）投标（响应）报价低于通过符合性审查的次低报价供应商投标（响应）报价</w:t>
            </w:r>
            <w:r>
              <w:rPr>
                <w:rFonts w:hint="eastAsia"/>
                <w:sz w:val="21"/>
                <w:szCs w:val="21"/>
                <w:highlight w:val="none"/>
                <w:u w:val="single"/>
                <w:lang w:val="en-US" w:eastAsia="zh-CN"/>
              </w:rPr>
              <w:t xml:space="preserve"> 65  </w:t>
            </w:r>
            <w:r>
              <w:rPr>
                <w:rFonts w:hint="eastAsia"/>
                <w:sz w:val="21"/>
                <w:szCs w:val="21"/>
                <w:highlight w:val="none"/>
                <w:lang w:val="en-US" w:eastAsia="zh-CN"/>
              </w:rPr>
              <w:t xml:space="preserve">  %的，即投标（响应）报价&lt;通过符合性审查的次低报价供应商投标（响应）报价×</w:t>
            </w:r>
            <w:r>
              <w:rPr>
                <w:rFonts w:hint="eastAsia"/>
                <w:sz w:val="21"/>
                <w:szCs w:val="21"/>
                <w:highlight w:val="none"/>
                <w:u w:val="single"/>
                <w:lang w:val="en-US" w:eastAsia="zh-CN"/>
              </w:rPr>
              <w:t xml:space="preserve"> 65  </w:t>
            </w:r>
            <w:r>
              <w:rPr>
                <w:rFonts w:hint="eastAsia"/>
                <w:sz w:val="21"/>
                <w:szCs w:val="21"/>
                <w:highlight w:val="none"/>
                <w:lang w:val="en-US" w:eastAsia="zh-CN"/>
              </w:rPr>
              <w:t>%；</w:t>
            </w:r>
          </w:p>
          <w:p w14:paraId="7858B2D7">
            <w:pPr>
              <w:pStyle w:val="19"/>
              <w:rPr>
                <w:rFonts w:hint="eastAsia"/>
                <w:sz w:val="21"/>
                <w:szCs w:val="21"/>
                <w:highlight w:val="none"/>
                <w:lang w:val="en-US" w:eastAsia="zh-CN"/>
              </w:rPr>
            </w:pPr>
            <w:r>
              <w:rPr>
                <w:rFonts w:hint="eastAsia"/>
                <w:sz w:val="21"/>
                <w:szCs w:val="21"/>
                <w:highlight w:val="none"/>
                <w:lang w:val="en-US" w:eastAsia="zh-CN"/>
              </w:rPr>
              <w:t>（3）投标（响应）报价低于采购项目最高限价</w:t>
            </w:r>
            <w:r>
              <w:rPr>
                <w:rFonts w:hint="eastAsia"/>
                <w:sz w:val="21"/>
                <w:szCs w:val="21"/>
                <w:highlight w:val="none"/>
                <w:u w:val="single"/>
                <w:lang w:val="en-US" w:eastAsia="zh-CN"/>
              </w:rPr>
              <w:t xml:space="preserve">65 </w:t>
            </w:r>
            <w:r>
              <w:rPr>
                <w:rFonts w:hint="eastAsia"/>
                <w:sz w:val="21"/>
                <w:szCs w:val="21"/>
                <w:highlight w:val="none"/>
                <w:lang w:val="en-US" w:eastAsia="zh-CN"/>
              </w:rPr>
              <w:t>%的，即投标（响应）报价&lt;采购项目最高限价×</w:t>
            </w:r>
            <w:r>
              <w:rPr>
                <w:rFonts w:hint="eastAsia"/>
                <w:sz w:val="21"/>
                <w:szCs w:val="21"/>
                <w:highlight w:val="none"/>
                <w:u w:val="single"/>
                <w:lang w:val="en-US" w:eastAsia="zh-CN"/>
              </w:rPr>
              <w:t xml:space="preserve"> 65 </w:t>
            </w:r>
            <w:r>
              <w:rPr>
                <w:rFonts w:hint="eastAsia"/>
                <w:sz w:val="21"/>
                <w:szCs w:val="21"/>
                <w:highlight w:val="none"/>
                <w:lang w:val="en-US" w:eastAsia="zh-CN"/>
              </w:rPr>
              <w:t>%；</w:t>
            </w:r>
          </w:p>
          <w:p w14:paraId="479A845A">
            <w:pPr>
              <w:pStyle w:val="19"/>
              <w:rPr>
                <w:rFonts w:hint="eastAsia"/>
                <w:color w:val="4472C4"/>
                <w:kern w:val="2"/>
                <w:sz w:val="22"/>
                <w:szCs w:val="22"/>
                <w:highlight w:val="none"/>
                <w:lang w:val="en-US" w:eastAsia="zh-CN" w:bidi="ar-SA"/>
              </w:rPr>
            </w:pPr>
            <w:r>
              <w:rPr>
                <w:rFonts w:hint="eastAsia"/>
                <w:sz w:val="21"/>
                <w:szCs w:val="21"/>
                <w:highlight w:val="none"/>
                <w:lang w:val="en-US" w:eastAsia="zh-CN"/>
              </w:rPr>
              <w:t>（4）评审委员会基于专业判断，认为供应商报价过低，有可能影响产品质量或者不能诚信履约的其他情形。</w:t>
            </w:r>
          </w:p>
        </w:tc>
      </w:tr>
      <w:tr w14:paraId="206C6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25ECBA09">
            <w:pPr>
              <w:spacing w:line="300" w:lineRule="exact"/>
              <w:jc w:val="center"/>
              <w:rPr>
                <w:b/>
                <w:szCs w:val="21"/>
                <w:highlight w:val="none"/>
              </w:rPr>
            </w:pPr>
            <w:r>
              <w:rPr>
                <w:b/>
                <w:szCs w:val="21"/>
                <w:highlight w:val="none"/>
              </w:rPr>
              <w:t>6.5.1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F4EDDA5">
            <w:pPr>
              <w:spacing w:line="300" w:lineRule="exact"/>
              <w:jc w:val="center"/>
              <w:rPr>
                <w:szCs w:val="21"/>
                <w:highlight w:val="none"/>
              </w:rPr>
            </w:pPr>
            <w:r>
              <w:rPr>
                <w:rFonts w:hint="eastAsia"/>
                <w:szCs w:val="21"/>
                <w:highlight w:val="none"/>
              </w:rPr>
              <w:t>结果</w:t>
            </w:r>
            <w:r>
              <w:rPr>
                <w:szCs w:val="21"/>
                <w:highlight w:val="none"/>
              </w:rPr>
              <w:t>公告</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7395091A">
            <w:pPr>
              <w:spacing w:line="300" w:lineRule="exact"/>
              <w:jc w:val="left"/>
              <w:rPr>
                <w:rFonts w:hint="eastAsia"/>
                <w:szCs w:val="21"/>
                <w:highlight w:val="none"/>
              </w:rPr>
            </w:pPr>
            <w:r>
              <w:rPr>
                <w:szCs w:val="21"/>
                <w:highlight w:val="none"/>
              </w:rPr>
              <w:t>采购代理机构在采购人依法确认</w:t>
            </w:r>
            <w:r>
              <w:rPr>
                <w:rFonts w:hint="eastAsia"/>
                <w:szCs w:val="21"/>
                <w:highlight w:val="none"/>
              </w:rPr>
              <w:t>成交供应商</w:t>
            </w:r>
            <w:r>
              <w:rPr>
                <w:szCs w:val="21"/>
                <w:highlight w:val="none"/>
              </w:rPr>
              <w:t>后2个工作日内在</w:t>
            </w:r>
            <w:r>
              <w:rPr>
                <w:rFonts w:hint="eastAsia"/>
                <w:szCs w:val="21"/>
                <w:highlight w:val="none"/>
              </w:rPr>
              <w:t>磋商</w:t>
            </w:r>
            <w:r>
              <w:rPr>
                <w:szCs w:val="21"/>
                <w:highlight w:val="none"/>
              </w:rPr>
              <w:t>公告发布的媒体上发布</w:t>
            </w:r>
            <w:r>
              <w:rPr>
                <w:rFonts w:hint="eastAsia"/>
                <w:szCs w:val="21"/>
                <w:highlight w:val="none"/>
              </w:rPr>
              <w:t>结果</w:t>
            </w:r>
            <w:r>
              <w:rPr>
                <w:szCs w:val="21"/>
                <w:highlight w:val="none"/>
              </w:rPr>
              <w:t>公告</w:t>
            </w:r>
            <w:r>
              <w:rPr>
                <w:rFonts w:hint="eastAsia"/>
                <w:szCs w:val="21"/>
                <w:highlight w:val="none"/>
              </w:rPr>
              <w:t>。</w:t>
            </w:r>
          </w:p>
        </w:tc>
      </w:tr>
      <w:tr w14:paraId="4AB941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09607485">
            <w:pPr>
              <w:spacing w:line="300" w:lineRule="exact"/>
              <w:jc w:val="center"/>
              <w:rPr>
                <w:b/>
                <w:szCs w:val="21"/>
                <w:highlight w:val="none"/>
              </w:rPr>
            </w:pPr>
            <w:r>
              <w:rPr>
                <w:b/>
                <w:szCs w:val="21"/>
                <w:highlight w:val="none"/>
              </w:rPr>
              <w:t>6.5.2</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5A8F2EB">
            <w:pPr>
              <w:spacing w:line="300" w:lineRule="exact"/>
              <w:jc w:val="center"/>
              <w:rPr>
                <w:szCs w:val="21"/>
                <w:highlight w:val="none"/>
              </w:rPr>
            </w:pPr>
            <w:r>
              <w:rPr>
                <w:szCs w:val="21"/>
                <w:highlight w:val="none"/>
              </w:rPr>
              <w:t>成交通知书</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6CEA96A1">
            <w:pPr>
              <w:spacing w:line="300" w:lineRule="exact"/>
              <w:jc w:val="left"/>
              <w:rPr>
                <w:color w:val="auto"/>
                <w:szCs w:val="21"/>
                <w:highlight w:val="none"/>
              </w:rPr>
            </w:pPr>
            <w:r>
              <w:rPr>
                <w:rFonts w:hint="eastAsia"/>
                <w:color w:val="auto"/>
                <w:szCs w:val="21"/>
                <w:highlight w:val="none"/>
              </w:rPr>
              <w:t>采购代理机构通过广西政府采购云平台发出</w:t>
            </w:r>
            <w:r>
              <w:rPr>
                <w:color w:val="auto"/>
                <w:szCs w:val="21"/>
                <w:highlight w:val="none"/>
              </w:rPr>
              <w:t>成交通知书。</w:t>
            </w:r>
          </w:p>
          <w:p w14:paraId="509CB14A">
            <w:pPr>
              <w:spacing w:line="300" w:lineRule="exact"/>
              <w:jc w:val="left"/>
              <w:rPr>
                <w:rFonts w:hint="eastAsia"/>
                <w:color w:val="auto"/>
                <w:szCs w:val="21"/>
                <w:highlight w:val="none"/>
              </w:rPr>
            </w:pPr>
            <w:r>
              <w:rPr>
                <w:rFonts w:hint="eastAsia"/>
                <w:color w:val="auto"/>
                <w:szCs w:val="21"/>
                <w:highlight w:val="none"/>
              </w:rPr>
              <w:t>成交通知书在广西政府采购云平台推送之日起，视为成交供应商已收到，成交供应商自行承担未及时查收的后果。</w:t>
            </w:r>
          </w:p>
        </w:tc>
      </w:tr>
      <w:tr w14:paraId="4A9BB8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46411077">
            <w:pPr>
              <w:spacing w:line="300" w:lineRule="exact"/>
              <w:jc w:val="center"/>
              <w:rPr>
                <w:b/>
                <w:szCs w:val="21"/>
                <w:highlight w:val="none"/>
              </w:rPr>
            </w:pPr>
            <w:r>
              <w:rPr>
                <w:rFonts w:hint="eastAsia"/>
                <w:b/>
                <w:szCs w:val="21"/>
                <w:highlight w:val="none"/>
              </w:rPr>
              <w:t>7</w:t>
            </w:r>
            <w:r>
              <w:rPr>
                <w:b/>
                <w:szCs w:val="21"/>
                <w:highlight w:val="none"/>
              </w:rPr>
              <w:t>.2</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EA367E2">
            <w:pPr>
              <w:spacing w:line="300" w:lineRule="exact"/>
              <w:jc w:val="center"/>
              <w:rPr>
                <w:szCs w:val="21"/>
                <w:highlight w:val="none"/>
              </w:rPr>
            </w:pPr>
            <w:r>
              <w:rPr>
                <w:rFonts w:hint="eastAsia"/>
                <w:szCs w:val="21"/>
                <w:highlight w:val="none"/>
              </w:rPr>
              <w:t>合同签订</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4F9E8245">
            <w:pPr>
              <w:rPr>
                <w:color w:val="auto"/>
                <w:szCs w:val="21"/>
                <w:highlight w:val="none"/>
              </w:rPr>
            </w:pPr>
            <w:r>
              <w:rPr>
                <w:rFonts w:hint="eastAsia"/>
                <w:color w:val="auto"/>
                <w:szCs w:val="21"/>
                <w:highlight w:val="none"/>
              </w:rPr>
              <w:t>采购人应当自成交通知书发出之日起</w:t>
            </w:r>
            <w:r>
              <w:rPr>
                <w:rFonts w:hint="eastAsia"/>
                <w:color w:val="auto"/>
                <w:szCs w:val="21"/>
                <w:highlight w:val="none"/>
                <w:lang w:val="en-US" w:eastAsia="zh-CN"/>
              </w:rPr>
              <w:t>25</w:t>
            </w:r>
            <w:r>
              <w:rPr>
                <w:rFonts w:hint="eastAsia"/>
                <w:color w:val="auto"/>
                <w:szCs w:val="21"/>
                <w:highlight w:val="none"/>
              </w:rPr>
              <w:t>日内，按照采购文件和</w:t>
            </w:r>
            <w:r>
              <w:rPr>
                <w:color w:val="auto"/>
                <w:szCs w:val="21"/>
                <w:highlight w:val="none"/>
              </w:rPr>
              <w:t>成交供应商</w:t>
            </w:r>
            <w:r>
              <w:rPr>
                <w:rFonts w:hint="eastAsia"/>
                <w:color w:val="auto"/>
                <w:szCs w:val="21"/>
                <w:highlight w:val="none"/>
              </w:rPr>
              <w:t>响应文件的规定，与</w:t>
            </w:r>
            <w:r>
              <w:rPr>
                <w:color w:val="auto"/>
                <w:szCs w:val="21"/>
                <w:highlight w:val="none"/>
              </w:rPr>
              <w:t>成交供应商</w:t>
            </w:r>
            <w:r>
              <w:rPr>
                <w:rFonts w:hint="eastAsia"/>
                <w:color w:val="auto"/>
                <w:szCs w:val="21"/>
                <w:highlight w:val="none"/>
              </w:rPr>
              <w:t>签订书面合同。</w:t>
            </w:r>
          </w:p>
        </w:tc>
      </w:tr>
      <w:tr w14:paraId="308F6B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354" w:type="dxa"/>
            <w:tcBorders>
              <w:top w:val="single" w:color="auto" w:sz="4" w:space="0"/>
              <w:left w:val="single" w:color="auto" w:sz="4" w:space="0"/>
              <w:bottom w:val="single" w:color="auto" w:sz="4" w:space="0"/>
              <w:right w:val="single" w:color="auto" w:sz="4" w:space="0"/>
            </w:tcBorders>
            <w:noWrap w:val="0"/>
            <w:vAlign w:val="center"/>
          </w:tcPr>
          <w:p w14:paraId="7D56CB95">
            <w:pPr>
              <w:spacing w:line="300" w:lineRule="exact"/>
              <w:jc w:val="center"/>
              <w:rPr>
                <w:b/>
                <w:szCs w:val="21"/>
                <w:highlight w:val="none"/>
              </w:rPr>
            </w:pPr>
            <w:r>
              <w:rPr>
                <w:b/>
                <w:szCs w:val="21"/>
                <w:highlight w:val="none"/>
              </w:rPr>
              <w:t>8.1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7B38E53">
            <w:pPr>
              <w:spacing w:line="300" w:lineRule="exact"/>
              <w:jc w:val="center"/>
              <w:rPr>
                <w:szCs w:val="21"/>
                <w:highlight w:val="none"/>
              </w:rPr>
            </w:pPr>
            <w:r>
              <w:rPr>
                <w:rFonts w:hint="eastAsia"/>
                <w:szCs w:val="21"/>
                <w:highlight w:val="none"/>
              </w:rPr>
              <w:t>质疑</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540DA400">
            <w:pPr>
              <w:spacing w:line="300" w:lineRule="exact"/>
              <w:jc w:val="left"/>
              <w:rPr>
                <w:szCs w:val="21"/>
                <w:highlight w:val="none"/>
              </w:rPr>
            </w:pPr>
            <w:r>
              <w:rPr>
                <w:rFonts w:hint="eastAsia"/>
                <w:szCs w:val="21"/>
                <w:highlight w:val="none"/>
              </w:rPr>
              <w:t>（1）供应商</w:t>
            </w:r>
            <w:r>
              <w:rPr>
                <w:szCs w:val="21"/>
                <w:highlight w:val="none"/>
              </w:rPr>
              <w:t>认为</w:t>
            </w:r>
            <w:r>
              <w:rPr>
                <w:rFonts w:hint="eastAsia"/>
                <w:szCs w:val="21"/>
                <w:highlight w:val="none"/>
              </w:rPr>
              <w:t>采购文件</w:t>
            </w:r>
            <w:r>
              <w:rPr>
                <w:szCs w:val="21"/>
                <w:highlight w:val="none"/>
              </w:rPr>
              <w:t>、</w:t>
            </w:r>
            <w:r>
              <w:rPr>
                <w:rFonts w:hint="eastAsia"/>
                <w:szCs w:val="21"/>
                <w:highlight w:val="none"/>
              </w:rPr>
              <w:t>采购</w:t>
            </w:r>
            <w:r>
              <w:rPr>
                <w:szCs w:val="21"/>
                <w:highlight w:val="none"/>
              </w:rPr>
              <w:t>过程、中标</w:t>
            </w:r>
            <w:r>
              <w:rPr>
                <w:rFonts w:hint="eastAsia"/>
                <w:szCs w:val="21"/>
                <w:highlight w:val="none"/>
              </w:rPr>
              <w:t>或者成交</w:t>
            </w:r>
            <w:r>
              <w:rPr>
                <w:szCs w:val="21"/>
                <w:highlight w:val="none"/>
              </w:rPr>
              <w:t>结果使自己的权益受到损害的，可以在知道或者应知其权益受到损害之日起7个工作日内，</w:t>
            </w:r>
            <w:r>
              <w:rPr>
                <w:rFonts w:hint="eastAsia"/>
                <w:szCs w:val="21"/>
                <w:highlight w:val="none"/>
              </w:rPr>
              <w:t>通过以下方式</w:t>
            </w:r>
            <w:r>
              <w:rPr>
                <w:szCs w:val="21"/>
                <w:highlight w:val="none"/>
              </w:rPr>
              <w:t>向采购人、采购代理机构提出质疑。提出质疑的</w:t>
            </w:r>
            <w:r>
              <w:rPr>
                <w:rFonts w:hint="eastAsia"/>
                <w:szCs w:val="21"/>
                <w:highlight w:val="none"/>
              </w:rPr>
              <w:t>供应商</w:t>
            </w:r>
            <w:r>
              <w:rPr>
                <w:szCs w:val="21"/>
                <w:highlight w:val="none"/>
              </w:rPr>
              <w:t>必须是参与本项目采购活动的供应商</w:t>
            </w:r>
            <w:r>
              <w:rPr>
                <w:rFonts w:hint="eastAsia"/>
                <w:szCs w:val="21"/>
                <w:highlight w:val="none"/>
              </w:rPr>
              <w:t>，并须在</w:t>
            </w:r>
            <w:r>
              <w:rPr>
                <w:szCs w:val="21"/>
                <w:highlight w:val="none"/>
              </w:rPr>
              <w:t>法定质疑期内一次性提出针对同一采购程序环节的质疑。质疑函应使用财政部发布的</w:t>
            </w:r>
            <w:r>
              <w:rPr>
                <w:rFonts w:hint="eastAsia"/>
                <w:szCs w:val="21"/>
                <w:highlight w:val="none"/>
              </w:rPr>
              <w:t>政府采购供应商质疑函范本，并应按照“质疑函制作说明”进行制作。</w:t>
            </w:r>
          </w:p>
          <w:p w14:paraId="09DA78E9">
            <w:pPr>
              <w:spacing w:line="300" w:lineRule="exact"/>
              <w:jc w:val="left"/>
              <w:rPr>
                <w:szCs w:val="21"/>
                <w:highlight w:val="none"/>
              </w:rPr>
            </w:pPr>
            <w:r>
              <w:rPr>
                <w:rFonts w:hint="eastAsia"/>
                <w:szCs w:val="21"/>
                <w:highlight w:val="none"/>
              </w:rPr>
              <w:t>（2）本项目不接受传真、移动通信、广西政府采购云平台等方式送达的质疑材料，供应商可通过现场或邮寄方式递交书面质疑材料。供应商应于质疑有效期内将质疑函原件递交或邮寄至磋商公告中采购代理机构信息中的联系人。</w:t>
            </w:r>
          </w:p>
        </w:tc>
      </w:tr>
      <w:tr w14:paraId="059E37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71D38B77">
            <w:pPr>
              <w:spacing w:line="300" w:lineRule="exact"/>
              <w:jc w:val="center"/>
              <w:rPr>
                <w:szCs w:val="21"/>
                <w:highlight w:val="none"/>
              </w:rPr>
            </w:pPr>
            <w:r>
              <w:rPr>
                <w:b/>
                <w:szCs w:val="21"/>
                <w:highlight w:val="none"/>
              </w:rPr>
              <w:t>9.1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0ABA5E11">
            <w:pPr>
              <w:spacing w:line="300" w:lineRule="exact"/>
              <w:jc w:val="center"/>
              <w:rPr>
                <w:rFonts w:hint="eastAsia"/>
                <w:szCs w:val="21"/>
                <w:highlight w:val="none"/>
              </w:rPr>
            </w:pPr>
            <w:r>
              <w:rPr>
                <w:szCs w:val="20"/>
                <w:highlight w:val="none"/>
              </w:rPr>
              <w:t>代理服务费</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6925A287">
            <w:pPr>
              <w:rPr>
                <w:rFonts w:hint="eastAsia"/>
                <w:szCs w:val="21"/>
                <w:highlight w:val="none"/>
              </w:rPr>
            </w:pPr>
            <w:r>
              <w:rPr>
                <w:szCs w:val="21"/>
                <w:highlight w:val="none"/>
              </w:rPr>
              <w:t>（1）</w:t>
            </w:r>
            <w:r>
              <w:rPr>
                <w:rFonts w:hint="eastAsia"/>
                <w:szCs w:val="21"/>
                <w:highlight w:val="none"/>
              </w:rPr>
              <w:t>代理服务费</w:t>
            </w:r>
          </w:p>
          <w:p w14:paraId="6AA45DC1">
            <w:pPr>
              <w:spacing w:line="300" w:lineRule="exact"/>
              <w:jc w:val="left"/>
              <w:rPr>
                <w:szCs w:val="21"/>
                <w:highlight w:val="none"/>
              </w:rPr>
            </w:pPr>
            <w:r>
              <w:rPr>
                <w:szCs w:val="21"/>
                <w:highlight w:val="none"/>
              </w:rPr>
              <w:sym w:font="Wingdings 2" w:char="F052"/>
            </w:r>
            <w:r>
              <w:rPr>
                <w:szCs w:val="21"/>
                <w:highlight w:val="none"/>
              </w:rPr>
              <w:t>采购代理机构向</w:t>
            </w:r>
            <w:r>
              <w:rPr>
                <w:rFonts w:hint="eastAsia"/>
                <w:szCs w:val="21"/>
                <w:highlight w:val="none"/>
              </w:rPr>
              <w:t>成交供应商</w:t>
            </w:r>
            <w:r>
              <w:rPr>
                <w:szCs w:val="21"/>
                <w:highlight w:val="none"/>
              </w:rPr>
              <w:t>收取代理服务费。本项目代理服务费</w:t>
            </w:r>
            <w:r>
              <w:rPr>
                <w:rFonts w:hint="eastAsia"/>
                <w:szCs w:val="21"/>
                <w:highlight w:val="none"/>
              </w:rPr>
              <w:t>按照</w:t>
            </w:r>
            <w:r>
              <w:rPr>
                <w:szCs w:val="21"/>
                <w:highlight w:val="none"/>
              </w:rPr>
              <w:t>《招标代理服务费管理暂行办法》 (计价格﹝2002﹞1980号)、《国家发展改革委关于降低部分建设项目收费标准规范收费行为等有关问题的通知》(发改价格﹝2011﹞534号)</w:t>
            </w:r>
            <w:r>
              <w:rPr>
                <w:rFonts w:hint="eastAsia"/>
                <w:szCs w:val="21"/>
                <w:highlight w:val="none"/>
              </w:rPr>
              <w:t>的</w:t>
            </w:r>
            <w:r>
              <w:rPr>
                <w:szCs w:val="21"/>
                <w:highlight w:val="none"/>
              </w:rPr>
              <w:t>规定</w:t>
            </w:r>
            <w:r>
              <w:rPr>
                <w:rFonts w:hint="eastAsia"/>
                <w:szCs w:val="21"/>
                <w:highlight w:val="none"/>
              </w:rPr>
              <w:t>采用</w:t>
            </w:r>
            <w:r>
              <w:rPr>
                <w:szCs w:val="21"/>
                <w:highlight w:val="none"/>
              </w:rPr>
              <w:t>差额定率累进</w:t>
            </w:r>
            <w:r>
              <w:rPr>
                <w:rFonts w:hint="eastAsia"/>
                <w:szCs w:val="21"/>
                <w:highlight w:val="none"/>
              </w:rPr>
              <w:t>法</w:t>
            </w:r>
            <w:r>
              <w:rPr>
                <w:szCs w:val="21"/>
                <w:highlight w:val="none"/>
              </w:rPr>
              <w:t>计算</w:t>
            </w:r>
            <w:r>
              <w:rPr>
                <w:rFonts w:hint="eastAsia"/>
                <w:szCs w:val="21"/>
                <w:highlight w:val="none"/>
              </w:rPr>
              <w:t>。</w:t>
            </w:r>
            <w:r>
              <w:rPr>
                <w:szCs w:val="21"/>
                <w:highlight w:val="none"/>
              </w:rPr>
              <w:t>具体费率</w:t>
            </w:r>
            <w:r>
              <w:rPr>
                <w:rFonts w:hint="eastAsia"/>
                <w:szCs w:val="21"/>
                <w:highlight w:val="none"/>
              </w:rPr>
              <w:t>如下：</w:t>
            </w:r>
          </w:p>
          <w:p w14:paraId="617AC9C7">
            <w:pPr>
              <w:spacing w:line="300" w:lineRule="exact"/>
              <w:jc w:val="left"/>
              <w:rPr>
                <w:szCs w:val="21"/>
                <w:highlight w:val="none"/>
              </w:rPr>
            </w:pPr>
            <w:r>
              <w:rPr>
                <w:rFonts w:hint="eastAsia"/>
                <w:szCs w:val="21"/>
                <w:highlight w:val="none"/>
              </w:rPr>
              <w:t>①成交金额在1</w:t>
            </w:r>
            <w:r>
              <w:rPr>
                <w:szCs w:val="21"/>
                <w:highlight w:val="none"/>
              </w:rPr>
              <w:t>00</w:t>
            </w:r>
            <w:r>
              <w:rPr>
                <w:rFonts w:hint="eastAsia"/>
                <w:szCs w:val="21"/>
                <w:highlight w:val="none"/>
              </w:rPr>
              <w:t>万元以下的：</w:t>
            </w:r>
          </w:p>
          <w:p w14:paraId="6084F50E">
            <w:pPr>
              <w:spacing w:line="300" w:lineRule="exact"/>
              <w:jc w:val="left"/>
              <w:rPr>
                <w:szCs w:val="21"/>
                <w:highlight w:val="none"/>
              </w:rPr>
            </w:pPr>
            <w:r>
              <w:rPr>
                <w:rFonts w:hint="eastAsia"/>
                <w:szCs w:val="21"/>
                <w:highlight w:val="none"/>
              </w:rPr>
              <w:t>货物</w:t>
            </w:r>
            <w:r>
              <w:rPr>
                <w:szCs w:val="21"/>
                <w:highlight w:val="none"/>
              </w:rPr>
              <w:t>1.5％</w:t>
            </w:r>
            <w:r>
              <w:rPr>
                <w:rFonts w:hint="eastAsia"/>
                <w:szCs w:val="21"/>
                <w:highlight w:val="none"/>
              </w:rPr>
              <w:t>；</w:t>
            </w:r>
            <w:r>
              <w:rPr>
                <w:szCs w:val="21"/>
                <w:highlight w:val="none"/>
              </w:rPr>
              <w:t>服务招标1.5％</w:t>
            </w:r>
            <w:r>
              <w:rPr>
                <w:rFonts w:hint="eastAsia"/>
                <w:szCs w:val="21"/>
                <w:highlight w:val="none"/>
              </w:rPr>
              <w:t>；</w:t>
            </w:r>
            <w:r>
              <w:rPr>
                <w:szCs w:val="21"/>
                <w:highlight w:val="none"/>
              </w:rPr>
              <w:t>工程招标1.0％</w:t>
            </w:r>
            <w:r>
              <w:rPr>
                <w:rFonts w:hint="eastAsia"/>
                <w:szCs w:val="21"/>
                <w:highlight w:val="none"/>
              </w:rPr>
              <w:t>；</w:t>
            </w:r>
          </w:p>
          <w:p w14:paraId="62F5138C">
            <w:pPr>
              <w:spacing w:line="300" w:lineRule="exact"/>
              <w:jc w:val="left"/>
              <w:rPr>
                <w:szCs w:val="21"/>
                <w:highlight w:val="none"/>
              </w:rPr>
            </w:pPr>
            <w:r>
              <w:rPr>
                <w:rFonts w:hint="eastAsia"/>
                <w:szCs w:val="21"/>
                <w:highlight w:val="none"/>
              </w:rPr>
              <w:t>②成交金额在</w:t>
            </w:r>
            <w:r>
              <w:rPr>
                <w:szCs w:val="21"/>
                <w:highlight w:val="none"/>
              </w:rPr>
              <w:t>100-500</w:t>
            </w:r>
            <w:r>
              <w:rPr>
                <w:rFonts w:hint="eastAsia"/>
                <w:szCs w:val="21"/>
                <w:highlight w:val="none"/>
              </w:rPr>
              <w:t>万元之间：</w:t>
            </w:r>
          </w:p>
          <w:p w14:paraId="39D35D14">
            <w:pPr>
              <w:spacing w:line="300" w:lineRule="exact"/>
              <w:jc w:val="left"/>
              <w:rPr>
                <w:szCs w:val="21"/>
                <w:highlight w:val="none"/>
              </w:rPr>
            </w:pPr>
            <w:r>
              <w:rPr>
                <w:rFonts w:hint="eastAsia"/>
                <w:szCs w:val="21"/>
                <w:highlight w:val="none"/>
              </w:rPr>
              <w:t>货物</w:t>
            </w:r>
            <w:r>
              <w:rPr>
                <w:szCs w:val="21"/>
                <w:highlight w:val="none"/>
              </w:rPr>
              <w:t>1.1％</w:t>
            </w:r>
            <w:r>
              <w:rPr>
                <w:rFonts w:hint="eastAsia"/>
                <w:szCs w:val="21"/>
                <w:highlight w:val="none"/>
              </w:rPr>
              <w:t>；</w:t>
            </w:r>
            <w:r>
              <w:rPr>
                <w:szCs w:val="21"/>
                <w:highlight w:val="none"/>
              </w:rPr>
              <w:t>服务招标0.8％</w:t>
            </w:r>
            <w:r>
              <w:rPr>
                <w:rFonts w:hint="eastAsia"/>
                <w:szCs w:val="21"/>
                <w:highlight w:val="none"/>
              </w:rPr>
              <w:t>；</w:t>
            </w:r>
            <w:r>
              <w:rPr>
                <w:szCs w:val="21"/>
                <w:highlight w:val="none"/>
              </w:rPr>
              <w:t>工程招标0.7％</w:t>
            </w:r>
            <w:r>
              <w:rPr>
                <w:rFonts w:hint="eastAsia"/>
                <w:szCs w:val="21"/>
                <w:highlight w:val="none"/>
              </w:rPr>
              <w:t>；</w:t>
            </w:r>
          </w:p>
          <w:p w14:paraId="5685EB7F">
            <w:pPr>
              <w:spacing w:line="300" w:lineRule="exact"/>
              <w:jc w:val="left"/>
              <w:rPr>
                <w:szCs w:val="21"/>
                <w:highlight w:val="none"/>
              </w:rPr>
            </w:pPr>
            <w:r>
              <w:rPr>
                <w:rFonts w:hint="eastAsia"/>
                <w:szCs w:val="21"/>
                <w:highlight w:val="none"/>
              </w:rPr>
              <w:t>③成交金额在</w:t>
            </w:r>
            <w:r>
              <w:rPr>
                <w:szCs w:val="21"/>
                <w:highlight w:val="none"/>
              </w:rPr>
              <w:t>5</w:t>
            </w:r>
            <w:r>
              <w:rPr>
                <w:rFonts w:hint="eastAsia"/>
                <w:szCs w:val="21"/>
                <w:highlight w:val="none"/>
              </w:rPr>
              <w:t>0</w:t>
            </w:r>
            <w:r>
              <w:rPr>
                <w:szCs w:val="21"/>
                <w:highlight w:val="none"/>
              </w:rPr>
              <w:t>0-1</w:t>
            </w:r>
            <w:r>
              <w:rPr>
                <w:rFonts w:hint="eastAsia"/>
                <w:szCs w:val="21"/>
                <w:highlight w:val="none"/>
              </w:rPr>
              <w:t>00</w:t>
            </w:r>
            <w:r>
              <w:rPr>
                <w:szCs w:val="21"/>
                <w:highlight w:val="none"/>
              </w:rPr>
              <w:t>0</w:t>
            </w:r>
            <w:r>
              <w:rPr>
                <w:rFonts w:hint="eastAsia"/>
                <w:szCs w:val="21"/>
                <w:highlight w:val="none"/>
              </w:rPr>
              <w:t>万元之间：</w:t>
            </w:r>
          </w:p>
          <w:p w14:paraId="746BEAE8">
            <w:pPr>
              <w:spacing w:line="300" w:lineRule="exact"/>
              <w:jc w:val="left"/>
              <w:rPr>
                <w:szCs w:val="21"/>
                <w:highlight w:val="none"/>
              </w:rPr>
            </w:pPr>
            <w:r>
              <w:rPr>
                <w:rFonts w:hint="eastAsia"/>
                <w:szCs w:val="21"/>
                <w:highlight w:val="none"/>
              </w:rPr>
              <w:t>货物</w:t>
            </w:r>
            <w:r>
              <w:rPr>
                <w:szCs w:val="21"/>
                <w:highlight w:val="none"/>
              </w:rPr>
              <w:t>0.8％</w:t>
            </w:r>
            <w:r>
              <w:rPr>
                <w:rFonts w:hint="eastAsia"/>
                <w:szCs w:val="21"/>
                <w:highlight w:val="none"/>
              </w:rPr>
              <w:t>；</w:t>
            </w:r>
            <w:r>
              <w:rPr>
                <w:szCs w:val="21"/>
                <w:highlight w:val="none"/>
              </w:rPr>
              <w:t>服务招标0.45％</w:t>
            </w:r>
            <w:r>
              <w:rPr>
                <w:rFonts w:hint="eastAsia"/>
                <w:szCs w:val="21"/>
                <w:highlight w:val="none"/>
              </w:rPr>
              <w:t>；</w:t>
            </w:r>
            <w:r>
              <w:rPr>
                <w:szCs w:val="21"/>
                <w:highlight w:val="none"/>
              </w:rPr>
              <w:t>工程招标0.55％</w:t>
            </w:r>
            <w:r>
              <w:rPr>
                <w:rFonts w:hint="eastAsia"/>
                <w:szCs w:val="21"/>
                <w:highlight w:val="none"/>
              </w:rPr>
              <w:t>；</w:t>
            </w:r>
          </w:p>
          <w:p w14:paraId="39E0D249">
            <w:pPr>
              <w:spacing w:line="300" w:lineRule="exact"/>
              <w:jc w:val="left"/>
              <w:rPr>
                <w:szCs w:val="21"/>
                <w:highlight w:val="none"/>
              </w:rPr>
            </w:pPr>
            <w:r>
              <w:rPr>
                <w:rFonts w:hint="eastAsia"/>
                <w:szCs w:val="21"/>
                <w:highlight w:val="none"/>
              </w:rPr>
              <w:t>④成交金额在</w:t>
            </w:r>
            <w:r>
              <w:rPr>
                <w:szCs w:val="21"/>
                <w:highlight w:val="none"/>
              </w:rPr>
              <w:t>1000-5000</w:t>
            </w:r>
            <w:r>
              <w:rPr>
                <w:rFonts w:hint="eastAsia"/>
                <w:szCs w:val="21"/>
                <w:highlight w:val="none"/>
              </w:rPr>
              <w:t>万元之间：</w:t>
            </w:r>
          </w:p>
          <w:p w14:paraId="4673E122">
            <w:pPr>
              <w:spacing w:line="300" w:lineRule="exact"/>
              <w:jc w:val="left"/>
              <w:rPr>
                <w:szCs w:val="21"/>
                <w:highlight w:val="none"/>
              </w:rPr>
            </w:pPr>
            <w:r>
              <w:rPr>
                <w:rFonts w:hint="eastAsia"/>
                <w:szCs w:val="21"/>
                <w:highlight w:val="none"/>
              </w:rPr>
              <w:t>货物</w:t>
            </w:r>
            <w:r>
              <w:rPr>
                <w:szCs w:val="21"/>
                <w:highlight w:val="none"/>
              </w:rPr>
              <w:t>0.5％</w:t>
            </w:r>
            <w:r>
              <w:rPr>
                <w:rFonts w:hint="eastAsia"/>
                <w:szCs w:val="21"/>
                <w:highlight w:val="none"/>
              </w:rPr>
              <w:t>；</w:t>
            </w:r>
            <w:r>
              <w:rPr>
                <w:szCs w:val="21"/>
                <w:highlight w:val="none"/>
              </w:rPr>
              <w:t>服务招标0.25％</w:t>
            </w:r>
            <w:r>
              <w:rPr>
                <w:rFonts w:hint="eastAsia"/>
                <w:szCs w:val="21"/>
                <w:highlight w:val="none"/>
              </w:rPr>
              <w:t>；</w:t>
            </w:r>
            <w:r>
              <w:rPr>
                <w:szCs w:val="21"/>
                <w:highlight w:val="none"/>
              </w:rPr>
              <w:t>工程招标0.35％</w:t>
            </w:r>
            <w:r>
              <w:rPr>
                <w:rFonts w:hint="eastAsia"/>
                <w:szCs w:val="21"/>
                <w:highlight w:val="none"/>
              </w:rPr>
              <w:t>；</w:t>
            </w:r>
          </w:p>
          <w:p w14:paraId="54D8D337">
            <w:pPr>
              <w:spacing w:line="300" w:lineRule="exact"/>
              <w:jc w:val="left"/>
              <w:rPr>
                <w:szCs w:val="21"/>
                <w:highlight w:val="none"/>
              </w:rPr>
            </w:pPr>
            <w:r>
              <w:rPr>
                <w:rFonts w:hint="eastAsia"/>
                <w:szCs w:val="21"/>
                <w:highlight w:val="none"/>
              </w:rPr>
              <w:t>……</w:t>
            </w:r>
          </w:p>
          <w:p w14:paraId="3FEE04FC">
            <w:pPr>
              <w:spacing w:line="300" w:lineRule="exact"/>
              <w:jc w:val="left"/>
              <w:rPr>
                <w:rFonts w:hint="eastAsia"/>
                <w:szCs w:val="21"/>
                <w:highlight w:val="none"/>
              </w:rPr>
            </w:pPr>
            <w:r>
              <w:rPr>
                <w:szCs w:val="21"/>
                <w:highlight w:val="none"/>
              </w:rPr>
              <w:t>差额定率累进</w:t>
            </w:r>
            <w:r>
              <w:rPr>
                <w:rFonts w:hint="eastAsia"/>
                <w:szCs w:val="21"/>
                <w:highlight w:val="none"/>
              </w:rPr>
              <w:t>法</w:t>
            </w:r>
            <w:r>
              <w:rPr>
                <w:szCs w:val="21"/>
                <w:highlight w:val="none"/>
              </w:rPr>
              <w:t>计算</w:t>
            </w:r>
            <w:r>
              <w:rPr>
                <w:rFonts w:hint="eastAsia"/>
                <w:szCs w:val="21"/>
                <w:highlight w:val="none"/>
              </w:rPr>
              <w:t>过程示例：</w:t>
            </w:r>
          </w:p>
          <w:p w14:paraId="0F4E6D40">
            <w:pPr>
              <w:spacing w:line="360" w:lineRule="exact"/>
              <w:rPr>
                <w:kern w:val="0"/>
                <w:szCs w:val="21"/>
                <w:highlight w:val="none"/>
              </w:rPr>
            </w:pPr>
            <w:r>
              <w:rPr>
                <w:kern w:val="0"/>
                <w:szCs w:val="21"/>
                <w:highlight w:val="none"/>
              </w:rPr>
              <w:t>例如：某工程代理业务成交金额为</w:t>
            </w:r>
            <w:r>
              <w:rPr>
                <w:rFonts w:hint="eastAsia"/>
                <w:kern w:val="0"/>
                <w:szCs w:val="21"/>
                <w:highlight w:val="none"/>
                <w:lang w:val="en-US" w:eastAsia="zh-CN"/>
              </w:rPr>
              <w:t>2</w:t>
            </w:r>
            <w:r>
              <w:rPr>
                <w:kern w:val="0"/>
                <w:szCs w:val="21"/>
                <w:highlight w:val="none"/>
              </w:rPr>
              <w:t>00万元，代理服务费金额按如下计算：</w:t>
            </w:r>
          </w:p>
          <w:p w14:paraId="0D61FD69">
            <w:pPr>
              <w:spacing w:line="300" w:lineRule="exact"/>
              <w:jc w:val="left"/>
              <w:rPr>
                <w:szCs w:val="21"/>
                <w:highlight w:val="none"/>
              </w:rPr>
            </w:pPr>
            <w:r>
              <w:rPr>
                <w:szCs w:val="21"/>
                <w:highlight w:val="none"/>
              </w:rPr>
              <w:t>100万元×1.0%＝1万元</w:t>
            </w:r>
          </w:p>
          <w:p w14:paraId="7FFDC586">
            <w:pPr>
              <w:spacing w:line="300" w:lineRule="exact"/>
              <w:jc w:val="left"/>
              <w:rPr>
                <w:szCs w:val="21"/>
                <w:highlight w:val="none"/>
              </w:rPr>
            </w:pPr>
            <w:r>
              <w:rPr>
                <w:szCs w:val="21"/>
                <w:highlight w:val="none"/>
              </w:rPr>
              <w:t>（</w:t>
            </w:r>
            <w:r>
              <w:rPr>
                <w:rFonts w:hint="eastAsia"/>
                <w:szCs w:val="21"/>
                <w:highlight w:val="none"/>
                <w:lang w:val="en-US" w:eastAsia="zh-CN"/>
              </w:rPr>
              <w:t>2</w:t>
            </w:r>
            <w:r>
              <w:rPr>
                <w:szCs w:val="21"/>
                <w:highlight w:val="none"/>
              </w:rPr>
              <w:t>00－100）万元×0.7%＝</w:t>
            </w:r>
            <w:r>
              <w:rPr>
                <w:rFonts w:hint="eastAsia"/>
                <w:szCs w:val="21"/>
                <w:highlight w:val="none"/>
                <w:lang w:val="en-US" w:eastAsia="zh-CN"/>
              </w:rPr>
              <w:t>0.7</w:t>
            </w:r>
            <w:r>
              <w:rPr>
                <w:szCs w:val="21"/>
                <w:highlight w:val="none"/>
              </w:rPr>
              <w:t>万元</w:t>
            </w:r>
          </w:p>
          <w:p w14:paraId="683A7522">
            <w:pPr>
              <w:spacing w:line="300" w:lineRule="exact"/>
              <w:jc w:val="left"/>
              <w:rPr>
                <w:szCs w:val="21"/>
                <w:highlight w:val="none"/>
              </w:rPr>
            </w:pPr>
            <w:r>
              <w:rPr>
                <w:szCs w:val="21"/>
                <w:highlight w:val="none"/>
              </w:rPr>
              <w:t>合计收费＝</w:t>
            </w:r>
            <w:r>
              <w:rPr>
                <w:rFonts w:hint="eastAsia"/>
                <w:szCs w:val="21"/>
                <w:highlight w:val="none"/>
                <w:lang w:eastAsia="zh-CN"/>
              </w:rPr>
              <w:t>（</w:t>
            </w:r>
            <w:r>
              <w:rPr>
                <w:szCs w:val="21"/>
                <w:highlight w:val="none"/>
              </w:rPr>
              <w:t>1.0＋</w:t>
            </w:r>
            <w:r>
              <w:rPr>
                <w:rFonts w:hint="eastAsia"/>
                <w:szCs w:val="21"/>
                <w:highlight w:val="none"/>
                <w:lang w:val="en-US" w:eastAsia="zh-CN"/>
              </w:rPr>
              <w:t>0.7）</w:t>
            </w:r>
            <w:r>
              <w:rPr>
                <w:szCs w:val="21"/>
                <w:highlight w:val="none"/>
              </w:rPr>
              <w:t>=</w:t>
            </w:r>
            <w:r>
              <w:rPr>
                <w:rFonts w:hint="eastAsia"/>
                <w:szCs w:val="21"/>
                <w:highlight w:val="none"/>
                <w:lang w:val="en-US" w:eastAsia="zh-CN"/>
              </w:rPr>
              <w:t>1.7</w:t>
            </w:r>
            <w:r>
              <w:rPr>
                <w:szCs w:val="21"/>
                <w:highlight w:val="none"/>
              </w:rPr>
              <w:t>万元</w:t>
            </w:r>
          </w:p>
          <w:p w14:paraId="7D756474">
            <w:pPr>
              <w:spacing w:line="300" w:lineRule="exact"/>
              <w:jc w:val="left"/>
              <w:rPr>
                <w:rFonts w:hint="eastAsia"/>
                <w:color w:val="auto"/>
                <w:kern w:val="0"/>
                <w:szCs w:val="21"/>
                <w:highlight w:val="none"/>
              </w:rPr>
            </w:pPr>
            <w:r>
              <w:rPr>
                <w:rFonts w:hint="eastAsia"/>
                <w:color w:val="auto"/>
                <w:kern w:val="0"/>
                <w:szCs w:val="21"/>
                <w:highlight w:val="none"/>
              </w:rPr>
              <w:t>开户银行：广西北部湾银行南宁市金湖支行</w:t>
            </w:r>
          </w:p>
          <w:p w14:paraId="1754E569">
            <w:pPr>
              <w:spacing w:line="300" w:lineRule="exact"/>
              <w:jc w:val="left"/>
              <w:rPr>
                <w:rFonts w:hint="eastAsia"/>
                <w:kern w:val="0"/>
                <w:szCs w:val="21"/>
                <w:highlight w:val="none"/>
              </w:rPr>
            </w:pPr>
            <w:r>
              <w:rPr>
                <w:rFonts w:hint="eastAsia"/>
                <w:kern w:val="0"/>
                <w:szCs w:val="21"/>
                <w:highlight w:val="none"/>
              </w:rPr>
              <w:t>（银行地址：南宁市金湖路57号文德大厦1楼）</w:t>
            </w:r>
          </w:p>
          <w:p w14:paraId="359E0B91">
            <w:pPr>
              <w:spacing w:line="300" w:lineRule="exact"/>
              <w:jc w:val="left"/>
              <w:rPr>
                <w:rFonts w:hint="eastAsia"/>
                <w:kern w:val="0"/>
                <w:szCs w:val="21"/>
                <w:highlight w:val="none"/>
              </w:rPr>
            </w:pPr>
            <w:r>
              <w:rPr>
                <w:rFonts w:hint="eastAsia"/>
                <w:kern w:val="0"/>
                <w:szCs w:val="21"/>
                <w:highlight w:val="none"/>
              </w:rPr>
              <w:t>开户名称：广西机电设备招标有限公司</w:t>
            </w:r>
          </w:p>
          <w:p w14:paraId="6F55F823">
            <w:pPr>
              <w:spacing w:line="300" w:lineRule="exact"/>
              <w:jc w:val="left"/>
              <w:rPr>
                <w:rFonts w:hint="eastAsia"/>
                <w:kern w:val="0"/>
                <w:szCs w:val="21"/>
                <w:highlight w:val="none"/>
              </w:rPr>
            </w:pPr>
            <w:r>
              <w:rPr>
                <w:rFonts w:hint="eastAsia"/>
                <w:kern w:val="0"/>
                <w:szCs w:val="21"/>
                <w:highlight w:val="none"/>
              </w:rPr>
              <w:t>银行账号：1705012090027723 (联行号 313611017053)</w:t>
            </w:r>
          </w:p>
          <w:p w14:paraId="2E4C49C1">
            <w:pPr>
              <w:rPr>
                <w:rFonts w:hint="eastAsia"/>
                <w:szCs w:val="21"/>
                <w:highlight w:val="none"/>
              </w:rPr>
            </w:pPr>
            <w:r>
              <w:rPr>
                <w:rFonts w:hint="eastAsia"/>
                <w:kern w:val="0"/>
                <w:szCs w:val="21"/>
                <w:highlight w:val="none"/>
              </w:rPr>
              <w:t>财务联系人：吴茜（电话：0771-2821398）</w:t>
            </w:r>
          </w:p>
        </w:tc>
      </w:tr>
      <w:tr w14:paraId="0EDF7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2FE370AD">
            <w:pPr>
              <w:spacing w:line="300" w:lineRule="exact"/>
              <w:jc w:val="center"/>
              <w:rPr>
                <w:szCs w:val="21"/>
                <w:highlight w:val="none"/>
              </w:rPr>
            </w:pPr>
            <w:r>
              <w:rPr>
                <w:b/>
                <w:szCs w:val="21"/>
                <w:highlight w:val="none"/>
              </w:rPr>
              <w:t>9.3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5CAEC7F5">
            <w:pPr>
              <w:spacing w:line="300" w:lineRule="exact"/>
              <w:jc w:val="center"/>
              <w:rPr>
                <w:szCs w:val="21"/>
                <w:highlight w:val="none"/>
              </w:rPr>
            </w:pPr>
            <w:r>
              <w:rPr>
                <w:rFonts w:hint="eastAsia"/>
                <w:szCs w:val="21"/>
                <w:highlight w:val="none"/>
              </w:rPr>
              <w:t>履约保证金</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1A4CA156">
            <w:pPr>
              <w:spacing w:line="300" w:lineRule="exact"/>
              <w:jc w:val="left"/>
              <w:rPr>
                <w:color w:val="auto"/>
                <w:szCs w:val="21"/>
                <w:highlight w:val="none"/>
              </w:rPr>
            </w:pPr>
            <w:r>
              <w:rPr>
                <w:color w:val="auto"/>
                <w:szCs w:val="21"/>
                <w:highlight w:val="none"/>
              </w:rPr>
              <w:t>履约保证金的形式：可以银行保函、工程担保或保证保险等形式</w:t>
            </w:r>
          </w:p>
          <w:p w14:paraId="3FEC1C4C">
            <w:pPr>
              <w:spacing w:line="300" w:lineRule="exact"/>
              <w:jc w:val="left"/>
              <w:rPr>
                <w:rFonts w:hint="eastAsia" w:eastAsia="宋体"/>
                <w:color w:val="auto"/>
                <w:szCs w:val="21"/>
                <w:highlight w:val="none"/>
                <w:lang w:eastAsia="zh-CN"/>
              </w:rPr>
            </w:pPr>
            <w:r>
              <w:rPr>
                <w:color w:val="auto"/>
                <w:szCs w:val="21"/>
                <w:highlight w:val="none"/>
              </w:rPr>
              <w:t>履约保证金的金额：</w:t>
            </w:r>
            <w:r>
              <w:rPr>
                <w:rFonts w:hint="eastAsia"/>
                <w:color w:val="auto"/>
                <w:szCs w:val="21"/>
                <w:highlight w:val="none"/>
                <w:lang w:val="en-US" w:eastAsia="zh-CN"/>
              </w:rPr>
              <w:t>/</w:t>
            </w:r>
          </w:p>
          <w:p w14:paraId="539BF88C">
            <w:pPr>
              <w:spacing w:line="300" w:lineRule="exact"/>
              <w:jc w:val="left"/>
              <w:rPr>
                <w:color w:val="auto"/>
                <w:szCs w:val="21"/>
                <w:highlight w:val="none"/>
              </w:rPr>
            </w:pPr>
            <w:r>
              <w:rPr>
                <w:color w:val="auto"/>
                <w:szCs w:val="21"/>
                <w:highlight w:val="none"/>
              </w:rPr>
              <w:t>成交供应商在收到成交通知书后，须在7日内将履约保证金足额提交至财政局以下账户，否则采购人可以取消其成交资格</w:t>
            </w:r>
            <w:r>
              <w:rPr>
                <w:rFonts w:hint="eastAsia"/>
                <w:color w:val="auto"/>
                <w:szCs w:val="21"/>
                <w:highlight w:val="none"/>
              </w:rPr>
              <w:t>。</w:t>
            </w:r>
          </w:p>
          <w:p w14:paraId="0B15CBDF">
            <w:pPr>
              <w:spacing w:line="300" w:lineRule="exact"/>
              <w:jc w:val="left"/>
              <w:rPr>
                <w:rFonts w:hint="eastAsia" w:eastAsia="宋体"/>
                <w:color w:val="auto"/>
                <w:szCs w:val="21"/>
                <w:highlight w:val="none"/>
                <w:lang w:eastAsia="zh-CN"/>
              </w:rPr>
            </w:pPr>
            <w:r>
              <w:rPr>
                <w:color w:val="auto"/>
                <w:szCs w:val="21"/>
                <w:highlight w:val="none"/>
              </w:rPr>
              <w:t>开户名称：</w:t>
            </w:r>
            <w:r>
              <w:rPr>
                <w:rFonts w:hint="eastAsia"/>
                <w:color w:val="auto"/>
                <w:szCs w:val="21"/>
                <w:highlight w:val="none"/>
                <w:lang w:val="en-US" w:eastAsia="zh-CN"/>
              </w:rPr>
              <w:t>/</w:t>
            </w:r>
          </w:p>
          <w:p w14:paraId="1B3AD166">
            <w:pPr>
              <w:spacing w:line="300" w:lineRule="exact"/>
              <w:jc w:val="left"/>
              <w:rPr>
                <w:rFonts w:hint="eastAsia" w:eastAsia="宋体"/>
                <w:color w:val="auto"/>
                <w:szCs w:val="21"/>
                <w:highlight w:val="none"/>
                <w:lang w:eastAsia="zh-CN"/>
              </w:rPr>
            </w:pPr>
            <w:r>
              <w:rPr>
                <w:color w:val="auto"/>
                <w:szCs w:val="21"/>
                <w:highlight w:val="none"/>
              </w:rPr>
              <w:t>开户银行：</w:t>
            </w:r>
            <w:r>
              <w:rPr>
                <w:rFonts w:hint="eastAsia"/>
                <w:color w:val="auto"/>
                <w:szCs w:val="21"/>
                <w:highlight w:val="none"/>
                <w:lang w:val="en-US" w:eastAsia="zh-CN"/>
              </w:rPr>
              <w:t>/</w:t>
            </w:r>
          </w:p>
          <w:p w14:paraId="40ACEDC9">
            <w:pPr>
              <w:spacing w:line="300" w:lineRule="exact"/>
              <w:jc w:val="left"/>
              <w:rPr>
                <w:rFonts w:hint="eastAsia" w:eastAsia="宋体"/>
                <w:color w:val="auto"/>
                <w:szCs w:val="21"/>
                <w:highlight w:val="none"/>
                <w:lang w:eastAsia="zh-CN"/>
              </w:rPr>
            </w:pPr>
            <w:r>
              <w:rPr>
                <w:color w:val="auto"/>
                <w:szCs w:val="21"/>
                <w:highlight w:val="none"/>
              </w:rPr>
              <w:t>银行账号：</w:t>
            </w:r>
            <w:r>
              <w:rPr>
                <w:rFonts w:hint="eastAsia"/>
                <w:color w:val="auto"/>
                <w:szCs w:val="21"/>
                <w:highlight w:val="none"/>
                <w:lang w:val="en-US" w:eastAsia="zh-CN"/>
              </w:rPr>
              <w:t>/</w:t>
            </w:r>
          </w:p>
          <w:p w14:paraId="5957595B">
            <w:pPr>
              <w:spacing w:line="300" w:lineRule="exact"/>
              <w:jc w:val="left"/>
              <w:rPr>
                <w:szCs w:val="21"/>
                <w:highlight w:val="none"/>
              </w:rPr>
            </w:pPr>
            <w:r>
              <w:rPr>
                <w:rFonts w:hint="eastAsia"/>
                <w:color w:val="auto"/>
                <w:szCs w:val="21"/>
                <w:highlight w:val="none"/>
              </w:rPr>
              <w:t>联合体成交的，其履约保证金由联合体任一方提交。</w:t>
            </w:r>
          </w:p>
        </w:tc>
      </w:tr>
      <w:tr w14:paraId="3A7C3A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2E37EB14">
            <w:pPr>
              <w:spacing w:line="300" w:lineRule="exact"/>
              <w:jc w:val="center"/>
              <w:rPr>
                <w:szCs w:val="21"/>
                <w:highlight w:val="none"/>
              </w:rPr>
            </w:pPr>
            <w:r>
              <w:rPr>
                <w:b/>
                <w:szCs w:val="21"/>
                <w:highlight w:val="none"/>
              </w:rPr>
              <w:t>9.3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52F9C91">
            <w:pPr>
              <w:jc w:val="center"/>
              <w:rPr>
                <w:szCs w:val="21"/>
                <w:highlight w:val="none"/>
              </w:rPr>
            </w:pPr>
            <w:r>
              <w:rPr>
                <w:szCs w:val="21"/>
                <w:highlight w:val="none"/>
              </w:rPr>
              <w:t>农民工工资保障金</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5F55B0F0">
            <w:pPr>
              <w:spacing w:line="300" w:lineRule="exact"/>
              <w:jc w:val="left"/>
              <w:rPr>
                <w:szCs w:val="21"/>
                <w:highlight w:val="none"/>
              </w:rPr>
            </w:pPr>
            <w:r>
              <w:rPr>
                <w:rFonts w:hint="eastAsia" w:ascii="宋体" w:hAnsi="宋体"/>
                <w:highlight w:val="none"/>
              </w:rPr>
              <w:t>按广西壮族自治区人力资源和社会保障厅等8部门《关于印发广西壮族自治区工程建设领域农民工工资专用帐户管理暂行办法实施细则的通知》（桂人社规[2022]5号）执行，承包人在合同签订之日起30日内，自主选择在自治区行政区域内依法设立或设有分支机构的银行开立专用帐户。</w:t>
            </w:r>
            <w:r>
              <w:rPr>
                <w:rFonts w:hint="eastAsia" w:ascii="宋体" w:hAnsi="宋体"/>
                <w:highlight w:val="none"/>
                <w:lang w:eastAsia="zh-CN"/>
              </w:rPr>
              <w:t>应</w:t>
            </w:r>
            <w:r>
              <w:rPr>
                <w:rFonts w:hint="eastAsia" w:ascii="宋体" w:hAnsi="宋体"/>
                <w:highlight w:val="none"/>
              </w:rPr>
              <w:t>办理得施工许可证后，按照《关于印发广西壮族自治区工程建设领域农民工工资保证金规定实施办法的通知》桂人社规[2021]16号）缴存保证金，也可以使用银行保函</w:t>
            </w:r>
            <w:r>
              <w:rPr>
                <w:rFonts w:hint="default" w:ascii="Times New Roman" w:hAnsi="Times New Roman" w:eastAsia="宋体" w:cs="Times New Roman"/>
                <w:b/>
                <w:bCs/>
                <w:color w:val="auto"/>
                <w:highlight w:val="none"/>
              </w:rPr>
              <w:t>、工程担保公司保函或工程保证保险</w:t>
            </w:r>
            <w:r>
              <w:rPr>
                <w:rFonts w:hint="eastAsia" w:ascii="宋体" w:hAnsi="宋体"/>
                <w:highlight w:val="none"/>
              </w:rPr>
              <w:t>。工程竣工验收结算经审定后，按照规定程序，将农民工工资保证金没有使用或剩余的金额退还给承包人。</w:t>
            </w:r>
          </w:p>
        </w:tc>
      </w:tr>
      <w:tr w14:paraId="578E3F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354" w:type="dxa"/>
            <w:tcBorders>
              <w:top w:val="single" w:color="auto" w:sz="4" w:space="0"/>
              <w:left w:val="single" w:color="auto" w:sz="4" w:space="0"/>
              <w:bottom w:val="single" w:color="auto" w:sz="4" w:space="0"/>
              <w:right w:val="single" w:color="auto" w:sz="4" w:space="0"/>
            </w:tcBorders>
            <w:noWrap w:val="0"/>
            <w:vAlign w:val="center"/>
          </w:tcPr>
          <w:p w14:paraId="05D3E905">
            <w:pPr>
              <w:spacing w:line="300" w:lineRule="exact"/>
              <w:jc w:val="center"/>
              <w:rPr>
                <w:b/>
                <w:szCs w:val="21"/>
                <w:highlight w:val="none"/>
              </w:rPr>
            </w:pPr>
            <w:r>
              <w:rPr>
                <w:b/>
                <w:szCs w:val="21"/>
                <w:highlight w:val="none"/>
              </w:rPr>
              <w:t>9.3</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FDBDF93">
            <w:pPr>
              <w:jc w:val="center"/>
              <w:rPr>
                <w:szCs w:val="21"/>
                <w:highlight w:val="none"/>
              </w:rPr>
            </w:pPr>
            <w:r>
              <w:rPr>
                <w:rFonts w:hint="eastAsia"/>
                <w:szCs w:val="20"/>
                <w:highlight w:val="none"/>
              </w:rPr>
              <w:t>其他事项</w:t>
            </w:r>
          </w:p>
        </w:tc>
        <w:tc>
          <w:tcPr>
            <w:tcW w:w="6905" w:type="dxa"/>
            <w:tcBorders>
              <w:top w:val="single" w:color="auto" w:sz="4" w:space="0"/>
              <w:left w:val="single" w:color="auto" w:sz="4" w:space="0"/>
              <w:bottom w:val="single" w:color="auto" w:sz="4" w:space="0"/>
              <w:right w:val="single" w:color="auto" w:sz="4" w:space="0"/>
            </w:tcBorders>
            <w:noWrap w:val="0"/>
            <w:vAlign w:val="center"/>
          </w:tcPr>
          <w:p w14:paraId="4F2258EC">
            <w:pPr>
              <w:spacing w:line="300" w:lineRule="exact"/>
              <w:jc w:val="left"/>
              <w:rPr>
                <w:rFonts w:hint="eastAsia"/>
                <w:szCs w:val="21"/>
                <w:highlight w:val="none"/>
              </w:rPr>
            </w:pPr>
            <w:r>
              <w:rPr>
                <w:rFonts w:hint="eastAsia"/>
                <w:szCs w:val="21"/>
                <w:highlight w:val="none"/>
              </w:rPr>
              <w:t>构成本采购文件的各个组成文件应互为解释，互为说明：</w:t>
            </w:r>
          </w:p>
          <w:p w14:paraId="12C62F29">
            <w:pPr>
              <w:spacing w:line="300" w:lineRule="exact"/>
              <w:jc w:val="left"/>
              <w:rPr>
                <w:rFonts w:hint="eastAsia"/>
                <w:szCs w:val="21"/>
                <w:highlight w:val="none"/>
              </w:rPr>
            </w:pPr>
            <w:r>
              <w:rPr>
                <w:rFonts w:hint="eastAsia"/>
                <w:szCs w:val="21"/>
                <w:highlight w:val="none"/>
              </w:rPr>
              <w:t>除采购文件中有特别规定外，仅适用于</w:t>
            </w:r>
            <w:r>
              <w:rPr>
                <w:rFonts w:hint="eastAsia"/>
                <w:szCs w:val="21"/>
                <w:highlight w:val="none"/>
                <w:lang w:val="en-US" w:eastAsia="zh-CN"/>
              </w:rPr>
              <w:t>磋商响应</w:t>
            </w:r>
            <w:r>
              <w:rPr>
                <w:rFonts w:hint="eastAsia"/>
                <w:szCs w:val="21"/>
                <w:highlight w:val="none"/>
              </w:rPr>
              <w:t>阶段的规定，按更正公告（澄清公告）、磋商公告、采购需求、供应商须知、评审方法及标准、合同条款格式、响应文件格式的先后顺序解释；同一组成文件中就同一事项的规定或者约定不一致的，以编排顺序在后者为准；同一组成文件不同版本之间有不一致的，以形成时间在后者为准；更正公告（澄清公告）与同步更新的采购文件不一致时以更正公告（澄清公告）为准。按本款前述规定仍不能形成结论的，由采购人或者采购代理机构负责解释。</w:t>
            </w:r>
          </w:p>
        </w:tc>
      </w:tr>
    </w:tbl>
    <w:p w14:paraId="765A4E00">
      <w:pPr>
        <w:tabs>
          <w:tab w:val="left" w:pos="611"/>
        </w:tabs>
        <w:rPr>
          <w:szCs w:val="21"/>
          <w:highlight w:val="none"/>
        </w:rPr>
      </w:pPr>
    </w:p>
    <w:p w14:paraId="6549E348">
      <w:pPr>
        <w:spacing w:before="120" w:line="320" w:lineRule="atLeast"/>
        <w:outlineLvl w:val="1"/>
        <w:rPr>
          <w:b/>
          <w:bCs/>
          <w:kern w:val="0"/>
          <w:szCs w:val="21"/>
          <w:highlight w:val="none"/>
        </w:rPr>
      </w:pPr>
      <w:r>
        <w:rPr>
          <w:szCs w:val="21"/>
          <w:highlight w:val="none"/>
        </w:rPr>
        <w:br w:type="page"/>
      </w:r>
      <w:bookmarkStart w:id="28" w:name="_Hlk89188603"/>
      <w:r>
        <w:rPr>
          <w:b/>
          <w:bCs/>
          <w:kern w:val="0"/>
          <w:szCs w:val="21"/>
          <w:highlight w:val="none"/>
        </w:rPr>
        <w:t>1．总则</w:t>
      </w:r>
    </w:p>
    <w:p w14:paraId="05365B93">
      <w:pPr>
        <w:spacing w:before="120" w:line="320" w:lineRule="atLeast"/>
        <w:ind w:firstLine="422" w:firstLineChars="200"/>
        <w:outlineLvl w:val="2"/>
        <w:rPr>
          <w:b/>
          <w:bCs/>
          <w:kern w:val="0"/>
          <w:szCs w:val="21"/>
          <w:highlight w:val="none"/>
        </w:rPr>
      </w:pPr>
      <w:bookmarkStart w:id="29" w:name="_Toc254970668"/>
      <w:bookmarkStart w:id="30" w:name="_Toc254970527"/>
      <w:r>
        <w:rPr>
          <w:b/>
          <w:bCs/>
          <w:kern w:val="0"/>
          <w:szCs w:val="21"/>
          <w:highlight w:val="none"/>
        </w:rPr>
        <w:t>1.1适用范围</w:t>
      </w:r>
      <w:bookmarkEnd w:id="29"/>
      <w:bookmarkEnd w:id="30"/>
    </w:p>
    <w:p w14:paraId="0043CBAA">
      <w:pPr>
        <w:spacing w:before="120" w:line="320" w:lineRule="atLeast"/>
        <w:ind w:firstLine="420" w:firstLineChars="200"/>
        <w:rPr>
          <w:szCs w:val="21"/>
          <w:highlight w:val="none"/>
        </w:rPr>
      </w:pPr>
      <w:r>
        <w:rPr>
          <w:szCs w:val="21"/>
          <w:highlight w:val="none"/>
        </w:rPr>
        <w:t>本采购文件适用于供应商须知前附表所述项目的</w:t>
      </w:r>
      <w:r>
        <w:rPr>
          <w:rFonts w:hint="eastAsia"/>
          <w:szCs w:val="21"/>
          <w:highlight w:val="none"/>
        </w:rPr>
        <w:t>政府采购活动。</w:t>
      </w:r>
    </w:p>
    <w:p w14:paraId="1072BF44">
      <w:pPr>
        <w:spacing w:before="120" w:line="320" w:lineRule="atLeast"/>
        <w:ind w:firstLine="422" w:firstLineChars="200"/>
        <w:outlineLvl w:val="2"/>
        <w:rPr>
          <w:b/>
          <w:bCs/>
          <w:kern w:val="0"/>
          <w:szCs w:val="21"/>
          <w:highlight w:val="none"/>
        </w:rPr>
      </w:pPr>
      <w:bookmarkStart w:id="31" w:name="_Toc254970528"/>
      <w:bookmarkStart w:id="32" w:name="_Toc254970669"/>
      <w:r>
        <w:rPr>
          <w:b/>
          <w:bCs/>
          <w:kern w:val="0"/>
          <w:szCs w:val="21"/>
          <w:highlight w:val="none"/>
        </w:rPr>
        <w:t>1.2定义</w:t>
      </w:r>
      <w:bookmarkEnd w:id="31"/>
      <w:bookmarkEnd w:id="32"/>
    </w:p>
    <w:p w14:paraId="30DD26A0">
      <w:pPr>
        <w:spacing w:before="120" w:line="320" w:lineRule="atLeast"/>
        <w:ind w:firstLine="420" w:firstLineChars="200"/>
        <w:rPr>
          <w:szCs w:val="21"/>
          <w:highlight w:val="none"/>
        </w:rPr>
      </w:pPr>
      <w:r>
        <w:rPr>
          <w:szCs w:val="21"/>
          <w:highlight w:val="none"/>
        </w:rPr>
        <w:t>1.2.1“采购人”系指依法进行政府采购的国家机关、事业单位、团体组织。</w:t>
      </w:r>
    </w:p>
    <w:p w14:paraId="67FFC385">
      <w:pPr>
        <w:spacing w:before="120" w:line="320" w:lineRule="atLeast"/>
        <w:ind w:firstLine="420" w:firstLineChars="200"/>
        <w:rPr>
          <w:szCs w:val="21"/>
          <w:highlight w:val="none"/>
        </w:rPr>
      </w:pPr>
      <w:r>
        <w:rPr>
          <w:szCs w:val="21"/>
          <w:highlight w:val="none"/>
        </w:rPr>
        <w:t>1.2.2“供应商”系</w:t>
      </w:r>
      <w:r>
        <w:rPr>
          <w:color w:val="000000"/>
          <w:highlight w:val="none"/>
        </w:rPr>
        <w:t>指响应招标、参加</w:t>
      </w:r>
      <w:r>
        <w:rPr>
          <w:rFonts w:hint="eastAsia"/>
          <w:color w:val="000000"/>
          <w:highlight w:val="none"/>
        </w:rPr>
        <w:t>响应</w:t>
      </w:r>
      <w:r>
        <w:rPr>
          <w:color w:val="000000"/>
          <w:highlight w:val="none"/>
        </w:rPr>
        <w:t>竞争的法人、其他组织或者自然人</w:t>
      </w:r>
      <w:r>
        <w:rPr>
          <w:szCs w:val="21"/>
          <w:highlight w:val="none"/>
        </w:rPr>
        <w:t>。</w:t>
      </w:r>
    </w:p>
    <w:p w14:paraId="171DA662">
      <w:pPr>
        <w:spacing w:before="120" w:line="360" w:lineRule="auto"/>
        <w:ind w:firstLine="420" w:firstLineChars="200"/>
        <w:rPr>
          <w:rFonts w:hint="eastAsia"/>
          <w:highlight w:val="none"/>
        </w:rPr>
      </w:pPr>
      <w:r>
        <w:rPr>
          <w:rFonts w:hint="eastAsia"/>
          <w:highlight w:val="none"/>
        </w:rPr>
        <w:t>1.2.3</w:t>
      </w:r>
      <w:r>
        <w:rPr>
          <w:highlight w:val="none"/>
        </w:rPr>
        <w:t>本</w:t>
      </w:r>
      <w:r>
        <w:rPr>
          <w:rFonts w:hint="eastAsia"/>
          <w:highlight w:val="none"/>
        </w:rPr>
        <w:t>文件</w:t>
      </w:r>
      <w:r>
        <w:rPr>
          <w:highlight w:val="none"/>
        </w:rPr>
        <w:t>中的</w:t>
      </w:r>
      <w:r>
        <w:rPr>
          <w:rFonts w:hint="eastAsia"/>
          <w:highlight w:val="none"/>
        </w:rPr>
        <w:t>“法定代表人”若无特别说明，当</w:t>
      </w:r>
      <w:r>
        <w:rPr>
          <w:highlight w:val="none"/>
        </w:rPr>
        <w:t>供应商是</w:t>
      </w:r>
      <w:r>
        <w:rPr>
          <w:rFonts w:hint="eastAsia"/>
          <w:highlight w:val="none"/>
        </w:rPr>
        <w:t>企业的，是指企业法人营业执照上的法定代表人；当</w:t>
      </w:r>
      <w:r>
        <w:rPr>
          <w:highlight w:val="none"/>
        </w:rPr>
        <w:t>供应商是</w:t>
      </w:r>
      <w:r>
        <w:rPr>
          <w:rFonts w:hint="eastAsia"/>
          <w:highlight w:val="none"/>
        </w:rPr>
        <w:t>事业单位的，是指事业单位法人证书上的法定代表人；当</w:t>
      </w:r>
      <w:r>
        <w:rPr>
          <w:highlight w:val="none"/>
        </w:rPr>
        <w:t>供应商是</w:t>
      </w:r>
      <w:r>
        <w:rPr>
          <w:rFonts w:hint="eastAsia"/>
          <w:highlight w:val="none"/>
        </w:rPr>
        <w:t>社会团体、民办非企业的，是指法人登记证书中的法定代表人；当</w:t>
      </w:r>
      <w:r>
        <w:rPr>
          <w:highlight w:val="none"/>
        </w:rPr>
        <w:t>供应商是</w:t>
      </w:r>
      <w:r>
        <w:rPr>
          <w:rFonts w:hint="eastAsia"/>
          <w:highlight w:val="none"/>
        </w:rPr>
        <w:t>个体工商户的，是指个体工商户营业执照上的经营者；</w:t>
      </w:r>
      <w:r>
        <w:rPr>
          <w:highlight w:val="none"/>
        </w:rPr>
        <w:t>当供应商是自然人</w:t>
      </w:r>
      <w:r>
        <w:rPr>
          <w:rFonts w:hint="eastAsia"/>
          <w:highlight w:val="none"/>
        </w:rPr>
        <w:t>的，是指参与本项目响应的自然人本人。</w:t>
      </w:r>
      <w:r>
        <w:rPr>
          <w:highlight w:val="none"/>
        </w:rPr>
        <w:br w:type="textWrapping"/>
      </w:r>
      <w:r>
        <w:rPr>
          <w:highlight w:val="none"/>
        </w:rPr>
        <w:t xml:space="preserve">    </w:t>
      </w:r>
      <w:r>
        <w:rPr>
          <w:rFonts w:hint="eastAsia"/>
          <w:highlight w:val="none"/>
        </w:rPr>
        <w:t>1.2.4本文件中的“公章”是指根据我国对公章的管理规定，用供应商法定主体行为名称制作的印章，除本文件有特殊规定外，供应商的财务章、部门章、分公司章、工会章、合同章、投标专用章、业务专用章及银行的转账章、现金收讫章、现金付讫章等其他形式印章均不能代替公章。本文件中的“签章”是指电子签名的一种表现形式，利用图像处理技术将电子签名操作转化为与纸质文件盖章操作相同的可视效果，同时利用电子签名技术保障电子信息的真实性和完整性以及签名人的不可否认性。</w:t>
      </w:r>
    </w:p>
    <w:p w14:paraId="64BFFE4B">
      <w:pPr>
        <w:widowControl/>
        <w:spacing w:line="360" w:lineRule="auto"/>
        <w:ind w:firstLine="420" w:firstLineChars="200"/>
        <w:jc w:val="left"/>
        <w:rPr>
          <w:szCs w:val="21"/>
          <w:highlight w:val="none"/>
        </w:rPr>
      </w:pPr>
      <w:r>
        <w:rPr>
          <w:szCs w:val="21"/>
          <w:highlight w:val="none"/>
        </w:rPr>
        <w:t>1.2.</w:t>
      </w:r>
      <w:r>
        <w:rPr>
          <w:rFonts w:hint="eastAsia"/>
          <w:szCs w:val="21"/>
          <w:highlight w:val="none"/>
        </w:rPr>
        <w:t>5</w:t>
      </w:r>
      <w:r>
        <w:rPr>
          <w:szCs w:val="21"/>
          <w:highlight w:val="none"/>
        </w:rPr>
        <w:t>“书面形式”如无特殊规定，</w:t>
      </w:r>
      <w:r>
        <w:rPr>
          <w:rFonts w:hint="eastAsia"/>
          <w:szCs w:val="21"/>
          <w:highlight w:val="none"/>
        </w:rPr>
        <w:t>书面形式是合同书、信件、电报、电传等可以有形地表现所载内容的形式。以电子数据交换、电子邮件等方式能够有形地表现所载内容，并可以随时调取查用的数据电文，视为书面形式。</w:t>
      </w:r>
      <w:r>
        <w:rPr>
          <w:szCs w:val="21"/>
          <w:highlight w:val="none"/>
        </w:rPr>
        <w:t xml:space="preserve">采购文件如有特殊规定，以采购文件规定为准。 </w:t>
      </w:r>
    </w:p>
    <w:p w14:paraId="3CC091EE">
      <w:pPr>
        <w:spacing w:before="120" w:line="320" w:lineRule="atLeast"/>
        <w:ind w:firstLine="420" w:firstLineChars="200"/>
        <w:rPr>
          <w:szCs w:val="21"/>
          <w:highlight w:val="none"/>
        </w:rPr>
      </w:pPr>
      <w:r>
        <w:rPr>
          <w:szCs w:val="21"/>
          <w:highlight w:val="none"/>
        </w:rPr>
        <w:t>1.2.</w:t>
      </w:r>
      <w:r>
        <w:rPr>
          <w:rFonts w:hint="eastAsia"/>
          <w:szCs w:val="21"/>
          <w:highlight w:val="none"/>
        </w:rPr>
        <w:t>6本项目的技术商务要求重要性分为“▲”（如有）、“#”（如有）和一般无标识指标。▲代表实质性要求指标，</w:t>
      </w:r>
      <w:r>
        <w:rPr>
          <w:rFonts w:hint="eastAsia"/>
          <w:b/>
          <w:bCs/>
          <w:szCs w:val="21"/>
          <w:highlight w:val="none"/>
        </w:rPr>
        <w:t>不满足该指标项将导致响应被否决</w:t>
      </w:r>
      <w:r>
        <w:rPr>
          <w:rFonts w:hint="eastAsia"/>
          <w:szCs w:val="21"/>
          <w:highlight w:val="none"/>
        </w:rPr>
        <w:t>，#代表重要指标，无标识则表示一般指标项。</w:t>
      </w:r>
    </w:p>
    <w:p w14:paraId="0794CD5E">
      <w:pPr>
        <w:spacing w:before="120" w:line="320" w:lineRule="atLeast"/>
        <w:ind w:firstLine="420" w:firstLineChars="200"/>
        <w:rPr>
          <w:szCs w:val="21"/>
          <w:highlight w:val="none"/>
        </w:rPr>
      </w:pPr>
      <w:r>
        <w:rPr>
          <w:szCs w:val="21"/>
          <w:highlight w:val="none"/>
        </w:rPr>
        <w:t>1.2.</w:t>
      </w:r>
      <w:r>
        <w:rPr>
          <w:rFonts w:hint="eastAsia"/>
          <w:szCs w:val="21"/>
          <w:highlight w:val="none"/>
        </w:rPr>
        <w:t>7 本</w:t>
      </w:r>
      <w:r>
        <w:rPr>
          <w:szCs w:val="21"/>
          <w:highlight w:val="none"/>
        </w:rPr>
        <w:t>采购文件</w:t>
      </w:r>
      <w:r>
        <w:rPr>
          <w:rFonts w:hint="eastAsia"/>
          <w:szCs w:val="21"/>
          <w:highlight w:val="none"/>
        </w:rPr>
        <w:t>出现多种选项的条款，以“</w:t>
      </w:r>
      <w:r>
        <w:rPr>
          <w:highlight w:val="none"/>
        </w:rPr>
        <w:sym w:font="Wingdings 2" w:char="F052"/>
      </w:r>
      <w:r>
        <w:rPr>
          <w:rFonts w:hint="eastAsia"/>
          <w:szCs w:val="21"/>
          <w:highlight w:val="none"/>
        </w:rPr>
        <w:t>”表示本条款所选择的方式。</w:t>
      </w:r>
    </w:p>
    <w:p w14:paraId="64D409F4">
      <w:pPr>
        <w:spacing w:before="120" w:line="320" w:lineRule="atLeast"/>
        <w:ind w:firstLine="420" w:firstLineChars="200"/>
        <w:rPr>
          <w:szCs w:val="21"/>
          <w:highlight w:val="none"/>
        </w:rPr>
      </w:pPr>
      <w:r>
        <w:rPr>
          <w:rFonts w:hint="eastAsia"/>
          <w:szCs w:val="21"/>
          <w:highlight w:val="none"/>
        </w:rPr>
        <w:t>1.</w:t>
      </w:r>
      <w:r>
        <w:rPr>
          <w:szCs w:val="21"/>
          <w:highlight w:val="none"/>
        </w:rPr>
        <w:t>2</w:t>
      </w:r>
      <w:r>
        <w:rPr>
          <w:rFonts w:hint="eastAsia"/>
          <w:szCs w:val="21"/>
          <w:highlight w:val="none"/>
        </w:rPr>
        <w:t>.</w:t>
      </w:r>
      <w:r>
        <w:rPr>
          <w:szCs w:val="21"/>
          <w:highlight w:val="none"/>
        </w:rPr>
        <w:t>8 “</w:t>
      </w:r>
      <w:r>
        <w:rPr>
          <w:rFonts w:hint="eastAsia"/>
          <w:szCs w:val="21"/>
          <w:highlight w:val="none"/>
        </w:rPr>
        <w:t>电子交易平台</w:t>
      </w:r>
      <w:r>
        <w:rPr>
          <w:szCs w:val="21"/>
          <w:highlight w:val="none"/>
        </w:rPr>
        <w:t>”</w:t>
      </w:r>
      <w:r>
        <w:rPr>
          <w:rFonts w:hint="eastAsia"/>
          <w:szCs w:val="21"/>
          <w:highlight w:val="none"/>
        </w:rPr>
        <w:t>是指以数据电文形式在线完成采购活动的信息平台，本采购文件中也称</w:t>
      </w:r>
      <w:r>
        <w:rPr>
          <w:szCs w:val="21"/>
          <w:highlight w:val="none"/>
        </w:rPr>
        <w:t>“</w:t>
      </w:r>
      <w:r>
        <w:rPr>
          <w:rFonts w:hint="eastAsia"/>
          <w:szCs w:val="21"/>
          <w:highlight w:val="none"/>
        </w:rPr>
        <w:t>广西政府采购云平台</w:t>
      </w:r>
      <w:r>
        <w:rPr>
          <w:szCs w:val="21"/>
          <w:highlight w:val="none"/>
        </w:rPr>
        <w:t>”</w:t>
      </w:r>
      <w:r>
        <w:rPr>
          <w:rFonts w:hint="eastAsia"/>
          <w:szCs w:val="21"/>
          <w:highlight w:val="none"/>
        </w:rPr>
        <w:t>。</w:t>
      </w:r>
    </w:p>
    <w:p w14:paraId="286F6562">
      <w:pPr>
        <w:spacing w:before="120" w:line="320" w:lineRule="atLeast"/>
        <w:ind w:firstLine="422" w:firstLineChars="200"/>
        <w:outlineLvl w:val="2"/>
        <w:rPr>
          <w:b/>
          <w:bCs/>
          <w:kern w:val="0"/>
          <w:szCs w:val="21"/>
          <w:highlight w:val="none"/>
        </w:rPr>
      </w:pPr>
      <w:r>
        <w:rPr>
          <w:rFonts w:hint="eastAsia"/>
          <w:b/>
          <w:bCs/>
          <w:kern w:val="0"/>
          <w:szCs w:val="21"/>
          <w:highlight w:val="none"/>
        </w:rPr>
        <w:t>1</w:t>
      </w:r>
      <w:r>
        <w:rPr>
          <w:b/>
          <w:bCs/>
          <w:kern w:val="0"/>
          <w:szCs w:val="21"/>
          <w:highlight w:val="none"/>
        </w:rPr>
        <w:t>.3</w:t>
      </w:r>
      <w:r>
        <w:rPr>
          <w:rFonts w:hint="eastAsia"/>
          <w:b/>
          <w:bCs/>
          <w:kern w:val="0"/>
          <w:szCs w:val="21"/>
          <w:highlight w:val="none"/>
        </w:rPr>
        <w:t>项目信息</w:t>
      </w:r>
    </w:p>
    <w:p w14:paraId="31F09C56">
      <w:pPr>
        <w:spacing w:before="120" w:line="320" w:lineRule="atLeast"/>
        <w:ind w:firstLine="420" w:firstLineChars="200"/>
        <w:rPr>
          <w:szCs w:val="21"/>
          <w:highlight w:val="none"/>
        </w:rPr>
      </w:pPr>
      <w:r>
        <w:rPr>
          <w:rFonts w:hint="eastAsia"/>
          <w:szCs w:val="21"/>
          <w:highlight w:val="none"/>
        </w:rPr>
        <w:t>1</w:t>
      </w:r>
      <w:r>
        <w:rPr>
          <w:szCs w:val="21"/>
          <w:highlight w:val="none"/>
        </w:rPr>
        <w:t>.3.1</w:t>
      </w:r>
      <w:r>
        <w:rPr>
          <w:rFonts w:hint="eastAsia"/>
          <w:szCs w:val="21"/>
          <w:highlight w:val="none"/>
        </w:rPr>
        <w:t>项目名称及编号：详见</w:t>
      </w:r>
      <w:bookmarkStart w:id="33" w:name="_Hlk89176704"/>
      <w:r>
        <w:rPr>
          <w:rFonts w:hint="eastAsia"/>
          <w:szCs w:val="21"/>
          <w:highlight w:val="none"/>
        </w:rPr>
        <w:t>供应商须知前附表</w:t>
      </w:r>
      <w:bookmarkEnd w:id="33"/>
    </w:p>
    <w:p w14:paraId="073A732E">
      <w:pPr>
        <w:spacing w:before="120" w:line="320" w:lineRule="atLeast"/>
        <w:ind w:firstLine="420" w:firstLineChars="200"/>
        <w:rPr>
          <w:szCs w:val="21"/>
          <w:highlight w:val="none"/>
        </w:rPr>
      </w:pPr>
      <w:r>
        <w:rPr>
          <w:rFonts w:hint="eastAsia"/>
          <w:szCs w:val="21"/>
          <w:highlight w:val="none"/>
        </w:rPr>
        <w:t>1</w:t>
      </w:r>
      <w:r>
        <w:rPr>
          <w:szCs w:val="21"/>
          <w:highlight w:val="none"/>
        </w:rPr>
        <w:t>.3.2</w:t>
      </w:r>
      <w:r>
        <w:rPr>
          <w:rFonts w:hint="eastAsia"/>
          <w:szCs w:val="21"/>
          <w:highlight w:val="none"/>
        </w:rPr>
        <w:t>采购方式：详见供应商须知前附表</w:t>
      </w:r>
    </w:p>
    <w:p w14:paraId="0989B943">
      <w:pPr>
        <w:spacing w:before="120" w:line="320" w:lineRule="atLeast"/>
        <w:ind w:firstLine="422" w:firstLineChars="200"/>
        <w:outlineLvl w:val="2"/>
        <w:rPr>
          <w:b/>
          <w:bCs/>
          <w:kern w:val="0"/>
          <w:szCs w:val="21"/>
          <w:highlight w:val="none"/>
        </w:rPr>
      </w:pPr>
      <w:bookmarkStart w:id="34" w:name="_Hlk132812137"/>
      <w:r>
        <w:rPr>
          <w:rFonts w:hint="eastAsia"/>
          <w:b/>
          <w:bCs/>
          <w:kern w:val="0"/>
          <w:szCs w:val="21"/>
          <w:highlight w:val="none"/>
        </w:rPr>
        <w:t>1</w:t>
      </w:r>
      <w:r>
        <w:rPr>
          <w:b/>
          <w:bCs/>
          <w:kern w:val="0"/>
          <w:szCs w:val="21"/>
          <w:highlight w:val="none"/>
        </w:rPr>
        <w:t>.4</w:t>
      </w:r>
      <w:r>
        <w:rPr>
          <w:rFonts w:hint="eastAsia"/>
          <w:b/>
          <w:bCs/>
          <w:kern w:val="0"/>
          <w:szCs w:val="21"/>
          <w:highlight w:val="none"/>
        </w:rPr>
        <w:t>促进中小企业发展政策</w:t>
      </w:r>
    </w:p>
    <w:p w14:paraId="7D7D1B87">
      <w:pPr>
        <w:spacing w:before="120" w:line="320" w:lineRule="atLeast"/>
        <w:ind w:left="2" w:leftChars="1" w:firstLine="420" w:firstLineChars="200"/>
        <w:rPr>
          <w:szCs w:val="21"/>
          <w:highlight w:val="none"/>
        </w:rPr>
      </w:pPr>
      <w:r>
        <w:rPr>
          <w:szCs w:val="21"/>
          <w:highlight w:val="none"/>
        </w:rPr>
        <w:t>1.4.1</w:t>
      </w:r>
      <w:r>
        <w:rPr>
          <w:rFonts w:hint="eastAsia"/>
          <w:szCs w:val="21"/>
          <w:highlight w:val="none"/>
        </w:rPr>
        <w:t>本项目落实促进中小企业发展政策措施在前附表规定。依据促进中小企业发展政策获得政府采购合同的，小微企业不得将合同分包给大中型企业，中型企业不得将合同分包给大型企业。</w:t>
      </w:r>
    </w:p>
    <w:p w14:paraId="07F2BEFF">
      <w:pPr>
        <w:spacing w:before="120" w:line="320" w:lineRule="atLeast"/>
        <w:ind w:left="2" w:leftChars="1" w:firstLine="420" w:firstLineChars="200"/>
        <w:rPr>
          <w:rFonts w:hint="eastAsia"/>
          <w:szCs w:val="21"/>
          <w:highlight w:val="none"/>
        </w:rPr>
      </w:pPr>
      <w:bookmarkStart w:id="35" w:name="_Hlk92205820"/>
      <w:r>
        <w:rPr>
          <w:rFonts w:hint="eastAsia"/>
          <w:szCs w:val="21"/>
          <w:highlight w:val="none"/>
        </w:rPr>
        <w:t>根据《政府采购促进中小企业发展管理办法》（财库</w:t>
      </w:r>
      <w:r>
        <w:rPr>
          <w:rFonts w:hint="eastAsia"/>
          <w:szCs w:val="21"/>
          <w:highlight w:val="none"/>
          <w:lang w:eastAsia="zh-CN"/>
        </w:rPr>
        <w:t>〔2020〕46</w:t>
      </w:r>
      <w:r>
        <w:rPr>
          <w:rFonts w:hint="eastAsia"/>
          <w:szCs w:val="21"/>
          <w:highlight w:val="none"/>
        </w:rPr>
        <w:t>号）第九条以及《广西壮族自治区财政厅 广西壮族自治区工业和信息化厅转发财政部 工业和信息化部政府采购促进中小企业发展管理办法的通知》（桂财采</w:t>
      </w:r>
      <w:r>
        <w:rPr>
          <w:rFonts w:hint="eastAsia"/>
          <w:szCs w:val="21"/>
          <w:highlight w:val="none"/>
          <w:lang w:eastAsia="zh-CN"/>
        </w:rPr>
        <w:t>〔2021〕70</w:t>
      </w:r>
      <w:r>
        <w:rPr>
          <w:rFonts w:hint="eastAsia"/>
          <w:szCs w:val="21"/>
          <w:highlight w:val="none"/>
        </w:rPr>
        <w:t>号）规定，价格扣除比例在第四章评审方法及标准中规定，对小型企业和微型企业同等对待，不作区分。</w:t>
      </w:r>
    </w:p>
    <w:p w14:paraId="0F736866">
      <w:pPr>
        <w:spacing w:before="120" w:line="320" w:lineRule="atLeast"/>
        <w:ind w:left="2" w:leftChars="1" w:firstLine="420" w:firstLineChars="200"/>
        <w:rPr>
          <w:szCs w:val="21"/>
          <w:highlight w:val="none"/>
        </w:rPr>
      </w:pPr>
      <w:r>
        <w:rPr>
          <w:szCs w:val="21"/>
          <w:highlight w:val="none"/>
        </w:rPr>
        <w:t>1.4.2</w:t>
      </w:r>
      <w:r>
        <w:rPr>
          <w:rFonts w:hint="eastAsia"/>
          <w:szCs w:val="21"/>
          <w:highlight w:val="none"/>
        </w:rPr>
        <w:t>中小企业定义</w:t>
      </w:r>
    </w:p>
    <w:p w14:paraId="5611F39D">
      <w:pPr>
        <w:spacing w:before="120" w:line="320" w:lineRule="atLeast"/>
        <w:ind w:firstLine="420" w:firstLineChars="200"/>
        <w:rPr>
          <w:szCs w:val="21"/>
          <w:highlight w:val="none"/>
        </w:rPr>
      </w:pPr>
      <w:r>
        <w:rPr>
          <w:szCs w:val="21"/>
          <w:highlight w:val="none"/>
        </w:rPr>
        <w:t>1.4.2.1</w:t>
      </w:r>
      <w:r>
        <w:rPr>
          <w:rFonts w:hint="eastAsia"/>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4A369BFD">
      <w:pPr>
        <w:spacing w:before="120" w:line="320" w:lineRule="atLeast"/>
        <w:ind w:left="2" w:leftChars="1" w:firstLine="420" w:firstLineChars="200"/>
        <w:rPr>
          <w:szCs w:val="21"/>
          <w:highlight w:val="none"/>
        </w:rPr>
      </w:pPr>
      <w:r>
        <w:rPr>
          <w:szCs w:val="21"/>
          <w:highlight w:val="none"/>
        </w:rPr>
        <w:t>1.4.2.2</w:t>
      </w:r>
      <w:r>
        <w:rPr>
          <w:rFonts w:hint="eastAsia"/>
          <w:szCs w:val="21"/>
          <w:highlight w:val="none"/>
        </w:rPr>
        <w:t>供应商提供的货物、工程或者服务符合下列情形的，享受本款规定的促进中小企业发展政策：</w:t>
      </w:r>
    </w:p>
    <w:p w14:paraId="4D74415C">
      <w:pPr>
        <w:spacing w:before="120" w:line="320" w:lineRule="atLeast"/>
        <w:ind w:left="2" w:leftChars="1" w:firstLine="420" w:firstLineChars="200"/>
        <w:rPr>
          <w:szCs w:val="21"/>
          <w:highlight w:val="none"/>
        </w:rPr>
      </w:pPr>
      <w:r>
        <w:rPr>
          <w:rFonts w:hint="eastAsia"/>
          <w:szCs w:val="21"/>
          <w:highlight w:val="none"/>
        </w:rPr>
        <w:t>在货物采购项目中，货物由中小企业制造，即货物由中小企业生产且使用该中小企业商号或者注册商标；</w:t>
      </w:r>
    </w:p>
    <w:p w14:paraId="66F4E17C">
      <w:pPr>
        <w:spacing w:before="120" w:line="320" w:lineRule="atLeast"/>
        <w:ind w:left="2" w:leftChars="1" w:firstLine="420" w:firstLineChars="200"/>
        <w:rPr>
          <w:szCs w:val="21"/>
          <w:highlight w:val="none"/>
        </w:rPr>
      </w:pPr>
      <w:r>
        <w:rPr>
          <w:rFonts w:hint="eastAsia"/>
          <w:szCs w:val="21"/>
          <w:highlight w:val="none"/>
        </w:rPr>
        <w:t>在工程采购项目中，工程由中小企业承建，即工程施工单位为中小企业；</w:t>
      </w:r>
    </w:p>
    <w:p w14:paraId="49F94FB5">
      <w:pPr>
        <w:spacing w:before="120" w:line="320" w:lineRule="atLeast"/>
        <w:ind w:left="2" w:leftChars="1" w:firstLine="420" w:firstLineChars="200"/>
        <w:rPr>
          <w:szCs w:val="21"/>
          <w:highlight w:val="none"/>
        </w:rPr>
      </w:pPr>
      <w:r>
        <w:rPr>
          <w:rFonts w:hint="eastAsia"/>
          <w:szCs w:val="21"/>
          <w:highlight w:val="none"/>
        </w:rPr>
        <w:t>在服务采购项目中，服务由中小企业承接，即提供服务的人员为中小企业依照《中华人民共和国劳动合同法》订立劳动合同的从业人员。</w:t>
      </w:r>
    </w:p>
    <w:p w14:paraId="21609F0A">
      <w:pPr>
        <w:spacing w:before="120" w:line="320" w:lineRule="atLeast"/>
        <w:ind w:left="2" w:leftChars="1" w:firstLine="420" w:firstLineChars="200"/>
        <w:rPr>
          <w:szCs w:val="21"/>
          <w:highlight w:val="none"/>
        </w:rPr>
      </w:pPr>
      <w:r>
        <w:rPr>
          <w:rFonts w:hint="eastAsia"/>
          <w:szCs w:val="21"/>
          <w:highlight w:val="none"/>
        </w:rPr>
        <w:t>在货物采购项目中，供应商提供的货物既有中小企业制造货物，也有大型企业制造货物的，不享受本款规定的促进中小企业发展政策。</w:t>
      </w:r>
    </w:p>
    <w:p w14:paraId="76718ED8">
      <w:pPr>
        <w:spacing w:before="120" w:line="320" w:lineRule="atLeast"/>
        <w:ind w:firstLine="420" w:firstLineChars="200"/>
        <w:rPr>
          <w:szCs w:val="21"/>
          <w:highlight w:val="none"/>
        </w:rPr>
      </w:pPr>
      <w:r>
        <w:rPr>
          <w:szCs w:val="21"/>
          <w:highlight w:val="none"/>
        </w:rPr>
        <w:t>1.4.2</w:t>
      </w:r>
      <w:r>
        <w:rPr>
          <w:rFonts w:hint="eastAsia"/>
          <w:szCs w:val="21"/>
          <w:highlight w:val="none"/>
        </w:rPr>
        <w:t>.</w:t>
      </w:r>
      <w:r>
        <w:rPr>
          <w:szCs w:val="21"/>
          <w:highlight w:val="none"/>
        </w:rPr>
        <w:t>3</w:t>
      </w:r>
      <w:r>
        <w:rPr>
          <w:rFonts w:hint="eastAsia"/>
          <w:szCs w:val="21"/>
          <w:highlight w:val="none"/>
        </w:rPr>
        <w:t>本项目标的所属行业在第二章采购需求中规定。供应商根据中小企业划分标准（《关于印发中小企业划型标准规定的通知》（工信部联企业〔2011〕300号）判断是否为中小企业。（见附件）</w:t>
      </w:r>
    </w:p>
    <w:p w14:paraId="62686CEF">
      <w:pPr>
        <w:spacing w:before="120" w:line="320" w:lineRule="atLeast"/>
        <w:ind w:firstLine="420" w:firstLineChars="200"/>
        <w:rPr>
          <w:szCs w:val="21"/>
          <w:highlight w:val="none"/>
        </w:rPr>
      </w:pPr>
      <w:r>
        <w:rPr>
          <w:rFonts w:hint="eastAsia"/>
          <w:szCs w:val="21"/>
          <w:highlight w:val="none"/>
        </w:rPr>
        <w:t>符合条件的货物制造商、工程施工单位、服务承接单位为中小企业的，应按采购文件规定在响应文件中提供声明函。</w:t>
      </w:r>
    </w:p>
    <w:p w14:paraId="4677C2A0">
      <w:pPr>
        <w:spacing w:before="120" w:line="320" w:lineRule="atLeast"/>
        <w:ind w:firstLine="420" w:firstLineChars="200"/>
        <w:rPr>
          <w:szCs w:val="21"/>
          <w:highlight w:val="none"/>
        </w:rPr>
      </w:pPr>
      <w:r>
        <w:rPr>
          <w:szCs w:val="21"/>
          <w:highlight w:val="none"/>
        </w:rPr>
        <w:t>1.4</w:t>
      </w:r>
      <w:r>
        <w:rPr>
          <w:rFonts w:hint="eastAsia"/>
          <w:szCs w:val="21"/>
          <w:highlight w:val="none"/>
        </w:rPr>
        <w:t>.</w:t>
      </w:r>
      <w:r>
        <w:rPr>
          <w:szCs w:val="21"/>
          <w:highlight w:val="none"/>
        </w:rPr>
        <w:t>2</w:t>
      </w:r>
      <w:r>
        <w:rPr>
          <w:rFonts w:hint="eastAsia"/>
          <w:szCs w:val="21"/>
          <w:highlight w:val="none"/>
        </w:rPr>
        <w:t>.</w:t>
      </w:r>
      <w:r>
        <w:rPr>
          <w:szCs w:val="21"/>
          <w:highlight w:val="none"/>
        </w:rPr>
        <w:t>4</w:t>
      </w:r>
      <w:r>
        <w:rPr>
          <w:rFonts w:hint="eastAsia"/>
          <w:szCs w:val="21"/>
          <w:highlight w:val="none"/>
        </w:rPr>
        <w:t>视同中小企业情形</w:t>
      </w:r>
    </w:p>
    <w:p w14:paraId="1AABEC7C">
      <w:pPr>
        <w:spacing w:before="120" w:line="320" w:lineRule="atLeast"/>
        <w:ind w:firstLine="420" w:firstLineChars="200"/>
        <w:rPr>
          <w:szCs w:val="21"/>
          <w:highlight w:val="none"/>
        </w:rPr>
      </w:pPr>
      <w:r>
        <w:rPr>
          <w:rFonts w:hint="eastAsia"/>
          <w:szCs w:val="21"/>
          <w:highlight w:val="none"/>
        </w:rPr>
        <w:t>（1）符合中小企业划分标准的个体工商户，视同中小企业。</w:t>
      </w:r>
    </w:p>
    <w:p w14:paraId="4D4C2273">
      <w:pPr>
        <w:spacing w:before="120" w:line="320" w:lineRule="atLeast"/>
        <w:ind w:firstLine="420" w:firstLineChars="200"/>
        <w:rPr>
          <w:szCs w:val="21"/>
          <w:highlight w:val="none"/>
        </w:rPr>
      </w:pPr>
      <w:r>
        <w:rPr>
          <w:rFonts w:hint="eastAsia"/>
          <w:szCs w:val="21"/>
          <w:highlight w:val="none"/>
        </w:rPr>
        <w:t>（2）以联合体形式参加政府采购活动，联合体各方均为中小企业的，联合体视同中小企业。其中，联合体各方均为小微企业的，联合体视同小微企业。</w:t>
      </w:r>
    </w:p>
    <w:p w14:paraId="2BA084A3">
      <w:pPr>
        <w:spacing w:before="120" w:line="320" w:lineRule="atLeast"/>
        <w:ind w:firstLine="420" w:firstLineChars="200"/>
        <w:rPr>
          <w:szCs w:val="21"/>
          <w:highlight w:val="none"/>
        </w:rPr>
      </w:pPr>
      <w:r>
        <w:rPr>
          <w:rFonts w:hint="eastAsia"/>
          <w:szCs w:val="21"/>
          <w:highlight w:val="none"/>
        </w:rPr>
        <w:t>（3）符合《财政部、司法部关于政府采购支持监狱企业发展有关问题的通知》（财库〔2014〕68号）规定的监狱企业，或符合《关于促进残疾人就业政府采购政策的通知》（财库〔2017〕141号）规定的残疾人福利性单位，视同小型、微型企业。</w:t>
      </w:r>
    </w:p>
    <w:p w14:paraId="61FC1D19">
      <w:pPr>
        <w:spacing w:before="120" w:line="320" w:lineRule="atLeast"/>
        <w:ind w:left="2" w:leftChars="1" w:firstLine="420" w:firstLineChars="200"/>
        <w:rPr>
          <w:rFonts w:hint="eastAsia"/>
          <w:szCs w:val="21"/>
          <w:highlight w:val="none"/>
        </w:rPr>
      </w:pPr>
      <w:r>
        <w:rPr>
          <w:rFonts w:hint="eastAsia"/>
          <w:szCs w:val="21"/>
          <w:highlight w:val="none"/>
        </w:rPr>
        <w:t>符合条件的货物制造商、工程施工单位、服务承接单位为监狱企业或残疾人福利性单位的，应按采购文件规定在响应文件中提供相关证明文件。</w:t>
      </w:r>
      <w:bookmarkEnd w:id="34"/>
      <w:bookmarkEnd w:id="35"/>
    </w:p>
    <w:p w14:paraId="03966DF9">
      <w:pPr>
        <w:spacing w:before="120" w:line="320" w:lineRule="atLeast"/>
        <w:ind w:firstLine="422" w:firstLineChars="200"/>
        <w:outlineLvl w:val="2"/>
        <w:rPr>
          <w:b/>
          <w:bCs/>
          <w:kern w:val="0"/>
          <w:szCs w:val="21"/>
          <w:highlight w:val="none"/>
        </w:rPr>
      </w:pPr>
      <w:r>
        <w:rPr>
          <w:b/>
          <w:bCs/>
          <w:kern w:val="0"/>
          <w:szCs w:val="21"/>
          <w:highlight w:val="none"/>
        </w:rPr>
        <w:t>1.5供应商资格</w:t>
      </w:r>
      <w:r>
        <w:rPr>
          <w:rFonts w:hint="eastAsia"/>
          <w:b/>
          <w:bCs/>
          <w:kern w:val="0"/>
          <w:szCs w:val="21"/>
          <w:highlight w:val="none"/>
        </w:rPr>
        <w:t>要求</w:t>
      </w:r>
    </w:p>
    <w:p w14:paraId="26EF3862">
      <w:pPr>
        <w:spacing w:before="120" w:line="320" w:lineRule="atLeast"/>
        <w:ind w:firstLine="420" w:firstLineChars="200"/>
        <w:rPr>
          <w:szCs w:val="21"/>
          <w:highlight w:val="none"/>
        </w:rPr>
      </w:pPr>
      <w:r>
        <w:rPr>
          <w:szCs w:val="21"/>
          <w:highlight w:val="none"/>
        </w:rPr>
        <w:t>1.5.1</w:t>
      </w:r>
      <w:r>
        <w:rPr>
          <w:rFonts w:hint="eastAsia"/>
          <w:szCs w:val="21"/>
          <w:highlight w:val="none"/>
        </w:rPr>
        <w:t>供应商资格要求：详见供应商须知前附表</w:t>
      </w:r>
    </w:p>
    <w:p w14:paraId="4D724B76">
      <w:pPr>
        <w:spacing w:before="120" w:line="320" w:lineRule="atLeast"/>
        <w:ind w:firstLine="420" w:firstLineChars="200"/>
        <w:rPr>
          <w:szCs w:val="21"/>
          <w:highlight w:val="none"/>
        </w:rPr>
      </w:pPr>
      <w:r>
        <w:rPr>
          <w:szCs w:val="21"/>
          <w:highlight w:val="none"/>
        </w:rPr>
        <w:t>1.5.2按照磋商公告的规定获得采购文件。</w:t>
      </w:r>
    </w:p>
    <w:p w14:paraId="7061B128">
      <w:pPr>
        <w:spacing w:before="120" w:line="320" w:lineRule="atLeast"/>
        <w:ind w:firstLine="420" w:firstLineChars="200"/>
        <w:rPr>
          <w:szCs w:val="21"/>
          <w:highlight w:val="none"/>
        </w:rPr>
      </w:pPr>
      <w:r>
        <w:rPr>
          <w:szCs w:val="21"/>
          <w:highlight w:val="none"/>
        </w:rPr>
        <w:t>1.5.3本项目是否接受联合体响应，见“供应商须知前附表”规定。</w:t>
      </w:r>
    </w:p>
    <w:p w14:paraId="51F5B2E5">
      <w:pPr>
        <w:spacing w:before="120" w:line="320" w:lineRule="atLeast"/>
        <w:ind w:firstLine="420" w:firstLineChars="200"/>
        <w:rPr>
          <w:szCs w:val="21"/>
          <w:highlight w:val="none"/>
        </w:rPr>
      </w:pPr>
      <w:r>
        <w:rPr>
          <w:rFonts w:hint="eastAsia"/>
          <w:szCs w:val="21"/>
          <w:highlight w:val="none"/>
        </w:rPr>
        <w:t xml:space="preserve">如接受联合体响应，联合体响应要求如下： </w:t>
      </w:r>
    </w:p>
    <w:p w14:paraId="245EF64B">
      <w:pPr>
        <w:spacing w:before="120" w:line="320" w:lineRule="atLeast"/>
        <w:ind w:firstLine="420" w:firstLineChars="200"/>
        <w:rPr>
          <w:szCs w:val="21"/>
          <w:highlight w:val="none"/>
        </w:rPr>
      </w:pPr>
      <w:r>
        <w:rPr>
          <w:rFonts w:hint="eastAsia"/>
          <w:szCs w:val="21"/>
          <w:highlight w:val="none"/>
        </w:rPr>
        <w:t>（1）供应商可以组成一个响应联合体，以一个供应商的身份共同参加响应。联合体响应的，须提供《联合体协议书》（格式后附）</w:t>
      </w:r>
    </w:p>
    <w:p w14:paraId="7F475759">
      <w:pPr>
        <w:spacing w:before="120" w:line="320" w:lineRule="atLeast"/>
        <w:ind w:firstLine="420" w:firstLineChars="200"/>
        <w:rPr>
          <w:szCs w:val="21"/>
          <w:highlight w:val="none"/>
        </w:rPr>
      </w:pPr>
      <w:r>
        <w:rPr>
          <w:rFonts w:hint="eastAsia"/>
          <w:szCs w:val="21"/>
          <w:highlight w:val="none"/>
        </w:rPr>
        <w:t>（2）以联合体形式参加响应的，联合体各方均必须具备《中华人民共和国政府采购法》第二十二条第一款规定的基本条件。本项目有特殊要求规定供应商特定条件的，联合体各方中至少有一方必须符合采购文件规定的特定条件。</w:t>
      </w:r>
    </w:p>
    <w:p w14:paraId="6A0ED7BA">
      <w:pPr>
        <w:spacing w:before="120" w:line="320" w:lineRule="atLeast"/>
        <w:ind w:firstLine="420" w:firstLineChars="200"/>
        <w:rPr>
          <w:szCs w:val="21"/>
          <w:highlight w:val="none"/>
        </w:rPr>
      </w:pPr>
      <w:r>
        <w:rPr>
          <w:rFonts w:hint="eastAsia"/>
          <w:szCs w:val="21"/>
          <w:highlight w:val="none"/>
        </w:rPr>
        <w:t>（3）联合体各方之间必须签订联合体协议，协议书必须明确主体方（或者牵头方）并明确约定联合体各方承担的工作和相应的责任，并将联合响应协议放入响应文件。联合体各方必须共同与采购人签订采购合同，就采购合同约定的事项对采购人承担连带责任。</w:t>
      </w:r>
    </w:p>
    <w:p w14:paraId="043EAADA">
      <w:pPr>
        <w:spacing w:before="120" w:line="320" w:lineRule="atLeast"/>
        <w:ind w:firstLine="420" w:firstLineChars="200"/>
        <w:rPr>
          <w:szCs w:val="21"/>
          <w:highlight w:val="none"/>
        </w:rPr>
      </w:pPr>
      <w:r>
        <w:rPr>
          <w:rFonts w:hint="eastAsia"/>
          <w:szCs w:val="21"/>
          <w:highlight w:val="none"/>
        </w:rPr>
        <w:t>（4）以联合体形式参加政府采购活动的，联合体各方不得再单独参加或者与其他供应商另外组成联合体参加同一合同项下的政府采购活动。</w:t>
      </w:r>
    </w:p>
    <w:p w14:paraId="299AF989">
      <w:pPr>
        <w:spacing w:before="120" w:line="320" w:lineRule="atLeast"/>
        <w:ind w:firstLine="420" w:firstLineChars="200"/>
        <w:rPr>
          <w:szCs w:val="21"/>
          <w:highlight w:val="none"/>
        </w:rPr>
      </w:pPr>
      <w:r>
        <w:rPr>
          <w:rFonts w:hint="eastAsia"/>
          <w:szCs w:val="21"/>
          <w:highlight w:val="none"/>
        </w:rPr>
        <w:t>（5）联合体中有同类资质的供应商按照联合体分工承担相同工作的，应当按照资质等级较低的供应商确定资质等级。</w:t>
      </w:r>
    </w:p>
    <w:p w14:paraId="31D8B85F">
      <w:pPr>
        <w:spacing w:before="120" w:line="320" w:lineRule="atLeast"/>
        <w:ind w:firstLine="420" w:firstLineChars="200"/>
        <w:rPr>
          <w:szCs w:val="21"/>
          <w:highlight w:val="none"/>
        </w:rPr>
      </w:pPr>
      <w:r>
        <w:rPr>
          <w:rFonts w:hint="eastAsia"/>
          <w:szCs w:val="21"/>
          <w:highlight w:val="none"/>
        </w:rPr>
        <w:t>（6）联合体响应业绩、履约能力按照联合体各方其中较高的一方认定并计算（采购文件其他章节另有规定的除外）。</w:t>
      </w:r>
    </w:p>
    <w:p w14:paraId="6F26A6D9">
      <w:pPr>
        <w:spacing w:before="120" w:line="320" w:lineRule="atLeast"/>
        <w:ind w:firstLine="420" w:firstLineChars="200"/>
        <w:rPr>
          <w:szCs w:val="21"/>
          <w:highlight w:val="none"/>
        </w:rPr>
      </w:pPr>
      <w:r>
        <w:rPr>
          <w:rFonts w:hint="eastAsia"/>
          <w:szCs w:val="21"/>
          <w:highlight w:val="none"/>
        </w:rPr>
        <w:t>（7）供应商为联合体的，可以由联合体中的一方或者多方共同交纳磋商保证金，其交纳的保证金对联合体各方均具有约束力。</w:t>
      </w:r>
    </w:p>
    <w:p w14:paraId="49E02C86">
      <w:pPr>
        <w:spacing w:before="120" w:line="320" w:lineRule="atLeast"/>
        <w:ind w:firstLine="420" w:firstLineChars="200"/>
        <w:rPr>
          <w:szCs w:val="21"/>
          <w:highlight w:val="none"/>
        </w:rPr>
      </w:pPr>
      <w:r>
        <w:rPr>
          <w:rFonts w:hint="eastAsia"/>
          <w:szCs w:val="21"/>
          <w:highlight w:val="none"/>
        </w:rPr>
        <w:t>（8）联合体各方均应按照采购文件的规定提交资格证明文件。</w:t>
      </w:r>
    </w:p>
    <w:p w14:paraId="3DD96534">
      <w:pPr>
        <w:spacing w:before="120" w:line="320" w:lineRule="atLeast"/>
        <w:ind w:firstLine="422" w:firstLineChars="200"/>
        <w:outlineLvl w:val="2"/>
        <w:rPr>
          <w:b/>
          <w:bCs/>
          <w:kern w:val="0"/>
          <w:szCs w:val="21"/>
          <w:highlight w:val="none"/>
        </w:rPr>
      </w:pPr>
      <w:bookmarkStart w:id="36" w:name="_Toc254970672"/>
      <w:bookmarkStart w:id="37" w:name="_Toc254970531"/>
      <w:r>
        <w:rPr>
          <w:b/>
          <w:bCs/>
          <w:kern w:val="0"/>
          <w:szCs w:val="21"/>
          <w:highlight w:val="none"/>
        </w:rPr>
        <w:t>1.6现场踏勘及响应费用</w:t>
      </w:r>
      <w:bookmarkEnd w:id="36"/>
      <w:bookmarkEnd w:id="37"/>
    </w:p>
    <w:p w14:paraId="3EE4B7DC">
      <w:pPr>
        <w:spacing w:before="120" w:line="320" w:lineRule="atLeast"/>
        <w:ind w:firstLine="420" w:firstLineChars="200"/>
        <w:rPr>
          <w:szCs w:val="21"/>
          <w:highlight w:val="none"/>
        </w:rPr>
      </w:pPr>
      <w:r>
        <w:rPr>
          <w:szCs w:val="21"/>
          <w:highlight w:val="none"/>
        </w:rPr>
        <w:t>1.6.1前附表如规定现场踏勘的，供应商应按规定时间地点参加踏勘。</w:t>
      </w:r>
    </w:p>
    <w:p w14:paraId="598C622E">
      <w:pPr>
        <w:spacing w:before="120" w:line="320" w:lineRule="atLeast"/>
        <w:ind w:firstLine="420" w:firstLineChars="200"/>
        <w:rPr>
          <w:szCs w:val="21"/>
          <w:highlight w:val="none"/>
        </w:rPr>
      </w:pPr>
      <w:r>
        <w:rPr>
          <w:szCs w:val="21"/>
          <w:highlight w:val="none"/>
        </w:rPr>
        <w:t>1.6.2供应商均应自行承担所有与响应有关的全部费用（采购文件有相关的规定除外）。</w:t>
      </w:r>
    </w:p>
    <w:p w14:paraId="1225CA7F">
      <w:pPr>
        <w:spacing w:before="120" w:line="320" w:lineRule="atLeast"/>
        <w:ind w:firstLine="422" w:firstLineChars="200"/>
        <w:outlineLvl w:val="2"/>
        <w:rPr>
          <w:b/>
          <w:bCs/>
          <w:kern w:val="0"/>
          <w:szCs w:val="21"/>
          <w:highlight w:val="none"/>
        </w:rPr>
      </w:pPr>
      <w:r>
        <w:rPr>
          <w:b/>
          <w:bCs/>
          <w:kern w:val="0"/>
          <w:szCs w:val="21"/>
          <w:highlight w:val="none"/>
        </w:rPr>
        <w:t>1.7转包与分包</w:t>
      </w:r>
    </w:p>
    <w:p w14:paraId="1AC69A67">
      <w:pPr>
        <w:spacing w:before="120" w:line="320" w:lineRule="atLeast"/>
        <w:ind w:firstLine="420" w:firstLineChars="200"/>
        <w:rPr>
          <w:szCs w:val="21"/>
          <w:highlight w:val="none"/>
        </w:rPr>
      </w:pPr>
      <w:r>
        <w:rPr>
          <w:szCs w:val="21"/>
          <w:highlight w:val="none"/>
        </w:rPr>
        <w:t>1.7.1如</w:t>
      </w:r>
      <w:r>
        <w:rPr>
          <w:rFonts w:hint="eastAsia"/>
          <w:szCs w:val="21"/>
          <w:highlight w:val="none"/>
        </w:rPr>
        <w:t>采购文件</w:t>
      </w:r>
      <w:r>
        <w:rPr>
          <w:szCs w:val="21"/>
          <w:highlight w:val="none"/>
        </w:rPr>
        <w:t>其他地方无特别规定</w:t>
      </w:r>
      <w:r>
        <w:rPr>
          <w:rFonts w:hint="eastAsia"/>
          <w:szCs w:val="21"/>
          <w:highlight w:val="none"/>
        </w:rPr>
        <w:t>，</w:t>
      </w:r>
      <w:r>
        <w:rPr>
          <w:szCs w:val="21"/>
          <w:highlight w:val="none"/>
        </w:rPr>
        <w:t>本项目不允许转包。</w:t>
      </w:r>
    </w:p>
    <w:p w14:paraId="036B6E56">
      <w:pPr>
        <w:spacing w:before="120" w:line="320" w:lineRule="atLeast"/>
        <w:ind w:firstLine="420" w:firstLineChars="200"/>
        <w:rPr>
          <w:szCs w:val="21"/>
          <w:highlight w:val="none"/>
        </w:rPr>
      </w:pPr>
      <w:r>
        <w:rPr>
          <w:szCs w:val="21"/>
          <w:highlight w:val="none"/>
        </w:rPr>
        <w:t>1.7.2</w:t>
      </w:r>
      <w:r>
        <w:rPr>
          <w:rFonts w:hint="eastAsia"/>
          <w:szCs w:val="21"/>
          <w:highlight w:val="none"/>
        </w:rPr>
        <w:t>本项目是否允许分包详见“供应商须知前附表”，本项目不允许违法分包。供应商根据采购文件的规定和采购项目的实际情况，拟在成交后将成交项目的非主体、非关键性工作分包的，应当在响应文件中载明分包承担主体，分包承担主体应当具备相应资质条件且不得再次分包。</w:t>
      </w:r>
    </w:p>
    <w:p w14:paraId="61A42308">
      <w:pPr>
        <w:spacing w:before="120" w:line="276" w:lineRule="auto"/>
        <w:ind w:firstLine="422" w:firstLineChars="200"/>
        <w:outlineLvl w:val="2"/>
        <w:rPr>
          <w:b/>
          <w:bCs/>
          <w:kern w:val="0"/>
          <w:szCs w:val="21"/>
          <w:highlight w:val="none"/>
        </w:rPr>
      </w:pPr>
      <w:bookmarkStart w:id="38" w:name="_Toc254970673"/>
      <w:bookmarkStart w:id="39" w:name="_Toc254970532"/>
      <w:r>
        <w:rPr>
          <w:b/>
          <w:bCs/>
          <w:kern w:val="0"/>
          <w:szCs w:val="21"/>
          <w:highlight w:val="none"/>
        </w:rPr>
        <w:t>1.8特别说明</w:t>
      </w:r>
      <w:bookmarkEnd w:id="38"/>
      <w:bookmarkEnd w:id="39"/>
    </w:p>
    <w:p w14:paraId="46273568">
      <w:pPr>
        <w:spacing w:line="276" w:lineRule="auto"/>
        <w:ind w:firstLine="420" w:firstLineChars="200"/>
        <w:rPr>
          <w:szCs w:val="21"/>
          <w:highlight w:val="none"/>
        </w:rPr>
      </w:pPr>
      <w:r>
        <w:rPr>
          <w:szCs w:val="21"/>
          <w:highlight w:val="none"/>
        </w:rPr>
        <w:t>1.8.1 供应商应保证其提供的联系方式（电话、传真、电子邮件）有效，以保证往来函件（澄清、修改等）能及时通知供应商，并能及时反馈，否则采购人</w:t>
      </w:r>
      <w:r>
        <w:rPr>
          <w:rFonts w:hint="eastAsia"/>
          <w:szCs w:val="21"/>
          <w:highlight w:val="none"/>
        </w:rPr>
        <w:t>及代理机构</w:t>
      </w:r>
      <w:r>
        <w:rPr>
          <w:szCs w:val="21"/>
          <w:highlight w:val="none"/>
        </w:rPr>
        <w:t>不承担由此引起的一切后果。</w:t>
      </w:r>
    </w:p>
    <w:p w14:paraId="2D735687">
      <w:pPr>
        <w:spacing w:before="120" w:line="320" w:lineRule="atLeast"/>
        <w:ind w:firstLine="420" w:firstLineChars="200"/>
        <w:rPr>
          <w:szCs w:val="21"/>
          <w:highlight w:val="none"/>
        </w:rPr>
      </w:pPr>
      <w:r>
        <w:rPr>
          <w:szCs w:val="21"/>
          <w:highlight w:val="none"/>
        </w:rPr>
        <w:t>1.8.2供应商应仔细阅读采购文件的所有内容，按照采购文件的要求提交响应文件，并对所提供的全部资料的真实性承担法律责任。</w:t>
      </w:r>
    </w:p>
    <w:p w14:paraId="32586D42">
      <w:pPr>
        <w:spacing w:before="120" w:line="360" w:lineRule="auto"/>
        <w:ind w:firstLine="420" w:firstLineChars="200"/>
        <w:rPr>
          <w:szCs w:val="21"/>
          <w:highlight w:val="none"/>
        </w:rPr>
      </w:pPr>
      <w:r>
        <w:rPr>
          <w:szCs w:val="21"/>
          <w:highlight w:val="none"/>
        </w:rPr>
        <w:t>1.8.3供应商在响应活动中提供任何虚假材料，</w:t>
      </w:r>
      <w:r>
        <w:rPr>
          <w:rFonts w:hint="eastAsia"/>
          <w:szCs w:val="21"/>
          <w:highlight w:val="none"/>
        </w:rPr>
        <w:t>将</w:t>
      </w:r>
      <w:r>
        <w:rPr>
          <w:szCs w:val="21"/>
          <w:highlight w:val="none"/>
        </w:rPr>
        <w:t xml:space="preserve">报监管部门查处； </w:t>
      </w:r>
    </w:p>
    <w:p w14:paraId="75F63F4B">
      <w:pPr>
        <w:spacing w:before="120" w:line="320" w:lineRule="atLeast"/>
        <w:ind w:left="2" w:leftChars="1" w:firstLine="422" w:firstLineChars="200"/>
        <w:outlineLvl w:val="1"/>
        <w:rPr>
          <w:b/>
          <w:bCs/>
          <w:kern w:val="0"/>
          <w:szCs w:val="21"/>
          <w:highlight w:val="none"/>
        </w:rPr>
      </w:pPr>
      <w:bookmarkStart w:id="40" w:name="_Toc254970534"/>
      <w:bookmarkStart w:id="41" w:name="_Toc254970675"/>
      <w:r>
        <w:rPr>
          <w:b/>
          <w:bCs/>
          <w:kern w:val="0"/>
          <w:szCs w:val="21"/>
          <w:highlight w:val="none"/>
        </w:rPr>
        <w:t>2．采购文件</w:t>
      </w:r>
      <w:bookmarkEnd w:id="40"/>
      <w:bookmarkEnd w:id="41"/>
    </w:p>
    <w:p w14:paraId="266B9E22">
      <w:pPr>
        <w:spacing w:before="120" w:line="320" w:lineRule="atLeast"/>
        <w:ind w:firstLine="422" w:firstLineChars="200"/>
        <w:outlineLvl w:val="2"/>
        <w:rPr>
          <w:b/>
          <w:bCs/>
          <w:kern w:val="0"/>
          <w:szCs w:val="21"/>
          <w:highlight w:val="none"/>
        </w:rPr>
      </w:pPr>
      <w:r>
        <w:rPr>
          <w:b/>
          <w:bCs/>
          <w:kern w:val="0"/>
          <w:szCs w:val="21"/>
          <w:highlight w:val="none"/>
        </w:rPr>
        <w:t>2.1采购文件的构成</w:t>
      </w:r>
    </w:p>
    <w:p w14:paraId="691E376B">
      <w:pPr>
        <w:spacing w:before="120" w:line="320" w:lineRule="atLeast"/>
        <w:ind w:firstLine="420" w:firstLineChars="200"/>
        <w:rPr>
          <w:szCs w:val="21"/>
          <w:highlight w:val="none"/>
        </w:rPr>
      </w:pPr>
      <w:r>
        <w:rPr>
          <w:szCs w:val="21"/>
          <w:highlight w:val="none"/>
        </w:rPr>
        <w:t>第一章 磋商公告</w:t>
      </w:r>
    </w:p>
    <w:p w14:paraId="3D1B34AF">
      <w:pPr>
        <w:spacing w:before="120" w:line="320" w:lineRule="atLeast"/>
        <w:ind w:firstLine="420" w:firstLineChars="200"/>
        <w:rPr>
          <w:szCs w:val="21"/>
          <w:highlight w:val="none"/>
        </w:rPr>
      </w:pPr>
      <w:r>
        <w:rPr>
          <w:szCs w:val="21"/>
          <w:highlight w:val="none"/>
        </w:rPr>
        <w:t>第二章 采购需求</w:t>
      </w:r>
    </w:p>
    <w:p w14:paraId="1EEA8163">
      <w:pPr>
        <w:spacing w:before="120" w:line="320" w:lineRule="atLeast"/>
        <w:ind w:firstLine="420" w:firstLineChars="200"/>
        <w:rPr>
          <w:szCs w:val="21"/>
          <w:highlight w:val="none"/>
        </w:rPr>
      </w:pPr>
      <w:r>
        <w:rPr>
          <w:szCs w:val="21"/>
          <w:highlight w:val="none"/>
        </w:rPr>
        <w:t>第三章 供应商须知</w:t>
      </w:r>
    </w:p>
    <w:p w14:paraId="5DA5DF62">
      <w:pPr>
        <w:spacing w:before="120" w:line="320" w:lineRule="atLeast"/>
        <w:ind w:firstLine="420" w:firstLineChars="200"/>
        <w:rPr>
          <w:szCs w:val="21"/>
          <w:highlight w:val="none"/>
        </w:rPr>
      </w:pPr>
      <w:r>
        <w:rPr>
          <w:szCs w:val="21"/>
          <w:highlight w:val="none"/>
        </w:rPr>
        <w:t>第四章 评审方法及标准</w:t>
      </w:r>
    </w:p>
    <w:p w14:paraId="1EEAE455">
      <w:pPr>
        <w:spacing w:before="120" w:line="320" w:lineRule="atLeast"/>
        <w:ind w:firstLine="420" w:firstLineChars="200"/>
        <w:rPr>
          <w:szCs w:val="21"/>
          <w:highlight w:val="none"/>
        </w:rPr>
      </w:pPr>
      <w:r>
        <w:rPr>
          <w:szCs w:val="21"/>
          <w:highlight w:val="none"/>
        </w:rPr>
        <w:t>第五章 合同主要条款格式</w:t>
      </w:r>
    </w:p>
    <w:p w14:paraId="55564A44">
      <w:pPr>
        <w:spacing w:before="120" w:line="320" w:lineRule="atLeast"/>
        <w:ind w:firstLine="420" w:firstLineChars="200"/>
        <w:rPr>
          <w:szCs w:val="21"/>
          <w:highlight w:val="none"/>
        </w:rPr>
      </w:pPr>
      <w:r>
        <w:rPr>
          <w:szCs w:val="21"/>
          <w:highlight w:val="none"/>
        </w:rPr>
        <w:t>第六章 响应文件格式</w:t>
      </w:r>
    </w:p>
    <w:p w14:paraId="4863BE17">
      <w:pPr>
        <w:spacing w:before="120" w:line="320" w:lineRule="atLeast"/>
        <w:ind w:firstLine="422" w:firstLineChars="200"/>
        <w:outlineLvl w:val="2"/>
        <w:rPr>
          <w:b/>
          <w:bCs/>
          <w:kern w:val="0"/>
          <w:szCs w:val="21"/>
          <w:highlight w:val="none"/>
        </w:rPr>
      </w:pPr>
      <w:r>
        <w:rPr>
          <w:b/>
          <w:bCs/>
          <w:kern w:val="0"/>
          <w:szCs w:val="21"/>
          <w:highlight w:val="none"/>
        </w:rPr>
        <w:t>2.2供应商的风险</w:t>
      </w:r>
    </w:p>
    <w:p w14:paraId="6EEE8773">
      <w:pPr>
        <w:spacing w:before="120" w:line="320" w:lineRule="atLeast"/>
        <w:ind w:firstLine="420" w:firstLineChars="200"/>
        <w:rPr>
          <w:szCs w:val="21"/>
          <w:highlight w:val="none"/>
        </w:rPr>
      </w:pPr>
      <w:r>
        <w:rPr>
          <w:szCs w:val="21"/>
          <w:highlight w:val="none"/>
        </w:rPr>
        <w:t>供应商没有按照采购文件要求提供全部资料，或者供应商没有对采购文件在各方面作出实质性响应是供应商的风险，并可能导致其响应被否决。</w:t>
      </w:r>
    </w:p>
    <w:p w14:paraId="6086403F">
      <w:pPr>
        <w:spacing w:before="120" w:line="320" w:lineRule="atLeast"/>
        <w:ind w:firstLine="422" w:firstLineChars="200"/>
        <w:outlineLvl w:val="2"/>
        <w:rPr>
          <w:b/>
          <w:szCs w:val="21"/>
          <w:highlight w:val="none"/>
        </w:rPr>
      </w:pPr>
      <w:r>
        <w:rPr>
          <w:b/>
          <w:bCs/>
          <w:kern w:val="0"/>
          <w:szCs w:val="21"/>
          <w:highlight w:val="none"/>
        </w:rPr>
        <w:t>2.3采购文件的澄清与修改</w:t>
      </w:r>
    </w:p>
    <w:p w14:paraId="5F3C250A">
      <w:pPr>
        <w:spacing w:before="120" w:line="320" w:lineRule="atLeast"/>
        <w:ind w:firstLine="420" w:firstLineChars="200"/>
        <w:rPr>
          <w:szCs w:val="21"/>
          <w:highlight w:val="none"/>
        </w:rPr>
      </w:pPr>
      <w:r>
        <w:rPr>
          <w:szCs w:val="21"/>
          <w:highlight w:val="none"/>
        </w:rPr>
        <w:t>2.3.1</w:t>
      </w:r>
      <w:r>
        <w:rPr>
          <w:rFonts w:hint="eastAsia"/>
          <w:szCs w:val="21"/>
          <w:highlight w:val="none"/>
        </w:rPr>
        <w:t>任何已获得采购文件的潜在供应商，均可</w:t>
      </w:r>
      <w:r>
        <w:rPr>
          <w:szCs w:val="21"/>
          <w:highlight w:val="none"/>
        </w:rPr>
        <w:t>以书面形式要求采购代理机构作出书面解释、澄清</w:t>
      </w:r>
      <w:r>
        <w:rPr>
          <w:rFonts w:hint="eastAsia"/>
          <w:szCs w:val="21"/>
          <w:highlight w:val="none"/>
        </w:rPr>
        <w:t>。</w:t>
      </w:r>
    </w:p>
    <w:p w14:paraId="0A2ACE65">
      <w:pPr>
        <w:spacing w:before="120" w:line="320" w:lineRule="atLeast"/>
        <w:ind w:firstLine="420" w:firstLineChars="200"/>
        <w:rPr>
          <w:szCs w:val="21"/>
          <w:highlight w:val="none"/>
        </w:rPr>
      </w:pPr>
      <w:r>
        <w:rPr>
          <w:szCs w:val="21"/>
          <w:highlight w:val="none"/>
        </w:rPr>
        <w:t>2.3.2</w:t>
      </w:r>
      <w:r>
        <w:rPr>
          <w:rFonts w:hint="eastAsia"/>
          <w:szCs w:val="21"/>
          <w:highlight w:val="none"/>
        </w:rPr>
        <w:t>采购人、采购代理机构可以对已发出的采购文件进行必要的澄清或者修改，澄清或者修改的内容可能影响响应文件编制的，采购人、采购代理机构应当在提交首次响应文件截止之日3个工作日前，</w:t>
      </w:r>
      <w:bookmarkStart w:id="42" w:name="_Hlk133590520"/>
      <w:r>
        <w:rPr>
          <w:rFonts w:hint="eastAsia"/>
          <w:szCs w:val="21"/>
          <w:highlight w:val="none"/>
        </w:rPr>
        <w:t>在供应商须知前附表规定的方式</w:t>
      </w:r>
      <w:bookmarkEnd w:id="42"/>
      <w:r>
        <w:rPr>
          <w:rFonts w:hint="eastAsia"/>
          <w:szCs w:val="21"/>
          <w:highlight w:val="none"/>
        </w:rPr>
        <w:t>通知所有获取采购文件的潜在供应商；不足3个工作日的，采购人、采购代理机构应当顺延提交首次响应文件截止时间。</w:t>
      </w:r>
    </w:p>
    <w:p w14:paraId="028F7114">
      <w:pPr>
        <w:spacing w:before="120" w:line="320" w:lineRule="atLeast"/>
        <w:ind w:firstLine="420" w:firstLineChars="200"/>
        <w:rPr>
          <w:szCs w:val="21"/>
          <w:highlight w:val="none"/>
        </w:rPr>
      </w:pPr>
      <w:r>
        <w:rPr>
          <w:szCs w:val="21"/>
          <w:highlight w:val="none"/>
        </w:rPr>
        <w:t>2.3.3采购文件澄清、答复、修改、补充的内容为采购文件的组成部分。当采购文件与采购文件的答复、澄清、修改、补充通知就同一内容的表述不一致时，以最后发出的公告或书面文件为准。</w:t>
      </w:r>
    </w:p>
    <w:p w14:paraId="280D4B26">
      <w:pPr>
        <w:spacing w:before="120" w:line="320" w:lineRule="atLeast"/>
        <w:ind w:left="2" w:leftChars="1" w:firstLine="422" w:firstLineChars="200"/>
        <w:outlineLvl w:val="1"/>
        <w:rPr>
          <w:b/>
          <w:bCs/>
          <w:kern w:val="0"/>
          <w:szCs w:val="21"/>
          <w:highlight w:val="none"/>
        </w:rPr>
      </w:pPr>
      <w:bookmarkStart w:id="43" w:name="_Toc254970676"/>
      <w:bookmarkStart w:id="44" w:name="_Toc254970535"/>
      <w:r>
        <w:rPr>
          <w:b/>
          <w:bCs/>
          <w:kern w:val="0"/>
          <w:szCs w:val="21"/>
          <w:highlight w:val="none"/>
        </w:rPr>
        <w:t>3．响应文件</w:t>
      </w:r>
      <w:bookmarkEnd w:id="43"/>
      <w:bookmarkEnd w:id="44"/>
    </w:p>
    <w:p w14:paraId="77BAAB4F">
      <w:pPr>
        <w:spacing w:before="120" w:line="320" w:lineRule="atLeast"/>
        <w:ind w:firstLine="422" w:firstLineChars="200"/>
        <w:outlineLvl w:val="2"/>
        <w:rPr>
          <w:b/>
          <w:bCs/>
          <w:kern w:val="0"/>
          <w:szCs w:val="21"/>
          <w:highlight w:val="none"/>
        </w:rPr>
      </w:pPr>
      <w:bookmarkStart w:id="45" w:name="_Toc254970677"/>
      <w:bookmarkStart w:id="46" w:name="_Toc254970536"/>
      <w:r>
        <w:rPr>
          <w:b/>
          <w:bCs/>
          <w:kern w:val="0"/>
          <w:szCs w:val="21"/>
          <w:highlight w:val="none"/>
        </w:rPr>
        <w:t>3.1响应文件的组成</w:t>
      </w:r>
      <w:bookmarkEnd w:id="45"/>
      <w:bookmarkEnd w:id="46"/>
    </w:p>
    <w:p w14:paraId="76DF776B">
      <w:pPr>
        <w:spacing w:before="120" w:line="320" w:lineRule="atLeast"/>
        <w:ind w:firstLine="420" w:firstLineChars="200"/>
        <w:rPr>
          <w:szCs w:val="21"/>
          <w:highlight w:val="none"/>
        </w:rPr>
      </w:pPr>
      <w:r>
        <w:rPr>
          <w:szCs w:val="21"/>
          <w:highlight w:val="none"/>
        </w:rPr>
        <w:t>响应文件由第六章“响应文件格式”规定的</w:t>
      </w:r>
      <w:r>
        <w:rPr>
          <w:rFonts w:hint="eastAsia"/>
          <w:szCs w:val="21"/>
          <w:highlight w:val="none"/>
        </w:rPr>
        <w:t>内容</w:t>
      </w:r>
      <w:r>
        <w:rPr>
          <w:szCs w:val="21"/>
          <w:highlight w:val="none"/>
        </w:rPr>
        <w:t>和供应商所作的一切有效补充、修改和承诺等文件组成</w:t>
      </w:r>
      <w:r>
        <w:rPr>
          <w:rFonts w:hint="eastAsia"/>
          <w:szCs w:val="21"/>
          <w:highlight w:val="none"/>
        </w:rPr>
        <w:t>。</w:t>
      </w:r>
    </w:p>
    <w:p w14:paraId="68689DF1">
      <w:pPr>
        <w:spacing w:before="120" w:line="320" w:lineRule="atLeast"/>
        <w:ind w:firstLine="422" w:firstLineChars="200"/>
        <w:outlineLvl w:val="2"/>
        <w:rPr>
          <w:b/>
          <w:bCs/>
          <w:kern w:val="0"/>
          <w:szCs w:val="21"/>
          <w:highlight w:val="none"/>
        </w:rPr>
      </w:pPr>
      <w:bookmarkStart w:id="47" w:name="_Toc254970537"/>
      <w:bookmarkStart w:id="48" w:name="_Toc254970678"/>
      <w:r>
        <w:rPr>
          <w:b/>
          <w:szCs w:val="21"/>
          <w:highlight w:val="none"/>
        </w:rPr>
        <w:t>3.2</w:t>
      </w:r>
      <w:r>
        <w:rPr>
          <w:b/>
          <w:bCs/>
          <w:kern w:val="0"/>
          <w:szCs w:val="21"/>
          <w:highlight w:val="none"/>
        </w:rPr>
        <w:t>响应文件的语言及计量</w:t>
      </w:r>
      <w:bookmarkEnd w:id="47"/>
      <w:bookmarkEnd w:id="48"/>
    </w:p>
    <w:p w14:paraId="5CB86074">
      <w:pPr>
        <w:spacing w:before="120" w:line="320" w:lineRule="atLeast"/>
        <w:ind w:firstLine="420" w:firstLineChars="200"/>
        <w:rPr>
          <w:szCs w:val="21"/>
          <w:highlight w:val="none"/>
        </w:rPr>
      </w:pPr>
      <w:r>
        <w:rPr>
          <w:szCs w:val="21"/>
          <w:highlight w:val="none"/>
        </w:rPr>
        <w:t>3.2.1</w:t>
      </w:r>
      <w:r>
        <w:rPr>
          <w:rFonts w:hint="eastAsia"/>
          <w:szCs w:val="21"/>
          <w:highlight w:val="none"/>
        </w:rPr>
        <w:t>响应文件以及供应商与采购人就有关响应事宜的所有来往函电，均应以中文书写（除专用术语外，与招标响应有关的语言均使用中文。必要时专用术语应附有中文注释）。供应商提交的支持文件和印刷的文献可以使用别的语言，但其相应内容应同时附中文翻译文本，在解释响应文件时以中文翻译文本为主。对不同文字文本响应文件的解释发生异议的，以中文文本为准。</w:t>
      </w:r>
    </w:p>
    <w:p w14:paraId="6436A6BB">
      <w:pPr>
        <w:spacing w:before="120" w:line="320" w:lineRule="atLeast"/>
        <w:ind w:firstLine="420" w:firstLineChars="200"/>
        <w:rPr>
          <w:szCs w:val="21"/>
          <w:highlight w:val="none"/>
        </w:rPr>
      </w:pPr>
      <w:r>
        <w:rPr>
          <w:szCs w:val="21"/>
          <w:highlight w:val="none"/>
        </w:rPr>
        <w:t>3.2.2计量单位采购文件已有明确规定的，响应使用采购文件规定的计量单位；采购文件没有规定的，应采用中华人民共和国法定计量单位。</w:t>
      </w:r>
    </w:p>
    <w:p w14:paraId="1F02C876">
      <w:pPr>
        <w:spacing w:before="120" w:line="320" w:lineRule="atLeast"/>
        <w:ind w:firstLine="422" w:firstLineChars="200"/>
        <w:outlineLvl w:val="2"/>
        <w:rPr>
          <w:b/>
          <w:bCs/>
          <w:kern w:val="0"/>
          <w:szCs w:val="21"/>
          <w:highlight w:val="none"/>
        </w:rPr>
      </w:pPr>
      <w:bookmarkStart w:id="49" w:name="_Toc254970538"/>
      <w:bookmarkStart w:id="50" w:name="_Toc254970679"/>
      <w:r>
        <w:rPr>
          <w:b/>
          <w:bCs/>
          <w:kern w:val="0"/>
          <w:szCs w:val="21"/>
          <w:highlight w:val="none"/>
        </w:rPr>
        <w:t>3.3响应报价</w:t>
      </w:r>
      <w:bookmarkEnd w:id="49"/>
      <w:bookmarkEnd w:id="50"/>
    </w:p>
    <w:p w14:paraId="3DCDE0CE">
      <w:pPr>
        <w:spacing w:before="120" w:line="320" w:lineRule="atLeast"/>
        <w:ind w:firstLine="420" w:firstLineChars="200"/>
        <w:rPr>
          <w:szCs w:val="21"/>
          <w:highlight w:val="none"/>
        </w:rPr>
      </w:pPr>
      <w:r>
        <w:rPr>
          <w:szCs w:val="21"/>
          <w:highlight w:val="none"/>
        </w:rPr>
        <w:t>3.3.1响应报价应按采购文件中相关附表格式填写。</w:t>
      </w:r>
    </w:p>
    <w:p w14:paraId="01B111A9">
      <w:pPr>
        <w:spacing w:before="120" w:line="320" w:lineRule="atLeast"/>
        <w:ind w:firstLine="420" w:firstLineChars="200"/>
        <w:rPr>
          <w:szCs w:val="21"/>
          <w:highlight w:val="none"/>
        </w:rPr>
      </w:pPr>
      <w:r>
        <w:rPr>
          <w:szCs w:val="21"/>
          <w:highlight w:val="none"/>
        </w:rPr>
        <w:t>3.3.2响应文件只允许有一个报价，有选择的或有条件的报价将不予接受。</w:t>
      </w:r>
    </w:p>
    <w:p w14:paraId="337D90AC">
      <w:pPr>
        <w:suppressAutoHyphens/>
        <w:spacing w:before="120" w:line="320" w:lineRule="atLeast"/>
        <w:ind w:firstLine="420" w:firstLineChars="200"/>
        <w:rPr>
          <w:kern w:val="1"/>
          <w:szCs w:val="21"/>
          <w:highlight w:val="none"/>
        </w:rPr>
      </w:pPr>
      <w:r>
        <w:rPr>
          <w:kern w:val="1"/>
          <w:szCs w:val="21"/>
          <w:highlight w:val="none"/>
        </w:rPr>
        <w:t>3.3.3对于本文件中未列明，而供应商认为必需的费用也需列入</w:t>
      </w:r>
      <w:r>
        <w:rPr>
          <w:rFonts w:hint="eastAsia"/>
          <w:kern w:val="1"/>
          <w:szCs w:val="21"/>
          <w:highlight w:val="none"/>
        </w:rPr>
        <w:t>响应报价</w:t>
      </w:r>
      <w:r>
        <w:rPr>
          <w:kern w:val="1"/>
          <w:szCs w:val="21"/>
          <w:highlight w:val="none"/>
        </w:rPr>
        <w:t>。在合同实施时，采购人将不予支付成交供应商没有列入的项目费用，并认为此项目的费用已包括在</w:t>
      </w:r>
      <w:r>
        <w:rPr>
          <w:rFonts w:hint="eastAsia"/>
          <w:kern w:val="1"/>
          <w:szCs w:val="21"/>
          <w:highlight w:val="none"/>
        </w:rPr>
        <w:t>响应报价</w:t>
      </w:r>
      <w:r>
        <w:rPr>
          <w:kern w:val="1"/>
          <w:szCs w:val="21"/>
          <w:highlight w:val="none"/>
        </w:rPr>
        <w:t>中。</w:t>
      </w:r>
    </w:p>
    <w:p w14:paraId="6C3A4454">
      <w:pPr>
        <w:suppressAutoHyphens/>
        <w:spacing w:before="120" w:line="320" w:lineRule="atLeast"/>
        <w:ind w:firstLine="420" w:firstLineChars="200"/>
        <w:rPr>
          <w:b/>
          <w:bCs/>
          <w:kern w:val="1"/>
          <w:szCs w:val="21"/>
          <w:highlight w:val="none"/>
        </w:rPr>
      </w:pPr>
      <w:r>
        <w:rPr>
          <w:rFonts w:hint="eastAsia"/>
          <w:kern w:val="1"/>
          <w:szCs w:val="21"/>
          <w:highlight w:val="none"/>
        </w:rPr>
        <w:t>3</w:t>
      </w:r>
      <w:r>
        <w:rPr>
          <w:kern w:val="1"/>
          <w:szCs w:val="21"/>
          <w:highlight w:val="none"/>
        </w:rPr>
        <w:t>.3.4</w:t>
      </w:r>
      <w:r>
        <w:rPr>
          <w:rFonts w:hint="eastAsia"/>
          <w:kern w:val="1"/>
          <w:szCs w:val="21"/>
          <w:highlight w:val="none"/>
        </w:rPr>
        <w:t>采购人不接受供应商给予的赠品、回扣或者与采购无关的其他商品、服务。</w:t>
      </w:r>
    </w:p>
    <w:p w14:paraId="33A3582D">
      <w:pPr>
        <w:spacing w:before="120" w:line="320" w:lineRule="atLeast"/>
        <w:ind w:firstLine="422" w:firstLineChars="200"/>
        <w:outlineLvl w:val="2"/>
        <w:rPr>
          <w:b/>
          <w:bCs/>
          <w:kern w:val="0"/>
          <w:szCs w:val="21"/>
          <w:highlight w:val="none"/>
        </w:rPr>
      </w:pPr>
      <w:r>
        <w:rPr>
          <w:b/>
          <w:bCs/>
          <w:kern w:val="0"/>
          <w:szCs w:val="21"/>
          <w:highlight w:val="none"/>
        </w:rPr>
        <w:t>3.4响应有效期</w:t>
      </w:r>
    </w:p>
    <w:p w14:paraId="4A53B51C">
      <w:pPr>
        <w:spacing w:before="120" w:line="320" w:lineRule="atLeast"/>
        <w:ind w:firstLine="420" w:firstLineChars="200"/>
        <w:rPr>
          <w:szCs w:val="21"/>
          <w:highlight w:val="none"/>
        </w:rPr>
      </w:pPr>
      <w:r>
        <w:rPr>
          <w:szCs w:val="21"/>
          <w:highlight w:val="none"/>
        </w:rPr>
        <w:t>3.4.1如采购文件其他地方无特别规定</w:t>
      </w:r>
      <w:r>
        <w:rPr>
          <w:rFonts w:hint="eastAsia"/>
          <w:szCs w:val="21"/>
          <w:highlight w:val="none"/>
        </w:rPr>
        <w:t>，</w:t>
      </w:r>
      <w:r>
        <w:rPr>
          <w:szCs w:val="21"/>
          <w:highlight w:val="none"/>
        </w:rPr>
        <w:t>响应有效期则为响应截止之日起90天</w:t>
      </w:r>
      <w:r>
        <w:rPr>
          <w:rFonts w:hint="eastAsia"/>
          <w:szCs w:val="21"/>
          <w:highlight w:val="none"/>
        </w:rPr>
        <w:t>。</w:t>
      </w:r>
      <w:r>
        <w:rPr>
          <w:szCs w:val="21"/>
          <w:highlight w:val="none"/>
        </w:rPr>
        <w:t>在响应有效期内响应文件应保持有效。</w:t>
      </w:r>
      <w:r>
        <w:rPr>
          <w:b/>
          <w:bCs/>
          <w:szCs w:val="21"/>
          <w:highlight w:val="none"/>
        </w:rPr>
        <w:t>有效期不足的响应文件将被否决</w:t>
      </w:r>
      <w:r>
        <w:rPr>
          <w:szCs w:val="21"/>
          <w:highlight w:val="none"/>
        </w:rPr>
        <w:t>。</w:t>
      </w:r>
    </w:p>
    <w:p w14:paraId="79C221FB">
      <w:pPr>
        <w:spacing w:before="120" w:line="320" w:lineRule="atLeast"/>
        <w:ind w:firstLine="420" w:firstLineChars="200"/>
        <w:rPr>
          <w:szCs w:val="21"/>
          <w:highlight w:val="none"/>
        </w:rPr>
      </w:pPr>
      <w:r>
        <w:rPr>
          <w:szCs w:val="21"/>
          <w:highlight w:val="none"/>
        </w:rPr>
        <w:t>3.4.2在特殊情况下，采购人可与供应商协商延长响应文件的有效期，这种要求和答复均以书面形式进行。</w:t>
      </w:r>
    </w:p>
    <w:p w14:paraId="2EA12181">
      <w:pPr>
        <w:spacing w:before="120" w:line="320" w:lineRule="atLeast"/>
        <w:ind w:firstLine="420" w:firstLineChars="200"/>
        <w:rPr>
          <w:szCs w:val="21"/>
          <w:highlight w:val="none"/>
        </w:rPr>
      </w:pPr>
      <w:r>
        <w:rPr>
          <w:szCs w:val="21"/>
          <w:highlight w:val="none"/>
        </w:rPr>
        <w:t>3.4.3</w:t>
      </w:r>
      <w:r>
        <w:rPr>
          <w:rFonts w:hint="eastAsia"/>
          <w:szCs w:val="21"/>
          <w:highlight w:val="none"/>
        </w:rPr>
        <w:t>供应商同意延长的响应有效期的，如本项目要求提交保证金则应相应延长其磋商保证金的有效期，但不得要求或被允许修改或撤销其响应文件；供应商拒绝延长的，其响应无效，但供应商有权收回其磋商保证金。</w:t>
      </w:r>
    </w:p>
    <w:p w14:paraId="146DA9DF">
      <w:pPr>
        <w:spacing w:before="120" w:line="320" w:lineRule="atLeast"/>
        <w:ind w:firstLine="422" w:firstLineChars="200"/>
        <w:outlineLvl w:val="2"/>
        <w:rPr>
          <w:b/>
          <w:bCs/>
          <w:kern w:val="0"/>
          <w:szCs w:val="21"/>
          <w:highlight w:val="none"/>
        </w:rPr>
      </w:pPr>
      <w:bookmarkStart w:id="51" w:name="_Toc254970682"/>
      <w:bookmarkStart w:id="52" w:name="_Toc254970541"/>
      <w:r>
        <w:rPr>
          <w:b/>
          <w:bCs/>
          <w:kern w:val="0"/>
          <w:szCs w:val="21"/>
          <w:highlight w:val="none"/>
        </w:rPr>
        <w:t>3.5磋商保证金</w:t>
      </w:r>
      <w:bookmarkEnd w:id="51"/>
      <w:bookmarkEnd w:id="52"/>
    </w:p>
    <w:p w14:paraId="2AB49A7E">
      <w:pPr>
        <w:spacing w:before="120" w:line="320" w:lineRule="atLeast"/>
        <w:ind w:firstLine="420" w:firstLineChars="200"/>
        <w:rPr>
          <w:szCs w:val="21"/>
          <w:highlight w:val="none"/>
        </w:rPr>
      </w:pPr>
      <w:r>
        <w:rPr>
          <w:szCs w:val="21"/>
          <w:highlight w:val="none"/>
        </w:rPr>
        <w:t>3.5.1供应商须按须知前附表规定提交磋商保证金，</w:t>
      </w:r>
      <w:r>
        <w:rPr>
          <w:b/>
          <w:bCs/>
          <w:szCs w:val="21"/>
          <w:highlight w:val="none"/>
        </w:rPr>
        <w:t>否则其响应将被否决</w:t>
      </w:r>
      <w:r>
        <w:rPr>
          <w:szCs w:val="21"/>
          <w:highlight w:val="none"/>
        </w:rPr>
        <w:t>。除采购文件规定不予退还保证金的情形外，代理机构在规定时间内退回供应商的磋商保证金（供应商自行承担因未按供应商须知前附表要求交纳导致磋商保证金无法及时退还的责任）。</w:t>
      </w:r>
    </w:p>
    <w:p w14:paraId="068E74A7">
      <w:pPr>
        <w:spacing w:before="120" w:line="320" w:lineRule="atLeast"/>
        <w:ind w:firstLine="420" w:firstLineChars="200"/>
        <w:rPr>
          <w:szCs w:val="21"/>
          <w:highlight w:val="none"/>
        </w:rPr>
      </w:pPr>
      <w:r>
        <w:rPr>
          <w:szCs w:val="21"/>
          <w:highlight w:val="none"/>
        </w:rPr>
        <w:t>3.5.2磋商保证金币种应与响应报价币种相同。</w:t>
      </w:r>
    </w:p>
    <w:p w14:paraId="63969130">
      <w:pPr>
        <w:spacing w:before="120" w:line="320" w:lineRule="atLeast"/>
        <w:ind w:firstLine="420" w:firstLineChars="200"/>
        <w:rPr>
          <w:szCs w:val="21"/>
          <w:highlight w:val="none"/>
        </w:rPr>
      </w:pPr>
      <w:r>
        <w:rPr>
          <w:szCs w:val="21"/>
          <w:highlight w:val="none"/>
        </w:rPr>
        <w:t>3.5.3未成交供应商的磋商保证金在成交通知书发出后5个工作日内退还。成交供应商的磋商保证金在合同签订后5个工作日内退还（办理退还手续时需要向采购代理机构提供两份合同复印件）。</w:t>
      </w:r>
    </w:p>
    <w:p w14:paraId="2C1B3801">
      <w:pPr>
        <w:spacing w:before="120" w:line="320" w:lineRule="atLeast"/>
        <w:ind w:firstLine="420" w:firstLineChars="200"/>
        <w:rPr>
          <w:szCs w:val="21"/>
          <w:highlight w:val="none"/>
        </w:rPr>
      </w:pPr>
      <w:r>
        <w:rPr>
          <w:szCs w:val="21"/>
          <w:highlight w:val="none"/>
        </w:rPr>
        <w:t>3.5.4供应商有下列情形之一的，磋商保证金将不予退还：</w:t>
      </w:r>
    </w:p>
    <w:p w14:paraId="5D4E7C26">
      <w:pPr>
        <w:numPr>
          <w:ilvl w:val="0"/>
          <w:numId w:val="0"/>
        </w:numPr>
        <w:spacing w:before="120" w:line="320" w:lineRule="atLeast"/>
        <w:ind w:left="420" w:leftChars="0"/>
        <w:rPr>
          <w:szCs w:val="21"/>
          <w:highlight w:val="none"/>
        </w:rPr>
      </w:pPr>
      <w:r>
        <w:rPr>
          <w:rFonts w:hint="eastAsia"/>
          <w:szCs w:val="21"/>
          <w:highlight w:val="none"/>
          <w:lang w:val="en-US" w:eastAsia="zh-CN"/>
        </w:rPr>
        <w:t>（1）</w:t>
      </w:r>
      <w:r>
        <w:rPr>
          <w:szCs w:val="21"/>
          <w:highlight w:val="none"/>
        </w:rPr>
        <w:t>供应商在响应有效期内撤销响应文件的；</w:t>
      </w:r>
    </w:p>
    <w:p w14:paraId="2F7BF167">
      <w:pPr>
        <w:numPr>
          <w:ilvl w:val="0"/>
          <w:numId w:val="0"/>
        </w:numPr>
        <w:spacing w:before="120" w:line="320" w:lineRule="atLeast"/>
        <w:ind w:left="420" w:leftChars="0"/>
        <w:rPr>
          <w:szCs w:val="21"/>
          <w:highlight w:val="none"/>
        </w:rPr>
      </w:pPr>
      <w:r>
        <w:rPr>
          <w:rFonts w:hint="eastAsia"/>
          <w:szCs w:val="21"/>
          <w:highlight w:val="none"/>
          <w:lang w:eastAsia="zh-CN"/>
        </w:rPr>
        <w:t>（</w:t>
      </w:r>
      <w:r>
        <w:rPr>
          <w:rFonts w:hint="eastAsia"/>
          <w:szCs w:val="21"/>
          <w:highlight w:val="none"/>
          <w:lang w:val="en-US" w:eastAsia="zh-CN"/>
        </w:rPr>
        <w:t>2）</w:t>
      </w:r>
      <w:r>
        <w:rPr>
          <w:szCs w:val="21"/>
          <w:highlight w:val="none"/>
        </w:rPr>
        <w:t>供应商在响应过程中弄虚作假，提供虚假材料的；</w:t>
      </w:r>
    </w:p>
    <w:p w14:paraId="538383BE">
      <w:pPr>
        <w:numPr>
          <w:ilvl w:val="0"/>
          <w:numId w:val="0"/>
        </w:numPr>
        <w:spacing w:before="120" w:line="320" w:lineRule="atLeast"/>
        <w:ind w:left="420" w:leftChars="0"/>
        <w:rPr>
          <w:szCs w:val="21"/>
          <w:highlight w:val="none"/>
        </w:rPr>
      </w:pPr>
      <w:r>
        <w:rPr>
          <w:rFonts w:hint="eastAsia"/>
          <w:szCs w:val="21"/>
          <w:highlight w:val="none"/>
          <w:lang w:eastAsia="zh-CN"/>
        </w:rPr>
        <w:t>（</w:t>
      </w:r>
      <w:r>
        <w:rPr>
          <w:rFonts w:hint="eastAsia"/>
          <w:szCs w:val="21"/>
          <w:highlight w:val="none"/>
          <w:lang w:val="en-US" w:eastAsia="zh-CN"/>
        </w:rPr>
        <w:t>3）</w:t>
      </w:r>
      <w:r>
        <w:rPr>
          <w:szCs w:val="21"/>
          <w:highlight w:val="none"/>
        </w:rPr>
        <w:t>成交供应商无正当理由不与采购人签订合同的；</w:t>
      </w:r>
    </w:p>
    <w:p w14:paraId="5EEE7F4C">
      <w:pPr>
        <w:numPr>
          <w:ilvl w:val="0"/>
          <w:numId w:val="0"/>
        </w:numPr>
        <w:spacing w:before="120" w:line="320" w:lineRule="atLeast"/>
        <w:ind w:left="420" w:leftChars="0"/>
        <w:rPr>
          <w:szCs w:val="21"/>
          <w:highlight w:val="none"/>
        </w:rPr>
      </w:pPr>
      <w:r>
        <w:rPr>
          <w:rFonts w:hint="eastAsia"/>
          <w:szCs w:val="21"/>
          <w:highlight w:val="none"/>
          <w:lang w:eastAsia="zh-CN"/>
        </w:rPr>
        <w:t>（</w:t>
      </w:r>
      <w:r>
        <w:rPr>
          <w:rFonts w:hint="eastAsia"/>
          <w:szCs w:val="21"/>
          <w:highlight w:val="none"/>
          <w:lang w:val="en-US" w:eastAsia="zh-CN"/>
        </w:rPr>
        <w:t>4）</w:t>
      </w:r>
      <w:r>
        <w:rPr>
          <w:szCs w:val="21"/>
          <w:highlight w:val="none"/>
        </w:rPr>
        <w:t>将</w:t>
      </w:r>
      <w:r>
        <w:rPr>
          <w:rFonts w:hint="eastAsia"/>
          <w:szCs w:val="21"/>
          <w:highlight w:val="none"/>
        </w:rPr>
        <w:t>成交</w:t>
      </w:r>
      <w:r>
        <w:rPr>
          <w:szCs w:val="21"/>
          <w:highlight w:val="none"/>
        </w:rPr>
        <w:t>项目转让给他人或者在响应文件中未说明且未经采购人同意，将</w:t>
      </w:r>
      <w:r>
        <w:rPr>
          <w:rFonts w:hint="eastAsia"/>
          <w:szCs w:val="21"/>
          <w:highlight w:val="none"/>
        </w:rPr>
        <w:t>成交</w:t>
      </w:r>
      <w:r>
        <w:rPr>
          <w:szCs w:val="21"/>
          <w:highlight w:val="none"/>
        </w:rPr>
        <w:t>项目分包给他人的；</w:t>
      </w:r>
    </w:p>
    <w:p w14:paraId="5271A942">
      <w:pPr>
        <w:numPr>
          <w:ilvl w:val="0"/>
          <w:numId w:val="0"/>
        </w:numPr>
        <w:spacing w:before="120" w:line="320" w:lineRule="atLeast"/>
        <w:ind w:left="420" w:leftChars="0"/>
        <w:rPr>
          <w:szCs w:val="21"/>
          <w:highlight w:val="none"/>
        </w:rPr>
      </w:pPr>
      <w:r>
        <w:rPr>
          <w:rFonts w:hint="eastAsia"/>
          <w:szCs w:val="21"/>
          <w:highlight w:val="none"/>
          <w:lang w:eastAsia="zh-CN"/>
        </w:rPr>
        <w:t>（</w:t>
      </w:r>
      <w:r>
        <w:rPr>
          <w:rFonts w:hint="eastAsia"/>
          <w:szCs w:val="21"/>
          <w:highlight w:val="none"/>
          <w:lang w:val="en-US" w:eastAsia="zh-CN"/>
        </w:rPr>
        <w:t>5）</w:t>
      </w:r>
      <w:r>
        <w:rPr>
          <w:rFonts w:hint="eastAsia"/>
          <w:szCs w:val="21"/>
          <w:highlight w:val="none"/>
        </w:rPr>
        <w:t>供应商与采购人、其他供应商或者采购代理机构恶意串通的；</w:t>
      </w:r>
    </w:p>
    <w:p w14:paraId="3AAAFAB3">
      <w:pPr>
        <w:numPr>
          <w:ilvl w:val="0"/>
          <w:numId w:val="0"/>
        </w:numPr>
        <w:spacing w:before="120" w:line="320" w:lineRule="atLeast"/>
        <w:ind w:left="420" w:leftChars="0"/>
        <w:rPr>
          <w:szCs w:val="21"/>
          <w:highlight w:val="none"/>
        </w:rPr>
      </w:pPr>
      <w:r>
        <w:rPr>
          <w:rFonts w:hint="eastAsia"/>
          <w:szCs w:val="21"/>
          <w:highlight w:val="none"/>
          <w:lang w:eastAsia="zh-CN"/>
        </w:rPr>
        <w:t>（</w:t>
      </w:r>
      <w:r>
        <w:rPr>
          <w:rFonts w:hint="eastAsia"/>
          <w:szCs w:val="21"/>
          <w:highlight w:val="none"/>
          <w:lang w:val="en-US" w:eastAsia="zh-CN"/>
        </w:rPr>
        <w:t>6）</w:t>
      </w:r>
      <w:r>
        <w:rPr>
          <w:szCs w:val="21"/>
          <w:highlight w:val="none"/>
        </w:rPr>
        <w:t>拒绝履行合同义务的；</w:t>
      </w:r>
    </w:p>
    <w:p w14:paraId="2EDF6AB4">
      <w:pPr>
        <w:numPr>
          <w:ilvl w:val="0"/>
          <w:numId w:val="0"/>
        </w:numPr>
        <w:spacing w:before="120" w:line="320" w:lineRule="atLeast"/>
        <w:ind w:left="420" w:leftChars="0"/>
        <w:rPr>
          <w:szCs w:val="21"/>
          <w:highlight w:val="none"/>
        </w:rPr>
      </w:pPr>
      <w:r>
        <w:rPr>
          <w:rFonts w:hint="eastAsia"/>
          <w:szCs w:val="21"/>
          <w:highlight w:val="none"/>
          <w:lang w:eastAsia="zh-CN"/>
        </w:rPr>
        <w:t>（</w:t>
      </w:r>
      <w:r>
        <w:rPr>
          <w:rFonts w:hint="eastAsia"/>
          <w:szCs w:val="21"/>
          <w:highlight w:val="none"/>
          <w:lang w:val="en-US" w:eastAsia="zh-CN"/>
        </w:rPr>
        <w:t>7）</w:t>
      </w:r>
      <w:r>
        <w:rPr>
          <w:szCs w:val="21"/>
          <w:highlight w:val="none"/>
        </w:rPr>
        <w:t>其他严重扰乱招</w:t>
      </w:r>
      <w:r>
        <w:rPr>
          <w:rFonts w:hint="eastAsia"/>
          <w:szCs w:val="21"/>
          <w:highlight w:val="none"/>
        </w:rPr>
        <w:t>投标</w:t>
      </w:r>
      <w:r>
        <w:rPr>
          <w:szCs w:val="21"/>
          <w:highlight w:val="none"/>
        </w:rPr>
        <w:t>程序的</w:t>
      </w:r>
      <w:r>
        <w:rPr>
          <w:rFonts w:hint="eastAsia"/>
          <w:szCs w:val="21"/>
          <w:highlight w:val="none"/>
        </w:rPr>
        <w:t>。</w:t>
      </w:r>
    </w:p>
    <w:p w14:paraId="6C14BADB">
      <w:pPr>
        <w:spacing w:before="120" w:line="320" w:lineRule="atLeast"/>
        <w:ind w:firstLine="422" w:firstLineChars="200"/>
        <w:outlineLvl w:val="2"/>
        <w:rPr>
          <w:b/>
          <w:bCs/>
          <w:kern w:val="0"/>
          <w:szCs w:val="21"/>
          <w:highlight w:val="none"/>
        </w:rPr>
      </w:pPr>
      <w:bookmarkStart w:id="53" w:name="_Toc254970542"/>
      <w:bookmarkStart w:id="54" w:name="_Toc254970683"/>
      <w:r>
        <w:rPr>
          <w:b/>
          <w:bCs/>
          <w:kern w:val="0"/>
          <w:szCs w:val="21"/>
          <w:highlight w:val="none"/>
        </w:rPr>
        <w:t>3.6响应文件的</w:t>
      </w:r>
      <w:bookmarkEnd w:id="53"/>
      <w:bookmarkEnd w:id="54"/>
      <w:r>
        <w:rPr>
          <w:b/>
          <w:bCs/>
          <w:kern w:val="0"/>
          <w:szCs w:val="21"/>
          <w:highlight w:val="none"/>
        </w:rPr>
        <w:t>编制要求</w:t>
      </w:r>
    </w:p>
    <w:p w14:paraId="00339A3E">
      <w:pPr>
        <w:spacing w:before="120" w:line="320" w:lineRule="atLeast"/>
        <w:ind w:firstLine="420" w:firstLineChars="200"/>
        <w:rPr>
          <w:b/>
          <w:bCs/>
          <w:kern w:val="0"/>
          <w:szCs w:val="21"/>
          <w:highlight w:val="none"/>
        </w:rPr>
      </w:pPr>
      <w:r>
        <w:rPr>
          <w:rFonts w:hint="eastAsia"/>
          <w:kern w:val="0"/>
          <w:szCs w:val="21"/>
          <w:highlight w:val="none"/>
        </w:rPr>
        <w:t>3</w:t>
      </w:r>
      <w:r>
        <w:rPr>
          <w:kern w:val="0"/>
          <w:szCs w:val="21"/>
          <w:highlight w:val="none"/>
        </w:rPr>
        <w:t>.6.1</w:t>
      </w:r>
      <w:r>
        <w:rPr>
          <w:rFonts w:hint="eastAsia"/>
          <w:szCs w:val="21"/>
          <w:highlight w:val="none"/>
        </w:rPr>
        <w:t>供应商应先安装广西政府采购云平台新版客户端，通过账号密码或C</w:t>
      </w:r>
      <w:r>
        <w:rPr>
          <w:szCs w:val="21"/>
          <w:highlight w:val="none"/>
        </w:rPr>
        <w:t>A</w:t>
      </w:r>
      <w:r>
        <w:rPr>
          <w:rFonts w:hint="eastAsia"/>
          <w:szCs w:val="21"/>
          <w:highlight w:val="none"/>
        </w:rPr>
        <w:t>登录客户端制作响应文件。</w:t>
      </w:r>
    </w:p>
    <w:p w14:paraId="182912D0">
      <w:pPr>
        <w:spacing w:before="120" w:line="320" w:lineRule="atLeast"/>
        <w:ind w:firstLine="420" w:firstLineChars="200"/>
        <w:rPr>
          <w:rFonts w:hint="eastAsia"/>
          <w:szCs w:val="21"/>
          <w:highlight w:val="none"/>
        </w:rPr>
      </w:pPr>
      <w:r>
        <w:rPr>
          <w:rFonts w:hint="eastAsia"/>
          <w:szCs w:val="21"/>
          <w:highlight w:val="none"/>
        </w:rPr>
        <w:t>3.6.2供应商应按本采购文件规定的格式和顺序编制响应文件并进行关联定位，以便磋商小组在评审时，点击评分项可直接定位到该评分项内容。如对采购文件的某项要求，供应商的响应文件未能关联定位提供相应的内容与其对应，则磋商小组在评审时如做出对供应商不利的评审由供应商自行承担。响应文件如内容不完整、编排混乱导致响应文件被误读、漏读，或者在按采购文件规定的部位查找不到相关内容的，由供应商自行承担。</w:t>
      </w:r>
    </w:p>
    <w:p w14:paraId="49E5B88D">
      <w:pPr>
        <w:spacing w:before="120" w:line="320" w:lineRule="atLeast"/>
        <w:ind w:firstLine="420" w:firstLineChars="200"/>
        <w:rPr>
          <w:szCs w:val="21"/>
          <w:highlight w:val="none"/>
        </w:rPr>
      </w:pPr>
      <w:r>
        <w:rPr>
          <w:rFonts w:hint="eastAsia"/>
          <w:szCs w:val="21"/>
          <w:highlight w:val="none"/>
        </w:rPr>
        <w:t>3.6.3 供应商的响应文件未按照采购文件要求签署、盖章的，</w:t>
      </w:r>
      <w:r>
        <w:rPr>
          <w:rFonts w:hint="eastAsia"/>
          <w:b/>
          <w:bCs/>
          <w:szCs w:val="21"/>
          <w:highlight w:val="none"/>
        </w:rPr>
        <w:t>其响应无效</w:t>
      </w:r>
      <w:r>
        <w:rPr>
          <w:rFonts w:hint="eastAsia"/>
          <w:szCs w:val="21"/>
          <w:highlight w:val="none"/>
        </w:rPr>
        <w:t>。</w:t>
      </w:r>
    </w:p>
    <w:p w14:paraId="4CC0A4B3">
      <w:pPr>
        <w:spacing w:before="120" w:line="320" w:lineRule="atLeast"/>
        <w:ind w:firstLine="420" w:firstLineChars="200"/>
        <w:rPr>
          <w:szCs w:val="21"/>
          <w:highlight w:val="none"/>
        </w:rPr>
      </w:pPr>
      <w:r>
        <w:rPr>
          <w:szCs w:val="21"/>
          <w:highlight w:val="none"/>
        </w:rPr>
        <w:t>3.6.4</w:t>
      </w:r>
      <w:r>
        <w:rPr>
          <w:rFonts w:hint="eastAsia"/>
          <w:szCs w:val="21"/>
          <w:highlight w:val="none"/>
        </w:rPr>
        <w:t>为确保网上操作合法、有效和安全，供应商应当在响应截止时间前完成在广西政府采购云平台的身份认证，确保在电子投标过程中能够对相关数据电文进行加密和使用电子签名。</w:t>
      </w:r>
    </w:p>
    <w:p w14:paraId="4679834A">
      <w:pPr>
        <w:spacing w:before="120" w:line="320" w:lineRule="atLeast"/>
        <w:ind w:firstLine="420" w:firstLineChars="200"/>
        <w:rPr>
          <w:szCs w:val="21"/>
          <w:highlight w:val="none"/>
        </w:rPr>
      </w:pPr>
      <w:r>
        <w:rPr>
          <w:rFonts w:hint="eastAsia"/>
          <w:szCs w:val="21"/>
          <w:highlight w:val="none"/>
        </w:rPr>
        <w:t>3</w:t>
      </w:r>
      <w:r>
        <w:rPr>
          <w:szCs w:val="21"/>
          <w:highlight w:val="none"/>
        </w:rPr>
        <w:t>.6.5</w:t>
      </w:r>
      <w:r>
        <w:rPr>
          <w:rFonts w:hint="eastAsia"/>
          <w:szCs w:val="21"/>
          <w:highlight w:val="none"/>
        </w:rPr>
        <w:t>响应文件中标注的供应商名称应与主体资格证明（如营业执照、事业单位法人证书、执业许可证、个体工商户营业执照、自然人身份证等）和公章/电子签章一致，</w:t>
      </w:r>
      <w:r>
        <w:rPr>
          <w:rFonts w:hint="eastAsia"/>
          <w:b/>
          <w:bCs/>
          <w:szCs w:val="21"/>
          <w:highlight w:val="none"/>
        </w:rPr>
        <w:t>否则作无效响应处理。</w:t>
      </w:r>
    </w:p>
    <w:p w14:paraId="6FB7BCDD">
      <w:pPr>
        <w:spacing w:before="120" w:line="320" w:lineRule="atLeast"/>
        <w:ind w:firstLine="422" w:firstLineChars="200"/>
        <w:outlineLvl w:val="2"/>
        <w:rPr>
          <w:b/>
          <w:bCs/>
          <w:kern w:val="0"/>
          <w:szCs w:val="21"/>
          <w:highlight w:val="none"/>
        </w:rPr>
      </w:pPr>
      <w:r>
        <w:rPr>
          <w:b/>
          <w:bCs/>
          <w:kern w:val="0"/>
          <w:szCs w:val="21"/>
          <w:highlight w:val="none"/>
        </w:rPr>
        <w:t>3.7响应文件的递交、修改和撤回</w:t>
      </w:r>
    </w:p>
    <w:p w14:paraId="1591E168">
      <w:pPr>
        <w:spacing w:before="120" w:line="320" w:lineRule="atLeast"/>
        <w:ind w:firstLine="420" w:firstLineChars="200"/>
        <w:rPr>
          <w:szCs w:val="21"/>
          <w:highlight w:val="none"/>
        </w:rPr>
      </w:pPr>
      <w:r>
        <w:rPr>
          <w:szCs w:val="21"/>
          <w:highlight w:val="none"/>
        </w:rPr>
        <w:t>3.7.1</w:t>
      </w:r>
      <w:r>
        <w:rPr>
          <w:rFonts w:hint="eastAsia"/>
          <w:szCs w:val="21"/>
          <w:highlight w:val="none"/>
        </w:rPr>
        <w:t xml:space="preserve">供应商必须在“供应商须知前附表”规定的响应文件截标时间和响应地点提交电子版响应文件。电子响应文件应在制作完成后，在响应截止时间前通过有效数字证书（CA认证锁）进行电子签章、加密，然后通过网络将加密的电子响应文件递交至广西政府采购云平台。 </w:t>
      </w:r>
    </w:p>
    <w:p w14:paraId="35D0AAF3">
      <w:pPr>
        <w:spacing w:before="120" w:line="320" w:lineRule="atLeast"/>
        <w:ind w:firstLine="420" w:firstLineChars="200"/>
        <w:rPr>
          <w:szCs w:val="21"/>
          <w:highlight w:val="none"/>
        </w:rPr>
      </w:pPr>
      <w:r>
        <w:rPr>
          <w:rFonts w:hint="eastAsia"/>
          <w:szCs w:val="21"/>
          <w:highlight w:val="none"/>
        </w:rPr>
        <w:t>3</w:t>
      </w:r>
      <w:r>
        <w:rPr>
          <w:szCs w:val="21"/>
          <w:highlight w:val="none"/>
        </w:rPr>
        <w:t>.7.2</w:t>
      </w:r>
      <w:r>
        <w:rPr>
          <w:rFonts w:hint="eastAsia"/>
          <w:szCs w:val="21"/>
          <w:highlight w:val="none"/>
        </w:rPr>
        <w:t xml:space="preserve">未在规定时间内提交或者未按照采购文件要求签章、加密的电子响应文件，广西政府采购云平台将拒收。 </w:t>
      </w:r>
    </w:p>
    <w:p w14:paraId="5D0B88D7">
      <w:pPr>
        <w:spacing w:before="120" w:line="320" w:lineRule="atLeast"/>
        <w:ind w:left="2" w:leftChars="1" w:firstLine="420" w:firstLineChars="200"/>
        <w:rPr>
          <w:szCs w:val="21"/>
          <w:highlight w:val="none"/>
        </w:rPr>
      </w:pPr>
      <w:r>
        <w:rPr>
          <w:rFonts w:hint="eastAsia"/>
          <w:szCs w:val="21"/>
          <w:highlight w:val="none"/>
        </w:rPr>
        <w:t>3</w:t>
      </w:r>
      <w:r>
        <w:rPr>
          <w:szCs w:val="21"/>
          <w:highlight w:val="none"/>
        </w:rPr>
        <w:t>.7.3</w:t>
      </w:r>
      <w:r>
        <w:rPr>
          <w:rFonts w:hint="eastAsia"/>
          <w:szCs w:val="21"/>
          <w:highlight w:val="none"/>
        </w:rPr>
        <w:t>供应商应当在响应截止时间前完成响应文件的传输递交，并可以补充、修改或者撤回响应文件。补充或者修改响应文件的，应当先行撤回原文件，补充、修改后重新传输递交。响应截止时间前未完成传输的，视为撤回响应文件。响应截止时间后递交的响应文件，广西政府采购云平台将拒收。</w:t>
      </w:r>
    </w:p>
    <w:p w14:paraId="138D0EAF">
      <w:pPr>
        <w:spacing w:before="120" w:line="320" w:lineRule="atLeast"/>
        <w:ind w:left="2" w:leftChars="1" w:firstLine="420" w:firstLineChars="200"/>
        <w:rPr>
          <w:szCs w:val="21"/>
          <w:highlight w:val="none"/>
        </w:rPr>
      </w:pPr>
      <w:r>
        <w:rPr>
          <w:szCs w:val="21"/>
          <w:highlight w:val="none"/>
        </w:rPr>
        <w:t>3.7.4</w:t>
      </w:r>
      <w:r>
        <w:rPr>
          <w:rFonts w:hint="eastAsia"/>
          <w:szCs w:val="21"/>
          <w:highlight w:val="none"/>
        </w:rPr>
        <w:t>在响应截止时间前，除供应商补充、修改或者撤回响应文件外，任何单位和个人不得解密或提取响应文件。</w:t>
      </w:r>
    </w:p>
    <w:p w14:paraId="32D1A6DF">
      <w:pPr>
        <w:spacing w:before="120" w:line="320" w:lineRule="atLeast"/>
        <w:ind w:left="2" w:leftChars="1" w:firstLine="420" w:firstLineChars="200"/>
        <w:rPr>
          <w:szCs w:val="21"/>
          <w:highlight w:val="none"/>
        </w:rPr>
      </w:pPr>
      <w:r>
        <w:rPr>
          <w:szCs w:val="21"/>
          <w:highlight w:val="none"/>
        </w:rPr>
        <w:t>3.7.5</w:t>
      </w:r>
      <w:r>
        <w:rPr>
          <w:rFonts w:hint="eastAsia"/>
          <w:szCs w:val="21"/>
          <w:highlight w:val="none"/>
        </w:rPr>
        <w:t>在响应截止时间止提交电子版响应文件的供应商不足3家时，电子版响应文件由代理机构在广西政府采购云平台操作退回，除此之外采购人和采购代理机构对已提交的响应文件概不退回。</w:t>
      </w:r>
    </w:p>
    <w:p w14:paraId="50CBEB43">
      <w:pPr>
        <w:spacing w:before="120" w:line="320" w:lineRule="atLeast"/>
        <w:ind w:left="2" w:leftChars="1" w:firstLine="420" w:firstLineChars="200"/>
        <w:rPr>
          <w:rFonts w:hint="eastAsia"/>
          <w:color w:val="auto"/>
          <w:szCs w:val="21"/>
          <w:highlight w:val="none"/>
        </w:rPr>
      </w:pPr>
      <w:bookmarkStart w:id="55" w:name="_Hlk93046827"/>
      <w:r>
        <w:rPr>
          <w:rFonts w:hint="eastAsia"/>
          <w:szCs w:val="21"/>
          <w:highlight w:val="none"/>
        </w:rPr>
        <w:t>3</w:t>
      </w:r>
      <w:r>
        <w:rPr>
          <w:szCs w:val="21"/>
          <w:highlight w:val="none"/>
        </w:rPr>
        <w:t>.7.6</w:t>
      </w:r>
      <w:bookmarkEnd w:id="55"/>
      <w:r>
        <w:rPr>
          <w:rFonts w:hint="eastAsia"/>
          <w:szCs w:val="21"/>
          <w:highlight w:val="none"/>
        </w:rPr>
        <w:t>采购文件未允许同一供应</w:t>
      </w:r>
      <w:r>
        <w:rPr>
          <w:rFonts w:hint="eastAsia"/>
          <w:color w:val="auto"/>
          <w:szCs w:val="21"/>
          <w:highlight w:val="none"/>
        </w:rPr>
        <w:t>商提交两个或以上不同的响应文件，但存在同一供应商提交两个或以上不同的响应文件的，其响应无效。供应商在同一响应文件中对某项技术、商务要求提供有选择性的响应参数或方案等同于提交两个或以上不同的响应文件。</w:t>
      </w:r>
    </w:p>
    <w:p w14:paraId="142C8AB1">
      <w:pPr>
        <w:spacing w:before="120" w:line="320" w:lineRule="atLeast"/>
        <w:ind w:left="2" w:leftChars="1" w:firstLine="422" w:firstLineChars="200"/>
        <w:outlineLvl w:val="1"/>
        <w:rPr>
          <w:b/>
          <w:bCs/>
          <w:color w:val="auto"/>
          <w:kern w:val="0"/>
          <w:szCs w:val="21"/>
          <w:highlight w:val="none"/>
        </w:rPr>
      </w:pPr>
      <w:r>
        <w:rPr>
          <w:b/>
          <w:bCs/>
          <w:color w:val="auto"/>
          <w:kern w:val="0"/>
          <w:szCs w:val="21"/>
          <w:highlight w:val="none"/>
        </w:rPr>
        <w:t>4．截标</w:t>
      </w:r>
    </w:p>
    <w:p w14:paraId="7232AC57">
      <w:pPr>
        <w:spacing w:before="120" w:line="320" w:lineRule="atLeast"/>
        <w:ind w:firstLine="422" w:firstLineChars="200"/>
        <w:outlineLvl w:val="2"/>
        <w:rPr>
          <w:b/>
          <w:bCs/>
          <w:kern w:val="0"/>
          <w:szCs w:val="21"/>
          <w:highlight w:val="none"/>
        </w:rPr>
      </w:pPr>
      <w:r>
        <w:rPr>
          <w:b/>
          <w:bCs/>
          <w:kern w:val="0"/>
          <w:szCs w:val="21"/>
          <w:highlight w:val="none"/>
        </w:rPr>
        <w:t>4.1截标准备</w:t>
      </w:r>
    </w:p>
    <w:p w14:paraId="042C6EDB">
      <w:pPr>
        <w:spacing w:before="120" w:line="276" w:lineRule="auto"/>
        <w:ind w:firstLine="420" w:firstLineChars="200"/>
        <w:rPr>
          <w:szCs w:val="21"/>
          <w:highlight w:val="none"/>
        </w:rPr>
      </w:pPr>
      <w:r>
        <w:rPr>
          <w:szCs w:val="21"/>
          <w:highlight w:val="none"/>
        </w:rPr>
        <w:t>本项目响应截止时间及地点见“供应商须知前附表”规定。</w:t>
      </w:r>
    </w:p>
    <w:p w14:paraId="4C422897">
      <w:pPr>
        <w:autoSpaceDE w:val="0"/>
        <w:autoSpaceDN w:val="0"/>
        <w:adjustRightInd w:val="0"/>
        <w:spacing w:line="276" w:lineRule="auto"/>
        <w:ind w:firstLine="420" w:firstLineChars="200"/>
        <w:rPr>
          <w:szCs w:val="21"/>
          <w:highlight w:val="none"/>
        </w:rPr>
      </w:pPr>
      <w:r>
        <w:rPr>
          <w:rFonts w:hint="eastAsia"/>
          <w:szCs w:val="21"/>
          <w:highlight w:val="none"/>
        </w:rPr>
        <w:t>全流程电子化项目没有现场递交响应文件及现场截标环节。采购代理机构将按照采购文件规定的时间通过广西政府采购云平台组织线上截标活动、开启响应文件，所有供应商均应当准时在线参加。供应商</w:t>
      </w:r>
      <w:r>
        <w:rPr>
          <w:szCs w:val="21"/>
          <w:highlight w:val="none"/>
        </w:rPr>
        <w:t>如不</w:t>
      </w:r>
      <w:r>
        <w:rPr>
          <w:rFonts w:hint="eastAsia"/>
          <w:szCs w:val="21"/>
          <w:highlight w:val="none"/>
        </w:rPr>
        <w:t>参加</w:t>
      </w:r>
      <w:r>
        <w:rPr>
          <w:szCs w:val="21"/>
          <w:highlight w:val="none"/>
        </w:rPr>
        <w:t>截标大会的，</w:t>
      </w:r>
      <w:r>
        <w:rPr>
          <w:rFonts w:hint="eastAsia"/>
          <w:szCs w:val="21"/>
          <w:highlight w:val="none"/>
        </w:rPr>
        <w:t>视同认可截标结果，</w:t>
      </w:r>
      <w:r>
        <w:rPr>
          <w:szCs w:val="21"/>
          <w:highlight w:val="none"/>
        </w:rPr>
        <w:t>事后不得对采购相关人员、截标过程和截标结果提出异议</w:t>
      </w:r>
      <w:r>
        <w:rPr>
          <w:rFonts w:hint="eastAsia"/>
          <w:szCs w:val="21"/>
          <w:highlight w:val="none"/>
        </w:rPr>
        <w:t>，同时供应商因未在线参加截标而导致响应文件无法按时解密等一切后果由供应商自己承担。</w:t>
      </w:r>
    </w:p>
    <w:p w14:paraId="074282B5">
      <w:pPr>
        <w:spacing w:before="120" w:line="276" w:lineRule="auto"/>
        <w:ind w:firstLine="420" w:firstLineChars="200"/>
        <w:rPr>
          <w:szCs w:val="21"/>
          <w:highlight w:val="none"/>
        </w:rPr>
      </w:pPr>
      <w:r>
        <w:rPr>
          <w:rFonts w:hint="eastAsia"/>
          <w:szCs w:val="21"/>
          <w:highlight w:val="none"/>
        </w:rPr>
        <w:t xml:space="preserve">如供应商成功解密响应文件，但未在广西政府采购云平台电子开标大厅参加截标的，视同认可截标过程和结果，由此产生的后果由供应商自行负责。 </w:t>
      </w:r>
    </w:p>
    <w:p w14:paraId="16FFE47E">
      <w:pPr>
        <w:spacing w:before="120" w:line="320" w:lineRule="atLeast"/>
        <w:ind w:firstLine="422" w:firstLineChars="200"/>
        <w:outlineLvl w:val="2"/>
        <w:rPr>
          <w:b/>
          <w:bCs/>
          <w:kern w:val="0"/>
          <w:szCs w:val="21"/>
          <w:highlight w:val="none"/>
        </w:rPr>
      </w:pPr>
      <w:r>
        <w:rPr>
          <w:b/>
          <w:bCs/>
          <w:kern w:val="0"/>
          <w:szCs w:val="21"/>
          <w:highlight w:val="none"/>
        </w:rPr>
        <w:t>4.2截标程序</w:t>
      </w:r>
    </w:p>
    <w:p w14:paraId="11D23F32">
      <w:pPr>
        <w:spacing w:before="120" w:line="320" w:lineRule="atLeast"/>
        <w:ind w:firstLine="420" w:firstLineChars="200"/>
        <w:rPr>
          <w:szCs w:val="21"/>
          <w:highlight w:val="none"/>
        </w:rPr>
      </w:pPr>
      <w:r>
        <w:rPr>
          <w:szCs w:val="21"/>
          <w:highlight w:val="none"/>
        </w:rPr>
        <w:t>4.2.1</w:t>
      </w:r>
      <w:r>
        <w:rPr>
          <w:rFonts w:hint="eastAsia"/>
          <w:szCs w:val="21"/>
          <w:highlight w:val="none"/>
        </w:rPr>
        <w:t>供应商登录广西政府采购云平台进入开标大厅签到。</w:t>
      </w:r>
    </w:p>
    <w:p w14:paraId="22670AE5">
      <w:pPr>
        <w:spacing w:before="120" w:line="320" w:lineRule="atLeast"/>
        <w:ind w:firstLine="420" w:firstLineChars="200"/>
        <w:rPr>
          <w:szCs w:val="21"/>
          <w:highlight w:val="none"/>
        </w:rPr>
      </w:pPr>
      <w:r>
        <w:rPr>
          <w:rFonts w:hint="eastAsia"/>
          <w:szCs w:val="21"/>
          <w:highlight w:val="none"/>
        </w:rPr>
        <w:t>4</w:t>
      </w:r>
      <w:r>
        <w:rPr>
          <w:szCs w:val="21"/>
          <w:highlight w:val="none"/>
        </w:rPr>
        <w:t>.2.2</w:t>
      </w:r>
      <w:r>
        <w:rPr>
          <w:rFonts w:hint="eastAsia"/>
          <w:szCs w:val="21"/>
          <w:highlight w:val="none"/>
        </w:rPr>
        <w:t>解密电子响应文件。广西政府采购云平台按截标时间自动提取所有响应文件。采购代理机构在广西政府采购云平台向各供应商发出电子加密响应文件开始解密通知，由供应商平台设置时间内自行进行响应文件解密。供应商须使用加密时所用的CA锁准时登录到广西政府采购云平台电子开标大厅签到并对电子响应文件解密。截标后供应商未及时进行解密的，代理机构可通知供应商。</w:t>
      </w:r>
      <w:bookmarkStart w:id="56" w:name="_Hlk106639817"/>
      <w:r>
        <w:rPr>
          <w:rFonts w:hint="eastAsia"/>
          <w:highlight w:val="none"/>
        </w:rPr>
        <w:t>通知后供应商仍未在上述规定时间内解密响应文件</w:t>
      </w:r>
      <w:bookmarkEnd w:id="56"/>
      <w:r>
        <w:rPr>
          <w:rFonts w:hint="eastAsia"/>
          <w:szCs w:val="21"/>
          <w:highlight w:val="none"/>
        </w:rPr>
        <w:t>，或者供应商没预留联系方式或预留联系方式无效导致代理机构无法联系到供应商进行解密的，均视为无效响应。</w:t>
      </w:r>
    </w:p>
    <w:p w14:paraId="133F58AD">
      <w:pPr>
        <w:spacing w:before="120" w:line="320" w:lineRule="atLeast"/>
        <w:ind w:firstLine="420" w:firstLineChars="200"/>
        <w:rPr>
          <w:rFonts w:hint="eastAsia"/>
          <w:szCs w:val="21"/>
          <w:highlight w:val="none"/>
        </w:rPr>
      </w:pPr>
      <w:r>
        <w:rPr>
          <w:rFonts w:hint="eastAsia"/>
          <w:szCs w:val="21"/>
          <w:highlight w:val="none"/>
        </w:rPr>
        <w:t>4</w:t>
      </w:r>
      <w:r>
        <w:rPr>
          <w:szCs w:val="21"/>
          <w:highlight w:val="none"/>
        </w:rPr>
        <w:t>.2.3</w:t>
      </w:r>
      <w:bookmarkStart w:id="57" w:name="_Hlk106637968"/>
      <w:r>
        <w:rPr>
          <w:rFonts w:hint="eastAsia"/>
          <w:szCs w:val="21"/>
          <w:highlight w:val="none"/>
        </w:rPr>
        <w:t>广西政府采购云平台设置有备份响应文件功能。备份响应文件是指平台设置为接受备份响应文件时，如出现供应商上传的响应文件存在问题或其他供应商原因引起解密异常时，供应商可以在规定时间内将备份响应文件通过邮箱发送至采购代理机构，由代理机构上传备份响应文件后自动解密从而避免被视为无效响应。是否接受备份响应文件详见供应商须知前附表，如接受备份文件，供应商未在规定时间内发送备份响应文件的将视为无效响应。</w:t>
      </w:r>
    </w:p>
    <w:bookmarkEnd w:id="57"/>
    <w:p w14:paraId="1EDD7652">
      <w:pPr>
        <w:spacing w:before="120" w:line="320" w:lineRule="atLeast"/>
        <w:ind w:firstLine="420" w:firstLineChars="200"/>
        <w:rPr>
          <w:szCs w:val="21"/>
          <w:highlight w:val="none"/>
        </w:rPr>
      </w:pPr>
      <w:r>
        <w:rPr>
          <w:rFonts w:hint="eastAsia"/>
          <w:szCs w:val="21"/>
          <w:highlight w:val="none"/>
        </w:rPr>
        <w:t>4</w:t>
      </w:r>
      <w:r>
        <w:rPr>
          <w:szCs w:val="21"/>
          <w:highlight w:val="none"/>
        </w:rPr>
        <w:t>.2.4</w:t>
      </w:r>
      <w:r>
        <w:rPr>
          <w:rFonts w:hint="eastAsia"/>
          <w:szCs w:val="21"/>
          <w:highlight w:val="none"/>
        </w:rPr>
        <w:t>解密异常情况处理：详见本章</w:t>
      </w:r>
      <w:r>
        <w:rPr>
          <w:szCs w:val="21"/>
          <w:highlight w:val="none"/>
        </w:rPr>
        <w:t>9.2</w:t>
      </w:r>
      <w:r>
        <w:rPr>
          <w:rFonts w:hint="eastAsia"/>
          <w:szCs w:val="21"/>
          <w:highlight w:val="none"/>
        </w:rPr>
        <w:t>电子交易活动的中止。</w:t>
      </w:r>
    </w:p>
    <w:p w14:paraId="34E313D2">
      <w:pPr>
        <w:spacing w:before="120" w:line="320" w:lineRule="atLeast"/>
        <w:ind w:firstLine="420" w:firstLineChars="200"/>
        <w:rPr>
          <w:szCs w:val="21"/>
          <w:highlight w:val="none"/>
        </w:rPr>
      </w:pPr>
      <w:r>
        <w:rPr>
          <w:szCs w:val="21"/>
          <w:highlight w:val="none"/>
        </w:rPr>
        <w:t>4.2.5截标结束。</w:t>
      </w:r>
    </w:p>
    <w:p w14:paraId="41856B4E">
      <w:pPr>
        <w:spacing w:before="120" w:line="320" w:lineRule="atLeast"/>
        <w:ind w:firstLine="422" w:firstLineChars="200"/>
        <w:rPr>
          <w:szCs w:val="21"/>
          <w:highlight w:val="none"/>
        </w:rPr>
      </w:pPr>
      <w:r>
        <w:rPr>
          <w:rFonts w:hint="eastAsia"/>
          <w:b/>
          <w:bCs/>
          <w:szCs w:val="21"/>
          <w:highlight w:val="none"/>
        </w:rPr>
        <w:t>特别说明</w:t>
      </w:r>
      <w:r>
        <w:rPr>
          <w:rFonts w:hint="eastAsia"/>
          <w:szCs w:val="21"/>
          <w:highlight w:val="none"/>
        </w:rPr>
        <w:t>：如遇广西政府采购云平台电子化截标或评审程序调整的，按调整后的程序执行。</w:t>
      </w:r>
    </w:p>
    <w:p w14:paraId="2A127BBE">
      <w:pPr>
        <w:spacing w:before="120" w:line="320" w:lineRule="atLeast"/>
        <w:ind w:firstLine="422" w:firstLineChars="200"/>
        <w:outlineLvl w:val="2"/>
        <w:rPr>
          <w:b/>
          <w:bCs/>
          <w:kern w:val="0"/>
          <w:szCs w:val="21"/>
          <w:highlight w:val="none"/>
        </w:rPr>
      </w:pPr>
      <w:r>
        <w:rPr>
          <w:b/>
          <w:bCs/>
          <w:kern w:val="0"/>
          <w:szCs w:val="21"/>
          <w:highlight w:val="none"/>
        </w:rPr>
        <w:t>4.3演示</w:t>
      </w:r>
    </w:p>
    <w:p w14:paraId="1D709F63">
      <w:pPr>
        <w:spacing w:before="120" w:line="320" w:lineRule="atLeast"/>
        <w:ind w:firstLine="420" w:firstLineChars="200"/>
        <w:rPr>
          <w:szCs w:val="21"/>
          <w:highlight w:val="none"/>
        </w:rPr>
      </w:pPr>
      <w:r>
        <w:rPr>
          <w:szCs w:val="21"/>
          <w:highlight w:val="none"/>
        </w:rPr>
        <w:t>4.3.1“供应商须知前附表”规定在截标会议结束后进行演示的，供应商应按规定进行演示。</w:t>
      </w:r>
    </w:p>
    <w:p w14:paraId="127C121B">
      <w:pPr>
        <w:spacing w:before="120" w:line="320" w:lineRule="atLeast"/>
        <w:ind w:firstLine="420" w:firstLineChars="200"/>
        <w:rPr>
          <w:szCs w:val="21"/>
          <w:highlight w:val="none"/>
        </w:rPr>
      </w:pPr>
      <w:r>
        <w:rPr>
          <w:szCs w:val="21"/>
          <w:highlight w:val="none"/>
        </w:rPr>
        <w:t>4.3.2未按规定时间进行演示可能引起的演示分数被计为0分或响应无效等后果由供应商自行承担。</w:t>
      </w:r>
    </w:p>
    <w:p w14:paraId="619B74CD">
      <w:pPr>
        <w:spacing w:before="120" w:line="320" w:lineRule="atLeast"/>
        <w:ind w:firstLine="422" w:firstLineChars="200"/>
        <w:outlineLvl w:val="2"/>
        <w:rPr>
          <w:szCs w:val="21"/>
          <w:highlight w:val="none"/>
        </w:rPr>
      </w:pPr>
      <w:r>
        <w:rPr>
          <w:b/>
          <w:bCs/>
          <w:kern w:val="0"/>
          <w:szCs w:val="21"/>
          <w:highlight w:val="none"/>
        </w:rPr>
        <w:t>4.4样品</w:t>
      </w:r>
    </w:p>
    <w:p w14:paraId="4C60BE3A">
      <w:pPr>
        <w:spacing w:before="120" w:line="320" w:lineRule="atLeast"/>
        <w:ind w:firstLine="420" w:firstLineChars="200"/>
        <w:rPr>
          <w:szCs w:val="21"/>
          <w:highlight w:val="none"/>
        </w:rPr>
      </w:pPr>
      <w:r>
        <w:rPr>
          <w:szCs w:val="21"/>
          <w:highlight w:val="none"/>
        </w:rPr>
        <w:t>4.4.1“供应商须知前附表”规定递交样品的，供应商应按前附表规定递交样品，递交样品时应附样品递交表（格式见第六章）。</w:t>
      </w:r>
    </w:p>
    <w:p w14:paraId="7A8DC183">
      <w:pPr>
        <w:spacing w:before="120" w:line="320" w:lineRule="atLeast"/>
        <w:ind w:firstLine="420" w:firstLineChars="200"/>
        <w:rPr>
          <w:szCs w:val="21"/>
          <w:highlight w:val="none"/>
        </w:rPr>
      </w:pPr>
      <w:r>
        <w:rPr>
          <w:szCs w:val="21"/>
          <w:highlight w:val="none"/>
        </w:rPr>
        <w:t>4.4.2未按规定时间递交样品可能引起的样品分数被计为0分或响应无效等后果由供应商自行承担。</w:t>
      </w:r>
    </w:p>
    <w:p w14:paraId="07FD4FF4">
      <w:pPr>
        <w:spacing w:before="120" w:line="320" w:lineRule="atLeast"/>
        <w:ind w:firstLine="420" w:firstLineChars="200"/>
        <w:rPr>
          <w:szCs w:val="21"/>
          <w:highlight w:val="none"/>
        </w:rPr>
      </w:pPr>
      <w:r>
        <w:rPr>
          <w:szCs w:val="21"/>
          <w:highlight w:val="none"/>
        </w:rPr>
        <w:t>4.4.3样品封存或退还的说明请见第六章响应文件格式所附样品递交表。</w:t>
      </w:r>
    </w:p>
    <w:p w14:paraId="14672C6F">
      <w:pPr>
        <w:spacing w:before="120" w:line="320" w:lineRule="atLeast"/>
        <w:ind w:left="2" w:leftChars="1" w:firstLine="422" w:firstLineChars="200"/>
        <w:outlineLvl w:val="1"/>
        <w:rPr>
          <w:b/>
          <w:bCs/>
          <w:kern w:val="0"/>
          <w:szCs w:val="21"/>
          <w:highlight w:val="none"/>
        </w:rPr>
      </w:pPr>
      <w:r>
        <w:rPr>
          <w:b/>
          <w:bCs/>
          <w:kern w:val="0"/>
          <w:szCs w:val="21"/>
          <w:highlight w:val="none"/>
        </w:rPr>
        <w:t>5．</w:t>
      </w:r>
      <w:r>
        <w:rPr>
          <w:rFonts w:hint="eastAsia"/>
          <w:b/>
          <w:bCs/>
          <w:kern w:val="0"/>
          <w:szCs w:val="21"/>
          <w:highlight w:val="none"/>
        </w:rPr>
        <w:t>资格审查</w:t>
      </w:r>
    </w:p>
    <w:p w14:paraId="78FAC963">
      <w:pPr>
        <w:spacing w:before="120" w:line="320" w:lineRule="atLeast"/>
        <w:ind w:left="2" w:leftChars="1" w:firstLine="420" w:firstLineChars="200"/>
        <w:outlineLvl w:val="2"/>
        <w:rPr>
          <w:bCs/>
          <w:kern w:val="0"/>
          <w:szCs w:val="21"/>
          <w:highlight w:val="none"/>
        </w:rPr>
      </w:pPr>
      <w:r>
        <w:rPr>
          <w:rFonts w:hint="eastAsia"/>
          <w:bCs/>
          <w:kern w:val="0"/>
          <w:szCs w:val="21"/>
          <w:highlight w:val="none"/>
        </w:rPr>
        <w:t>5</w:t>
      </w:r>
      <w:r>
        <w:rPr>
          <w:bCs/>
          <w:kern w:val="0"/>
          <w:szCs w:val="21"/>
          <w:highlight w:val="none"/>
        </w:rPr>
        <w:t>.1</w:t>
      </w:r>
      <w:r>
        <w:rPr>
          <w:rFonts w:hint="eastAsia"/>
          <w:bCs/>
          <w:kern w:val="0"/>
          <w:szCs w:val="21"/>
          <w:highlight w:val="none"/>
        </w:rPr>
        <w:t>截标</w:t>
      </w:r>
      <w:r>
        <w:rPr>
          <w:rFonts w:ascii="宋体" w:hAnsi="宋体"/>
          <w:bCs/>
          <w:szCs w:val="21"/>
          <w:highlight w:val="none"/>
        </w:rPr>
        <w:t>后，</w:t>
      </w:r>
      <w:r>
        <w:rPr>
          <w:rFonts w:hint="eastAsia" w:ascii="宋体" w:hAnsi="宋体"/>
          <w:bCs/>
          <w:szCs w:val="21"/>
          <w:highlight w:val="none"/>
        </w:rPr>
        <w:t>磋商小组通过电子交易平台</w:t>
      </w:r>
      <w:r>
        <w:rPr>
          <w:rFonts w:ascii="宋体" w:hAnsi="宋体"/>
          <w:bCs/>
          <w:szCs w:val="21"/>
          <w:highlight w:val="none"/>
        </w:rPr>
        <w:t>对供应商的资格进行审查。</w:t>
      </w:r>
      <w:r>
        <w:rPr>
          <w:rFonts w:hint="eastAsia" w:ascii="宋体" w:hAnsi="宋体"/>
          <w:bCs/>
          <w:szCs w:val="21"/>
          <w:highlight w:val="none"/>
        </w:rPr>
        <w:t>资格审查</w:t>
      </w:r>
      <w:r>
        <w:rPr>
          <w:rFonts w:hint="eastAsia"/>
          <w:bCs/>
          <w:kern w:val="0"/>
          <w:szCs w:val="21"/>
          <w:highlight w:val="none"/>
        </w:rPr>
        <w:t>是根据法律法规和采购文件的规定，对供应商的基本资格条件、特定资格条件进行审查。</w:t>
      </w:r>
    </w:p>
    <w:p w14:paraId="48FFE244">
      <w:pPr>
        <w:spacing w:before="120" w:line="320" w:lineRule="atLeast"/>
        <w:ind w:left="2" w:leftChars="1" w:firstLine="420" w:firstLineChars="200"/>
        <w:outlineLvl w:val="2"/>
        <w:rPr>
          <w:bCs/>
          <w:kern w:val="0"/>
          <w:szCs w:val="21"/>
          <w:highlight w:val="none"/>
        </w:rPr>
      </w:pPr>
      <w:r>
        <w:rPr>
          <w:rFonts w:hint="eastAsia"/>
          <w:bCs/>
          <w:kern w:val="0"/>
          <w:szCs w:val="21"/>
          <w:highlight w:val="none"/>
        </w:rPr>
        <w:t>5.</w:t>
      </w:r>
      <w:r>
        <w:rPr>
          <w:bCs/>
          <w:kern w:val="0"/>
          <w:szCs w:val="21"/>
          <w:highlight w:val="none"/>
        </w:rPr>
        <w:t>2</w:t>
      </w:r>
      <w:r>
        <w:rPr>
          <w:rFonts w:hint="eastAsia"/>
          <w:bCs/>
          <w:kern w:val="0"/>
          <w:szCs w:val="21"/>
          <w:highlight w:val="none"/>
        </w:rPr>
        <w:t>资格审查标准在第四章评审方法及标准中规定，符合资格审查标准要求的供应商即为资格审查合格。</w:t>
      </w:r>
    </w:p>
    <w:p w14:paraId="13F65A40">
      <w:pPr>
        <w:spacing w:before="120" w:line="276" w:lineRule="auto"/>
        <w:ind w:left="2" w:leftChars="1" w:firstLine="420" w:firstLineChars="200"/>
        <w:outlineLvl w:val="2"/>
        <w:rPr>
          <w:bCs/>
          <w:kern w:val="0"/>
          <w:szCs w:val="21"/>
          <w:highlight w:val="none"/>
        </w:rPr>
      </w:pPr>
      <w:r>
        <w:rPr>
          <w:bCs/>
          <w:kern w:val="0"/>
          <w:szCs w:val="21"/>
          <w:highlight w:val="none"/>
        </w:rPr>
        <w:t>5.3</w:t>
      </w:r>
      <w:r>
        <w:rPr>
          <w:rFonts w:hint="eastAsia"/>
          <w:bCs/>
          <w:kern w:val="0"/>
          <w:szCs w:val="21"/>
          <w:highlight w:val="none"/>
        </w:rPr>
        <w:t>供应商有下列情形之一的，资格审查不合格，作无效响应处理：</w:t>
      </w:r>
    </w:p>
    <w:p w14:paraId="4BA4C3ED">
      <w:pPr>
        <w:spacing w:line="276" w:lineRule="auto"/>
        <w:ind w:firstLine="420" w:firstLineChars="200"/>
        <w:rPr>
          <w:rFonts w:hAnsi="宋体"/>
          <w:highlight w:val="none"/>
        </w:rPr>
      </w:pPr>
      <w:r>
        <w:rPr>
          <w:rFonts w:hint="eastAsia"/>
          <w:szCs w:val="21"/>
          <w:highlight w:val="none"/>
        </w:rPr>
        <w:t>5</w:t>
      </w:r>
      <w:r>
        <w:rPr>
          <w:szCs w:val="21"/>
          <w:highlight w:val="none"/>
        </w:rPr>
        <w:t>.3.1</w:t>
      </w:r>
      <w:r>
        <w:rPr>
          <w:rFonts w:hint="eastAsia"/>
          <w:szCs w:val="21"/>
          <w:highlight w:val="none"/>
        </w:rPr>
        <w:t>不具备采购文件中规定的资格要求或资格条件的；</w:t>
      </w:r>
      <w:r>
        <w:rPr>
          <w:szCs w:val="21"/>
          <w:highlight w:val="none"/>
        </w:rPr>
        <w:t xml:space="preserve"> </w:t>
      </w:r>
      <w:r>
        <w:rPr>
          <w:rFonts w:hint="eastAsia" w:hAnsi="宋体"/>
          <w:color w:val="000000"/>
          <w:highlight w:val="none"/>
        </w:rPr>
        <w:t>（注：其中信用查询规则见“供应商须知前附表”，</w:t>
      </w:r>
      <w:r>
        <w:rPr>
          <w:rFonts w:hint="eastAsia"/>
          <w:szCs w:val="21"/>
          <w:highlight w:val="none"/>
        </w:rPr>
        <w:t>广西政府采购云平台</w:t>
      </w:r>
      <w:r>
        <w:rPr>
          <w:rFonts w:hint="eastAsia" w:hAnsi="宋体"/>
          <w:color w:val="000000"/>
          <w:highlight w:val="none"/>
        </w:rPr>
        <w:t>已与“信用中国”平台做接口</w:t>
      </w:r>
      <w:r>
        <w:rPr>
          <w:rFonts w:hint="eastAsia" w:hAnsi="宋体"/>
          <w:highlight w:val="none"/>
        </w:rPr>
        <w:t>，可直接在线查询）</w:t>
      </w:r>
    </w:p>
    <w:p w14:paraId="6F1D35A5">
      <w:pPr>
        <w:spacing w:before="120" w:line="276" w:lineRule="auto"/>
        <w:ind w:firstLine="420" w:firstLineChars="200"/>
        <w:rPr>
          <w:rFonts w:hint="eastAsia"/>
          <w:szCs w:val="21"/>
          <w:highlight w:val="none"/>
        </w:rPr>
      </w:pPr>
      <w:r>
        <w:rPr>
          <w:rFonts w:hint="eastAsia"/>
          <w:szCs w:val="21"/>
          <w:highlight w:val="none"/>
        </w:rPr>
        <w:t>5</w:t>
      </w:r>
      <w:r>
        <w:rPr>
          <w:szCs w:val="21"/>
          <w:highlight w:val="none"/>
        </w:rPr>
        <w:t>.3.2</w:t>
      </w:r>
      <w:r>
        <w:rPr>
          <w:rFonts w:hint="eastAsia"/>
          <w:szCs w:val="21"/>
          <w:highlight w:val="none"/>
        </w:rPr>
        <w:t>响应文件缺少任何一项资格证明文件或不符合第四章评审方法及标准中资格审查标准规定的评审内容的。</w:t>
      </w:r>
    </w:p>
    <w:p w14:paraId="03F0B75A">
      <w:pPr>
        <w:spacing w:before="120" w:line="320" w:lineRule="atLeast"/>
        <w:ind w:left="2" w:leftChars="1" w:firstLine="422" w:firstLineChars="200"/>
        <w:outlineLvl w:val="1"/>
        <w:rPr>
          <w:rFonts w:hint="eastAsia"/>
          <w:b/>
          <w:bCs/>
          <w:kern w:val="0"/>
          <w:szCs w:val="21"/>
          <w:highlight w:val="none"/>
        </w:rPr>
      </w:pPr>
      <w:r>
        <w:rPr>
          <w:b/>
          <w:bCs/>
          <w:kern w:val="0"/>
          <w:szCs w:val="21"/>
          <w:highlight w:val="none"/>
        </w:rPr>
        <w:t>6．评审</w:t>
      </w:r>
    </w:p>
    <w:p w14:paraId="58ACDE62">
      <w:pPr>
        <w:spacing w:before="120" w:line="320" w:lineRule="atLeast"/>
        <w:ind w:firstLine="422" w:firstLineChars="200"/>
        <w:outlineLvl w:val="2"/>
        <w:rPr>
          <w:b/>
          <w:bCs/>
          <w:kern w:val="0"/>
          <w:szCs w:val="21"/>
          <w:highlight w:val="none"/>
        </w:rPr>
      </w:pPr>
      <w:r>
        <w:rPr>
          <w:b/>
          <w:bCs/>
          <w:kern w:val="0"/>
          <w:szCs w:val="21"/>
          <w:highlight w:val="none"/>
        </w:rPr>
        <w:t>6.1组建磋商小组</w:t>
      </w:r>
    </w:p>
    <w:p w14:paraId="3D7A27C6">
      <w:pPr>
        <w:spacing w:before="120" w:line="320" w:lineRule="atLeast"/>
        <w:ind w:firstLine="420" w:firstLineChars="200"/>
        <w:rPr>
          <w:szCs w:val="21"/>
          <w:highlight w:val="none"/>
        </w:rPr>
      </w:pPr>
      <w:r>
        <w:rPr>
          <w:rFonts w:hint="eastAsia"/>
          <w:szCs w:val="21"/>
          <w:highlight w:val="none"/>
        </w:rPr>
        <w:t>6.1.1</w:t>
      </w:r>
      <w:r>
        <w:rPr>
          <w:szCs w:val="21"/>
          <w:highlight w:val="none"/>
        </w:rPr>
        <w:t>本项目</w:t>
      </w:r>
      <w:r>
        <w:rPr>
          <w:rFonts w:hint="eastAsia"/>
          <w:szCs w:val="21"/>
          <w:highlight w:val="none"/>
        </w:rPr>
        <w:t>评审工作由</w:t>
      </w:r>
      <w:r>
        <w:rPr>
          <w:szCs w:val="21"/>
          <w:highlight w:val="none"/>
        </w:rPr>
        <w:t>磋商小组</w:t>
      </w:r>
      <w:r>
        <w:rPr>
          <w:rFonts w:hint="eastAsia"/>
          <w:szCs w:val="21"/>
          <w:highlight w:val="none"/>
        </w:rPr>
        <w:t>负责，磋商小组</w:t>
      </w:r>
      <w:r>
        <w:rPr>
          <w:szCs w:val="21"/>
          <w:highlight w:val="none"/>
        </w:rPr>
        <w:t>由</w:t>
      </w:r>
      <w:r>
        <w:rPr>
          <w:rFonts w:hint="eastAsia"/>
          <w:szCs w:val="21"/>
          <w:highlight w:val="none"/>
        </w:rPr>
        <w:t>评审专家</w:t>
      </w:r>
      <w:r>
        <w:rPr>
          <w:szCs w:val="21"/>
          <w:highlight w:val="none"/>
        </w:rPr>
        <w:t>和采购人代表</w:t>
      </w:r>
      <w:r>
        <w:rPr>
          <w:rFonts w:hint="eastAsia"/>
          <w:szCs w:val="21"/>
          <w:highlight w:val="none"/>
        </w:rPr>
        <w:t>（如有）</w:t>
      </w:r>
      <w:r>
        <w:rPr>
          <w:szCs w:val="21"/>
          <w:highlight w:val="none"/>
        </w:rPr>
        <w:t>组成。</w:t>
      </w:r>
      <w:r>
        <w:rPr>
          <w:rFonts w:hint="eastAsia"/>
          <w:szCs w:val="21"/>
          <w:highlight w:val="none"/>
        </w:rPr>
        <w:t>磋商小组评审时必须公平、公正、客观，不带任何倾向性和启发性；不得向外界透露任何与评审有关的内容；任何单位和个人不得干扰、影响评标的正常进行；磋商小组及有关工作人员不得私下与供应商接触，不得收受利害关系人的财物或者其他好处；</w:t>
      </w:r>
      <w:r>
        <w:rPr>
          <w:szCs w:val="21"/>
          <w:highlight w:val="none"/>
        </w:rPr>
        <w:t>评审专家发现本人与参加采购活动的供应商有利害关系的，应当主动提出回避</w:t>
      </w:r>
      <w:r>
        <w:rPr>
          <w:rFonts w:hint="eastAsia"/>
          <w:szCs w:val="21"/>
          <w:highlight w:val="none"/>
        </w:rPr>
        <w:t>。</w:t>
      </w:r>
    </w:p>
    <w:p w14:paraId="6C411EC8">
      <w:pPr>
        <w:spacing w:before="120" w:line="320" w:lineRule="atLeast"/>
        <w:ind w:firstLine="420" w:firstLineChars="200"/>
        <w:rPr>
          <w:szCs w:val="21"/>
          <w:highlight w:val="none"/>
        </w:rPr>
      </w:pPr>
      <w:r>
        <w:rPr>
          <w:rFonts w:hint="eastAsia"/>
          <w:szCs w:val="21"/>
          <w:highlight w:val="none"/>
        </w:rPr>
        <w:t>6.1.2磋商小组成员应当通过电子交易平台进行独立评审，磋商小组成员对需要共同认定的事项存在争议的，应当按照少数服从多数的原则作出结论。持不同意见的磋商小组成员应当在评审报告上签署不同意见及理由，否则视为同意评审报告。如果在评审过程中出现法律法规和采购文件均没有明确规定的情形时，由磋商小组现场协商确定，协商不一致的，由全体磋商小组成员投票表决，应当按照少数服从多数的原则作出结论并记录在评审报告中。</w:t>
      </w:r>
    </w:p>
    <w:p w14:paraId="0B644944">
      <w:pPr>
        <w:spacing w:before="120" w:line="320" w:lineRule="atLeast"/>
        <w:ind w:firstLine="420" w:firstLineChars="200"/>
        <w:rPr>
          <w:szCs w:val="21"/>
          <w:highlight w:val="none"/>
        </w:rPr>
      </w:pPr>
      <w:r>
        <w:rPr>
          <w:rFonts w:hint="eastAsia"/>
          <w:szCs w:val="21"/>
          <w:highlight w:val="none"/>
        </w:rPr>
        <w:t>6.1.3采购人、采购代理机构应当采取必要措施，保证评审在严格保密（封闭式评审）的情况下进行。除采购人代表、评审现场组织人员外，采购人的其他工作人员以及与评审工作无关的人员不得进入评审现场。有关人员对评审情况以及在评审过程中获悉的国家秘密、商业秘密负有保密责任。</w:t>
      </w:r>
    </w:p>
    <w:p w14:paraId="37393BB3">
      <w:pPr>
        <w:spacing w:before="120" w:line="320" w:lineRule="atLeast"/>
        <w:ind w:firstLine="420" w:firstLineChars="200"/>
        <w:rPr>
          <w:szCs w:val="21"/>
          <w:highlight w:val="none"/>
        </w:rPr>
      </w:pPr>
      <w:r>
        <w:rPr>
          <w:rFonts w:hint="eastAsia"/>
          <w:szCs w:val="21"/>
          <w:highlight w:val="none"/>
        </w:rPr>
        <w:t>6.1.4本项目评审过程实行全程网上留痕及录音、录像监控，供应商在评审过程中所进行的试图影响评审结果的不公正活动，可能导致其响应按无效处理。</w:t>
      </w:r>
    </w:p>
    <w:p w14:paraId="2CCDBE35">
      <w:pPr>
        <w:spacing w:before="120" w:line="320" w:lineRule="atLeast"/>
        <w:ind w:firstLine="422" w:firstLineChars="200"/>
        <w:outlineLvl w:val="2"/>
        <w:rPr>
          <w:b/>
          <w:bCs/>
          <w:kern w:val="0"/>
          <w:szCs w:val="21"/>
          <w:highlight w:val="none"/>
        </w:rPr>
      </w:pPr>
      <w:r>
        <w:rPr>
          <w:b/>
          <w:bCs/>
          <w:kern w:val="0"/>
          <w:szCs w:val="21"/>
          <w:highlight w:val="none"/>
        </w:rPr>
        <w:t>6.2</w:t>
      </w:r>
      <w:r>
        <w:rPr>
          <w:rFonts w:hint="eastAsia"/>
          <w:b/>
          <w:bCs/>
          <w:kern w:val="0"/>
          <w:szCs w:val="21"/>
          <w:highlight w:val="none"/>
        </w:rPr>
        <w:t>评审方法及依据</w:t>
      </w:r>
    </w:p>
    <w:p w14:paraId="7EA0EDE2">
      <w:pPr>
        <w:spacing w:before="120" w:line="320" w:lineRule="atLeast"/>
        <w:ind w:firstLine="420" w:firstLineChars="200"/>
        <w:rPr>
          <w:bCs/>
          <w:kern w:val="0"/>
          <w:szCs w:val="21"/>
          <w:highlight w:val="none"/>
        </w:rPr>
      </w:pPr>
      <w:r>
        <w:rPr>
          <w:bCs/>
          <w:kern w:val="0"/>
          <w:szCs w:val="21"/>
          <w:highlight w:val="none"/>
        </w:rPr>
        <w:t>6.2.1</w:t>
      </w:r>
      <w:r>
        <w:rPr>
          <w:rFonts w:hint="eastAsia"/>
          <w:bCs/>
          <w:kern w:val="0"/>
          <w:szCs w:val="21"/>
          <w:highlight w:val="none"/>
        </w:rPr>
        <w:t>本项目采用第四章评审方法及标准规定的方法进行评审。</w:t>
      </w:r>
    </w:p>
    <w:p w14:paraId="20B3E0BE">
      <w:pPr>
        <w:suppressAutoHyphens/>
        <w:spacing w:before="120" w:line="320" w:lineRule="atLeast"/>
        <w:ind w:firstLine="420" w:firstLineChars="200"/>
        <w:rPr>
          <w:bCs/>
          <w:kern w:val="0"/>
          <w:szCs w:val="21"/>
          <w:highlight w:val="none"/>
        </w:rPr>
      </w:pPr>
      <w:r>
        <w:rPr>
          <w:bCs/>
          <w:kern w:val="0"/>
          <w:szCs w:val="21"/>
          <w:highlight w:val="none"/>
        </w:rPr>
        <w:t>6.2.2</w:t>
      </w:r>
      <w:r>
        <w:rPr>
          <w:rFonts w:hint="eastAsia"/>
          <w:bCs/>
          <w:kern w:val="0"/>
          <w:szCs w:val="21"/>
          <w:highlight w:val="none"/>
        </w:rPr>
        <w:t>磋商小组</w:t>
      </w:r>
      <w:r>
        <w:rPr>
          <w:highlight w:val="none"/>
        </w:rPr>
        <w:t>以</w:t>
      </w:r>
      <w:r>
        <w:rPr>
          <w:rFonts w:hint="eastAsia"/>
          <w:highlight w:val="none"/>
        </w:rPr>
        <w:t>采购</w:t>
      </w:r>
      <w:r>
        <w:rPr>
          <w:highlight w:val="none"/>
        </w:rPr>
        <w:t>文件、补充文件、</w:t>
      </w:r>
      <w:r>
        <w:rPr>
          <w:rFonts w:hint="eastAsia"/>
          <w:highlight w:val="none"/>
        </w:rPr>
        <w:t>响应</w:t>
      </w:r>
      <w:r>
        <w:rPr>
          <w:highlight w:val="none"/>
        </w:rPr>
        <w:t>文件、澄清及答复为评审依据</w:t>
      </w:r>
      <w:r>
        <w:rPr>
          <w:rFonts w:hint="eastAsia"/>
          <w:highlight w:val="none"/>
        </w:rPr>
        <w:t>，</w:t>
      </w:r>
      <w:r>
        <w:rPr>
          <w:rFonts w:hint="eastAsia"/>
          <w:bCs/>
          <w:kern w:val="0"/>
          <w:szCs w:val="21"/>
          <w:highlight w:val="none"/>
        </w:rPr>
        <w:t>第四章评审方法及标准没有规定的评审方法、标准及因素，不得作为评审依据。</w:t>
      </w:r>
    </w:p>
    <w:p w14:paraId="2E7D656A">
      <w:pPr>
        <w:spacing w:before="120" w:line="320" w:lineRule="atLeast"/>
        <w:ind w:firstLine="422" w:firstLineChars="200"/>
        <w:outlineLvl w:val="2"/>
        <w:rPr>
          <w:b/>
          <w:bCs/>
          <w:kern w:val="0"/>
          <w:szCs w:val="21"/>
          <w:highlight w:val="none"/>
        </w:rPr>
      </w:pPr>
      <w:bookmarkStart w:id="58" w:name="_Toc254970687"/>
      <w:bookmarkStart w:id="59" w:name="_Toc254970546"/>
      <w:r>
        <w:rPr>
          <w:b/>
          <w:bCs/>
          <w:kern w:val="0"/>
          <w:szCs w:val="21"/>
          <w:highlight w:val="none"/>
        </w:rPr>
        <w:t>6.3评审</w:t>
      </w:r>
      <w:r>
        <w:rPr>
          <w:rFonts w:hint="eastAsia"/>
          <w:b/>
          <w:bCs/>
          <w:kern w:val="0"/>
          <w:szCs w:val="21"/>
          <w:highlight w:val="none"/>
        </w:rPr>
        <w:t>程序</w:t>
      </w:r>
    </w:p>
    <w:p w14:paraId="463108F4">
      <w:pPr>
        <w:spacing w:before="120" w:line="320" w:lineRule="atLeast"/>
        <w:ind w:firstLine="420" w:firstLineChars="200"/>
        <w:rPr>
          <w:highlight w:val="none"/>
        </w:rPr>
      </w:pPr>
      <w:r>
        <w:rPr>
          <w:highlight w:val="none"/>
        </w:rPr>
        <w:t>6.</w:t>
      </w:r>
      <w:bookmarkStart w:id="60" w:name="_Hlk19175507"/>
      <w:bookmarkStart w:id="61" w:name="_Hlk80956880"/>
      <w:r>
        <w:rPr>
          <w:highlight w:val="none"/>
        </w:rPr>
        <w:t>3.1</w:t>
      </w:r>
      <w:r>
        <w:rPr>
          <w:rFonts w:hint="eastAsia"/>
          <w:highlight w:val="none"/>
        </w:rPr>
        <w:t>符合性审查</w:t>
      </w:r>
    </w:p>
    <w:p w14:paraId="04A9C7ED">
      <w:pPr>
        <w:spacing w:before="120" w:line="320" w:lineRule="atLeast"/>
        <w:ind w:firstLine="420" w:firstLineChars="200"/>
        <w:rPr>
          <w:szCs w:val="21"/>
          <w:highlight w:val="none"/>
        </w:rPr>
      </w:pPr>
      <w:r>
        <w:rPr>
          <w:bCs/>
          <w:kern w:val="1"/>
          <w:szCs w:val="21"/>
          <w:highlight w:val="none"/>
        </w:rPr>
        <w:t>资格审查结束后，</w:t>
      </w:r>
      <w:r>
        <w:rPr>
          <w:rFonts w:hint="eastAsia" w:hAnsi="宋体"/>
          <w:color w:val="000000"/>
          <w:highlight w:val="none"/>
        </w:rPr>
        <w:t>磋商小组对</w:t>
      </w:r>
      <w:r>
        <w:rPr>
          <w:highlight w:val="none"/>
        </w:rPr>
        <w:t>通过资格审查的供应商</w:t>
      </w:r>
      <w:r>
        <w:rPr>
          <w:rFonts w:hint="eastAsia" w:hAnsi="宋体"/>
          <w:color w:val="000000"/>
          <w:highlight w:val="none"/>
        </w:rPr>
        <w:t>的响应文件报价、商务资信、技术等方面实质性内容进行符合性审查，</w:t>
      </w:r>
      <w:r>
        <w:rPr>
          <w:rFonts w:hint="eastAsia"/>
          <w:szCs w:val="21"/>
          <w:highlight w:val="none"/>
        </w:rPr>
        <w:t>符合性审查标准</w:t>
      </w:r>
      <w:r>
        <w:rPr>
          <w:szCs w:val="21"/>
          <w:highlight w:val="none"/>
        </w:rPr>
        <w:t>详见第四章评审方法及标准。</w:t>
      </w:r>
    </w:p>
    <w:bookmarkEnd w:id="60"/>
    <w:bookmarkEnd w:id="61"/>
    <w:p w14:paraId="5807550C">
      <w:pPr>
        <w:spacing w:before="120" w:line="320" w:lineRule="atLeast"/>
        <w:ind w:firstLine="420" w:firstLineChars="200"/>
        <w:rPr>
          <w:szCs w:val="21"/>
          <w:highlight w:val="none"/>
        </w:rPr>
      </w:pPr>
      <w:r>
        <w:rPr>
          <w:rFonts w:hint="eastAsia"/>
          <w:szCs w:val="21"/>
          <w:highlight w:val="none"/>
        </w:rPr>
        <w:t>6</w:t>
      </w:r>
      <w:r>
        <w:rPr>
          <w:szCs w:val="21"/>
          <w:highlight w:val="none"/>
        </w:rPr>
        <w:t>.3.2</w:t>
      </w:r>
      <w:r>
        <w:rPr>
          <w:rFonts w:hAnsi="宋体"/>
          <w:color w:val="000000"/>
          <w:highlight w:val="none"/>
        </w:rPr>
        <w:t>强制性</w:t>
      </w:r>
      <w:r>
        <w:rPr>
          <w:szCs w:val="21"/>
          <w:highlight w:val="none"/>
        </w:rPr>
        <w:t>采购要求</w:t>
      </w:r>
    </w:p>
    <w:p w14:paraId="2C241951">
      <w:pPr>
        <w:suppressAutoHyphens/>
        <w:spacing w:before="120" w:line="320" w:lineRule="atLeast"/>
        <w:ind w:firstLine="422" w:firstLineChars="201"/>
        <w:rPr>
          <w:szCs w:val="21"/>
          <w:highlight w:val="none"/>
        </w:rPr>
      </w:pPr>
      <w:bookmarkStart w:id="62" w:name="_Hlk47714684"/>
      <w:r>
        <w:rPr>
          <w:rFonts w:hint="eastAsia"/>
          <w:szCs w:val="21"/>
          <w:highlight w:val="none"/>
        </w:rPr>
        <w:t>（1）</w:t>
      </w:r>
      <w:bookmarkEnd w:id="62"/>
      <w:r>
        <w:rPr>
          <w:rFonts w:hint="eastAsia"/>
          <w:szCs w:val="21"/>
          <w:highlight w:val="none"/>
        </w:rPr>
        <w:t>根据《财政部 发展改革委 生态环境部 市场监管总局关于调整优化节能产品、环境标志产品政府采购执行机制的通知》（财库〔2019〕9号）和《关于印发节能产品政府采购品目清单的通知》（财库〔2019〕19号）规定，本项目采购需求中的产品属于节能产品政府采购品目清单内标注“★”的，供应商的响应货物必须使用政府强制采购的节能产品，否则响应文件作无效处理；属于品目清单内非标注“★”的产品时，应优先采购。</w:t>
      </w:r>
    </w:p>
    <w:p w14:paraId="0ED6B922">
      <w:pPr>
        <w:spacing w:before="120" w:line="276" w:lineRule="auto"/>
        <w:ind w:firstLine="420" w:firstLineChars="200"/>
        <w:rPr>
          <w:szCs w:val="21"/>
          <w:highlight w:val="none"/>
        </w:rPr>
      </w:pPr>
      <w:bookmarkStart w:id="63" w:name="_Hlk19176155"/>
      <w:r>
        <w:rPr>
          <w:rFonts w:hint="eastAsia"/>
          <w:szCs w:val="21"/>
          <w:highlight w:val="none"/>
        </w:rPr>
        <w:t>（2）根据《关于调整网络安全专用产品安全管理有关事项的公告》（2023年1号）及关于调整《网络关键设备和网络安全专用产品目录》（2023年2号）的公告规定，本项目采购需求中的产品如果包括《网络关键设备和网络安全专用产品目录》的网络安全专用产品，</w:t>
      </w:r>
      <w:r>
        <w:rPr>
          <w:rFonts w:hint="eastAsia"/>
          <w:szCs w:val="21"/>
          <w:highlight w:val="none"/>
          <w:lang w:val="en-US" w:eastAsia="zh-CN"/>
        </w:rPr>
        <w:t>供应商</w:t>
      </w:r>
      <w:r>
        <w:rPr>
          <w:rFonts w:hint="eastAsia"/>
          <w:szCs w:val="21"/>
          <w:highlight w:val="none"/>
        </w:rPr>
        <w:t>在</w:t>
      </w:r>
      <w:r>
        <w:rPr>
          <w:rFonts w:hint="eastAsia"/>
          <w:szCs w:val="21"/>
          <w:highlight w:val="none"/>
          <w:lang w:val="en-US" w:eastAsia="zh-CN"/>
        </w:rPr>
        <w:t>响应</w:t>
      </w:r>
      <w:r>
        <w:rPr>
          <w:rFonts w:hint="eastAsia"/>
          <w:szCs w:val="21"/>
          <w:highlight w:val="none"/>
        </w:rPr>
        <w:t>文件中应主动列明供货范围中属于网络安全专用产品的</w:t>
      </w:r>
      <w:r>
        <w:rPr>
          <w:rFonts w:hint="eastAsia"/>
          <w:szCs w:val="21"/>
          <w:highlight w:val="none"/>
          <w:lang w:val="en-US" w:eastAsia="zh-CN"/>
        </w:rPr>
        <w:t>响应</w:t>
      </w:r>
      <w:r>
        <w:rPr>
          <w:rFonts w:hint="eastAsia"/>
          <w:szCs w:val="21"/>
          <w:highlight w:val="none"/>
        </w:rPr>
        <w:t>产品，并提供由中共中央网络安全和信息化委员会办公室网站最新发布的《网络关键设备和网络安全专用产品安全认证和安全检测结果》截图证明材料，不在《网络关键设备和网络安全专用产品安全认证和安全检测结果》中或不在有效期内或未提供有效的《计算机信息系统安全专用产品销售许可证》的，</w:t>
      </w:r>
      <w:r>
        <w:rPr>
          <w:rFonts w:hint="eastAsia"/>
          <w:szCs w:val="21"/>
          <w:highlight w:val="none"/>
          <w:lang w:val="en-US" w:eastAsia="zh-CN"/>
        </w:rPr>
        <w:t>响应</w:t>
      </w:r>
      <w:r>
        <w:rPr>
          <w:rFonts w:hint="eastAsia"/>
          <w:szCs w:val="21"/>
          <w:highlight w:val="none"/>
        </w:rPr>
        <w:t>无效。</w:t>
      </w:r>
    </w:p>
    <w:p w14:paraId="27C0E740">
      <w:pPr>
        <w:spacing w:before="120" w:line="276" w:lineRule="auto"/>
        <w:ind w:firstLine="420" w:firstLineChars="200"/>
        <w:rPr>
          <w:szCs w:val="21"/>
          <w:highlight w:val="none"/>
        </w:rPr>
      </w:pPr>
      <w:r>
        <w:rPr>
          <w:rFonts w:hint="eastAsia"/>
          <w:szCs w:val="21"/>
          <w:highlight w:val="none"/>
        </w:rPr>
        <w:t>注：网络安全专用产品在中共中央网络安全和信息化委员会办公室网站上发布的《网络关键设备和网络安全专用产品目录》中查询。</w:t>
      </w:r>
      <w:r>
        <w:rPr>
          <w:szCs w:val="21"/>
          <w:highlight w:val="none"/>
        </w:rPr>
        <w:t xml:space="preserve"> </w:t>
      </w:r>
      <w:r>
        <w:rPr>
          <w:rFonts w:hint="eastAsia"/>
          <w:szCs w:val="21"/>
          <w:highlight w:val="none"/>
          <w:lang w:eastAsia="zh-CN"/>
        </w:rPr>
        <w:t>“</w:t>
      </w:r>
      <w:r>
        <w:rPr>
          <w:rFonts w:hint="eastAsia"/>
          <w:szCs w:val="21"/>
          <w:highlight w:val="none"/>
          <w:lang w:val="en-US" w:eastAsia="zh-CN"/>
        </w:rPr>
        <w:t>网络安全专用产品”内“产品类别”</w:t>
      </w:r>
      <w:r>
        <w:rPr>
          <w:rFonts w:hint="eastAsia"/>
          <w:szCs w:val="21"/>
          <w:highlight w:val="none"/>
        </w:rPr>
        <w:t>共</w:t>
      </w:r>
      <w:r>
        <w:rPr>
          <w:rFonts w:hint="eastAsia"/>
          <w:szCs w:val="21"/>
          <w:highlight w:val="none"/>
          <w:lang w:val="en-US" w:eastAsia="zh-CN"/>
        </w:rPr>
        <w:t>34</w:t>
      </w:r>
      <w:r>
        <w:rPr>
          <w:rFonts w:hint="eastAsia"/>
          <w:szCs w:val="21"/>
          <w:highlight w:val="none"/>
        </w:rPr>
        <w:t>类：数据备份与恢复产品、防火墙、入侵检测系统（I</w:t>
      </w:r>
      <w:r>
        <w:rPr>
          <w:szCs w:val="21"/>
          <w:highlight w:val="none"/>
        </w:rPr>
        <w:t>DS</w:t>
      </w:r>
      <w:r>
        <w:rPr>
          <w:rFonts w:hint="eastAsia"/>
          <w:szCs w:val="21"/>
          <w:highlight w:val="none"/>
        </w:rPr>
        <w:t>）、入侵防御系统（</w:t>
      </w:r>
      <w:r>
        <w:rPr>
          <w:szCs w:val="21"/>
          <w:highlight w:val="none"/>
        </w:rPr>
        <w:t>IPS</w:t>
      </w:r>
      <w:r>
        <w:rPr>
          <w:rFonts w:hint="eastAsia"/>
          <w:szCs w:val="21"/>
          <w:highlight w:val="none"/>
        </w:rPr>
        <w:t>）、</w:t>
      </w:r>
      <w:r>
        <w:rPr>
          <w:rFonts w:hint="eastAsia"/>
          <w:szCs w:val="21"/>
          <w:highlight w:val="none"/>
          <w:lang w:val="en-US" w:eastAsia="zh-CN"/>
        </w:rPr>
        <w:t>网络和终端隔离产品</w:t>
      </w:r>
      <w:r>
        <w:rPr>
          <w:rFonts w:hint="eastAsia"/>
          <w:szCs w:val="21"/>
          <w:highlight w:val="none"/>
        </w:rPr>
        <w:t>、反垃圾邮件产品、网络综合审计</w:t>
      </w:r>
      <w:r>
        <w:rPr>
          <w:rFonts w:hint="eastAsia"/>
          <w:szCs w:val="21"/>
          <w:highlight w:val="none"/>
          <w:lang w:val="en-US" w:eastAsia="zh-CN"/>
        </w:rPr>
        <w:t>产品</w:t>
      </w:r>
      <w:r>
        <w:rPr>
          <w:rFonts w:hint="eastAsia"/>
          <w:szCs w:val="21"/>
          <w:highlight w:val="none"/>
        </w:rPr>
        <w:t>、网络脆弱性扫描产品、安全数据库系统、网站恢复产品</w:t>
      </w:r>
      <w:r>
        <w:rPr>
          <w:rFonts w:hint="eastAsia"/>
          <w:szCs w:val="21"/>
          <w:highlight w:val="none"/>
          <w:lang w:eastAsia="zh-CN"/>
        </w:rPr>
        <w:t>、</w:t>
      </w:r>
      <w:r>
        <w:rPr>
          <w:rFonts w:hint="eastAsia"/>
          <w:szCs w:val="21"/>
          <w:highlight w:val="none"/>
          <w:lang w:val="en-US" w:eastAsia="zh-CN"/>
        </w:rPr>
        <w:t>虚拟专用网产品、防病毒网关、统一威胁管理产品（UTM）、病毒防治产品、安全操作系统、安全网络存储、公钥基础设施、网络安全态势感知产品、信息系统安全管理平台、网络型流量控制产品、负载均衡产品、信息过滤产品、抗拒绝服务攻击产品、终端接入控制产品、USB移动存储介质管理系统、文件加密产品、数据泄露防护产品、数据销毁软件产品、安全配置检查产品、运维安全管理产品、日志分析产品、身份鉴别产品、终端安全监护产品、电子文档安全管理产品。</w:t>
      </w:r>
    </w:p>
    <w:p w14:paraId="5D3F0D7D">
      <w:pPr>
        <w:spacing w:before="120" w:line="320" w:lineRule="atLeast"/>
        <w:ind w:firstLine="420" w:firstLineChars="200"/>
        <w:rPr>
          <w:highlight w:val="none"/>
        </w:rPr>
      </w:pPr>
      <w:r>
        <w:rPr>
          <w:highlight w:val="none"/>
        </w:rPr>
        <w:t>6.3.3澄清、说明或补正</w:t>
      </w:r>
    </w:p>
    <w:p w14:paraId="3CA15BF1">
      <w:pPr>
        <w:spacing w:before="120" w:line="320" w:lineRule="atLeast"/>
        <w:ind w:firstLine="420" w:firstLineChars="200"/>
        <w:rPr>
          <w:highlight w:val="none"/>
        </w:rPr>
      </w:pPr>
      <w:r>
        <w:rPr>
          <w:rFonts w:hint="eastAsia"/>
          <w:highlight w:val="none"/>
        </w:rPr>
        <w:t>（1）对响应文件中含义不明确、同类问题表述不一致或者有明显文字和计算错误的内容，磋商小组应在</w:t>
      </w:r>
      <w:r>
        <w:rPr>
          <w:rFonts w:hint="eastAsia"/>
          <w:szCs w:val="21"/>
          <w:highlight w:val="none"/>
        </w:rPr>
        <w:t>广西政府采购云平台</w:t>
      </w:r>
      <w:r>
        <w:rPr>
          <w:rFonts w:hint="eastAsia"/>
          <w:highlight w:val="none"/>
        </w:rPr>
        <w:t>发布电子澄清函，要求供应商在平台设置的时间内作出必要的澄清、说明或者补正。供应商在</w:t>
      </w:r>
      <w:r>
        <w:rPr>
          <w:rFonts w:hint="eastAsia"/>
          <w:szCs w:val="21"/>
          <w:highlight w:val="none"/>
        </w:rPr>
        <w:t>广西政府采购云平台</w:t>
      </w:r>
      <w:r>
        <w:rPr>
          <w:rFonts w:hint="eastAsia"/>
          <w:highlight w:val="none"/>
        </w:rPr>
        <w:t>接收到电子澄清函后根据澄清函内容直接在线编辑或上传PDF格式回函，电子澄清答复函使用CA证书加盖单位电子签章后提交至磋商小组。供应商的澄清、说明或者补正不得超出响应文件的范围或者改变响应文件的实质性内容。供应商未在规定时间内进行澄清、说明或者补正的，按无效响应处理。</w:t>
      </w:r>
    </w:p>
    <w:p w14:paraId="07CB3108">
      <w:pPr>
        <w:spacing w:before="120" w:line="320" w:lineRule="atLeast"/>
        <w:ind w:firstLine="420" w:firstLineChars="200"/>
        <w:rPr>
          <w:highlight w:val="none"/>
        </w:rPr>
      </w:pPr>
      <w:r>
        <w:rPr>
          <w:rFonts w:hint="eastAsia"/>
          <w:highlight w:val="none"/>
        </w:rPr>
        <w:t>（2）异常情况处理：如遇无法正常使用线上发送澄清函的情况，将以书面形式执行。磋商小组以书面形式要求供应商在规定时间内作出必要的澄清、说明或者补正。供应商的澄清、说明或者补正必须采用书面形式，并加盖公章或者由法定代表人或者其授权的代表签字。</w:t>
      </w:r>
    </w:p>
    <w:p w14:paraId="3A3E161A">
      <w:pPr>
        <w:spacing w:before="120" w:line="320" w:lineRule="atLeast"/>
        <w:ind w:firstLine="420" w:firstLineChars="200"/>
        <w:rPr>
          <w:highlight w:val="none"/>
        </w:rPr>
      </w:pPr>
      <w:r>
        <w:rPr>
          <w:highlight w:val="none"/>
        </w:rPr>
        <w:t>6.3.4</w:t>
      </w:r>
      <w:r>
        <w:rPr>
          <w:rFonts w:hint="eastAsia"/>
          <w:highlight w:val="none"/>
        </w:rPr>
        <w:t>报价</w:t>
      </w:r>
      <w:r>
        <w:rPr>
          <w:highlight w:val="none"/>
        </w:rPr>
        <w:t>修正</w:t>
      </w:r>
    </w:p>
    <w:p w14:paraId="219F909F">
      <w:pPr>
        <w:spacing w:before="120" w:line="320" w:lineRule="atLeast"/>
        <w:ind w:firstLine="420" w:firstLineChars="200"/>
        <w:rPr>
          <w:highlight w:val="none"/>
        </w:rPr>
      </w:pPr>
      <w:r>
        <w:rPr>
          <w:rFonts w:hint="eastAsia"/>
          <w:highlight w:val="none"/>
        </w:rPr>
        <w:t>（1）报价出现前后不一致的，按照下列规定修正：</w:t>
      </w:r>
    </w:p>
    <w:p w14:paraId="4C8A763D">
      <w:pPr>
        <w:spacing w:before="120" w:line="320" w:lineRule="atLeast"/>
        <w:ind w:firstLine="420" w:firstLineChars="200"/>
        <w:rPr>
          <w:szCs w:val="21"/>
          <w:highlight w:val="none"/>
        </w:rPr>
      </w:pPr>
      <w:r>
        <w:rPr>
          <w:rFonts w:hint="eastAsia" w:ascii="宋体" w:hAnsi="宋体"/>
          <w:szCs w:val="21"/>
          <w:highlight w:val="none"/>
        </w:rPr>
        <w:t>①</w:t>
      </w:r>
      <w:r>
        <w:rPr>
          <w:szCs w:val="21"/>
          <w:highlight w:val="none"/>
        </w:rPr>
        <w:t>响应文件中开标一览表（报价表）内容与响应文件中相应内容不一致的，以开标一览表（报价表）为准；</w:t>
      </w:r>
    </w:p>
    <w:p w14:paraId="07166419">
      <w:pPr>
        <w:spacing w:before="120" w:line="320" w:lineRule="atLeast"/>
        <w:ind w:firstLine="420" w:firstLineChars="200"/>
        <w:rPr>
          <w:szCs w:val="21"/>
          <w:highlight w:val="none"/>
        </w:rPr>
      </w:pPr>
      <w:r>
        <w:rPr>
          <w:rFonts w:ascii="宋体" w:hAnsi="宋体"/>
          <w:szCs w:val="21"/>
          <w:highlight w:val="none"/>
        </w:rPr>
        <w:t>②</w:t>
      </w:r>
      <w:r>
        <w:rPr>
          <w:szCs w:val="21"/>
          <w:highlight w:val="none"/>
        </w:rPr>
        <w:t>大写金额和小写金额不一致的，以大写金额为准；</w:t>
      </w:r>
    </w:p>
    <w:p w14:paraId="5137C122">
      <w:pPr>
        <w:spacing w:before="120" w:line="320" w:lineRule="atLeast"/>
        <w:ind w:firstLine="420" w:firstLineChars="200"/>
        <w:rPr>
          <w:szCs w:val="21"/>
          <w:highlight w:val="none"/>
        </w:rPr>
      </w:pPr>
      <w:r>
        <w:rPr>
          <w:rFonts w:hint="eastAsia"/>
          <w:szCs w:val="21"/>
          <w:highlight w:val="none"/>
        </w:rPr>
        <w:t>③</w:t>
      </w:r>
      <w:r>
        <w:rPr>
          <w:szCs w:val="21"/>
          <w:highlight w:val="none"/>
        </w:rPr>
        <w:t>单价金额小数点或者百分比有明显错位的，以开标一览表的总价为准，并修改单价；</w:t>
      </w:r>
    </w:p>
    <w:p w14:paraId="7D4E5791">
      <w:pPr>
        <w:spacing w:before="120" w:line="320" w:lineRule="atLeast"/>
        <w:ind w:firstLine="420" w:firstLineChars="200"/>
        <w:rPr>
          <w:szCs w:val="21"/>
          <w:highlight w:val="none"/>
        </w:rPr>
      </w:pPr>
      <w:r>
        <w:rPr>
          <w:rFonts w:hint="eastAsia"/>
          <w:szCs w:val="21"/>
          <w:highlight w:val="none"/>
        </w:rPr>
        <w:t>④</w:t>
      </w:r>
      <w:r>
        <w:rPr>
          <w:szCs w:val="21"/>
          <w:highlight w:val="none"/>
        </w:rPr>
        <w:t>总价金额与按单价汇总金额不一致的，以单价金额计算结果为准</w:t>
      </w:r>
      <w:r>
        <w:rPr>
          <w:rFonts w:hint="eastAsia"/>
          <w:szCs w:val="21"/>
          <w:highlight w:val="none"/>
        </w:rPr>
        <w:t>。</w:t>
      </w:r>
    </w:p>
    <w:p w14:paraId="7B2C3F1C">
      <w:pPr>
        <w:spacing w:before="120" w:line="320" w:lineRule="atLeast"/>
        <w:ind w:firstLine="420" w:firstLineChars="200"/>
        <w:rPr>
          <w:szCs w:val="21"/>
          <w:highlight w:val="none"/>
        </w:rPr>
      </w:pPr>
      <w:r>
        <w:rPr>
          <w:rFonts w:hint="eastAsia"/>
          <w:szCs w:val="21"/>
          <w:highlight w:val="none"/>
        </w:rPr>
        <w:t>同时出现两种以上不一致的，按照上述</w:t>
      </w:r>
      <w:r>
        <w:rPr>
          <w:rFonts w:hint="eastAsia" w:ascii="宋体" w:hAnsi="宋体"/>
          <w:szCs w:val="21"/>
          <w:highlight w:val="none"/>
        </w:rPr>
        <w:t>①-</w:t>
      </w:r>
      <w:r>
        <w:rPr>
          <w:rFonts w:hint="eastAsia"/>
          <w:szCs w:val="21"/>
          <w:highlight w:val="none"/>
        </w:rPr>
        <w:t>④顺序修正。修正后的报价按照上述“</w:t>
      </w:r>
      <w:r>
        <w:rPr>
          <w:szCs w:val="21"/>
          <w:highlight w:val="none"/>
        </w:rPr>
        <w:t>6.3.3</w:t>
      </w:r>
      <w:r>
        <w:rPr>
          <w:rFonts w:hint="eastAsia"/>
          <w:szCs w:val="21"/>
          <w:highlight w:val="none"/>
        </w:rPr>
        <w:t>澄清、说明或补正”的规定经供应商确认后产生约束力，供应商不确认的，其响应无效。</w:t>
      </w:r>
    </w:p>
    <w:p w14:paraId="42B4B41F">
      <w:pPr>
        <w:spacing w:before="120" w:line="320" w:lineRule="atLeast"/>
        <w:ind w:firstLine="420" w:firstLineChars="200"/>
        <w:rPr>
          <w:szCs w:val="21"/>
          <w:highlight w:val="none"/>
        </w:rPr>
      </w:pPr>
      <w:r>
        <w:rPr>
          <w:rFonts w:hint="eastAsia"/>
          <w:szCs w:val="21"/>
          <w:highlight w:val="none"/>
        </w:rPr>
        <w:t>（</w:t>
      </w:r>
      <w:r>
        <w:rPr>
          <w:szCs w:val="21"/>
          <w:highlight w:val="none"/>
        </w:rPr>
        <w:t>2</w:t>
      </w:r>
      <w:r>
        <w:rPr>
          <w:rFonts w:hint="eastAsia"/>
          <w:szCs w:val="21"/>
          <w:highlight w:val="none"/>
        </w:rPr>
        <w:t>）经供应商确认修正后的报价若超过采购预算金额或者最高限价，其响应文件作无效响应处理。</w:t>
      </w:r>
    </w:p>
    <w:p w14:paraId="61F51AD3">
      <w:pPr>
        <w:spacing w:before="120" w:line="320" w:lineRule="atLeast"/>
        <w:ind w:firstLine="420" w:firstLineChars="200"/>
        <w:rPr>
          <w:szCs w:val="21"/>
          <w:highlight w:val="none"/>
        </w:rPr>
      </w:pPr>
      <w:r>
        <w:rPr>
          <w:rFonts w:hint="eastAsia"/>
          <w:szCs w:val="21"/>
          <w:highlight w:val="none"/>
        </w:rPr>
        <w:t>（</w:t>
      </w:r>
      <w:r>
        <w:rPr>
          <w:szCs w:val="21"/>
          <w:highlight w:val="none"/>
        </w:rPr>
        <w:t>3</w:t>
      </w:r>
      <w:r>
        <w:rPr>
          <w:rFonts w:hint="eastAsia"/>
          <w:szCs w:val="21"/>
          <w:highlight w:val="none"/>
        </w:rPr>
        <w:t>）经供应商确认修正后的报价作为签订合同的依据，并以此报价计算价格分。</w:t>
      </w:r>
    </w:p>
    <w:p w14:paraId="3B7ACD94">
      <w:pPr>
        <w:spacing w:before="120" w:line="320" w:lineRule="atLeast"/>
        <w:ind w:firstLine="420" w:firstLineChars="200"/>
        <w:rPr>
          <w:rFonts w:hint="eastAsia"/>
          <w:szCs w:val="21"/>
          <w:highlight w:val="none"/>
        </w:rPr>
      </w:pPr>
      <w:r>
        <w:rPr>
          <w:rFonts w:hint="eastAsia"/>
          <w:szCs w:val="21"/>
          <w:highlight w:val="none"/>
        </w:rPr>
        <w:t>（</w:t>
      </w:r>
      <w:r>
        <w:rPr>
          <w:szCs w:val="21"/>
          <w:highlight w:val="none"/>
        </w:rPr>
        <w:t>4</w:t>
      </w:r>
      <w:r>
        <w:rPr>
          <w:rFonts w:hint="eastAsia"/>
          <w:szCs w:val="21"/>
          <w:highlight w:val="none"/>
        </w:rPr>
        <w:t>）如磋商过程中有多轮报价的，磋商小组在每一轮报价均应按上述规则修正报价。</w:t>
      </w:r>
    </w:p>
    <w:p w14:paraId="1BF52B3F">
      <w:pPr>
        <w:spacing w:before="120" w:line="320" w:lineRule="atLeast"/>
        <w:ind w:firstLine="420" w:firstLineChars="200"/>
        <w:rPr>
          <w:rFonts w:hint="eastAsia"/>
          <w:szCs w:val="21"/>
          <w:highlight w:val="none"/>
          <w:lang w:val="en-US" w:eastAsia="zh-CN"/>
        </w:rPr>
      </w:pPr>
      <w:r>
        <w:rPr>
          <w:rFonts w:hint="eastAsia"/>
          <w:szCs w:val="21"/>
          <w:highlight w:val="none"/>
          <w:lang w:val="en-US" w:eastAsia="zh-CN"/>
        </w:rPr>
        <w:t>6.3.5异常低价审查</w:t>
      </w:r>
    </w:p>
    <w:p w14:paraId="3CBB917A">
      <w:pPr>
        <w:spacing w:before="120" w:line="320" w:lineRule="atLeast"/>
        <w:ind w:firstLine="420" w:firstLineChars="200"/>
        <w:rPr>
          <w:szCs w:val="21"/>
          <w:highlight w:val="none"/>
        </w:rPr>
      </w:pPr>
      <w:r>
        <w:rPr>
          <w:szCs w:val="21"/>
          <w:highlight w:val="none"/>
        </w:rPr>
        <w:t>本项目</w:t>
      </w:r>
      <w:r>
        <w:rPr>
          <w:rFonts w:hint="eastAsia"/>
          <w:szCs w:val="21"/>
          <w:highlight w:val="none"/>
          <w:lang w:val="en-US" w:eastAsia="zh-CN"/>
        </w:rPr>
        <w:t>异常低价审查情形见</w:t>
      </w:r>
      <w:r>
        <w:rPr>
          <w:szCs w:val="21"/>
          <w:highlight w:val="none"/>
        </w:rPr>
        <w:t>“</w:t>
      </w:r>
      <w:r>
        <w:rPr>
          <w:rFonts w:hint="eastAsia"/>
          <w:szCs w:val="21"/>
          <w:highlight w:val="none"/>
          <w:lang w:val="en-US" w:eastAsia="zh-CN"/>
        </w:rPr>
        <w:t>供应商</w:t>
      </w:r>
      <w:r>
        <w:rPr>
          <w:rFonts w:hint="eastAsia"/>
          <w:szCs w:val="21"/>
          <w:highlight w:val="none"/>
          <w:lang w:eastAsia="zh-CN"/>
        </w:rPr>
        <w:t>须知</w:t>
      </w:r>
      <w:r>
        <w:rPr>
          <w:szCs w:val="21"/>
          <w:highlight w:val="none"/>
        </w:rPr>
        <w:t>前附表”规定。</w:t>
      </w:r>
    </w:p>
    <w:p w14:paraId="7C23045D">
      <w:pPr>
        <w:numPr>
          <w:ilvl w:val="0"/>
          <w:numId w:val="0"/>
        </w:numPr>
        <w:spacing w:before="120" w:line="320" w:lineRule="atLeast"/>
        <w:ind w:firstLine="420" w:firstLineChars="200"/>
        <w:rPr>
          <w:rFonts w:hint="eastAsia"/>
          <w:color w:val="auto"/>
          <w:szCs w:val="21"/>
          <w:highlight w:val="none"/>
          <w:lang w:val="en-US" w:eastAsia="zh-CN"/>
        </w:rPr>
      </w:pPr>
      <w:r>
        <w:rPr>
          <w:rFonts w:hint="eastAsia"/>
          <w:color w:val="auto"/>
          <w:szCs w:val="21"/>
          <w:highlight w:val="none"/>
          <w:lang w:val="en-US" w:eastAsia="zh-CN"/>
        </w:rPr>
        <w:t>评审委员会启动异常低价</w:t>
      </w:r>
      <w:r>
        <w:rPr>
          <w:rFonts w:hint="eastAsia"/>
          <w:szCs w:val="21"/>
          <w:highlight w:val="none"/>
          <w:lang w:val="en-US" w:eastAsia="zh-CN"/>
        </w:rPr>
        <w:t>响应</w:t>
      </w:r>
      <w:r>
        <w:rPr>
          <w:rFonts w:hint="eastAsia"/>
          <w:color w:val="auto"/>
          <w:szCs w:val="21"/>
          <w:highlight w:val="none"/>
          <w:lang w:val="en-US" w:eastAsia="zh-CN"/>
        </w:rPr>
        <w:t>审查后，属于前述第1项至第4项情形的，应当要求相关供应商在评审现场合理的时间内对</w:t>
      </w:r>
      <w:r>
        <w:rPr>
          <w:rFonts w:hint="eastAsia"/>
          <w:szCs w:val="21"/>
          <w:highlight w:val="none"/>
          <w:lang w:val="en-US" w:eastAsia="zh-CN"/>
        </w:rPr>
        <w:t>响应</w:t>
      </w:r>
      <w:r>
        <w:rPr>
          <w:rFonts w:hint="eastAsia"/>
          <w:color w:val="auto"/>
          <w:szCs w:val="21"/>
          <w:highlight w:val="none"/>
          <w:lang w:val="en-US" w:eastAsia="zh-CN"/>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13A0331">
      <w:pPr>
        <w:numPr>
          <w:ilvl w:val="0"/>
          <w:numId w:val="0"/>
        </w:numPr>
        <w:spacing w:before="120" w:line="320" w:lineRule="atLeast"/>
        <w:ind w:firstLine="420" w:firstLineChars="200"/>
        <w:rPr>
          <w:rFonts w:hint="eastAsia"/>
          <w:strike/>
          <w:dstrike w:val="0"/>
          <w:color w:val="auto"/>
          <w:szCs w:val="21"/>
          <w:highlight w:val="none"/>
          <w:lang w:val="en-US" w:eastAsia="zh-CN"/>
        </w:rPr>
      </w:pPr>
      <w:r>
        <w:rPr>
          <w:rFonts w:hint="eastAsia"/>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w:t>
      </w:r>
      <w:r>
        <w:rPr>
          <w:rFonts w:hint="eastAsia"/>
          <w:strike w:val="0"/>
          <w:dstrike w:val="0"/>
          <w:color w:val="auto"/>
          <w:szCs w:val="21"/>
          <w:highlight w:val="none"/>
          <w:lang w:val="en-US" w:eastAsia="zh-CN"/>
        </w:rPr>
        <w:t>投标（响应）供应商不能提供书面说明、证明材料，或者提供的书面说明、证明材料不能证明其报价合理性的，评审委员会应当将其作为无效投标（响应）处理。</w:t>
      </w:r>
    </w:p>
    <w:p w14:paraId="26E1C0F1">
      <w:pPr>
        <w:numPr>
          <w:ilvl w:val="0"/>
          <w:numId w:val="0"/>
        </w:numPr>
        <w:spacing w:before="120" w:line="320" w:lineRule="atLeast"/>
        <w:ind w:firstLine="420" w:firstLineChars="200"/>
        <w:rPr>
          <w:rFonts w:hint="eastAsia"/>
          <w:color w:val="auto"/>
          <w:szCs w:val="21"/>
          <w:highlight w:val="none"/>
          <w:lang w:val="en-US" w:eastAsia="zh-CN"/>
        </w:rPr>
      </w:pPr>
      <w:r>
        <w:rPr>
          <w:rFonts w:hint="eastAsia"/>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5773414">
      <w:pPr>
        <w:numPr>
          <w:ilvl w:val="0"/>
          <w:numId w:val="0"/>
        </w:numPr>
        <w:spacing w:before="120" w:line="320" w:lineRule="atLeast"/>
        <w:ind w:firstLine="420" w:firstLineChars="200"/>
        <w:rPr>
          <w:rFonts w:hint="eastAsia"/>
          <w:color w:val="auto"/>
          <w:szCs w:val="21"/>
          <w:highlight w:val="none"/>
          <w:lang w:val="en-US" w:eastAsia="zh-CN"/>
        </w:rPr>
      </w:pPr>
      <w:r>
        <w:rPr>
          <w:rFonts w:hint="eastAsia"/>
          <w:color w:val="auto"/>
          <w:szCs w:val="21"/>
          <w:highlight w:val="none"/>
          <w:lang w:val="en-US" w:eastAsia="zh-CN"/>
        </w:rPr>
        <w:t>异常低价</w:t>
      </w:r>
      <w:r>
        <w:rPr>
          <w:rFonts w:hint="eastAsia"/>
          <w:szCs w:val="21"/>
          <w:highlight w:val="none"/>
          <w:lang w:val="en-US" w:eastAsia="zh-CN"/>
        </w:rPr>
        <w:t>响应</w:t>
      </w:r>
      <w:r>
        <w:rPr>
          <w:rFonts w:hint="eastAsia"/>
          <w:color w:val="auto"/>
          <w:szCs w:val="21"/>
          <w:highlight w:val="none"/>
          <w:lang w:val="en-US" w:eastAsia="zh-CN"/>
        </w:rPr>
        <w:t>审查的启动原因、审查意见和审查结果应当在评审报告中记录，并随供应商提供的相关书面说明及证明材料，以及评审委员会有关互联网浏览、查询历史一并归档。</w:t>
      </w:r>
    </w:p>
    <w:p w14:paraId="07A690A6">
      <w:pPr>
        <w:numPr>
          <w:ilvl w:val="0"/>
          <w:numId w:val="0"/>
        </w:numPr>
        <w:spacing w:before="120" w:line="320" w:lineRule="atLeast"/>
        <w:ind w:firstLine="420" w:firstLineChars="200"/>
        <w:rPr>
          <w:rFonts w:hint="eastAsia"/>
          <w:szCs w:val="21"/>
          <w:highlight w:val="none"/>
        </w:rPr>
      </w:pPr>
      <w:r>
        <w:rPr>
          <w:rFonts w:hint="eastAsia"/>
          <w:szCs w:val="21"/>
          <w:highlight w:val="none"/>
        </w:rPr>
        <w:t>书面证明应当按照上述“</w:t>
      </w:r>
      <w:r>
        <w:rPr>
          <w:szCs w:val="21"/>
          <w:highlight w:val="none"/>
        </w:rPr>
        <w:t>6.3.3</w:t>
      </w:r>
      <w:r>
        <w:rPr>
          <w:rFonts w:hint="eastAsia"/>
          <w:szCs w:val="21"/>
          <w:highlight w:val="none"/>
        </w:rPr>
        <w:t>澄清、说明或补正”的规定提交</w:t>
      </w:r>
      <w:r>
        <w:rPr>
          <w:rFonts w:hint="eastAsia"/>
          <w:color w:val="auto"/>
          <w:szCs w:val="21"/>
          <w:highlight w:val="none"/>
          <w:lang w:val="en-US" w:eastAsia="zh-CN"/>
        </w:rPr>
        <w:t>。</w:t>
      </w:r>
    </w:p>
    <w:p w14:paraId="2F18B607">
      <w:pPr>
        <w:spacing w:before="120" w:line="320" w:lineRule="atLeast"/>
        <w:ind w:firstLine="420" w:firstLineChars="200"/>
        <w:rPr>
          <w:szCs w:val="21"/>
          <w:highlight w:val="none"/>
        </w:rPr>
      </w:pPr>
      <w:r>
        <w:rPr>
          <w:rFonts w:hint="eastAsia"/>
          <w:szCs w:val="21"/>
          <w:highlight w:val="none"/>
        </w:rPr>
        <w:t>6</w:t>
      </w:r>
      <w:r>
        <w:rPr>
          <w:szCs w:val="21"/>
          <w:highlight w:val="none"/>
        </w:rPr>
        <w:t>.3.</w:t>
      </w:r>
      <w:r>
        <w:rPr>
          <w:rFonts w:hint="eastAsia"/>
          <w:szCs w:val="21"/>
          <w:highlight w:val="none"/>
          <w:lang w:val="en-US" w:eastAsia="zh-CN"/>
        </w:rPr>
        <w:t>6</w:t>
      </w:r>
      <w:r>
        <w:rPr>
          <w:rFonts w:hint="eastAsia"/>
          <w:szCs w:val="21"/>
          <w:highlight w:val="none"/>
        </w:rPr>
        <w:t>相同品牌认定（仅适用于货物采购项目）</w:t>
      </w:r>
    </w:p>
    <w:p w14:paraId="1CB99862">
      <w:pPr>
        <w:spacing w:before="120" w:line="320" w:lineRule="atLeast"/>
        <w:ind w:firstLine="420" w:firstLineChars="200"/>
        <w:rPr>
          <w:szCs w:val="21"/>
          <w:highlight w:val="none"/>
        </w:rPr>
      </w:pPr>
      <w:r>
        <w:rPr>
          <w:rFonts w:hint="eastAsia"/>
          <w:szCs w:val="21"/>
          <w:highlight w:val="none"/>
        </w:rPr>
        <w:t>（1）单一产品采购项目，</w:t>
      </w:r>
      <w:r>
        <w:rPr>
          <w:highlight w:val="none"/>
        </w:rPr>
        <w:t>不同供应商提供的产品品牌相同时，</w:t>
      </w:r>
      <w:r>
        <w:rPr>
          <w:rFonts w:hint="eastAsia"/>
          <w:highlight w:val="none"/>
        </w:rPr>
        <w:t>按以下</w:t>
      </w:r>
      <w:r>
        <w:rPr>
          <w:highlight w:val="none"/>
        </w:rPr>
        <w:t>规定</w:t>
      </w:r>
      <w:r>
        <w:rPr>
          <w:rFonts w:hint="eastAsia"/>
          <w:highlight w:val="none"/>
        </w:rPr>
        <w:t>确定</w:t>
      </w:r>
      <w:r>
        <w:rPr>
          <w:bCs/>
          <w:kern w:val="0"/>
          <w:szCs w:val="21"/>
          <w:highlight w:val="none"/>
        </w:rPr>
        <w:t>相同品牌的响应有效性</w:t>
      </w:r>
      <w:r>
        <w:rPr>
          <w:highlight w:val="none"/>
        </w:rPr>
        <w:t>。</w:t>
      </w:r>
    </w:p>
    <w:bookmarkEnd w:id="63"/>
    <w:p w14:paraId="05404FE7">
      <w:pPr>
        <w:spacing w:before="120" w:line="320" w:lineRule="atLeast"/>
        <w:ind w:firstLine="420" w:firstLineChars="200"/>
        <w:rPr>
          <w:szCs w:val="21"/>
          <w:highlight w:val="none"/>
        </w:rPr>
      </w:pPr>
      <w:r>
        <w:rPr>
          <w:rFonts w:hint="eastAsia"/>
          <w:szCs w:val="21"/>
          <w:highlight w:val="none"/>
        </w:rPr>
        <w:t>提供相同品牌产品且通过资格审查、符合性审查的不同供应商参加同一合同项下响应的，按一家供应商计算，评审后得分最高的同品牌供应商获得中标人推荐资格；评审得分相同的，由采购人或者采购人委托磋商小组按照采购文件规定的方式确定一个供应商获得成交供应商推荐资格，采购文件未规定的采取随机抽取方式确定，其他同品牌供应商不作为成交候选人。</w:t>
      </w:r>
    </w:p>
    <w:p w14:paraId="7EC54393">
      <w:pPr>
        <w:spacing w:before="120" w:line="320" w:lineRule="atLeast"/>
        <w:ind w:firstLine="420" w:firstLineChars="200"/>
        <w:rPr>
          <w:szCs w:val="21"/>
          <w:highlight w:val="none"/>
        </w:rPr>
      </w:pPr>
      <w:r>
        <w:rPr>
          <w:rFonts w:hint="eastAsia"/>
          <w:szCs w:val="21"/>
          <w:highlight w:val="none"/>
        </w:rPr>
        <w:t>（2）非单一产品采购项目，</w:t>
      </w:r>
      <w:r>
        <w:rPr>
          <w:szCs w:val="21"/>
          <w:highlight w:val="none"/>
        </w:rPr>
        <w:t>采购人应当确定核心产品，并在采购文件中载明。</w:t>
      </w:r>
      <w:r>
        <w:rPr>
          <w:rFonts w:hint="eastAsia"/>
          <w:szCs w:val="21"/>
          <w:highlight w:val="none"/>
        </w:rPr>
        <w:t>不同</w:t>
      </w:r>
      <w:r>
        <w:rPr>
          <w:szCs w:val="21"/>
          <w:highlight w:val="none"/>
        </w:rPr>
        <w:t>供应商提供的核心产品品牌相同的，按上述规定处理。核心产品</w:t>
      </w:r>
      <w:r>
        <w:rPr>
          <w:rFonts w:hint="eastAsia"/>
          <w:szCs w:val="21"/>
          <w:highlight w:val="none"/>
        </w:rPr>
        <w:t>在第二章</w:t>
      </w:r>
      <w:r>
        <w:rPr>
          <w:szCs w:val="21"/>
          <w:highlight w:val="none"/>
        </w:rPr>
        <w:t>采购需求规定。</w:t>
      </w:r>
    </w:p>
    <w:bookmarkEnd w:id="58"/>
    <w:bookmarkEnd w:id="59"/>
    <w:p w14:paraId="4808AC14">
      <w:pPr>
        <w:spacing w:before="120" w:line="320" w:lineRule="atLeast"/>
        <w:ind w:firstLine="420" w:firstLineChars="200"/>
        <w:rPr>
          <w:rFonts w:hint="eastAsia"/>
          <w:highlight w:val="none"/>
        </w:rPr>
      </w:pPr>
      <w:r>
        <w:rPr>
          <w:highlight w:val="none"/>
        </w:rPr>
        <w:t>6.3.</w:t>
      </w:r>
      <w:r>
        <w:rPr>
          <w:rFonts w:hint="eastAsia"/>
          <w:highlight w:val="none"/>
          <w:lang w:val="en-US" w:eastAsia="zh-CN"/>
        </w:rPr>
        <w:t>7</w:t>
      </w:r>
      <w:r>
        <w:rPr>
          <w:rFonts w:hint="eastAsia"/>
          <w:highlight w:val="none"/>
        </w:rPr>
        <w:t>磋商</w:t>
      </w:r>
    </w:p>
    <w:p w14:paraId="25B4FACB">
      <w:pPr>
        <w:spacing w:before="120" w:line="320" w:lineRule="atLeast"/>
        <w:ind w:firstLine="420" w:firstLineChars="200"/>
        <w:rPr>
          <w:rFonts w:hint="eastAsia"/>
          <w:highlight w:val="none"/>
        </w:rPr>
      </w:pPr>
      <w:r>
        <w:rPr>
          <w:rFonts w:hint="eastAsia"/>
          <w:highlight w:val="none"/>
        </w:rPr>
        <w:t>（1）磋商小组按照“供应商须知前附表” 确定的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76456710">
      <w:pPr>
        <w:spacing w:before="120" w:line="320" w:lineRule="atLeast"/>
        <w:ind w:firstLine="420" w:firstLineChars="200"/>
        <w:rPr>
          <w:highlight w:val="none"/>
        </w:rPr>
      </w:pPr>
      <w:r>
        <w:rPr>
          <w:rFonts w:hint="eastAsia"/>
          <w:highlight w:val="none"/>
        </w:rPr>
        <w:t>（2）在磋商过程中，磋商小组可以根据采购文件和磋商情况实质性变动采购需求中的技术、服务要求以及合同草案条款，但不得变动采购文件中的其他内容。实质性变动的内容，须经采购人代表确认。</w:t>
      </w:r>
    </w:p>
    <w:p w14:paraId="377F45F5">
      <w:pPr>
        <w:spacing w:before="120" w:line="320" w:lineRule="atLeast"/>
        <w:ind w:firstLine="420" w:firstLineChars="200"/>
        <w:rPr>
          <w:highlight w:val="none"/>
        </w:rPr>
      </w:pPr>
      <w:r>
        <w:rPr>
          <w:rFonts w:hint="eastAsia"/>
          <w:highlight w:val="none"/>
        </w:rPr>
        <w:t>对采购文件作出的实质性变动是采购文件的有效组成部分，由磋商小组通过</w:t>
      </w:r>
      <w:r>
        <w:rPr>
          <w:rFonts w:hint="eastAsia"/>
          <w:szCs w:val="21"/>
          <w:highlight w:val="none"/>
        </w:rPr>
        <w:t>广西政府采购云平台</w:t>
      </w:r>
      <w:r>
        <w:rPr>
          <w:rFonts w:hint="eastAsia"/>
          <w:highlight w:val="none"/>
        </w:rPr>
        <w:t>以书面形式同时通知所有参加磋商的供应商。</w:t>
      </w:r>
    </w:p>
    <w:p w14:paraId="09B4D12F">
      <w:pPr>
        <w:spacing w:before="120" w:line="320" w:lineRule="atLeast"/>
        <w:ind w:firstLine="420" w:firstLineChars="200"/>
        <w:rPr>
          <w:rFonts w:hint="eastAsia"/>
          <w:highlight w:val="none"/>
        </w:rPr>
      </w:pPr>
      <w:r>
        <w:rPr>
          <w:rFonts w:hint="eastAsia"/>
          <w:highlight w:val="none"/>
        </w:rPr>
        <w:t>（3）供应商必须按照采购文件的变动情况和磋商小组的要求重新提交响应文件，并在</w:t>
      </w:r>
      <w:r>
        <w:rPr>
          <w:rFonts w:hint="eastAsia"/>
          <w:szCs w:val="21"/>
          <w:highlight w:val="none"/>
        </w:rPr>
        <w:t>广西政府采购云平台</w:t>
      </w:r>
      <w:r>
        <w:rPr>
          <w:rFonts w:hint="eastAsia"/>
          <w:highlight w:val="none"/>
        </w:rPr>
        <w:t>在线编辑或上传PDF格式，使用电子签章后提交至磋商小组。参加磋商的供应商未在规定时间内重新提交响应文件的，视同退出磋商。</w:t>
      </w:r>
    </w:p>
    <w:p w14:paraId="0F68ADAF">
      <w:pPr>
        <w:spacing w:before="120" w:line="320" w:lineRule="atLeast"/>
        <w:ind w:firstLine="420" w:firstLineChars="200"/>
        <w:rPr>
          <w:highlight w:val="none"/>
        </w:rPr>
      </w:pPr>
      <w:r>
        <w:rPr>
          <w:rFonts w:hint="eastAsia"/>
          <w:highlight w:val="none"/>
        </w:rPr>
        <w:t>（4）供应商的法定代表人或其授权代表无须到现场参加磋商，提问及回答/响应均通过</w:t>
      </w:r>
      <w:r>
        <w:rPr>
          <w:rFonts w:hint="eastAsia"/>
          <w:szCs w:val="21"/>
          <w:highlight w:val="none"/>
        </w:rPr>
        <w:t>广西政府采购云平台</w:t>
      </w:r>
      <w:r>
        <w:rPr>
          <w:rFonts w:hint="eastAsia"/>
          <w:highlight w:val="none"/>
        </w:rPr>
        <w:t>进行。磋商过程中使用的电子签章应为供应商上传响应文件的同一签章。</w:t>
      </w:r>
    </w:p>
    <w:p w14:paraId="25B28AB5">
      <w:pPr>
        <w:spacing w:before="120" w:line="320" w:lineRule="atLeast"/>
        <w:ind w:firstLine="420" w:firstLineChars="200"/>
        <w:rPr>
          <w:highlight w:val="none"/>
        </w:rPr>
      </w:pPr>
      <w:r>
        <w:rPr>
          <w:rFonts w:hint="eastAsia"/>
          <w:highlight w:val="none"/>
        </w:rPr>
        <w:t>6</w:t>
      </w:r>
      <w:r>
        <w:rPr>
          <w:highlight w:val="none"/>
        </w:rPr>
        <w:t>.3.</w:t>
      </w:r>
      <w:r>
        <w:rPr>
          <w:rFonts w:hint="eastAsia"/>
          <w:highlight w:val="none"/>
          <w:lang w:val="en-US" w:eastAsia="zh-CN"/>
        </w:rPr>
        <w:t>8</w:t>
      </w:r>
      <w:r>
        <w:rPr>
          <w:rFonts w:hint="eastAsia"/>
          <w:highlight w:val="none"/>
        </w:rPr>
        <w:t>最后报价</w:t>
      </w:r>
    </w:p>
    <w:p w14:paraId="795507AC">
      <w:pPr>
        <w:spacing w:before="120" w:line="320" w:lineRule="atLeast"/>
        <w:ind w:firstLine="420" w:firstLineChars="200"/>
        <w:rPr>
          <w:rFonts w:hint="eastAsia"/>
          <w:highlight w:val="none"/>
        </w:rPr>
      </w:pPr>
      <w:r>
        <w:rPr>
          <w:rFonts w:hint="eastAsia"/>
          <w:highlight w:val="none"/>
        </w:rPr>
        <w:t xml:space="preserve">（1）采购文件能够详细列明采购标的的技术、服务要求的，磋商结束后，磋商小组应当要求所有实质性响应的供应商在规定时间内提交最后报价，提交最后报价的供应商不得少于3家。 </w:t>
      </w:r>
    </w:p>
    <w:p w14:paraId="0FB529CA">
      <w:pPr>
        <w:spacing w:before="120" w:line="320" w:lineRule="atLeast"/>
        <w:ind w:firstLine="420" w:firstLineChars="200"/>
        <w:rPr>
          <w:rFonts w:hint="eastAsia"/>
          <w:highlight w:val="none"/>
        </w:rPr>
      </w:pPr>
      <w:r>
        <w:rPr>
          <w:rFonts w:hint="eastAsia"/>
          <w:highlight w:val="none"/>
        </w:rPr>
        <w:t>采购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E935C25">
      <w:pPr>
        <w:spacing w:before="120" w:line="320" w:lineRule="atLeast"/>
        <w:ind w:firstLine="420" w:firstLineChars="200"/>
        <w:rPr>
          <w:rFonts w:hint="eastAsia"/>
          <w:highlight w:val="none"/>
        </w:rPr>
      </w:pPr>
      <w:r>
        <w:rPr>
          <w:rFonts w:hint="eastAsia"/>
          <w:highlight w:val="none"/>
        </w:rPr>
        <w:t>最后报价是供应商响应文件的有效组成部分。</w:t>
      </w:r>
    </w:p>
    <w:p w14:paraId="6A393614">
      <w:pPr>
        <w:spacing w:before="120" w:line="320" w:lineRule="atLeast"/>
        <w:ind w:firstLine="420" w:firstLineChars="200"/>
        <w:rPr>
          <w:rFonts w:hint="eastAsia"/>
          <w:highlight w:val="none"/>
        </w:rPr>
      </w:pPr>
      <w:r>
        <w:rPr>
          <w:rFonts w:hint="eastAsia"/>
          <w:highlight w:val="none"/>
        </w:rPr>
        <w:t>（2）如符合“市场竞争不充分的科研项目、需要扶持的科技成果转化项目、政府购买服务项目（含政府和社会资本合作项目）的，提交最后报价的供应商可以为2家。</w:t>
      </w:r>
    </w:p>
    <w:p w14:paraId="056B1FD7">
      <w:pPr>
        <w:spacing w:before="120" w:line="320" w:lineRule="atLeast"/>
        <w:ind w:firstLine="420" w:firstLineChars="200"/>
        <w:rPr>
          <w:highlight w:val="none"/>
        </w:rPr>
      </w:pPr>
      <w:r>
        <w:rPr>
          <w:rFonts w:hint="eastAsia"/>
          <w:highlight w:val="none"/>
        </w:rPr>
        <w:t>（</w:t>
      </w:r>
      <w:r>
        <w:rPr>
          <w:rFonts w:hint="eastAsia"/>
          <w:highlight w:val="none"/>
          <w:lang w:val="en-US" w:eastAsia="zh-CN"/>
        </w:rPr>
        <w:t>3</w:t>
      </w:r>
      <w:r>
        <w:rPr>
          <w:rFonts w:hint="eastAsia"/>
          <w:highlight w:val="none"/>
        </w:rPr>
        <w:t>）最后报价要求通过</w:t>
      </w:r>
      <w:r>
        <w:rPr>
          <w:rFonts w:hint="eastAsia"/>
          <w:szCs w:val="21"/>
          <w:highlight w:val="none"/>
        </w:rPr>
        <w:t>广西政府采购云平台</w:t>
      </w:r>
      <w:r>
        <w:rPr>
          <w:rFonts w:hint="eastAsia"/>
          <w:highlight w:val="none"/>
        </w:rPr>
        <w:t>发出，供应商需在</w:t>
      </w:r>
      <w:r>
        <w:rPr>
          <w:rFonts w:hint="eastAsia"/>
          <w:szCs w:val="21"/>
          <w:highlight w:val="none"/>
        </w:rPr>
        <w:t>广西政府采购云平台</w:t>
      </w:r>
      <w:r>
        <w:rPr>
          <w:rFonts w:hint="eastAsia"/>
          <w:highlight w:val="none"/>
        </w:rPr>
        <w:t>设置的时间内报价，最后报价不得超过采购预算金额且具有唯一性，否则否决其响应。</w:t>
      </w:r>
    </w:p>
    <w:p w14:paraId="534AC7C3">
      <w:pPr>
        <w:spacing w:before="120" w:line="320" w:lineRule="atLeast"/>
        <w:ind w:firstLine="420" w:firstLineChars="200"/>
        <w:rPr>
          <w:rFonts w:hint="eastAsia"/>
          <w:szCs w:val="21"/>
          <w:highlight w:val="none"/>
        </w:rPr>
      </w:pPr>
      <w:r>
        <w:rPr>
          <w:rFonts w:hint="eastAsia"/>
          <w:szCs w:val="21"/>
          <w:highlight w:val="none"/>
        </w:rPr>
        <w:t>最后报价与首次报价相比有调整的：供应商提交的最后报价必须包含已标价的工程量清单，即最后报价是工程量清单全部工作内容的价格体现，具体包括供应商部分（分部分项工程量清单费用、措施项目清单费用、规费、税金、其它项目）和采购人部分（暂列金、材料购置费）（如有）等完成本工程并经验收合格至达到质量保修期限所需的费用、合理利润及风险。如采购文件或磋商过程中明确供应商应提供技术服务及其它服务的（如检测费、验收发生的费用），相应费用也应包括在最后报价中。最后报价不允许采用汇总后优惠、打折的形式，否则其报价无效并作无效响应处理。</w:t>
      </w:r>
    </w:p>
    <w:p w14:paraId="1E496791">
      <w:pPr>
        <w:spacing w:before="120" w:line="320" w:lineRule="atLeast"/>
        <w:ind w:firstLine="420" w:firstLineChars="200"/>
        <w:rPr>
          <w:rFonts w:hint="eastAsia"/>
          <w:highlight w:val="none"/>
        </w:rPr>
      </w:pPr>
      <w:r>
        <w:rPr>
          <w:rFonts w:hint="eastAsia"/>
          <w:highlight w:val="none"/>
        </w:rPr>
        <w:t>（</w:t>
      </w:r>
      <w:r>
        <w:rPr>
          <w:rFonts w:hint="eastAsia"/>
          <w:highlight w:val="none"/>
          <w:lang w:val="en-US" w:eastAsia="zh-CN"/>
        </w:rPr>
        <w:t>4</w:t>
      </w:r>
      <w:r>
        <w:rPr>
          <w:rFonts w:hint="eastAsia"/>
          <w:highlight w:val="none"/>
        </w:rPr>
        <w:t>）已提交</w:t>
      </w:r>
      <w:r>
        <w:rPr>
          <w:rFonts w:hint="eastAsia"/>
          <w:color w:val="auto"/>
          <w:highlight w:val="none"/>
        </w:rPr>
        <w:t>响应文件的供应商，在提交最后报价之前，可以根据磋商情况退出磋商</w:t>
      </w:r>
      <w:r>
        <w:rPr>
          <w:rFonts w:hint="eastAsia"/>
          <w:color w:val="auto"/>
          <w:highlight w:val="none"/>
          <w:lang w:eastAsia="zh-CN"/>
        </w:rPr>
        <w:t>，</w:t>
      </w:r>
      <w:r>
        <w:rPr>
          <w:rFonts w:hint="eastAsia"/>
          <w:color w:val="auto"/>
          <w:highlight w:val="none"/>
        </w:rPr>
        <w:t>退出磋商的供应商的响应文件无效。退出磋商</w:t>
      </w:r>
      <w:r>
        <w:rPr>
          <w:rFonts w:hint="eastAsia"/>
          <w:highlight w:val="none"/>
        </w:rPr>
        <w:t>的说明须经签字扫描后以电子邮件方式发送至采购代理机构，并及时通知项目负责人。磋商小组在评审报告中注明退出磋商的供应商名单。采购人、采购代理机构应当退还退出磋商的供应商的磋商保证金。</w:t>
      </w:r>
    </w:p>
    <w:p w14:paraId="362BDCF1">
      <w:pPr>
        <w:spacing w:before="120" w:line="320" w:lineRule="atLeast"/>
        <w:ind w:firstLine="420" w:firstLineChars="20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）供应商未在规定时间内提交最后报价的，视同退出磋商。</w:t>
      </w:r>
    </w:p>
    <w:p w14:paraId="1AD24665">
      <w:pPr>
        <w:spacing w:before="120" w:line="320" w:lineRule="atLeast"/>
        <w:ind w:firstLine="420" w:firstLineChars="200"/>
        <w:rPr>
          <w:rFonts w:hint="eastAsia"/>
          <w:highlight w:val="none"/>
        </w:rPr>
      </w:pP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）最后报价结束后，磋商小组不得再与供应商进行任何形式的商谈。</w:t>
      </w:r>
    </w:p>
    <w:p w14:paraId="2F82568E">
      <w:pPr>
        <w:spacing w:before="120" w:line="320" w:lineRule="atLeast"/>
        <w:ind w:firstLine="420" w:firstLineChars="200"/>
        <w:rPr>
          <w:szCs w:val="21"/>
          <w:highlight w:val="none"/>
        </w:rPr>
      </w:pPr>
      <w:r>
        <w:rPr>
          <w:szCs w:val="21"/>
          <w:highlight w:val="none"/>
        </w:rPr>
        <w:t>6.3.</w:t>
      </w:r>
      <w:r>
        <w:rPr>
          <w:rFonts w:hint="eastAsia"/>
          <w:szCs w:val="21"/>
          <w:highlight w:val="none"/>
          <w:lang w:val="en-US" w:eastAsia="zh-CN"/>
        </w:rPr>
        <w:t>9</w:t>
      </w:r>
      <w:r>
        <w:rPr>
          <w:szCs w:val="21"/>
          <w:highlight w:val="none"/>
        </w:rPr>
        <w:t>串通投标认定</w:t>
      </w:r>
    </w:p>
    <w:p w14:paraId="1C77F5A0">
      <w:pPr>
        <w:spacing w:before="120" w:line="320" w:lineRule="atLeast"/>
        <w:ind w:firstLine="420" w:firstLineChars="200"/>
        <w:rPr>
          <w:highlight w:val="none"/>
        </w:rPr>
      </w:pPr>
      <w:r>
        <w:rPr>
          <w:szCs w:val="21"/>
          <w:highlight w:val="none"/>
        </w:rPr>
        <w:t>磋商小组须根据</w:t>
      </w:r>
      <w:r>
        <w:rPr>
          <w:rFonts w:hint="eastAsia"/>
          <w:szCs w:val="21"/>
          <w:highlight w:val="none"/>
        </w:rPr>
        <w:t>以下</w:t>
      </w:r>
      <w:r>
        <w:rPr>
          <w:szCs w:val="21"/>
          <w:highlight w:val="none"/>
        </w:rPr>
        <w:t>规定</w:t>
      </w:r>
      <w:r>
        <w:rPr>
          <w:rFonts w:hint="eastAsia"/>
          <w:szCs w:val="21"/>
          <w:highlight w:val="none"/>
        </w:rPr>
        <w:t>认定</w:t>
      </w:r>
      <w:r>
        <w:rPr>
          <w:szCs w:val="21"/>
          <w:highlight w:val="none"/>
        </w:rPr>
        <w:t>供应商是否有</w:t>
      </w:r>
      <w:r>
        <w:rPr>
          <w:bCs/>
          <w:kern w:val="0"/>
          <w:szCs w:val="21"/>
          <w:highlight w:val="none"/>
        </w:rPr>
        <w:t>串通投标的行为</w:t>
      </w:r>
      <w:r>
        <w:rPr>
          <w:highlight w:val="none"/>
        </w:rPr>
        <w:t>。</w:t>
      </w:r>
    </w:p>
    <w:p w14:paraId="139453BA">
      <w:pPr>
        <w:spacing w:before="120" w:line="320" w:lineRule="atLeast"/>
        <w:ind w:firstLine="420" w:firstLineChars="200"/>
        <w:rPr>
          <w:szCs w:val="21"/>
          <w:highlight w:val="none"/>
        </w:rPr>
      </w:pPr>
      <w:bookmarkStart w:id="64" w:name="_Hlk19122026"/>
      <w:r>
        <w:rPr>
          <w:rFonts w:hint="eastAsia"/>
          <w:szCs w:val="21"/>
          <w:highlight w:val="none"/>
        </w:rPr>
        <w:t>（1）</w:t>
      </w:r>
      <w:bookmarkEnd w:id="64"/>
      <w:r>
        <w:rPr>
          <w:szCs w:val="21"/>
          <w:highlight w:val="none"/>
        </w:rPr>
        <w:t>根据《关于防治政府采购招标中串通投标行为的通知》</w:t>
      </w:r>
      <w:r>
        <w:rPr>
          <w:rFonts w:hint="eastAsia"/>
          <w:szCs w:val="21"/>
          <w:highlight w:val="none"/>
        </w:rPr>
        <w:t>（</w:t>
      </w:r>
      <w:r>
        <w:rPr>
          <w:szCs w:val="21"/>
          <w:highlight w:val="none"/>
        </w:rPr>
        <w:t>桂财采</w:t>
      </w:r>
      <w:r>
        <w:rPr>
          <w:rFonts w:hint="eastAsia"/>
          <w:szCs w:val="21"/>
          <w:highlight w:val="none"/>
          <w:lang w:eastAsia="zh-CN"/>
        </w:rPr>
        <w:t>〔2016〕</w:t>
      </w:r>
      <w:r>
        <w:rPr>
          <w:szCs w:val="21"/>
          <w:highlight w:val="none"/>
        </w:rPr>
        <w:t>42号</w:t>
      </w:r>
      <w:r>
        <w:rPr>
          <w:rFonts w:hint="eastAsia"/>
          <w:szCs w:val="21"/>
          <w:highlight w:val="none"/>
        </w:rPr>
        <w:t>）</w:t>
      </w:r>
      <w:r>
        <w:rPr>
          <w:szCs w:val="21"/>
          <w:highlight w:val="none"/>
        </w:rPr>
        <w:t>规定，出现下述情况的，相关供应商的投标作无效投标处理。</w:t>
      </w:r>
    </w:p>
    <w:p w14:paraId="5F9E1C3C">
      <w:pPr>
        <w:spacing w:before="120" w:line="320" w:lineRule="atLeast"/>
        <w:ind w:firstLine="420" w:firstLineChars="200"/>
        <w:rPr>
          <w:szCs w:val="21"/>
          <w:highlight w:val="none"/>
        </w:rPr>
      </w:pPr>
      <w:bookmarkStart w:id="65" w:name="_Hlk19122039"/>
      <w:r>
        <w:rPr>
          <w:rFonts w:hint="eastAsia" w:ascii="宋体" w:hAnsi="宋体" w:cs="宋体"/>
          <w:szCs w:val="21"/>
          <w:highlight w:val="none"/>
        </w:rPr>
        <w:t>①</w:t>
      </w:r>
      <w:r>
        <w:rPr>
          <w:szCs w:val="21"/>
          <w:highlight w:val="none"/>
        </w:rPr>
        <w:t>单位负责人为同一人或者存在直接控股、管理关系，参加同一合同项下政府采购活动的不同供应商。</w:t>
      </w:r>
    </w:p>
    <w:p w14:paraId="1C0B3B44">
      <w:pPr>
        <w:spacing w:before="120" w:line="320" w:lineRule="atLeast"/>
        <w:ind w:firstLine="420" w:firstLineChars="200"/>
        <w:rPr>
          <w:szCs w:val="21"/>
          <w:highlight w:val="none"/>
        </w:rPr>
      </w:pPr>
      <w:r>
        <w:rPr>
          <w:rFonts w:hint="eastAsia"/>
          <w:szCs w:val="21"/>
          <w:highlight w:val="none"/>
        </w:rPr>
        <w:t>②</w:t>
      </w:r>
      <w:r>
        <w:rPr>
          <w:szCs w:val="21"/>
          <w:highlight w:val="none"/>
        </w:rPr>
        <w:t>授权给供应商后参加同一合同项（分标、分包）投标的生产厂商。</w:t>
      </w:r>
    </w:p>
    <w:p w14:paraId="626531F4">
      <w:pPr>
        <w:spacing w:before="120" w:line="320" w:lineRule="atLeast"/>
        <w:ind w:firstLine="420" w:firstLineChars="200"/>
        <w:rPr>
          <w:szCs w:val="21"/>
          <w:highlight w:val="none"/>
        </w:rPr>
      </w:pPr>
      <w:r>
        <w:rPr>
          <w:rFonts w:hint="eastAsia"/>
          <w:szCs w:val="21"/>
          <w:highlight w:val="none"/>
        </w:rPr>
        <w:t>③</w:t>
      </w:r>
      <w:r>
        <w:rPr>
          <w:szCs w:val="21"/>
          <w:highlight w:val="none"/>
        </w:rPr>
        <w:t>视为或被认定为串通投标的相关供应商。</w:t>
      </w:r>
    </w:p>
    <w:bookmarkEnd w:id="65"/>
    <w:p w14:paraId="5067A875">
      <w:pPr>
        <w:spacing w:before="120" w:line="320" w:lineRule="atLeast"/>
        <w:ind w:firstLine="420" w:firstLineChars="200"/>
        <w:rPr>
          <w:szCs w:val="21"/>
          <w:highlight w:val="none"/>
        </w:rPr>
      </w:pPr>
      <w:bookmarkStart w:id="66" w:name="_Hlk19122058"/>
      <w:r>
        <w:rPr>
          <w:rFonts w:hint="eastAsia"/>
          <w:szCs w:val="21"/>
          <w:highlight w:val="none"/>
        </w:rPr>
        <w:t>（2）</w:t>
      </w:r>
      <w:bookmarkEnd w:id="66"/>
      <w:r>
        <w:rPr>
          <w:szCs w:val="21"/>
          <w:highlight w:val="none"/>
        </w:rPr>
        <w:t>根据《关于防治政府采购招标中串通投标行为的通知》</w:t>
      </w:r>
      <w:r>
        <w:rPr>
          <w:rFonts w:hint="eastAsia"/>
          <w:szCs w:val="21"/>
          <w:highlight w:val="none"/>
        </w:rPr>
        <w:t>（</w:t>
      </w:r>
      <w:r>
        <w:rPr>
          <w:szCs w:val="21"/>
          <w:highlight w:val="none"/>
        </w:rPr>
        <w:t>桂财采</w:t>
      </w:r>
      <w:r>
        <w:rPr>
          <w:rFonts w:hint="eastAsia"/>
          <w:szCs w:val="21"/>
          <w:highlight w:val="none"/>
          <w:lang w:eastAsia="zh-CN"/>
        </w:rPr>
        <w:t>〔2016〕</w:t>
      </w:r>
      <w:r>
        <w:rPr>
          <w:szCs w:val="21"/>
          <w:highlight w:val="none"/>
        </w:rPr>
        <w:t>42号</w:t>
      </w:r>
      <w:r>
        <w:rPr>
          <w:rFonts w:hint="eastAsia"/>
          <w:szCs w:val="21"/>
          <w:highlight w:val="none"/>
        </w:rPr>
        <w:t>）</w:t>
      </w:r>
      <w:r>
        <w:rPr>
          <w:szCs w:val="21"/>
          <w:highlight w:val="none"/>
        </w:rPr>
        <w:t>规定，有下列情形之一的视为供应商相互串通投标，响应文件将被视为无效。</w:t>
      </w:r>
    </w:p>
    <w:p w14:paraId="17BBDED5">
      <w:pPr>
        <w:spacing w:before="120" w:line="320" w:lineRule="atLeast"/>
        <w:ind w:firstLine="420" w:firstLineChars="200"/>
        <w:rPr>
          <w:szCs w:val="21"/>
          <w:highlight w:val="none"/>
        </w:rPr>
      </w:pPr>
      <w:bookmarkStart w:id="67" w:name="_Hlk19122048"/>
      <w:r>
        <w:rPr>
          <w:rFonts w:hint="eastAsia" w:ascii="宋体" w:hAnsi="宋体" w:cs="宋体"/>
          <w:szCs w:val="21"/>
          <w:highlight w:val="none"/>
        </w:rPr>
        <w:t>①</w:t>
      </w:r>
      <w:r>
        <w:rPr>
          <w:szCs w:val="21"/>
          <w:highlight w:val="none"/>
        </w:rPr>
        <w:t>不同供应商的响应文件由同一单位或者个人编制；或不同供应商报名的IP地址一致的；</w:t>
      </w:r>
    </w:p>
    <w:p w14:paraId="5AE439EA">
      <w:pPr>
        <w:spacing w:before="120" w:line="320" w:lineRule="atLeast"/>
        <w:ind w:firstLine="420" w:firstLineChars="200"/>
        <w:rPr>
          <w:szCs w:val="21"/>
          <w:highlight w:val="none"/>
        </w:rPr>
      </w:pPr>
      <w:r>
        <w:rPr>
          <w:rFonts w:hint="eastAsia"/>
          <w:szCs w:val="21"/>
          <w:highlight w:val="none"/>
        </w:rPr>
        <w:t>②</w:t>
      </w:r>
      <w:r>
        <w:rPr>
          <w:szCs w:val="21"/>
          <w:highlight w:val="none"/>
        </w:rPr>
        <w:t>不同供应商委托同一单位或者个人办理投标事宜；</w:t>
      </w:r>
    </w:p>
    <w:p w14:paraId="299571E3">
      <w:pPr>
        <w:spacing w:before="120" w:line="320" w:lineRule="atLeast"/>
        <w:ind w:firstLine="420" w:firstLineChars="200"/>
        <w:rPr>
          <w:szCs w:val="21"/>
          <w:highlight w:val="none"/>
        </w:rPr>
      </w:pPr>
      <w:r>
        <w:rPr>
          <w:rFonts w:hint="eastAsia"/>
          <w:szCs w:val="21"/>
          <w:highlight w:val="none"/>
        </w:rPr>
        <w:t>③</w:t>
      </w:r>
      <w:r>
        <w:rPr>
          <w:szCs w:val="21"/>
          <w:highlight w:val="none"/>
        </w:rPr>
        <w:t>不同的供应商的响应文件载明的项目管理员为同一个人；</w:t>
      </w:r>
    </w:p>
    <w:p w14:paraId="61854FF1">
      <w:pPr>
        <w:spacing w:before="120" w:line="320" w:lineRule="atLeast"/>
        <w:ind w:firstLine="420" w:firstLineChars="200"/>
        <w:rPr>
          <w:szCs w:val="21"/>
          <w:highlight w:val="none"/>
        </w:rPr>
      </w:pPr>
      <w:r>
        <w:rPr>
          <w:rFonts w:hint="eastAsia"/>
          <w:szCs w:val="21"/>
          <w:highlight w:val="none"/>
        </w:rPr>
        <w:t>④</w:t>
      </w:r>
      <w:r>
        <w:rPr>
          <w:szCs w:val="21"/>
          <w:highlight w:val="none"/>
        </w:rPr>
        <w:t>不同供应商的响应文件异常一致或投标报价呈规律性差异；</w:t>
      </w:r>
    </w:p>
    <w:p w14:paraId="09E5D60A">
      <w:pPr>
        <w:spacing w:before="120" w:line="320" w:lineRule="atLeast"/>
        <w:ind w:firstLine="420" w:firstLineChars="200"/>
        <w:rPr>
          <w:szCs w:val="21"/>
          <w:highlight w:val="none"/>
        </w:rPr>
      </w:pPr>
      <w:r>
        <w:rPr>
          <w:rFonts w:hint="eastAsia"/>
          <w:szCs w:val="21"/>
          <w:highlight w:val="none"/>
        </w:rPr>
        <w:t>⑤</w:t>
      </w:r>
      <w:r>
        <w:rPr>
          <w:szCs w:val="21"/>
          <w:highlight w:val="none"/>
        </w:rPr>
        <w:t>不同供应商的响应文件相互混装；</w:t>
      </w:r>
    </w:p>
    <w:p w14:paraId="07D5DE79">
      <w:pPr>
        <w:spacing w:before="120" w:line="320" w:lineRule="atLeast"/>
        <w:ind w:firstLine="420" w:firstLineChars="200"/>
        <w:rPr>
          <w:szCs w:val="21"/>
          <w:highlight w:val="none"/>
        </w:rPr>
      </w:pPr>
      <w:r>
        <w:rPr>
          <w:rFonts w:hint="eastAsia"/>
          <w:szCs w:val="21"/>
          <w:highlight w:val="none"/>
        </w:rPr>
        <w:t>⑥</w:t>
      </w:r>
      <w:r>
        <w:rPr>
          <w:szCs w:val="21"/>
          <w:highlight w:val="none"/>
        </w:rPr>
        <w:t>不同供应商的保证金从同一单位或者个人账户转出。</w:t>
      </w:r>
    </w:p>
    <w:bookmarkEnd w:id="67"/>
    <w:p w14:paraId="1C013203">
      <w:pPr>
        <w:spacing w:before="120" w:line="320" w:lineRule="atLeast"/>
        <w:ind w:firstLine="420" w:firstLineChars="200"/>
        <w:rPr>
          <w:szCs w:val="21"/>
          <w:highlight w:val="none"/>
        </w:rPr>
      </w:pPr>
      <w:bookmarkStart w:id="68" w:name="_Hlk19122102"/>
      <w:r>
        <w:rPr>
          <w:rFonts w:hint="eastAsia"/>
          <w:szCs w:val="21"/>
          <w:highlight w:val="none"/>
        </w:rPr>
        <w:t>（3）</w:t>
      </w:r>
      <w:bookmarkEnd w:id="68"/>
      <w:r>
        <w:rPr>
          <w:szCs w:val="21"/>
          <w:highlight w:val="none"/>
        </w:rPr>
        <w:t>根据《关于防治政府采购招标中串通投标行为的通知》</w:t>
      </w:r>
      <w:r>
        <w:rPr>
          <w:rFonts w:hint="eastAsia"/>
          <w:szCs w:val="21"/>
          <w:highlight w:val="none"/>
        </w:rPr>
        <w:t>（</w:t>
      </w:r>
      <w:r>
        <w:rPr>
          <w:szCs w:val="21"/>
          <w:highlight w:val="none"/>
        </w:rPr>
        <w:t>桂财采[2016]42号</w:t>
      </w:r>
      <w:r>
        <w:rPr>
          <w:rFonts w:hint="eastAsia"/>
          <w:szCs w:val="21"/>
          <w:highlight w:val="none"/>
        </w:rPr>
        <w:t>）</w:t>
      </w:r>
      <w:r>
        <w:rPr>
          <w:szCs w:val="21"/>
          <w:highlight w:val="none"/>
        </w:rPr>
        <w:t>规定，供应商有下列情形之一的，属于恶意串通行为，响应文件将被视为无效。</w:t>
      </w:r>
    </w:p>
    <w:p w14:paraId="60E3BAE4">
      <w:pPr>
        <w:spacing w:before="120" w:line="320" w:lineRule="atLeast"/>
        <w:ind w:firstLine="420" w:firstLineChars="200"/>
        <w:rPr>
          <w:szCs w:val="21"/>
          <w:highlight w:val="none"/>
        </w:rPr>
      </w:pPr>
      <w:bookmarkStart w:id="69" w:name="_Hlk19122095"/>
      <w:r>
        <w:rPr>
          <w:rFonts w:hint="eastAsia"/>
          <w:szCs w:val="21"/>
          <w:highlight w:val="none"/>
        </w:rPr>
        <w:t>①</w:t>
      </w:r>
      <w:r>
        <w:rPr>
          <w:szCs w:val="21"/>
          <w:highlight w:val="none"/>
        </w:rPr>
        <w:t>供应商直接或者间接从采购人或者采购代理机构处获得其他供应商的相关信息并修改其响应文件或者响应文件；</w:t>
      </w:r>
    </w:p>
    <w:p w14:paraId="672FBF3D">
      <w:pPr>
        <w:spacing w:before="120" w:line="320" w:lineRule="atLeast"/>
        <w:ind w:firstLine="420" w:firstLineChars="200"/>
        <w:rPr>
          <w:szCs w:val="21"/>
          <w:highlight w:val="none"/>
        </w:rPr>
      </w:pPr>
      <w:r>
        <w:rPr>
          <w:rFonts w:hint="eastAsia"/>
          <w:szCs w:val="21"/>
          <w:highlight w:val="none"/>
        </w:rPr>
        <w:t>②</w:t>
      </w:r>
      <w:r>
        <w:rPr>
          <w:szCs w:val="21"/>
          <w:highlight w:val="none"/>
        </w:rPr>
        <w:t>供应商按照采购人或者采购代理机构的授意撤换、修改响应文件或者响应文件;；</w:t>
      </w:r>
    </w:p>
    <w:p w14:paraId="640E0DD0">
      <w:pPr>
        <w:spacing w:before="120" w:line="320" w:lineRule="atLeast"/>
        <w:ind w:firstLine="420" w:firstLineChars="200"/>
        <w:rPr>
          <w:szCs w:val="21"/>
          <w:highlight w:val="none"/>
        </w:rPr>
      </w:pPr>
      <w:r>
        <w:rPr>
          <w:rFonts w:hint="eastAsia"/>
          <w:szCs w:val="21"/>
          <w:highlight w:val="none"/>
        </w:rPr>
        <w:t>③</w:t>
      </w:r>
      <w:r>
        <w:rPr>
          <w:szCs w:val="21"/>
          <w:highlight w:val="none"/>
        </w:rPr>
        <w:t>供应商之间协商报价、技术方案等响应文件或者响应文件的实质性内容；</w:t>
      </w:r>
    </w:p>
    <w:p w14:paraId="720D8086">
      <w:pPr>
        <w:spacing w:before="120" w:line="320" w:lineRule="atLeast"/>
        <w:ind w:firstLine="420" w:firstLineChars="200"/>
        <w:rPr>
          <w:szCs w:val="21"/>
          <w:highlight w:val="none"/>
        </w:rPr>
      </w:pPr>
      <w:r>
        <w:rPr>
          <w:rFonts w:hint="eastAsia"/>
          <w:szCs w:val="21"/>
          <w:highlight w:val="none"/>
        </w:rPr>
        <w:t>④</w:t>
      </w:r>
      <w:r>
        <w:rPr>
          <w:szCs w:val="21"/>
          <w:highlight w:val="none"/>
        </w:rPr>
        <w:t>属于同一集团、协会、商会等组织成员的供应商按照该组织要求协同参加政府采购活动；</w:t>
      </w:r>
    </w:p>
    <w:p w14:paraId="0277D38C">
      <w:pPr>
        <w:spacing w:before="120" w:line="320" w:lineRule="atLeast"/>
        <w:ind w:firstLine="420" w:firstLineChars="200"/>
        <w:rPr>
          <w:szCs w:val="21"/>
          <w:highlight w:val="none"/>
        </w:rPr>
      </w:pPr>
      <w:r>
        <w:rPr>
          <w:rFonts w:hint="eastAsia"/>
          <w:szCs w:val="21"/>
          <w:highlight w:val="none"/>
        </w:rPr>
        <w:t>⑤</w:t>
      </w:r>
      <w:r>
        <w:rPr>
          <w:szCs w:val="21"/>
          <w:highlight w:val="none"/>
        </w:rPr>
        <w:t>供应商之间事先约定一致抬高或者压低投标报价，或者在招标项目中事先约定轮流以高价位或者低价位中标，或者事先约定由某一特定供应商中标，然后再参加投标；</w:t>
      </w:r>
    </w:p>
    <w:p w14:paraId="326B2011">
      <w:pPr>
        <w:spacing w:before="120" w:line="320" w:lineRule="atLeast"/>
        <w:ind w:firstLine="420" w:firstLineChars="200"/>
        <w:rPr>
          <w:szCs w:val="21"/>
          <w:highlight w:val="none"/>
        </w:rPr>
      </w:pPr>
      <w:r>
        <w:rPr>
          <w:rFonts w:hint="eastAsia"/>
          <w:szCs w:val="21"/>
          <w:highlight w:val="none"/>
        </w:rPr>
        <w:t>⑥</w:t>
      </w:r>
      <w:r>
        <w:rPr>
          <w:szCs w:val="21"/>
          <w:highlight w:val="none"/>
        </w:rPr>
        <w:t>供应商之间商定部分供应商放弃参加政府采购活动或者放弃中标；</w:t>
      </w:r>
    </w:p>
    <w:p w14:paraId="4B603ACF">
      <w:pPr>
        <w:spacing w:before="120" w:line="320" w:lineRule="atLeast"/>
        <w:ind w:firstLine="420" w:firstLineChars="200"/>
        <w:rPr>
          <w:szCs w:val="21"/>
          <w:highlight w:val="none"/>
        </w:rPr>
      </w:pPr>
      <w:r>
        <w:rPr>
          <w:rFonts w:hint="eastAsia"/>
          <w:szCs w:val="21"/>
          <w:highlight w:val="none"/>
        </w:rPr>
        <w:t>⑦</w:t>
      </w:r>
      <w:r>
        <w:rPr>
          <w:szCs w:val="21"/>
          <w:highlight w:val="none"/>
        </w:rPr>
        <w:t>供应商与采购人或者采购代理机构之间、供应商相互之间，为谋求特定供应商中标或者排斥其他供应商的其他串通行为。</w:t>
      </w:r>
    </w:p>
    <w:bookmarkEnd w:id="69"/>
    <w:p w14:paraId="607C7843">
      <w:pPr>
        <w:spacing w:before="120" w:line="320" w:lineRule="atLeast"/>
        <w:ind w:firstLine="420" w:firstLineChars="200"/>
        <w:rPr>
          <w:szCs w:val="21"/>
          <w:highlight w:val="none"/>
        </w:rPr>
      </w:pPr>
      <w:r>
        <w:rPr>
          <w:szCs w:val="21"/>
          <w:highlight w:val="none"/>
        </w:rPr>
        <w:t>6.3.</w:t>
      </w:r>
      <w:r>
        <w:rPr>
          <w:rFonts w:hint="eastAsia"/>
          <w:szCs w:val="21"/>
          <w:highlight w:val="none"/>
          <w:lang w:val="en-US" w:eastAsia="zh-CN"/>
        </w:rPr>
        <w:t>10</w:t>
      </w:r>
      <w:r>
        <w:rPr>
          <w:szCs w:val="21"/>
          <w:highlight w:val="none"/>
        </w:rPr>
        <w:t>响应</w:t>
      </w:r>
      <w:r>
        <w:rPr>
          <w:rFonts w:hint="eastAsia"/>
          <w:szCs w:val="21"/>
          <w:highlight w:val="none"/>
        </w:rPr>
        <w:t>无效</w:t>
      </w:r>
      <w:r>
        <w:rPr>
          <w:szCs w:val="21"/>
          <w:highlight w:val="none"/>
        </w:rPr>
        <w:t>认定</w:t>
      </w:r>
    </w:p>
    <w:p w14:paraId="12291F8F">
      <w:pPr>
        <w:spacing w:before="120" w:line="320" w:lineRule="atLeast"/>
        <w:ind w:firstLine="420" w:firstLineChars="200"/>
        <w:rPr>
          <w:szCs w:val="21"/>
          <w:highlight w:val="none"/>
        </w:rPr>
      </w:pPr>
      <w:r>
        <w:rPr>
          <w:rFonts w:hint="eastAsia"/>
          <w:szCs w:val="21"/>
          <w:highlight w:val="none"/>
        </w:rPr>
        <w:t>（</w:t>
      </w:r>
      <w:r>
        <w:rPr>
          <w:szCs w:val="21"/>
          <w:highlight w:val="none"/>
        </w:rPr>
        <w:t>1）在</w:t>
      </w:r>
      <w:r>
        <w:rPr>
          <w:rFonts w:hint="eastAsia"/>
          <w:szCs w:val="21"/>
          <w:highlight w:val="none"/>
        </w:rPr>
        <w:t>评审过程中</w:t>
      </w:r>
      <w:r>
        <w:rPr>
          <w:szCs w:val="21"/>
          <w:highlight w:val="none"/>
        </w:rPr>
        <w:t>如发现下列情形之一的，响应文件将被视为无效：</w:t>
      </w:r>
    </w:p>
    <w:p w14:paraId="48BB6C92">
      <w:pPr>
        <w:spacing w:before="120" w:line="320" w:lineRule="atLeast"/>
        <w:ind w:firstLine="420" w:firstLineChars="200"/>
        <w:rPr>
          <w:highlight w:val="none"/>
        </w:rPr>
      </w:pPr>
      <w:r>
        <w:rPr>
          <w:rFonts w:hint="eastAsia"/>
          <w:szCs w:val="21"/>
          <w:highlight w:val="none"/>
        </w:rPr>
        <w:t>①</w:t>
      </w:r>
      <w:r>
        <w:rPr>
          <w:szCs w:val="21"/>
          <w:highlight w:val="none"/>
        </w:rPr>
        <w:t>响应文件</w:t>
      </w:r>
      <w:r>
        <w:rPr>
          <w:rFonts w:hint="eastAsia"/>
          <w:szCs w:val="21"/>
          <w:highlight w:val="none"/>
        </w:rPr>
        <w:t>存在法律、法规及监督部门有关文件规定的无效情形</w:t>
      </w:r>
      <w:r>
        <w:rPr>
          <w:szCs w:val="21"/>
          <w:highlight w:val="none"/>
        </w:rPr>
        <w:t>。</w:t>
      </w:r>
    </w:p>
    <w:p w14:paraId="56AC7012">
      <w:pPr>
        <w:spacing w:before="120" w:line="320" w:lineRule="atLeast"/>
        <w:ind w:firstLine="420" w:firstLineChars="200"/>
        <w:rPr>
          <w:szCs w:val="21"/>
          <w:highlight w:val="none"/>
        </w:rPr>
      </w:pPr>
      <w:r>
        <w:rPr>
          <w:rFonts w:hint="eastAsia"/>
          <w:szCs w:val="21"/>
          <w:highlight w:val="none"/>
        </w:rPr>
        <w:t>②</w:t>
      </w:r>
      <w:r>
        <w:rPr>
          <w:szCs w:val="21"/>
          <w:highlight w:val="none"/>
        </w:rPr>
        <w:t>响应文件</w:t>
      </w:r>
      <w:r>
        <w:rPr>
          <w:rFonts w:hint="eastAsia"/>
          <w:szCs w:val="21"/>
          <w:highlight w:val="none"/>
        </w:rPr>
        <w:t>存在采购文件规定的无效情形。</w:t>
      </w:r>
    </w:p>
    <w:p w14:paraId="0E8BB378">
      <w:pPr>
        <w:spacing w:before="120" w:line="320" w:lineRule="atLeast"/>
        <w:ind w:firstLine="420" w:firstLineChars="200"/>
        <w:rPr>
          <w:szCs w:val="21"/>
          <w:highlight w:val="none"/>
        </w:rPr>
      </w:pPr>
      <w:bookmarkStart w:id="70" w:name="_Hlk19113313"/>
      <w:r>
        <w:rPr>
          <w:rFonts w:hint="eastAsia"/>
          <w:szCs w:val="21"/>
          <w:highlight w:val="none"/>
        </w:rPr>
        <w:t>（2）根据</w:t>
      </w:r>
      <w:r>
        <w:rPr>
          <w:szCs w:val="21"/>
          <w:highlight w:val="none"/>
        </w:rPr>
        <w:t>财库</w:t>
      </w:r>
      <w:r>
        <w:rPr>
          <w:rFonts w:hint="eastAsia"/>
          <w:szCs w:val="21"/>
          <w:highlight w:val="none"/>
        </w:rPr>
        <w:t>《</w:t>
      </w:r>
      <w:r>
        <w:rPr>
          <w:szCs w:val="21"/>
          <w:highlight w:val="none"/>
        </w:rPr>
        <w:t>关于促进政府采购公平竞争优化营商环境的通知</w:t>
      </w:r>
      <w:r>
        <w:rPr>
          <w:rFonts w:hint="eastAsia"/>
          <w:szCs w:val="21"/>
          <w:highlight w:val="none"/>
        </w:rPr>
        <w:t>》（</w:t>
      </w:r>
      <w:r>
        <w:rPr>
          <w:szCs w:val="21"/>
          <w:highlight w:val="none"/>
        </w:rPr>
        <w:t>〔2019〕38号</w:t>
      </w:r>
      <w:r>
        <w:rPr>
          <w:rFonts w:hint="eastAsia"/>
          <w:szCs w:val="21"/>
          <w:highlight w:val="none"/>
        </w:rPr>
        <w:t>）以及《广西壮族自治区财政厅转发财政部关于促进政府采购公平竞争优化营商环境的通知》（桂财采〔2019〕41号）规定，磋商小组不得因装订、纸张、文件排序等非实质性的格式、形式问题认定投标无效或否决投标，从而限制和影响供应商投标（响应）。</w:t>
      </w:r>
    </w:p>
    <w:bookmarkEnd w:id="70"/>
    <w:p w14:paraId="0C702758">
      <w:pPr>
        <w:spacing w:before="120" w:line="320" w:lineRule="atLeast"/>
        <w:ind w:firstLine="420" w:firstLineChars="200"/>
        <w:rPr>
          <w:szCs w:val="21"/>
          <w:highlight w:val="none"/>
        </w:rPr>
      </w:pPr>
      <w:bookmarkStart w:id="71" w:name="_Hlk19113363"/>
      <w:r>
        <w:rPr>
          <w:szCs w:val="21"/>
          <w:highlight w:val="none"/>
        </w:rPr>
        <w:t>6.3.1</w:t>
      </w:r>
      <w:r>
        <w:rPr>
          <w:rFonts w:hint="eastAsia"/>
          <w:szCs w:val="21"/>
          <w:highlight w:val="none"/>
          <w:lang w:val="en-US" w:eastAsia="zh-CN"/>
        </w:rPr>
        <w:t>1</w:t>
      </w:r>
      <w:r>
        <w:rPr>
          <w:szCs w:val="21"/>
          <w:highlight w:val="none"/>
        </w:rPr>
        <w:t>比较与评价</w:t>
      </w:r>
    </w:p>
    <w:p w14:paraId="634B1362">
      <w:pPr>
        <w:spacing w:before="120" w:line="320" w:lineRule="atLeast"/>
        <w:ind w:firstLine="420" w:firstLineChars="200"/>
        <w:rPr>
          <w:szCs w:val="21"/>
          <w:highlight w:val="none"/>
        </w:rPr>
      </w:pPr>
      <w:r>
        <w:rPr>
          <w:rFonts w:hint="eastAsia"/>
          <w:szCs w:val="21"/>
          <w:highlight w:val="none"/>
        </w:rPr>
        <w:t>（1）磋商小组</w:t>
      </w:r>
      <w:r>
        <w:rPr>
          <w:szCs w:val="21"/>
          <w:highlight w:val="none"/>
        </w:rPr>
        <w:t>按采购文件中规定的评审方法和标准，</w:t>
      </w:r>
      <w:r>
        <w:rPr>
          <w:rFonts w:hint="eastAsia"/>
          <w:szCs w:val="21"/>
          <w:highlight w:val="none"/>
        </w:rPr>
        <w:t>对提交最后报价的供应商的响应文件和最后报价进行综合评分。</w:t>
      </w:r>
    </w:p>
    <w:p w14:paraId="03C064EF">
      <w:pPr>
        <w:spacing w:before="120" w:line="320" w:lineRule="atLeast"/>
        <w:ind w:firstLine="420" w:firstLineChars="200"/>
        <w:rPr>
          <w:szCs w:val="21"/>
          <w:highlight w:val="none"/>
        </w:rPr>
      </w:pPr>
      <w:r>
        <w:rPr>
          <w:rFonts w:hint="eastAsia"/>
          <w:szCs w:val="21"/>
          <w:highlight w:val="none"/>
        </w:rPr>
        <w:t>（2）</w:t>
      </w:r>
      <w:r>
        <w:rPr>
          <w:szCs w:val="21"/>
          <w:highlight w:val="none"/>
        </w:rPr>
        <w:t>磋商小组各成员独立对每个有效供应商的响应文件进行评价</w:t>
      </w:r>
      <w:r>
        <w:rPr>
          <w:rFonts w:hint="eastAsia"/>
          <w:szCs w:val="21"/>
          <w:highlight w:val="none"/>
        </w:rPr>
        <w:t>、打分。评价打分</w:t>
      </w:r>
      <w:r>
        <w:rPr>
          <w:szCs w:val="21"/>
          <w:highlight w:val="none"/>
        </w:rPr>
        <w:t>有误的应及时进行修正。</w:t>
      </w:r>
      <w:r>
        <w:rPr>
          <w:rFonts w:hint="eastAsia"/>
          <w:szCs w:val="21"/>
          <w:highlight w:val="none"/>
        </w:rPr>
        <w:t>评分</w:t>
      </w:r>
      <w:r>
        <w:rPr>
          <w:szCs w:val="21"/>
          <w:highlight w:val="none"/>
        </w:rPr>
        <w:t>标准如有客观分定义，磋商小组所有成员的客观分</w:t>
      </w:r>
      <w:r>
        <w:rPr>
          <w:rFonts w:hint="eastAsia"/>
          <w:szCs w:val="21"/>
          <w:highlight w:val="none"/>
        </w:rPr>
        <w:t>评分分值</w:t>
      </w:r>
      <w:r>
        <w:rPr>
          <w:szCs w:val="21"/>
          <w:highlight w:val="none"/>
        </w:rPr>
        <w:t>应当一致。</w:t>
      </w:r>
    </w:p>
    <w:p w14:paraId="2AAF6FBE">
      <w:pPr>
        <w:spacing w:before="120" w:line="320" w:lineRule="atLeast"/>
        <w:ind w:firstLine="420" w:firstLineChars="200"/>
        <w:rPr>
          <w:rFonts w:hint="eastAsia"/>
          <w:color w:val="auto"/>
          <w:szCs w:val="21"/>
          <w:highlight w:val="none"/>
        </w:rPr>
      </w:pPr>
      <w:r>
        <w:rPr>
          <w:rFonts w:hint="eastAsia"/>
          <w:szCs w:val="21"/>
          <w:highlight w:val="none"/>
        </w:rPr>
        <w:t>（3）磋商小组</w:t>
      </w:r>
      <w:r>
        <w:rPr>
          <w:color w:val="auto"/>
          <w:szCs w:val="21"/>
          <w:highlight w:val="none"/>
        </w:rPr>
        <w:t>按</w:t>
      </w:r>
      <w:r>
        <w:rPr>
          <w:rFonts w:hint="eastAsia"/>
          <w:color w:val="auto"/>
          <w:szCs w:val="21"/>
          <w:highlight w:val="none"/>
        </w:rPr>
        <w:t>综合评</w:t>
      </w:r>
      <w:r>
        <w:rPr>
          <w:color w:val="auto"/>
          <w:szCs w:val="21"/>
          <w:highlight w:val="none"/>
        </w:rPr>
        <w:t>分由高到低的排列顺序</w:t>
      </w:r>
      <w:r>
        <w:rPr>
          <w:rFonts w:hint="eastAsia"/>
          <w:color w:val="auto"/>
          <w:szCs w:val="21"/>
          <w:highlight w:val="none"/>
        </w:rPr>
        <w:t>推荐</w:t>
      </w:r>
      <w:r>
        <w:rPr>
          <w:color w:val="auto"/>
          <w:szCs w:val="21"/>
          <w:highlight w:val="none"/>
        </w:rPr>
        <w:t>3</w:t>
      </w:r>
      <w:r>
        <w:rPr>
          <w:rFonts w:hint="eastAsia"/>
          <w:color w:val="auto"/>
          <w:szCs w:val="21"/>
          <w:highlight w:val="none"/>
        </w:rPr>
        <w:t>名以上成交候选供应商，</w:t>
      </w:r>
      <w:r>
        <w:rPr>
          <w:color w:val="auto"/>
          <w:szCs w:val="21"/>
          <w:highlight w:val="none"/>
        </w:rPr>
        <w:t>综合</w:t>
      </w:r>
      <w:r>
        <w:rPr>
          <w:rFonts w:hint="eastAsia"/>
          <w:color w:val="auto"/>
          <w:szCs w:val="21"/>
          <w:highlight w:val="none"/>
        </w:rPr>
        <w:t>评</w:t>
      </w:r>
      <w:r>
        <w:rPr>
          <w:color w:val="auto"/>
          <w:szCs w:val="21"/>
          <w:highlight w:val="none"/>
        </w:rPr>
        <w:t>分排名第一的为第一</w:t>
      </w:r>
      <w:r>
        <w:rPr>
          <w:rFonts w:hint="eastAsia"/>
          <w:color w:val="auto"/>
          <w:szCs w:val="21"/>
          <w:highlight w:val="none"/>
        </w:rPr>
        <w:t>成交</w:t>
      </w:r>
      <w:r>
        <w:rPr>
          <w:color w:val="auto"/>
          <w:szCs w:val="21"/>
          <w:highlight w:val="none"/>
        </w:rPr>
        <w:t>候选</w:t>
      </w:r>
      <w:r>
        <w:rPr>
          <w:rFonts w:hint="eastAsia"/>
          <w:color w:val="auto"/>
          <w:szCs w:val="21"/>
          <w:highlight w:val="none"/>
        </w:rPr>
        <w:t>供应商</w:t>
      </w:r>
      <w:r>
        <w:rPr>
          <w:color w:val="auto"/>
          <w:szCs w:val="21"/>
          <w:highlight w:val="none"/>
        </w:rPr>
        <w:t>。若</w:t>
      </w:r>
      <w:r>
        <w:rPr>
          <w:rFonts w:hint="eastAsia"/>
          <w:color w:val="auto"/>
          <w:szCs w:val="21"/>
          <w:highlight w:val="none"/>
        </w:rPr>
        <w:t>成交</w:t>
      </w:r>
      <w:r>
        <w:rPr>
          <w:color w:val="auto"/>
          <w:szCs w:val="21"/>
          <w:highlight w:val="none"/>
        </w:rPr>
        <w:t>候选人综合</w:t>
      </w:r>
      <w:r>
        <w:rPr>
          <w:rFonts w:hint="eastAsia"/>
          <w:color w:val="auto"/>
          <w:szCs w:val="21"/>
          <w:highlight w:val="none"/>
        </w:rPr>
        <w:t>评</w:t>
      </w:r>
      <w:r>
        <w:rPr>
          <w:color w:val="auto"/>
          <w:szCs w:val="21"/>
          <w:highlight w:val="none"/>
        </w:rPr>
        <w:t>分相同的，按</w:t>
      </w:r>
      <w:r>
        <w:rPr>
          <w:rFonts w:hint="eastAsia"/>
          <w:color w:val="auto"/>
          <w:szCs w:val="21"/>
          <w:highlight w:val="none"/>
        </w:rPr>
        <w:t>最后</w:t>
      </w:r>
      <w:r>
        <w:rPr>
          <w:color w:val="auto"/>
          <w:szCs w:val="21"/>
          <w:highlight w:val="none"/>
        </w:rPr>
        <w:t>报价由低到高顺序排列；综合</w:t>
      </w:r>
      <w:r>
        <w:rPr>
          <w:rFonts w:hint="eastAsia"/>
          <w:color w:val="auto"/>
          <w:szCs w:val="21"/>
          <w:highlight w:val="none"/>
        </w:rPr>
        <w:t>评</w:t>
      </w:r>
      <w:r>
        <w:rPr>
          <w:color w:val="auto"/>
          <w:szCs w:val="21"/>
          <w:highlight w:val="none"/>
        </w:rPr>
        <w:t>分且</w:t>
      </w:r>
      <w:r>
        <w:rPr>
          <w:rFonts w:hint="eastAsia"/>
          <w:color w:val="auto"/>
          <w:szCs w:val="21"/>
          <w:highlight w:val="none"/>
        </w:rPr>
        <w:t>最后</w:t>
      </w:r>
      <w:r>
        <w:rPr>
          <w:color w:val="auto"/>
          <w:szCs w:val="21"/>
          <w:highlight w:val="none"/>
        </w:rPr>
        <w:t>报价相同的</w:t>
      </w:r>
      <w:r>
        <w:rPr>
          <w:color w:val="auto"/>
          <w:highlight w:val="none"/>
        </w:rPr>
        <w:t>并列</w:t>
      </w:r>
      <w:r>
        <w:rPr>
          <w:color w:val="auto"/>
          <w:szCs w:val="21"/>
          <w:highlight w:val="none"/>
        </w:rPr>
        <w:t>；</w:t>
      </w:r>
      <w:r>
        <w:rPr>
          <w:rFonts w:hint="eastAsia"/>
          <w:color w:val="auto"/>
          <w:szCs w:val="21"/>
          <w:highlight w:val="none"/>
        </w:rPr>
        <w:t>成交</w:t>
      </w:r>
      <w:r>
        <w:rPr>
          <w:color w:val="auto"/>
          <w:szCs w:val="21"/>
          <w:highlight w:val="none"/>
        </w:rPr>
        <w:t>候选人并列的，按技术部分</w:t>
      </w:r>
      <w:r>
        <w:rPr>
          <w:rFonts w:hint="eastAsia"/>
          <w:color w:val="auto"/>
          <w:szCs w:val="21"/>
          <w:highlight w:val="none"/>
        </w:rPr>
        <w:t>评</w:t>
      </w:r>
      <w:r>
        <w:rPr>
          <w:color w:val="auto"/>
          <w:szCs w:val="21"/>
          <w:highlight w:val="none"/>
        </w:rPr>
        <w:t>分由高到低顺序排列，若综合评分、</w:t>
      </w:r>
      <w:r>
        <w:rPr>
          <w:rFonts w:hint="eastAsia"/>
          <w:color w:val="auto"/>
          <w:szCs w:val="21"/>
          <w:highlight w:val="none"/>
        </w:rPr>
        <w:t>最后</w:t>
      </w:r>
      <w:r>
        <w:rPr>
          <w:color w:val="auto"/>
          <w:szCs w:val="21"/>
          <w:highlight w:val="none"/>
        </w:rPr>
        <w:t>报价、技术部分</w:t>
      </w:r>
      <w:r>
        <w:rPr>
          <w:rFonts w:hint="eastAsia"/>
          <w:color w:val="auto"/>
          <w:szCs w:val="21"/>
          <w:highlight w:val="none"/>
        </w:rPr>
        <w:t>评分</w:t>
      </w:r>
      <w:r>
        <w:rPr>
          <w:color w:val="auto"/>
          <w:szCs w:val="21"/>
          <w:highlight w:val="none"/>
        </w:rPr>
        <w:t>均相同的，按商务</w:t>
      </w:r>
      <w:r>
        <w:rPr>
          <w:rFonts w:hint="eastAsia"/>
          <w:color w:val="auto"/>
          <w:szCs w:val="21"/>
          <w:highlight w:val="none"/>
        </w:rPr>
        <w:t>资信</w:t>
      </w:r>
      <w:r>
        <w:rPr>
          <w:color w:val="auto"/>
          <w:szCs w:val="21"/>
          <w:highlight w:val="none"/>
        </w:rPr>
        <w:t>部分</w:t>
      </w:r>
      <w:r>
        <w:rPr>
          <w:rFonts w:hint="eastAsia"/>
          <w:color w:val="auto"/>
          <w:szCs w:val="21"/>
          <w:highlight w:val="none"/>
        </w:rPr>
        <w:t>评</w:t>
      </w:r>
      <w:r>
        <w:rPr>
          <w:color w:val="auto"/>
          <w:szCs w:val="21"/>
          <w:highlight w:val="none"/>
        </w:rPr>
        <w:t>分由高到低顺序排列。</w:t>
      </w:r>
      <w:r>
        <w:rPr>
          <w:rFonts w:hint="eastAsia"/>
          <w:color w:val="auto"/>
          <w:szCs w:val="21"/>
          <w:highlight w:val="none"/>
        </w:rPr>
        <w:t>若综合评分、最后报价、技术部分评分、商务资信部分评分均相同的，由采购人自行决定。</w:t>
      </w:r>
    </w:p>
    <w:p w14:paraId="2E6F0A66">
      <w:pPr>
        <w:spacing w:before="120" w:line="320" w:lineRule="atLeast"/>
        <w:ind w:firstLine="420" w:firstLineChars="200"/>
        <w:rPr>
          <w:highlight w:val="none"/>
        </w:rPr>
      </w:pPr>
      <w:r>
        <w:rPr>
          <w:rFonts w:hint="eastAsia"/>
          <w:color w:val="auto"/>
          <w:szCs w:val="21"/>
          <w:highlight w:val="none"/>
        </w:rPr>
        <w:t>（</w:t>
      </w:r>
      <w:r>
        <w:rPr>
          <w:color w:val="auto"/>
          <w:szCs w:val="21"/>
          <w:highlight w:val="none"/>
        </w:rPr>
        <w:t>4</w:t>
      </w:r>
      <w:r>
        <w:rPr>
          <w:rFonts w:hint="eastAsia"/>
          <w:color w:val="auto"/>
          <w:szCs w:val="21"/>
          <w:highlight w:val="none"/>
        </w:rPr>
        <w:t>）磋商小组根据评审记录及评审结果编写评审报告，磋商小组成员均应当在评审报告上签字，对自己的评审意见承担法律责任。</w:t>
      </w:r>
      <w:r>
        <w:rPr>
          <w:color w:val="auto"/>
          <w:highlight w:val="none"/>
        </w:rPr>
        <w:t>评审报告签署前，经复核发现存</w:t>
      </w:r>
      <w:r>
        <w:rPr>
          <w:highlight w:val="none"/>
        </w:rPr>
        <w:t>在以</w:t>
      </w:r>
      <w:r>
        <w:rPr>
          <w:rFonts w:hint="eastAsia"/>
          <w:highlight w:val="none"/>
        </w:rPr>
        <w:t>下</w:t>
      </w:r>
      <w:r>
        <w:rPr>
          <w:highlight w:val="none"/>
        </w:rPr>
        <w:t>情形之一的，磋商小组应当当场修改评审结果，并在评审报告中记载；评审报告签署后，采购人或者采购代理机构发现存在以</w:t>
      </w:r>
      <w:r>
        <w:rPr>
          <w:rFonts w:hint="eastAsia"/>
          <w:highlight w:val="none"/>
        </w:rPr>
        <w:t>下</w:t>
      </w:r>
      <w:r>
        <w:rPr>
          <w:highlight w:val="none"/>
        </w:rPr>
        <w:t>情形之一的，应当组织原磋商小组进行重新评审。</w:t>
      </w:r>
    </w:p>
    <w:p w14:paraId="313344B1">
      <w:pPr>
        <w:spacing w:before="120" w:line="320" w:lineRule="atLeast"/>
        <w:ind w:firstLine="420" w:firstLineChars="200"/>
        <w:rPr>
          <w:highlight w:val="none"/>
        </w:rPr>
      </w:pPr>
      <w:r>
        <w:rPr>
          <w:rFonts w:hint="eastAsia"/>
          <w:highlight w:val="none"/>
        </w:rPr>
        <w:t>资格性检查认定错误、分值汇总计算错误、分项评分超出评分标准范围、客观分评分不一致、经磋商小组一致认定评分畸高、畸低。</w:t>
      </w:r>
    </w:p>
    <w:bookmarkEnd w:id="71"/>
    <w:p w14:paraId="6104B073">
      <w:pPr>
        <w:spacing w:before="120" w:line="320" w:lineRule="atLeast"/>
        <w:ind w:firstLine="422" w:firstLineChars="200"/>
        <w:outlineLvl w:val="2"/>
        <w:rPr>
          <w:b/>
          <w:bCs/>
          <w:kern w:val="0"/>
          <w:szCs w:val="21"/>
          <w:highlight w:val="none"/>
        </w:rPr>
      </w:pPr>
      <w:r>
        <w:rPr>
          <w:b/>
          <w:bCs/>
          <w:kern w:val="0"/>
          <w:szCs w:val="21"/>
          <w:highlight w:val="none"/>
        </w:rPr>
        <w:t>6.4确定成交供应商</w:t>
      </w:r>
    </w:p>
    <w:p w14:paraId="75ADA21B">
      <w:pPr>
        <w:spacing w:before="120" w:line="276" w:lineRule="auto"/>
        <w:ind w:firstLine="420" w:firstLineChars="200"/>
        <w:rPr>
          <w:szCs w:val="21"/>
          <w:highlight w:val="none"/>
        </w:rPr>
      </w:pPr>
      <w:r>
        <w:rPr>
          <w:rFonts w:hint="eastAsia"/>
          <w:szCs w:val="21"/>
          <w:highlight w:val="none"/>
        </w:rPr>
        <w:t>6.4</w:t>
      </w:r>
      <w:r>
        <w:rPr>
          <w:szCs w:val="21"/>
          <w:highlight w:val="none"/>
        </w:rPr>
        <w:t>.1采购代理机构在评审结束后2个工作日内将评审报告送采购人，采购人在5个工作日内按照评审报告中推荐的成交候选供应商顺序确定成交供应商。</w:t>
      </w:r>
    </w:p>
    <w:p w14:paraId="72A90EF6">
      <w:pPr>
        <w:spacing w:before="120" w:line="276" w:lineRule="auto"/>
        <w:ind w:firstLine="420" w:firstLineChars="200"/>
        <w:rPr>
          <w:szCs w:val="21"/>
          <w:highlight w:val="none"/>
        </w:rPr>
      </w:pPr>
      <w:r>
        <w:rPr>
          <w:szCs w:val="21"/>
          <w:highlight w:val="none"/>
        </w:rPr>
        <w:t>6.4.2</w:t>
      </w:r>
      <w:r>
        <w:rPr>
          <w:rFonts w:hint="eastAsia"/>
          <w:szCs w:val="21"/>
          <w:highlight w:val="none"/>
        </w:rPr>
        <w:t>采购人、采购代理机构认为供应商对采购过程、成交结果提出的质疑成立且影响或者可能影响成交结果的，合格供应商符合法定数量时，可以从合格的成交候选供应商中另行确定成交供应商的，应当依法另行确定成交供应商；否则应当重新开展采购活动。</w:t>
      </w:r>
    </w:p>
    <w:p w14:paraId="218411DA">
      <w:pPr>
        <w:spacing w:before="120" w:line="320" w:lineRule="atLeast"/>
        <w:ind w:firstLine="422" w:firstLineChars="200"/>
        <w:outlineLvl w:val="2"/>
        <w:rPr>
          <w:b/>
          <w:bCs/>
          <w:kern w:val="0"/>
          <w:szCs w:val="21"/>
          <w:highlight w:val="none"/>
        </w:rPr>
      </w:pPr>
      <w:r>
        <w:rPr>
          <w:b/>
          <w:bCs/>
          <w:kern w:val="0"/>
          <w:szCs w:val="21"/>
          <w:highlight w:val="none"/>
        </w:rPr>
        <w:t>6.5</w:t>
      </w:r>
      <w:r>
        <w:rPr>
          <w:rFonts w:hint="eastAsia"/>
          <w:b/>
          <w:bCs/>
          <w:kern w:val="0"/>
          <w:szCs w:val="21"/>
          <w:highlight w:val="none"/>
        </w:rPr>
        <w:t>结果公告</w:t>
      </w:r>
    </w:p>
    <w:p w14:paraId="62247635">
      <w:pPr>
        <w:spacing w:before="120" w:line="320" w:lineRule="atLeast"/>
        <w:ind w:firstLine="420" w:firstLineChars="200"/>
        <w:rPr>
          <w:szCs w:val="21"/>
          <w:highlight w:val="none"/>
        </w:rPr>
      </w:pPr>
      <w:r>
        <w:rPr>
          <w:rFonts w:hint="eastAsia"/>
          <w:szCs w:val="21"/>
          <w:highlight w:val="none"/>
        </w:rPr>
        <w:t>6</w:t>
      </w:r>
      <w:r>
        <w:rPr>
          <w:szCs w:val="21"/>
          <w:highlight w:val="none"/>
        </w:rPr>
        <w:t>.5.1自成交供应商确定后2个工作日内，采购代理机构</w:t>
      </w:r>
      <w:r>
        <w:rPr>
          <w:rFonts w:hint="eastAsia"/>
          <w:szCs w:val="21"/>
          <w:highlight w:val="none"/>
        </w:rPr>
        <w:t>按照供应商须知</w:t>
      </w:r>
      <w:r>
        <w:rPr>
          <w:rFonts w:hint="eastAsia"/>
          <w:kern w:val="0"/>
          <w:szCs w:val="21"/>
          <w:highlight w:val="none"/>
        </w:rPr>
        <w:t>前附表的规定</w:t>
      </w:r>
      <w:r>
        <w:rPr>
          <w:kern w:val="0"/>
          <w:szCs w:val="21"/>
          <w:highlight w:val="none"/>
        </w:rPr>
        <w:t>公告</w:t>
      </w:r>
      <w:r>
        <w:rPr>
          <w:szCs w:val="21"/>
          <w:highlight w:val="none"/>
        </w:rPr>
        <w:t>成交结果</w:t>
      </w:r>
      <w:r>
        <w:rPr>
          <w:rFonts w:hint="eastAsia"/>
          <w:szCs w:val="21"/>
          <w:highlight w:val="none"/>
          <w:lang w:eastAsia="zh-CN"/>
        </w:rPr>
        <w:t>，成交</w:t>
      </w:r>
      <w:r>
        <w:rPr>
          <w:rFonts w:hint="eastAsia"/>
          <w:szCs w:val="21"/>
          <w:highlight w:val="none"/>
        </w:rPr>
        <w:t>结果公告期限为1个工作日</w:t>
      </w:r>
      <w:r>
        <w:rPr>
          <w:rFonts w:hint="eastAsia"/>
          <w:szCs w:val="21"/>
          <w:highlight w:val="none"/>
          <w:lang w:eastAsia="zh-CN"/>
        </w:rPr>
        <w:t>，</w:t>
      </w:r>
      <w:r>
        <w:rPr>
          <w:rFonts w:hint="eastAsia"/>
          <w:szCs w:val="21"/>
          <w:highlight w:val="none"/>
        </w:rPr>
        <w:t>发布</w:t>
      </w:r>
      <w:r>
        <w:rPr>
          <w:rFonts w:hint="eastAsia"/>
          <w:szCs w:val="21"/>
          <w:highlight w:val="none"/>
          <w:lang w:eastAsia="zh-CN"/>
        </w:rPr>
        <w:t>成交</w:t>
      </w:r>
      <w:r>
        <w:rPr>
          <w:rFonts w:hint="eastAsia"/>
          <w:szCs w:val="21"/>
          <w:highlight w:val="none"/>
        </w:rPr>
        <w:t>结果公告的同时向</w:t>
      </w:r>
      <w:r>
        <w:rPr>
          <w:rFonts w:hint="eastAsia"/>
          <w:szCs w:val="21"/>
          <w:highlight w:val="none"/>
          <w:lang w:eastAsia="zh-CN"/>
        </w:rPr>
        <w:t>成交</w:t>
      </w:r>
      <w:r>
        <w:rPr>
          <w:rFonts w:hint="eastAsia"/>
          <w:szCs w:val="21"/>
          <w:highlight w:val="none"/>
        </w:rPr>
        <w:t>供应商发出</w:t>
      </w:r>
      <w:r>
        <w:rPr>
          <w:rFonts w:hint="eastAsia"/>
          <w:szCs w:val="21"/>
          <w:highlight w:val="none"/>
          <w:lang w:eastAsia="zh-CN"/>
        </w:rPr>
        <w:t>成交</w:t>
      </w:r>
      <w:r>
        <w:rPr>
          <w:rFonts w:hint="eastAsia"/>
          <w:szCs w:val="21"/>
          <w:highlight w:val="none"/>
        </w:rPr>
        <w:t>通知书。采购代理机构发出</w:t>
      </w:r>
      <w:r>
        <w:rPr>
          <w:rFonts w:hint="eastAsia"/>
          <w:szCs w:val="21"/>
          <w:highlight w:val="none"/>
          <w:lang w:eastAsia="zh-CN"/>
        </w:rPr>
        <w:t>成交</w:t>
      </w:r>
      <w:r>
        <w:rPr>
          <w:rFonts w:hint="eastAsia"/>
          <w:szCs w:val="21"/>
          <w:highlight w:val="none"/>
        </w:rPr>
        <w:t>通知书前，应当对</w:t>
      </w:r>
      <w:r>
        <w:rPr>
          <w:rFonts w:hint="eastAsia"/>
          <w:szCs w:val="21"/>
          <w:highlight w:val="none"/>
          <w:lang w:eastAsia="zh-CN"/>
        </w:rPr>
        <w:t>成交</w:t>
      </w:r>
      <w:r>
        <w:rPr>
          <w:rFonts w:hint="eastAsia"/>
          <w:szCs w:val="21"/>
          <w:highlight w:val="none"/>
          <w:lang w:val="en-US" w:eastAsia="zh-CN"/>
        </w:rPr>
        <w:t>供应商</w:t>
      </w:r>
      <w:r>
        <w:rPr>
          <w:rFonts w:hint="eastAsia"/>
          <w:szCs w:val="21"/>
          <w:highlight w:val="none"/>
        </w:rPr>
        <w:t>信用进行核实，对列入失信被执行人、</w:t>
      </w:r>
      <w:r>
        <w:rPr>
          <w:kern w:val="0"/>
          <w:szCs w:val="21"/>
          <w:highlight w:val="none"/>
        </w:rPr>
        <w:t>重大税收违法失信主体</w:t>
      </w:r>
      <w:r>
        <w:rPr>
          <w:rFonts w:hint="eastAsia"/>
          <w:szCs w:val="21"/>
          <w:highlight w:val="none"/>
        </w:rPr>
        <w:t>、政府采购严重违法失信行为记录名单及其他不符合《中华人民共和国政府采购法》第二十二条规定条件的</w:t>
      </w:r>
      <w:r>
        <w:rPr>
          <w:rFonts w:hint="eastAsia"/>
          <w:szCs w:val="21"/>
          <w:highlight w:val="none"/>
          <w:lang w:val="en-US" w:eastAsia="zh-CN"/>
        </w:rPr>
        <w:t>供应商</w:t>
      </w:r>
      <w:r>
        <w:rPr>
          <w:rFonts w:hint="eastAsia"/>
          <w:szCs w:val="21"/>
          <w:highlight w:val="none"/>
        </w:rPr>
        <w:t>，取消其</w:t>
      </w:r>
      <w:r>
        <w:rPr>
          <w:rFonts w:hint="eastAsia"/>
          <w:szCs w:val="21"/>
          <w:highlight w:val="none"/>
          <w:lang w:eastAsia="zh-CN"/>
        </w:rPr>
        <w:t>成交</w:t>
      </w:r>
      <w:r>
        <w:rPr>
          <w:rFonts w:hint="eastAsia"/>
          <w:szCs w:val="21"/>
          <w:highlight w:val="none"/>
        </w:rPr>
        <w:t>资格，并确定排名第二的</w:t>
      </w:r>
      <w:r>
        <w:rPr>
          <w:rFonts w:hint="eastAsia"/>
          <w:szCs w:val="21"/>
          <w:highlight w:val="none"/>
          <w:lang w:eastAsia="zh-CN"/>
        </w:rPr>
        <w:t>成交</w:t>
      </w:r>
      <w:r>
        <w:rPr>
          <w:rFonts w:hint="eastAsia"/>
          <w:szCs w:val="21"/>
          <w:highlight w:val="none"/>
        </w:rPr>
        <w:t>候选人为</w:t>
      </w:r>
      <w:r>
        <w:rPr>
          <w:rFonts w:hint="eastAsia"/>
          <w:szCs w:val="21"/>
          <w:highlight w:val="none"/>
          <w:lang w:eastAsia="zh-CN"/>
        </w:rPr>
        <w:t>成交</w:t>
      </w:r>
      <w:r>
        <w:rPr>
          <w:rFonts w:hint="eastAsia"/>
          <w:szCs w:val="21"/>
          <w:highlight w:val="none"/>
          <w:lang w:val="en-US" w:eastAsia="zh-CN"/>
        </w:rPr>
        <w:t>供应商</w:t>
      </w:r>
      <w:r>
        <w:rPr>
          <w:rFonts w:hint="eastAsia"/>
          <w:szCs w:val="21"/>
          <w:highlight w:val="none"/>
        </w:rPr>
        <w:t>。排名第二的</w:t>
      </w:r>
      <w:r>
        <w:rPr>
          <w:rFonts w:hint="eastAsia"/>
          <w:szCs w:val="21"/>
          <w:highlight w:val="none"/>
          <w:lang w:eastAsia="zh-CN"/>
        </w:rPr>
        <w:t>成交</w:t>
      </w:r>
      <w:r>
        <w:rPr>
          <w:rFonts w:hint="eastAsia"/>
          <w:szCs w:val="21"/>
          <w:highlight w:val="none"/>
        </w:rPr>
        <w:t>候选人因前款规定的同样原因被取消</w:t>
      </w:r>
      <w:r>
        <w:rPr>
          <w:rFonts w:hint="eastAsia"/>
          <w:szCs w:val="21"/>
          <w:highlight w:val="none"/>
          <w:lang w:eastAsia="zh-CN"/>
        </w:rPr>
        <w:t>成交</w:t>
      </w:r>
      <w:r>
        <w:rPr>
          <w:rFonts w:hint="eastAsia"/>
          <w:szCs w:val="21"/>
          <w:highlight w:val="none"/>
        </w:rPr>
        <w:t>资格的，</w:t>
      </w:r>
      <w:r>
        <w:rPr>
          <w:rFonts w:hint="eastAsia"/>
          <w:szCs w:val="21"/>
          <w:highlight w:val="none"/>
          <w:lang w:val="en-US" w:eastAsia="zh-CN"/>
        </w:rPr>
        <w:t>采购人</w:t>
      </w:r>
      <w:r>
        <w:rPr>
          <w:rFonts w:hint="eastAsia"/>
          <w:szCs w:val="21"/>
          <w:highlight w:val="none"/>
        </w:rPr>
        <w:t>可以确定排名第三的</w:t>
      </w:r>
      <w:r>
        <w:rPr>
          <w:rFonts w:hint="eastAsia"/>
          <w:szCs w:val="21"/>
          <w:highlight w:val="none"/>
          <w:lang w:eastAsia="zh-CN"/>
        </w:rPr>
        <w:t>成交</w:t>
      </w:r>
      <w:r>
        <w:rPr>
          <w:rFonts w:hint="eastAsia"/>
          <w:szCs w:val="21"/>
          <w:highlight w:val="none"/>
        </w:rPr>
        <w:t>候选人为</w:t>
      </w:r>
      <w:r>
        <w:rPr>
          <w:rFonts w:hint="eastAsia"/>
          <w:szCs w:val="21"/>
          <w:highlight w:val="none"/>
          <w:lang w:eastAsia="zh-CN"/>
        </w:rPr>
        <w:t>成交</w:t>
      </w:r>
      <w:r>
        <w:rPr>
          <w:rFonts w:hint="eastAsia"/>
          <w:szCs w:val="21"/>
          <w:highlight w:val="none"/>
          <w:lang w:val="en-US" w:eastAsia="zh-CN"/>
        </w:rPr>
        <w:t>供应商</w:t>
      </w:r>
      <w:r>
        <w:rPr>
          <w:rFonts w:hint="eastAsia"/>
          <w:szCs w:val="21"/>
          <w:highlight w:val="none"/>
        </w:rPr>
        <w:t>，以此类推。以上信息查询记录及相关证据与采购文件一并保存。</w:t>
      </w:r>
    </w:p>
    <w:p w14:paraId="513DFE39">
      <w:pPr>
        <w:spacing w:before="120" w:line="320" w:lineRule="atLeast"/>
        <w:ind w:firstLine="420" w:firstLineChars="200"/>
        <w:rPr>
          <w:szCs w:val="21"/>
          <w:highlight w:val="none"/>
        </w:rPr>
      </w:pPr>
      <w:r>
        <w:rPr>
          <w:rFonts w:hint="eastAsia"/>
          <w:szCs w:val="21"/>
          <w:highlight w:val="none"/>
        </w:rPr>
        <w:t>6</w:t>
      </w:r>
      <w:r>
        <w:rPr>
          <w:szCs w:val="21"/>
          <w:highlight w:val="none"/>
        </w:rPr>
        <w:t>.5.2在发布</w:t>
      </w:r>
      <w:r>
        <w:rPr>
          <w:rFonts w:hint="eastAsia"/>
          <w:szCs w:val="21"/>
          <w:highlight w:val="none"/>
        </w:rPr>
        <w:t>结果</w:t>
      </w:r>
      <w:r>
        <w:rPr>
          <w:szCs w:val="21"/>
          <w:highlight w:val="none"/>
        </w:rPr>
        <w:t>公告的同时，采购代理机构以供应商须知前附表规定的形式向成交供应商发出成交通知书。成交通知书发出后，采购人改变成交结果，或者成交供应商放弃成交，应当承担相应的法律责任。</w:t>
      </w:r>
    </w:p>
    <w:p w14:paraId="1F63393F">
      <w:pPr>
        <w:suppressAutoHyphens/>
        <w:spacing w:before="120" w:line="320" w:lineRule="atLeast"/>
        <w:ind w:firstLine="422" w:firstLineChars="200"/>
        <w:outlineLvl w:val="2"/>
        <w:rPr>
          <w:b/>
          <w:bCs/>
          <w:kern w:val="0"/>
          <w:szCs w:val="21"/>
          <w:highlight w:val="none"/>
        </w:rPr>
      </w:pPr>
      <w:r>
        <w:rPr>
          <w:b/>
          <w:bCs/>
          <w:kern w:val="0"/>
          <w:szCs w:val="21"/>
          <w:highlight w:val="none"/>
        </w:rPr>
        <w:t>6.6</w:t>
      </w:r>
      <w:r>
        <w:rPr>
          <w:rFonts w:hint="eastAsia"/>
          <w:b/>
          <w:bCs/>
          <w:kern w:val="0"/>
          <w:szCs w:val="21"/>
          <w:highlight w:val="none"/>
        </w:rPr>
        <w:t>废标</w:t>
      </w:r>
    </w:p>
    <w:p w14:paraId="48A094F0">
      <w:pPr>
        <w:spacing w:before="120" w:line="320" w:lineRule="atLeast"/>
        <w:ind w:firstLine="420" w:firstLineChars="200"/>
        <w:rPr>
          <w:kern w:val="1"/>
          <w:szCs w:val="21"/>
          <w:highlight w:val="none"/>
        </w:rPr>
      </w:pPr>
      <w:r>
        <w:rPr>
          <w:kern w:val="1"/>
          <w:szCs w:val="21"/>
          <w:highlight w:val="none"/>
        </w:rPr>
        <w:t>6.6.1</w:t>
      </w:r>
      <w:r>
        <w:rPr>
          <w:rFonts w:hint="eastAsia"/>
          <w:kern w:val="1"/>
          <w:szCs w:val="21"/>
          <w:highlight w:val="none"/>
        </w:rPr>
        <w:t xml:space="preserve">出现下列情形之一，将导致项目废标： </w:t>
      </w:r>
    </w:p>
    <w:p w14:paraId="191989FB">
      <w:pPr>
        <w:spacing w:before="120" w:line="320" w:lineRule="atLeast"/>
        <w:ind w:firstLine="420" w:firstLineChars="200"/>
        <w:rPr>
          <w:szCs w:val="21"/>
          <w:highlight w:val="none"/>
        </w:rPr>
      </w:pPr>
      <w:r>
        <w:rPr>
          <w:rFonts w:hint="eastAsia"/>
          <w:kern w:val="1"/>
          <w:szCs w:val="21"/>
          <w:highlight w:val="none"/>
        </w:rPr>
        <w:t>（1</w:t>
      </w:r>
      <w:r>
        <w:rPr>
          <w:rFonts w:hint="eastAsia"/>
          <w:szCs w:val="21"/>
          <w:highlight w:val="none"/>
        </w:rPr>
        <w:t>）符合专业条件的供应商或者对采购文件做实质性响应的供应商不足三家；</w:t>
      </w:r>
    </w:p>
    <w:p w14:paraId="5DDAE288">
      <w:pPr>
        <w:spacing w:before="120" w:line="320" w:lineRule="atLeast"/>
        <w:ind w:firstLine="420" w:firstLineChars="200"/>
        <w:rPr>
          <w:szCs w:val="21"/>
          <w:highlight w:val="none"/>
        </w:rPr>
      </w:pPr>
      <w:r>
        <w:rPr>
          <w:rFonts w:hint="eastAsia"/>
          <w:szCs w:val="21"/>
          <w:highlight w:val="none"/>
        </w:rPr>
        <w:t>（2）出现影响采购公正的违法、违规行为的；</w:t>
      </w:r>
    </w:p>
    <w:p w14:paraId="6D41DB79">
      <w:pPr>
        <w:spacing w:before="120" w:line="320" w:lineRule="atLeast"/>
        <w:ind w:firstLine="420" w:firstLineChars="200"/>
        <w:rPr>
          <w:szCs w:val="21"/>
          <w:highlight w:val="none"/>
        </w:rPr>
      </w:pPr>
      <w:r>
        <w:rPr>
          <w:rFonts w:hint="eastAsia"/>
          <w:szCs w:val="21"/>
          <w:highlight w:val="none"/>
        </w:rPr>
        <w:t>（3）供应商的报价均超过了采购预算，采购人不能支付的；</w:t>
      </w:r>
    </w:p>
    <w:p w14:paraId="17A1116D">
      <w:pPr>
        <w:spacing w:before="120" w:line="320" w:lineRule="atLeast"/>
        <w:ind w:firstLine="420" w:firstLineChars="200"/>
        <w:rPr>
          <w:highlight w:val="none"/>
        </w:rPr>
      </w:pPr>
      <w:r>
        <w:rPr>
          <w:rFonts w:hint="eastAsia"/>
          <w:szCs w:val="21"/>
          <w:highlight w:val="none"/>
        </w:rPr>
        <w:t>（4）</w:t>
      </w:r>
      <w:r>
        <w:rPr>
          <w:rFonts w:hint="eastAsia"/>
          <w:highlight w:val="none"/>
        </w:rPr>
        <w:t>因发生重大变故或采购任务取消的。</w:t>
      </w:r>
    </w:p>
    <w:p w14:paraId="001D1642">
      <w:pPr>
        <w:spacing w:before="120" w:line="320" w:lineRule="atLeast"/>
        <w:ind w:firstLine="420" w:firstLineChars="200"/>
        <w:rPr>
          <w:rFonts w:hint="eastAsia"/>
          <w:szCs w:val="21"/>
          <w:highlight w:val="none"/>
        </w:rPr>
      </w:pPr>
      <w:r>
        <w:rPr>
          <w:kern w:val="1"/>
          <w:szCs w:val="21"/>
          <w:highlight w:val="none"/>
        </w:rPr>
        <w:t>6.6.2</w:t>
      </w:r>
      <w:r>
        <w:rPr>
          <w:rFonts w:hint="eastAsia"/>
          <w:kern w:val="1"/>
          <w:szCs w:val="21"/>
          <w:highlight w:val="none"/>
        </w:rPr>
        <w:t>废标后</w:t>
      </w:r>
      <w:r>
        <w:rPr>
          <w:rFonts w:hint="eastAsia"/>
          <w:szCs w:val="21"/>
          <w:highlight w:val="none"/>
        </w:rPr>
        <w:t>采购</w:t>
      </w:r>
      <w:r>
        <w:rPr>
          <w:rFonts w:hint="eastAsia"/>
          <w:kern w:val="1"/>
          <w:szCs w:val="21"/>
          <w:highlight w:val="none"/>
        </w:rPr>
        <w:t>代理机构将发布废标公告通知供应商。</w:t>
      </w:r>
    </w:p>
    <w:p w14:paraId="20F08DFD">
      <w:pPr>
        <w:spacing w:before="120" w:line="320" w:lineRule="atLeast"/>
        <w:ind w:left="2" w:leftChars="1" w:firstLine="422" w:firstLineChars="200"/>
        <w:outlineLvl w:val="1"/>
        <w:rPr>
          <w:b/>
          <w:bCs/>
          <w:kern w:val="0"/>
          <w:szCs w:val="21"/>
          <w:highlight w:val="none"/>
        </w:rPr>
      </w:pPr>
      <w:r>
        <w:rPr>
          <w:b/>
          <w:bCs/>
          <w:kern w:val="0"/>
          <w:szCs w:val="21"/>
          <w:highlight w:val="none"/>
        </w:rPr>
        <w:t>7．合同</w:t>
      </w:r>
    </w:p>
    <w:p w14:paraId="7E361A0C">
      <w:pPr>
        <w:spacing w:before="120" w:line="320" w:lineRule="atLeast"/>
        <w:ind w:firstLine="422" w:firstLineChars="200"/>
        <w:outlineLvl w:val="2"/>
        <w:rPr>
          <w:b/>
          <w:bCs/>
          <w:kern w:val="0"/>
          <w:szCs w:val="21"/>
          <w:highlight w:val="none"/>
        </w:rPr>
      </w:pPr>
      <w:r>
        <w:rPr>
          <w:b/>
          <w:bCs/>
          <w:kern w:val="0"/>
          <w:szCs w:val="21"/>
          <w:highlight w:val="none"/>
        </w:rPr>
        <w:t>7.1合同授予标准</w:t>
      </w:r>
    </w:p>
    <w:p w14:paraId="3F860F61">
      <w:pPr>
        <w:spacing w:before="120" w:line="320" w:lineRule="atLeast"/>
        <w:ind w:firstLine="420" w:firstLineChars="200"/>
        <w:rPr>
          <w:szCs w:val="21"/>
          <w:highlight w:val="none"/>
        </w:rPr>
      </w:pPr>
      <w:r>
        <w:rPr>
          <w:szCs w:val="21"/>
          <w:highlight w:val="none"/>
        </w:rPr>
        <w:t>合同将授予被确定实质上响应采购文件要求，具备履行合同能力，综合评分排名第一的供应商。在</w:t>
      </w:r>
      <w:r>
        <w:rPr>
          <w:rFonts w:hint="eastAsia"/>
          <w:szCs w:val="21"/>
          <w:highlight w:val="none"/>
        </w:rPr>
        <w:t>成交通知书</w:t>
      </w:r>
      <w:r>
        <w:rPr>
          <w:szCs w:val="21"/>
          <w:highlight w:val="none"/>
        </w:rPr>
        <w:t>发出前或签订合同前，如果</w:t>
      </w:r>
      <w:r>
        <w:rPr>
          <w:rFonts w:hint="eastAsia"/>
          <w:szCs w:val="21"/>
          <w:highlight w:val="none"/>
        </w:rPr>
        <w:t>成交供应商</w:t>
      </w:r>
      <w:r>
        <w:rPr>
          <w:szCs w:val="21"/>
          <w:highlight w:val="none"/>
        </w:rPr>
        <w:t>的组织机构</w:t>
      </w:r>
      <w:r>
        <w:rPr>
          <w:rFonts w:hint="eastAsia"/>
          <w:szCs w:val="21"/>
          <w:highlight w:val="none"/>
        </w:rPr>
        <w:t>、</w:t>
      </w:r>
      <w:r>
        <w:rPr>
          <w:szCs w:val="21"/>
          <w:highlight w:val="none"/>
        </w:rPr>
        <w:t>经营、财务状况发生较大变化，可能造成不能履行合同、无法按照</w:t>
      </w:r>
      <w:r>
        <w:rPr>
          <w:rFonts w:hint="eastAsia"/>
          <w:szCs w:val="21"/>
          <w:highlight w:val="none"/>
        </w:rPr>
        <w:t>采购文件</w:t>
      </w:r>
      <w:r>
        <w:rPr>
          <w:szCs w:val="21"/>
          <w:highlight w:val="none"/>
        </w:rPr>
        <w:t>要求提交履约保证金等情形，不符合</w:t>
      </w:r>
      <w:r>
        <w:rPr>
          <w:rFonts w:hint="eastAsia"/>
          <w:szCs w:val="21"/>
          <w:highlight w:val="none"/>
        </w:rPr>
        <w:t>成交</w:t>
      </w:r>
      <w:r>
        <w:rPr>
          <w:szCs w:val="21"/>
          <w:highlight w:val="none"/>
        </w:rPr>
        <w:t>条件或不满足供应商资格条件要求 ，应在</w:t>
      </w:r>
      <w:r>
        <w:rPr>
          <w:rFonts w:hint="eastAsia"/>
          <w:szCs w:val="21"/>
          <w:highlight w:val="none"/>
        </w:rPr>
        <w:t>成交通知书</w:t>
      </w:r>
      <w:r>
        <w:rPr>
          <w:szCs w:val="21"/>
          <w:highlight w:val="none"/>
        </w:rPr>
        <w:t>发出前或签订合同前及时书面告知采购人</w:t>
      </w:r>
      <w:r>
        <w:rPr>
          <w:rFonts w:hint="eastAsia"/>
          <w:szCs w:val="21"/>
          <w:highlight w:val="none"/>
        </w:rPr>
        <w:t>，</w:t>
      </w:r>
      <w:r>
        <w:rPr>
          <w:szCs w:val="21"/>
          <w:highlight w:val="none"/>
        </w:rPr>
        <w:t>未主动告知</w:t>
      </w:r>
      <w:r>
        <w:rPr>
          <w:rFonts w:hint="eastAsia"/>
          <w:szCs w:val="21"/>
          <w:highlight w:val="none"/>
        </w:rPr>
        <w:t>，</w:t>
      </w:r>
      <w:r>
        <w:rPr>
          <w:szCs w:val="21"/>
          <w:highlight w:val="none"/>
        </w:rPr>
        <w:t>给采购人造成损失的</w:t>
      </w:r>
      <w:r>
        <w:rPr>
          <w:rFonts w:hint="eastAsia"/>
          <w:szCs w:val="21"/>
          <w:highlight w:val="none"/>
        </w:rPr>
        <w:t>，</w:t>
      </w:r>
      <w:r>
        <w:rPr>
          <w:szCs w:val="21"/>
          <w:highlight w:val="none"/>
        </w:rPr>
        <w:t>采购人有权</w:t>
      </w:r>
      <w:r>
        <w:rPr>
          <w:rFonts w:hint="eastAsia"/>
          <w:szCs w:val="21"/>
          <w:highlight w:val="none"/>
        </w:rPr>
        <w:t>取消其成交资格并</w:t>
      </w:r>
      <w:r>
        <w:rPr>
          <w:szCs w:val="21"/>
          <w:highlight w:val="none"/>
        </w:rPr>
        <w:t>没收磋商保证金</w:t>
      </w:r>
      <w:r>
        <w:rPr>
          <w:rFonts w:hint="eastAsia"/>
          <w:szCs w:val="21"/>
          <w:highlight w:val="none"/>
        </w:rPr>
        <w:t>。</w:t>
      </w:r>
    </w:p>
    <w:p w14:paraId="56ADC812">
      <w:pPr>
        <w:spacing w:before="120" w:line="320" w:lineRule="atLeast"/>
        <w:ind w:firstLine="422" w:firstLineChars="200"/>
        <w:outlineLvl w:val="2"/>
        <w:rPr>
          <w:b/>
          <w:bCs/>
          <w:kern w:val="0"/>
          <w:szCs w:val="21"/>
          <w:highlight w:val="none"/>
        </w:rPr>
      </w:pPr>
      <w:r>
        <w:rPr>
          <w:b/>
          <w:bCs/>
          <w:kern w:val="0"/>
          <w:szCs w:val="21"/>
          <w:highlight w:val="none"/>
        </w:rPr>
        <w:t>7.2签订合同</w:t>
      </w:r>
    </w:p>
    <w:p w14:paraId="0EF060AB">
      <w:pPr>
        <w:spacing w:before="120" w:line="320" w:lineRule="atLeast"/>
        <w:ind w:firstLine="420" w:firstLineChars="200"/>
        <w:rPr>
          <w:szCs w:val="21"/>
          <w:highlight w:val="none"/>
        </w:rPr>
      </w:pPr>
      <w:r>
        <w:rPr>
          <w:szCs w:val="21"/>
          <w:highlight w:val="none"/>
        </w:rPr>
        <w:t>7.2.1如</w:t>
      </w:r>
      <w:r>
        <w:rPr>
          <w:rFonts w:hint="eastAsia"/>
          <w:szCs w:val="21"/>
          <w:highlight w:val="none"/>
        </w:rPr>
        <w:t>采购文件</w:t>
      </w:r>
      <w:r>
        <w:rPr>
          <w:szCs w:val="21"/>
          <w:highlight w:val="none"/>
        </w:rPr>
        <w:t>无</w:t>
      </w:r>
      <w:r>
        <w:rPr>
          <w:rFonts w:hint="eastAsia"/>
          <w:szCs w:val="21"/>
          <w:highlight w:val="none"/>
        </w:rPr>
        <w:t>特别</w:t>
      </w:r>
      <w:r>
        <w:rPr>
          <w:szCs w:val="21"/>
          <w:highlight w:val="none"/>
        </w:rPr>
        <w:t>规定，</w:t>
      </w:r>
      <w:r>
        <w:rPr>
          <w:rFonts w:hint="eastAsia"/>
          <w:szCs w:val="21"/>
          <w:highlight w:val="none"/>
        </w:rPr>
        <w:t>成交供应商按采购文件确定的事项签订政府采购合同。</w:t>
      </w:r>
    </w:p>
    <w:p w14:paraId="5E009461">
      <w:pPr>
        <w:spacing w:before="120" w:line="320" w:lineRule="atLeast"/>
        <w:ind w:firstLine="420" w:firstLineChars="200"/>
        <w:rPr>
          <w:szCs w:val="21"/>
          <w:highlight w:val="none"/>
        </w:rPr>
      </w:pPr>
      <w:r>
        <w:rPr>
          <w:szCs w:val="21"/>
          <w:highlight w:val="none"/>
        </w:rPr>
        <w:t>7.2.2</w:t>
      </w:r>
      <w:r>
        <w:rPr>
          <w:rFonts w:hint="eastAsia"/>
          <w:szCs w:val="21"/>
          <w:highlight w:val="none"/>
        </w:rPr>
        <w:t>政府采购合同应当包括采购人与成交供应商的名称和住所、标的、数量、质量、价款或者报酬、履行期限及地点和方式、验收要求、违约责任、解决争议的方法等内容。</w:t>
      </w:r>
      <w:r>
        <w:rPr>
          <w:szCs w:val="21"/>
          <w:highlight w:val="none"/>
        </w:rPr>
        <w:t>采购文件、成交供应商的响应文件及澄清文件等，均为签订政府采购合同的依据。</w:t>
      </w:r>
    </w:p>
    <w:p w14:paraId="2690751C">
      <w:pPr>
        <w:spacing w:before="120" w:line="320" w:lineRule="atLeast"/>
        <w:ind w:firstLine="420" w:firstLineChars="200"/>
        <w:rPr>
          <w:szCs w:val="21"/>
          <w:highlight w:val="none"/>
        </w:rPr>
      </w:pPr>
      <w:r>
        <w:rPr>
          <w:szCs w:val="21"/>
          <w:highlight w:val="none"/>
        </w:rPr>
        <w:t>7.2.3如成交供应商不按成交通知书的规定签订合同，</w:t>
      </w:r>
      <w:r>
        <w:rPr>
          <w:rFonts w:hint="eastAsia"/>
          <w:szCs w:val="21"/>
          <w:highlight w:val="none"/>
        </w:rPr>
        <w:t>其磋商保证金将不予退还，并报由同级政府采购监督管理部门处理。</w:t>
      </w:r>
    </w:p>
    <w:p w14:paraId="1CB848E2">
      <w:pPr>
        <w:spacing w:before="120" w:line="320" w:lineRule="atLeast"/>
        <w:ind w:firstLine="420" w:firstLineChars="200"/>
        <w:rPr>
          <w:szCs w:val="21"/>
          <w:highlight w:val="none"/>
        </w:rPr>
      </w:pPr>
      <w:r>
        <w:rPr>
          <w:rFonts w:hint="eastAsia"/>
          <w:szCs w:val="21"/>
          <w:highlight w:val="none"/>
        </w:rPr>
        <w:t>7</w:t>
      </w:r>
      <w:r>
        <w:rPr>
          <w:szCs w:val="21"/>
          <w:highlight w:val="none"/>
        </w:rPr>
        <w:t>.2.4</w:t>
      </w:r>
      <w:r>
        <w:rPr>
          <w:rFonts w:hint="eastAsia"/>
          <w:szCs w:val="21"/>
          <w:highlight w:val="none"/>
        </w:rPr>
        <w:t xml:space="preserve">成交供应商拒绝与采购人签订合同的，采购人可以按照评审报告推荐的成交候选人名单排序，确定下一候选人为成交供应商，也可以重新开展政府采购活动。 </w:t>
      </w:r>
    </w:p>
    <w:p w14:paraId="2CDE6166">
      <w:pPr>
        <w:spacing w:before="120" w:beforeLines="0" w:afterLines="0" w:line="320" w:lineRule="atLeast"/>
        <w:ind w:firstLine="420" w:firstLineChars="200"/>
        <w:rPr>
          <w:rFonts w:hint="default"/>
          <w:sz w:val="21"/>
          <w:szCs w:val="21"/>
          <w:highlight w:val="none"/>
        </w:rPr>
      </w:pPr>
      <w:bookmarkStart w:id="72" w:name="_Hlk155170999"/>
      <w:r>
        <w:rPr>
          <w:rFonts w:hint="eastAsia"/>
          <w:szCs w:val="21"/>
          <w:highlight w:val="none"/>
        </w:rPr>
        <w:t>7</w:t>
      </w:r>
      <w:r>
        <w:rPr>
          <w:szCs w:val="21"/>
          <w:highlight w:val="none"/>
        </w:rPr>
        <w:t>.2.5</w:t>
      </w:r>
      <w:r>
        <w:rPr>
          <w:rFonts w:hint="eastAsia"/>
          <w:szCs w:val="21"/>
          <w:highlight w:val="none"/>
        </w:rPr>
        <w:t>采购人因不可抗力原因迟延签订合同的，</w:t>
      </w:r>
      <w:bookmarkEnd w:id="72"/>
      <w:r>
        <w:rPr>
          <w:rFonts w:hint="eastAsia"/>
          <w:sz w:val="21"/>
          <w:szCs w:val="21"/>
          <w:highlight w:val="none"/>
        </w:rPr>
        <w:t>应当自不可抗力事由消除之日起</w:t>
      </w:r>
      <w:r>
        <w:rPr>
          <w:rFonts w:hint="eastAsia"/>
          <w:color w:val="FF0000"/>
          <w:sz w:val="21"/>
          <w:szCs w:val="21"/>
          <w:highlight w:val="none"/>
        </w:rPr>
        <w:t>5个工作日内</w:t>
      </w:r>
      <w:r>
        <w:rPr>
          <w:rFonts w:hint="eastAsia"/>
          <w:sz w:val="21"/>
          <w:szCs w:val="21"/>
          <w:highlight w:val="none"/>
        </w:rPr>
        <w:t>完成合同签订事宜。</w:t>
      </w:r>
    </w:p>
    <w:p w14:paraId="478D6845">
      <w:pPr>
        <w:spacing w:before="120" w:line="320" w:lineRule="atLeast"/>
        <w:ind w:firstLine="420" w:firstLineChars="200"/>
        <w:rPr>
          <w:szCs w:val="21"/>
          <w:highlight w:val="none"/>
        </w:rPr>
      </w:pPr>
    </w:p>
    <w:p w14:paraId="24EE82CC">
      <w:pPr>
        <w:spacing w:before="120" w:line="320" w:lineRule="atLeast"/>
        <w:ind w:firstLine="422" w:firstLineChars="200"/>
        <w:outlineLvl w:val="2"/>
        <w:rPr>
          <w:b/>
          <w:bCs/>
          <w:kern w:val="0"/>
          <w:szCs w:val="21"/>
          <w:highlight w:val="none"/>
        </w:rPr>
      </w:pPr>
      <w:r>
        <w:rPr>
          <w:b/>
          <w:bCs/>
          <w:kern w:val="0"/>
          <w:szCs w:val="21"/>
          <w:highlight w:val="none"/>
        </w:rPr>
        <w:t>7.3合同公告</w:t>
      </w:r>
    </w:p>
    <w:p w14:paraId="2611B86F">
      <w:pPr>
        <w:spacing w:before="120" w:line="320" w:lineRule="atLeast"/>
        <w:ind w:firstLine="420" w:firstLineChars="200"/>
        <w:rPr>
          <w:szCs w:val="21"/>
          <w:highlight w:val="none"/>
        </w:rPr>
      </w:pPr>
      <w:r>
        <w:rPr>
          <w:szCs w:val="21"/>
          <w:highlight w:val="none"/>
        </w:rPr>
        <w:t>7.3.1如</w:t>
      </w:r>
      <w:r>
        <w:rPr>
          <w:rFonts w:hint="eastAsia"/>
          <w:szCs w:val="21"/>
          <w:highlight w:val="none"/>
        </w:rPr>
        <w:t>采购文件</w:t>
      </w:r>
      <w:r>
        <w:rPr>
          <w:szCs w:val="21"/>
          <w:highlight w:val="none"/>
        </w:rPr>
        <w:t>无特殊规定</w:t>
      </w:r>
      <w:r>
        <w:rPr>
          <w:rFonts w:hint="eastAsia"/>
          <w:szCs w:val="21"/>
          <w:highlight w:val="none"/>
        </w:rPr>
        <w:t>，</w:t>
      </w:r>
      <w:r>
        <w:rPr>
          <w:szCs w:val="21"/>
          <w:highlight w:val="none"/>
        </w:rPr>
        <w:t>成交供应商应在签订合同后1个工作日内，将政府采购合同副本送采购代理机构</w:t>
      </w:r>
      <w:r>
        <w:rPr>
          <w:rFonts w:hint="eastAsia"/>
          <w:szCs w:val="21"/>
          <w:highlight w:val="none"/>
        </w:rPr>
        <w:t>存档</w:t>
      </w:r>
      <w:r>
        <w:rPr>
          <w:szCs w:val="21"/>
          <w:highlight w:val="none"/>
        </w:rPr>
        <w:t>。</w:t>
      </w:r>
    </w:p>
    <w:p w14:paraId="49715473">
      <w:pPr>
        <w:spacing w:before="120" w:line="320" w:lineRule="atLeast"/>
        <w:ind w:firstLine="420" w:firstLineChars="200"/>
        <w:rPr>
          <w:szCs w:val="21"/>
          <w:highlight w:val="none"/>
        </w:rPr>
      </w:pPr>
      <w:r>
        <w:rPr>
          <w:szCs w:val="21"/>
          <w:highlight w:val="none"/>
        </w:rPr>
        <w:t>7.3.2采购人应当自政府采购合同签订之日起2个工作日内，将政府采购合同在省级以上人民政府财政部门指定的媒体上公告，但政府采购合同中涉及国家秘密、商业秘密的内容除外。</w:t>
      </w:r>
    </w:p>
    <w:p w14:paraId="74494D03">
      <w:pPr>
        <w:spacing w:before="120" w:line="320" w:lineRule="atLeast"/>
        <w:ind w:firstLine="420" w:firstLineChars="200"/>
        <w:rPr>
          <w:rFonts w:hint="eastAsia"/>
          <w:szCs w:val="21"/>
          <w:highlight w:val="none"/>
        </w:rPr>
      </w:pPr>
      <w:bookmarkStart w:id="73" w:name="_Hlk155171014"/>
      <w:r>
        <w:rPr>
          <w:rFonts w:hint="eastAsia"/>
          <w:szCs w:val="21"/>
          <w:highlight w:val="none"/>
        </w:rPr>
        <w:t>7</w:t>
      </w:r>
      <w:r>
        <w:rPr>
          <w:szCs w:val="21"/>
          <w:highlight w:val="none"/>
        </w:rPr>
        <w:t xml:space="preserve">.3.3 </w:t>
      </w:r>
      <w:r>
        <w:rPr>
          <w:rFonts w:hint="eastAsia"/>
          <w:szCs w:val="21"/>
          <w:highlight w:val="none"/>
        </w:rPr>
        <w:t>政府采购合同双方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End w:id="73"/>
    </w:p>
    <w:p w14:paraId="1E762B46">
      <w:pPr>
        <w:spacing w:before="120" w:line="320" w:lineRule="atLeast"/>
        <w:ind w:firstLine="422" w:firstLineChars="200"/>
        <w:outlineLvl w:val="2"/>
        <w:rPr>
          <w:b/>
          <w:bCs/>
          <w:kern w:val="0"/>
          <w:szCs w:val="21"/>
          <w:highlight w:val="none"/>
        </w:rPr>
      </w:pPr>
      <w:r>
        <w:rPr>
          <w:b/>
          <w:bCs/>
          <w:kern w:val="0"/>
          <w:szCs w:val="21"/>
          <w:highlight w:val="none"/>
        </w:rPr>
        <w:t>7.4 履行合同</w:t>
      </w:r>
    </w:p>
    <w:p w14:paraId="382FA94A">
      <w:pPr>
        <w:spacing w:before="120" w:line="320" w:lineRule="atLeast"/>
        <w:ind w:firstLine="420" w:firstLineChars="200"/>
        <w:rPr>
          <w:szCs w:val="21"/>
          <w:highlight w:val="none"/>
        </w:rPr>
      </w:pPr>
      <w:bookmarkStart w:id="74" w:name="_Toc217446070"/>
      <w:bookmarkStart w:id="75" w:name="_Toc308164814"/>
      <w:r>
        <w:rPr>
          <w:szCs w:val="21"/>
          <w:highlight w:val="none"/>
        </w:rPr>
        <w:t>7.4.1</w:t>
      </w:r>
      <w:r>
        <w:rPr>
          <w:rFonts w:hint="eastAsia"/>
          <w:szCs w:val="21"/>
          <w:highlight w:val="none"/>
        </w:rPr>
        <w:t>采购人与成交供应商签订合同后，政府采购合同的履行、违约责任和解决争议的方法等适用《中华人民共和国民法典》。合同双方应严格执行合同条款，履行合同规定的义务，保证合同的顺利完成。双方均不得擅自变更、中止或者终止政府采购合同。</w:t>
      </w:r>
    </w:p>
    <w:p w14:paraId="604E0C19">
      <w:pPr>
        <w:spacing w:before="120" w:line="320" w:lineRule="atLeast"/>
        <w:ind w:firstLine="422" w:firstLineChars="200"/>
        <w:rPr>
          <w:b/>
          <w:bCs/>
          <w:kern w:val="0"/>
          <w:szCs w:val="21"/>
          <w:highlight w:val="none"/>
        </w:rPr>
      </w:pPr>
      <w:r>
        <w:rPr>
          <w:b/>
          <w:bCs/>
          <w:kern w:val="0"/>
          <w:szCs w:val="21"/>
          <w:highlight w:val="none"/>
        </w:rPr>
        <w:t>7.5履约验收</w:t>
      </w:r>
      <w:bookmarkEnd w:id="74"/>
      <w:bookmarkEnd w:id="75"/>
    </w:p>
    <w:p w14:paraId="45EC40AE">
      <w:pPr>
        <w:spacing w:before="120" w:line="320" w:lineRule="atLeast"/>
        <w:ind w:firstLine="420" w:firstLineChars="200"/>
        <w:rPr>
          <w:szCs w:val="21"/>
          <w:highlight w:val="none"/>
        </w:rPr>
      </w:pPr>
      <w:r>
        <w:rPr>
          <w:szCs w:val="21"/>
          <w:highlight w:val="none"/>
        </w:rPr>
        <w:t>7.5.1采购人可以根据政府采购项目具体情况自行组织验收，或者委托政府采购代理机构、国家认可的质量检测机构开展采购项目履约验收工作。</w:t>
      </w:r>
    </w:p>
    <w:p w14:paraId="7AFD2759">
      <w:pPr>
        <w:spacing w:before="120" w:line="320" w:lineRule="atLeast"/>
        <w:ind w:firstLine="420" w:firstLineChars="200"/>
        <w:rPr>
          <w:szCs w:val="21"/>
          <w:highlight w:val="none"/>
        </w:rPr>
      </w:pPr>
      <w:r>
        <w:rPr>
          <w:szCs w:val="21"/>
          <w:highlight w:val="none"/>
        </w:rPr>
        <w:t>7.5.2验收结果合格的，成交供应商可向采购人申请办理履约保证金（如有）的退付手续；验收结果不合格的，履约保证金（如有）将不予退还，并按合同约定处理，还可能会报告本项目同级财政部门并按照政府采购法律法规及有关规定给予行政处罚或者以失信行为记入诚信档案。</w:t>
      </w:r>
    </w:p>
    <w:p w14:paraId="30C06C79">
      <w:pPr>
        <w:spacing w:before="120" w:line="320" w:lineRule="atLeast"/>
        <w:ind w:firstLine="420" w:firstLineChars="200"/>
        <w:rPr>
          <w:szCs w:val="21"/>
          <w:highlight w:val="none"/>
        </w:rPr>
      </w:pPr>
      <w:r>
        <w:rPr>
          <w:szCs w:val="21"/>
          <w:highlight w:val="none"/>
        </w:rPr>
        <w:t>7.5.3采购合同项目完成验收后，采购人应当将验收原始记录、验收书等资料作为该采购项目档案妥善保管，不得伪造、变造、隐匿或者销毁，验收资料保存期为采购结束之日起至少保存15年。</w:t>
      </w:r>
    </w:p>
    <w:p w14:paraId="72E4762E">
      <w:pPr>
        <w:spacing w:before="120" w:line="320" w:lineRule="atLeast"/>
        <w:ind w:firstLine="420" w:firstLineChars="200"/>
        <w:rPr>
          <w:szCs w:val="21"/>
          <w:highlight w:val="none"/>
        </w:rPr>
      </w:pPr>
      <w:r>
        <w:rPr>
          <w:szCs w:val="21"/>
          <w:highlight w:val="none"/>
        </w:rPr>
        <w:t>7.5.4本项目将严格按照本采购文件及合同有关规定进行合同履约验收。采购文件或合同未规定的按财政部关于进一步加强政府采购需求和履约验收管理的指导意见（财库〔2016〕205号）以及《广西壮族自治区政府采购项目履约验收管理办法》（桂财采〔2015〕22号）的规定执行。</w:t>
      </w:r>
    </w:p>
    <w:p w14:paraId="5FF243BD">
      <w:pPr>
        <w:spacing w:before="120" w:line="320" w:lineRule="atLeast"/>
        <w:ind w:left="2" w:leftChars="1" w:firstLine="422" w:firstLineChars="200"/>
        <w:outlineLvl w:val="1"/>
        <w:rPr>
          <w:b/>
          <w:bCs/>
          <w:kern w:val="0"/>
          <w:szCs w:val="21"/>
          <w:highlight w:val="none"/>
        </w:rPr>
      </w:pPr>
      <w:bookmarkStart w:id="76" w:name="_Toc254970674"/>
      <w:bookmarkStart w:id="77" w:name="_Toc254970533"/>
      <w:r>
        <w:rPr>
          <w:b/>
          <w:bCs/>
          <w:kern w:val="0"/>
          <w:szCs w:val="21"/>
          <w:highlight w:val="none"/>
        </w:rPr>
        <w:t>8．质疑和投诉</w:t>
      </w:r>
      <w:bookmarkEnd w:id="76"/>
      <w:bookmarkEnd w:id="77"/>
    </w:p>
    <w:p w14:paraId="59145C98">
      <w:pPr>
        <w:spacing w:before="120" w:line="320" w:lineRule="atLeast"/>
        <w:ind w:firstLine="422" w:firstLineChars="200"/>
        <w:outlineLvl w:val="2"/>
        <w:rPr>
          <w:b/>
          <w:bCs/>
          <w:kern w:val="0"/>
          <w:szCs w:val="21"/>
          <w:highlight w:val="none"/>
        </w:rPr>
      </w:pPr>
      <w:r>
        <w:rPr>
          <w:b/>
          <w:bCs/>
          <w:kern w:val="0"/>
          <w:szCs w:val="21"/>
          <w:highlight w:val="none"/>
        </w:rPr>
        <w:t>8.1质疑</w:t>
      </w:r>
    </w:p>
    <w:p w14:paraId="41041C19">
      <w:pPr>
        <w:spacing w:before="120" w:line="320" w:lineRule="atLeast"/>
        <w:ind w:firstLine="420" w:firstLineChars="200"/>
        <w:rPr>
          <w:szCs w:val="21"/>
          <w:highlight w:val="none"/>
        </w:rPr>
      </w:pPr>
      <w:r>
        <w:rPr>
          <w:szCs w:val="21"/>
          <w:highlight w:val="none"/>
        </w:rPr>
        <w:t>8.1.1质疑内容、时限</w:t>
      </w:r>
    </w:p>
    <w:p w14:paraId="5A8978EC">
      <w:pPr>
        <w:spacing w:before="120" w:line="320" w:lineRule="atLeast"/>
        <w:ind w:firstLine="420" w:firstLineChars="200"/>
        <w:rPr>
          <w:szCs w:val="21"/>
          <w:highlight w:val="none"/>
        </w:rPr>
      </w:pPr>
      <w:r>
        <w:rPr>
          <w:rFonts w:hint="eastAsia"/>
          <w:szCs w:val="21"/>
          <w:highlight w:val="none"/>
        </w:rPr>
        <w:t>（1）供应商对政府采购活动有疑问的，可以向采购人或采购代理机构提出询问。采购人或者采购代理机构应当在3个工作日内对供应商依法提出的询问作出答复。</w:t>
      </w:r>
    </w:p>
    <w:p w14:paraId="6E785297">
      <w:pPr>
        <w:spacing w:before="120" w:line="320" w:lineRule="atLeast"/>
        <w:ind w:firstLine="420" w:firstLineChars="200"/>
        <w:rPr>
          <w:szCs w:val="21"/>
          <w:highlight w:val="none"/>
        </w:rPr>
      </w:pPr>
      <w:r>
        <w:rPr>
          <w:rFonts w:hint="eastAsia"/>
          <w:szCs w:val="21"/>
          <w:highlight w:val="none"/>
        </w:rPr>
        <w:t>（2）供应商认为采购文件、采购过程、中标或者成交结果使自己的权益受到损害的，可以在知道或者应知其权益受到损害之日起7个工作日内向采购人或采购代理机构提出质疑。采购人或</w:t>
      </w:r>
      <w:r>
        <w:rPr>
          <w:szCs w:val="21"/>
          <w:highlight w:val="none"/>
        </w:rPr>
        <w:t>采购代理机构在收到供应商书面质疑后7个工作日内，对质疑内容作出答复。</w:t>
      </w:r>
    </w:p>
    <w:p w14:paraId="5120FCDA">
      <w:pPr>
        <w:spacing w:before="120" w:line="320" w:lineRule="atLeast"/>
        <w:ind w:firstLine="420" w:firstLineChars="200"/>
        <w:rPr>
          <w:szCs w:val="21"/>
          <w:highlight w:val="none"/>
        </w:rPr>
      </w:pPr>
      <w:r>
        <w:rPr>
          <w:szCs w:val="21"/>
          <w:highlight w:val="none"/>
        </w:rPr>
        <w:t>8.1.2质疑形式</w:t>
      </w:r>
    </w:p>
    <w:p w14:paraId="458F8AD6">
      <w:pPr>
        <w:spacing w:before="120" w:line="320" w:lineRule="atLeast"/>
        <w:ind w:firstLine="420" w:firstLineChars="200"/>
        <w:rPr>
          <w:szCs w:val="21"/>
          <w:highlight w:val="none"/>
        </w:rPr>
      </w:pPr>
      <w:r>
        <w:rPr>
          <w:szCs w:val="21"/>
          <w:highlight w:val="none"/>
        </w:rPr>
        <w:t>质疑应当采用</w:t>
      </w:r>
      <w:r>
        <w:rPr>
          <w:rFonts w:hint="eastAsia"/>
          <w:szCs w:val="21"/>
          <w:highlight w:val="none"/>
        </w:rPr>
        <w:t>供应商</w:t>
      </w:r>
      <w:r>
        <w:rPr>
          <w:szCs w:val="21"/>
          <w:highlight w:val="none"/>
        </w:rPr>
        <w:t>须知前附表所规定的形式，质疑书应明确阐述</w:t>
      </w:r>
      <w:r>
        <w:rPr>
          <w:rFonts w:hint="eastAsia"/>
          <w:szCs w:val="21"/>
          <w:highlight w:val="none"/>
        </w:rPr>
        <w:t>采购文件</w:t>
      </w:r>
      <w:r>
        <w:rPr>
          <w:szCs w:val="21"/>
          <w:highlight w:val="none"/>
        </w:rPr>
        <w:t>、</w:t>
      </w:r>
      <w:r>
        <w:rPr>
          <w:rFonts w:hint="eastAsia"/>
          <w:szCs w:val="21"/>
          <w:highlight w:val="none"/>
        </w:rPr>
        <w:t>采购</w:t>
      </w:r>
      <w:r>
        <w:rPr>
          <w:szCs w:val="21"/>
          <w:highlight w:val="none"/>
        </w:rPr>
        <w:t>过程或</w:t>
      </w:r>
      <w:r>
        <w:rPr>
          <w:rFonts w:hint="eastAsia"/>
          <w:szCs w:val="21"/>
          <w:highlight w:val="none"/>
        </w:rPr>
        <w:t>成交</w:t>
      </w:r>
      <w:r>
        <w:rPr>
          <w:szCs w:val="21"/>
          <w:highlight w:val="none"/>
        </w:rPr>
        <w:t>结果中使自己合法权益受到损害的实质性内容，提供相关事实、依据和证据及其来源或线索，便于有关单位调查、答复和处理。</w:t>
      </w:r>
    </w:p>
    <w:p w14:paraId="4BD8C668">
      <w:pPr>
        <w:spacing w:before="120" w:line="320" w:lineRule="atLeast"/>
        <w:ind w:firstLine="420" w:firstLineChars="200"/>
        <w:rPr>
          <w:szCs w:val="21"/>
          <w:highlight w:val="none"/>
        </w:rPr>
      </w:pPr>
      <w:r>
        <w:rPr>
          <w:rFonts w:hint="eastAsia"/>
          <w:szCs w:val="21"/>
          <w:highlight w:val="none"/>
        </w:rPr>
        <w:t>8</w:t>
      </w:r>
      <w:r>
        <w:rPr>
          <w:szCs w:val="21"/>
          <w:highlight w:val="none"/>
        </w:rPr>
        <w:t>.1.3</w:t>
      </w:r>
      <w:r>
        <w:rPr>
          <w:rFonts w:hint="eastAsia"/>
          <w:highlight w:val="none"/>
        </w:rPr>
        <w:t xml:space="preserve"> </w:t>
      </w:r>
      <w:r>
        <w:rPr>
          <w:rFonts w:hint="eastAsia"/>
          <w:szCs w:val="21"/>
          <w:highlight w:val="none"/>
        </w:rPr>
        <w:t>供应商提出质疑应当提交质疑函和必要的证明材料。质疑函应当包括下列内容：</w:t>
      </w:r>
    </w:p>
    <w:p w14:paraId="3D071067">
      <w:pPr>
        <w:spacing w:before="120" w:line="320" w:lineRule="atLeast"/>
        <w:ind w:firstLine="420" w:firstLineChars="200"/>
        <w:rPr>
          <w:szCs w:val="21"/>
          <w:highlight w:val="none"/>
        </w:rPr>
      </w:pPr>
      <w:r>
        <w:rPr>
          <w:rFonts w:hint="eastAsia"/>
          <w:szCs w:val="21"/>
          <w:highlight w:val="none"/>
        </w:rPr>
        <w:t>（1）供应商的姓名或者名称、地址、邮编、联系人及联系电话；</w:t>
      </w:r>
    </w:p>
    <w:p w14:paraId="00D72A5C">
      <w:pPr>
        <w:spacing w:before="120" w:line="320" w:lineRule="atLeast"/>
        <w:ind w:firstLine="420" w:firstLineChars="200"/>
        <w:rPr>
          <w:szCs w:val="21"/>
          <w:highlight w:val="none"/>
        </w:rPr>
      </w:pPr>
      <w:r>
        <w:rPr>
          <w:rFonts w:hint="eastAsia"/>
          <w:szCs w:val="21"/>
          <w:highlight w:val="none"/>
        </w:rPr>
        <w:t>（2）质疑项目的名称、编号；</w:t>
      </w:r>
    </w:p>
    <w:p w14:paraId="56D91D66">
      <w:pPr>
        <w:spacing w:before="120" w:line="320" w:lineRule="atLeast"/>
        <w:ind w:firstLine="420" w:firstLineChars="200"/>
        <w:rPr>
          <w:szCs w:val="21"/>
          <w:highlight w:val="none"/>
        </w:rPr>
      </w:pPr>
      <w:r>
        <w:rPr>
          <w:rFonts w:hint="eastAsia"/>
          <w:szCs w:val="21"/>
          <w:highlight w:val="none"/>
        </w:rPr>
        <w:t>（3）具体、明确的质疑事项和与质疑事项相关的请求；</w:t>
      </w:r>
    </w:p>
    <w:p w14:paraId="4A786F5E">
      <w:pPr>
        <w:spacing w:before="120" w:line="320" w:lineRule="atLeast"/>
        <w:ind w:firstLine="420" w:firstLineChars="200"/>
        <w:rPr>
          <w:szCs w:val="21"/>
          <w:highlight w:val="none"/>
        </w:rPr>
      </w:pPr>
      <w:r>
        <w:rPr>
          <w:rFonts w:hint="eastAsia"/>
          <w:szCs w:val="21"/>
          <w:highlight w:val="none"/>
        </w:rPr>
        <w:t>（4）事实依据；</w:t>
      </w:r>
    </w:p>
    <w:p w14:paraId="10FDBD41">
      <w:pPr>
        <w:spacing w:before="120" w:line="320" w:lineRule="atLeast"/>
        <w:ind w:firstLine="420" w:firstLineChars="200"/>
        <w:rPr>
          <w:szCs w:val="21"/>
          <w:highlight w:val="none"/>
        </w:rPr>
      </w:pPr>
      <w:r>
        <w:rPr>
          <w:rFonts w:hint="eastAsia"/>
          <w:szCs w:val="21"/>
          <w:highlight w:val="none"/>
        </w:rPr>
        <w:t>（5）必要的法律依据；</w:t>
      </w:r>
    </w:p>
    <w:p w14:paraId="61A2A22B">
      <w:pPr>
        <w:spacing w:before="120" w:line="320" w:lineRule="atLeast"/>
        <w:ind w:firstLine="420" w:firstLineChars="200"/>
        <w:rPr>
          <w:szCs w:val="21"/>
          <w:highlight w:val="none"/>
        </w:rPr>
      </w:pPr>
      <w:r>
        <w:rPr>
          <w:rFonts w:hint="eastAsia"/>
          <w:szCs w:val="21"/>
          <w:highlight w:val="none"/>
        </w:rPr>
        <w:t>（6）提出质疑的日期。</w:t>
      </w:r>
    </w:p>
    <w:p w14:paraId="05E8D23C">
      <w:pPr>
        <w:spacing w:before="120" w:line="320" w:lineRule="atLeast"/>
        <w:ind w:firstLine="420" w:firstLineChars="200"/>
        <w:rPr>
          <w:szCs w:val="21"/>
          <w:highlight w:val="none"/>
        </w:rPr>
      </w:pPr>
      <w:r>
        <w:rPr>
          <w:rFonts w:hint="eastAsia"/>
          <w:szCs w:val="21"/>
          <w:highlight w:val="none"/>
        </w:rPr>
        <w:t>供应商为自然人的，应当由本人签字；供应商为法人或者其他组织的，应当由法定代表人、主要负责人，或者其授权代表签字或者盖章，并加盖公章。</w:t>
      </w:r>
      <w:r>
        <w:rPr>
          <w:szCs w:val="21"/>
          <w:highlight w:val="none"/>
        </w:rPr>
        <w:t xml:space="preserve"> </w:t>
      </w:r>
    </w:p>
    <w:p w14:paraId="6CCF308B">
      <w:pPr>
        <w:spacing w:before="120" w:line="320" w:lineRule="atLeast"/>
        <w:ind w:firstLine="422" w:firstLineChars="200"/>
        <w:outlineLvl w:val="2"/>
        <w:rPr>
          <w:b/>
          <w:bCs/>
          <w:kern w:val="0"/>
          <w:szCs w:val="21"/>
          <w:highlight w:val="none"/>
        </w:rPr>
      </w:pPr>
      <w:r>
        <w:rPr>
          <w:b/>
          <w:bCs/>
          <w:kern w:val="0"/>
          <w:szCs w:val="21"/>
          <w:highlight w:val="none"/>
        </w:rPr>
        <w:t>8.2投诉</w:t>
      </w:r>
    </w:p>
    <w:p w14:paraId="57774C16">
      <w:pPr>
        <w:spacing w:before="120" w:line="320" w:lineRule="atLeast"/>
        <w:ind w:firstLine="420" w:firstLineChars="200"/>
        <w:rPr>
          <w:szCs w:val="21"/>
          <w:highlight w:val="none"/>
        </w:rPr>
      </w:pPr>
      <w:r>
        <w:rPr>
          <w:szCs w:val="21"/>
          <w:highlight w:val="none"/>
        </w:rPr>
        <w:t>8.2.1供应商对采购人、采购代理机构的答复不满意，或者采购人、采购代理机构未在规定时间内答复的，可在答复期满后15个工作日内按有关规定，向同级财政部门投诉。</w:t>
      </w:r>
    </w:p>
    <w:p w14:paraId="4CD45AFC">
      <w:pPr>
        <w:spacing w:before="120" w:line="320" w:lineRule="atLeast"/>
        <w:ind w:firstLine="420" w:firstLineChars="200"/>
        <w:rPr>
          <w:szCs w:val="21"/>
          <w:highlight w:val="none"/>
        </w:rPr>
      </w:pPr>
      <w:r>
        <w:rPr>
          <w:szCs w:val="21"/>
          <w:highlight w:val="none"/>
        </w:rPr>
        <w:t>8.2.</w:t>
      </w:r>
      <w:r>
        <w:rPr>
          <w:rFonts w:hint="eastAsia"/>
          <w:szCs w:val="21"/>
          <w:highlight w:val="none"/>
        </w:rPr>
        <w:t>2投诉</w:t>
      </w:r>
      <w:r>
        <w:rPr>
          <w:szCs w:val="21"/>
          <w:highlight w:val="none"/>
        </w:rPr>
        <w:t>书应使用财政部发布的</w:t>
      </w:r>
      <w:r>
        <w:rPr>
          <w:rFonts w:hint="eastAsia"/>
          <w:szCs w:val="21"/>
          <w:highlight w:val="none"/>
        </w:rPr>
        <w:t>政府采购供应投诉书范本，并应按照“投诉书制作说明”进行编写。</w:t>
      </w:r>
    </w:p>
    <w:p w14:paraId="176A8756">
      <w:pPr>
        <w:spacing w:before="120" w:line="320" w:lineRule="atLeast"/>
        <w:ind w:left="2" w:leftChars="1" w:firstLine="422" w:firstLineChars="200"/>
        <w:outlineLvl w:val="1"/>
        <w:rPr>
          <w:b/>
          <w:bCs/>
          <w:kern w:val="0"/>
          <w:szCs w:val="21"/>
          <w:highlight w:val="none"/>
        </w:rPr>
      </w:pPr>
      <w:r>
        <w:rPr>
          <w:b/>
          <w:bCs/>
          <w:kern w:val="0"/>
          <w:szCs w:val="21"/>
          <w:highlight w:val="none"/>
        </w:rPr>
        <w:t>9．其他事项</w:t>
      </w:r>
    </w:p>
    <w:p w14:paraId="20E3708F">
      <w:pPr>
        <w:spacing w:before="120" w:line="320" w:lineRule="atLeast"/>
        <w:ind w:firstLine="420" w:firstLineChars="200"/>
        <w:rPr>
          <w:szCs w:val="21"/>
          <w:highlight w:val="none"/>
        </w:rPr>
      </w:pPr>
      <w:r>
        <w:rPr>
          <w:szCs w:val="21"/>
          <w:highlight w:val="none"/>
        </w:rPr>
        <w:t>9.1代理服务收费由采购代理机构向成交供应商收取。签订合同前，成交供应商应向采购代理机构一次付清代理服务费。</w:t>
      </w:r>
    </w:p>
    <w:p w14:paraId="2FBD97C1">
      <w:pPr>
        <w:spacing w:before="120" w:line="276" w:lineRule="auto"/>
        <w:ind w:firstLine="420" w:firstLineChars="200"/>
        <w:rPr>
          <w:szCs w:val="21"/>
          <w:highlight w:val="none"/>
        </w:rPr>
      </w:pPr>
      <w:r>
        <w:rPr>
          <w:szCs w:val="21"/>
          <w:highlight w:val="none"/>
        </w:rPr>
        <w:t>9.2</w:t>
      </w:r>
      <w:r>
        <w:rPr>
          <w:rFonts w:hint="eastAsia"/>
          <w:szCs w:val="21"/>
          <w:highlight w:val="none"/>
        </w:rPr>
        <w:t>电子交易活动的中止。采购过程中出现以下情形，导致电子交易平台无法正常运行，或者无法保证电子交易的公平、公正和安全时，采购机构可中止电子交易活动：</w:t>
      </w:r>
    </w:p>
    <w:p w14:paraId="10A2B04B">
      <w:pPr>
        <w:spacing w:before="120" w:line="276" w:lineRule="auto"/>
        <w:ind w:firstLine="420" w:firstLineChars="200"/>
        <w:rPr>
          <w:szCs w:val="21"/>
          <w:highlight w:val="none"/>
        </w:rPr>
      </w:pPr>
      <w:r>
        <w:rPr>
          <w:rFonts w:hint="eastAsia"/>
          <w:szCs w:val="21"/>
          <w:highlight w:val="none"/>
        </w:rPr>
        <w:t xml:space="preserve">（1）电子交易平台发生故障而无法登录访问的； </w:t>
      </w:r>
    </w:p>
    <w:p w14:paraId="143BDE7C">
      <w:pPr>
        <w:spacing w:before="120" w:line="276" w:lineRule="auto"/>
        <w:ind w:firstLine="420" w:firstLineChars="200"/>
        <w:rPr>
          <w:szCs w:val="21"/>
          <w:highlight w:val="none"/>
        </w:rPr>
      </w:pPr>
      <w:r>
        <w:rPr>
          <w:rFonts w:hint="eastAsia"/>
          <w:szCs w:val="21"/>
          <w:highlight w:val="none"/>
        </w:rPr>
        <w:t>（2）电子交易平台应用或数据库出现错误，不能进行正常操作的；</w:t>
      </w:r>
    </w:p>
    <w:p w14:paraId="087044CC">
      <w:pPr>
        <w:spacing w:before="120" w:line="276" w:lineRule="auto"/>
        <w:ind w:firstLine="420" w:firstLineChars="200"/>
        <w:rPr>
          <w:szCs w:val="21"/>
          <w:highlight w:val="none"/>
        </w:rPr>
      </w:pPr>
      <w:r>
        <w:rPr>
          <w:rFonts w:hint="eastAsia"/>
          <w:szCs w:val="21"/>
          <w:highlight w:val="none"/>
        </w:rPr>
        <w:t>（3）电子交易平台发现严重安全漏洞，有潜在泄密危险的；</w:t>
      </w:r>
    </w:p>
    <w:p w14:paraId="565D3A13">
      <w:pPr>
        <w:spacing w:before="120" w:line="276" w:lineRule="auto"/>
        <w:ind w:firstLine="420" w:firstLineChars="200"/>
        <w:rPr>
          <w:szCs w:val="21"/>
          <w:highlight w:val="none"/>
        </w:rPr>
      </w:pPr>
      <w:r>
        <w:rPr>
          <w:rFonts w:hint="eastAsia"/>
          <w:szCs w:val="21"/>
          <w:highlight w:val="none"/>
        </w:rPr>
        <w:t xml:space="preserve">（4）病毒发作导致不能进行正常操作的； </w:t>
      </w:r>
    </w:p>
    <w:p w14:paraId="0530BE42">
      <w:pPr>
        <w:spacing w:before="120" w:line="276" w:lineRule="auto"/>
        <w:ind w:firstLine="420" w:firstLineChars="200"/>
        <w:rPr>
          <w:szCs w:val="21"/>
          <w:highlight w:val="none"/>
        </w:rPr>
      </w:pPr>
      <w:r>
        <w:rPr>
          <w:rFonts w:hint="eastAsia"/>
          <w:szCs w:val="21"/>
          <w:highlight w:val="none"/>
        </w:rPr>
        <w:t>（</w:t>
      </w:r>
      <w:r>
        <w:rPr>
          <w:szCs w:val="21"/>
          <w:highlight w:val="none"/>
        </w:rPr>
        <w:t>5</w:t>
      </w:r>
      <w:r>
        <w:rPr>
          <w:rFonts w:hint="eastAsia"/>
          <w:szCs w:val="21"/>
          <w:highlight w:val="none"/>
        </w:rPr>
        <w:t>）其他无法保证电子交易的公平、公正和安全的情况。</w:t>
      </w:r>
    </w:p>
    <w:p w14:paraId="33C02FAD">
      <w:pPr>
        <w:tabs>
          <w:tab w:val="left" w:pos="4820"/>
        </w:tabs>
        <w:spacing w:before="120" w:line="360" w:lineRule="auto"/>
        <w:ind w:firstLine="420" w:firstLineChars="200"/>
        <w:rPr>
          <w:szCs w:val="21"/>
          <w:highlight w:val="none"/>
        </w:rPr>
      </w:pPr>
      <w:r>
        <w:rPr>
          <w:rFonts w:hint="eastAsia"/>
          <w:szCs w:val="21"/>
          <w:highlight w:val="none"/>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r>
        <w:rPr>
          <w:szCs w:val="21"/>
          <w:highlight w:val="none"/>
        </w:rPr>
        <w:t xml:space="preserve"> </w:t>
      </w:r>
    </w:p>
    <w:p w14:paraId="3C730F55">
      <w:pPr>
        <w:spacing w:line="360" w:lineRule="auto"/>
        <w:ind w:firstLine="420"/>
        <w:rPr>
          <w:szCs w:val="21"/>
          <w:highlight w:val="none"/>
        </w:rPr>
      </w:pPr>
      <w:r>
        <w:rPr>
          <w:szCs w:val="21"/>
          <w:highlight w:val="none"/>
        </w:rPr>
        <w:t>9.3</w:t>
      </w:r>
      <w:r>
        <w:rPr>
          <w:rFonts w:hint="eastAsia"/>
          <w:szCs w:val="21"/>
          <w:highlight w:val="none"/>
        </w:rPr>
        <w:t>本项目的其他事项</w:t>
      </w:r>
      <w:r>
        <w:rPr>
          <w:szCs w:val="21"/>
          <w:highlight w:val="none"/>
        </w:rPr>
        <w:t>详见供应商须知前附表</w:t>
      </w:r>
      <w:r>
        <w:rPr>
          <w:rFonts w:hint="eastAsia"/>
          <w:szCs w:val="21"/>
          <w:highlight w:val="none"/>
        </w:rPr>
        <w:t>。</w:t>
      </w:r>
    </w:p>
    <w:p w14:paraId="65E54A14">
      <w:pPr>
        <w:spacing w:before="120" w:line="320" w:lineRule="atLeast"/>
        <w:ind w:left="2" w:leftChars="1" w:firstLine="422" w:firstLineChars="200"/>
        <w:outlineLvl w:val="1"/>
        <w:rPr>
          <w:b/>
          <w:bCs/>
          <w:kern w:val="0"/>
          <w:szCs w:val="21"/>
          <w:highlight w:val="none"/>
        </w:rPr>
      </w:pPr>
      <w:r>
        <w:rPr>
          <w:b/>
          <w:bCs/>
          <w:kern w:val="0"/>
          <w:szCs w:val="21"/>
          <w:highlight w:val="none"/>
        </w:rPr>
        <w:t>10．</w:t>
      </w:r>
      <w:r>
        <w:rPr>
          <w:rFonts w:hint="eastAsia"/>
          <w:b/>
          <w:bCs/>
          <w:kern w:val="0"/>
          <w:szCs w:val="21"/>
          <w:highlight w:val="none"/>
        </w:rPr>
        <w:t>其他说明</w:t>
      </w:r>
    </w:p>
    <w:p w14:paraId="76F50F76">
      <w:pPr>
        <w:spacing w:before="120" w:line="320" w:lineRule="atLeast"/>
        <w:ind w:left="2" w:leftChars="1" w:firstLine="420" w:firstLineChars="200"/>
        <w:rPr>
          <w:kern w:val="0"/>
          <w:szCs w:val="21"/>
          <w:highlight w:val="none"/>
        </w:rPr>
      </w:pPr>
      <w:r>
        <w:rPr>
          <w:rFonts w:hint="eastAsia"/>
          <w:szCs w:val="21"/>
          <w:highlight w:val="none"/>
        </w:rPr>
        <w:t>1</w:t>
      </w:r>
      <w:r>
        <w:rPr>
          <w:szCs w:val="21"/>
          <w:highlight w:val="none"/>
        </w:rPr>
        <w:t>0.1</w:t>
      </w:r>
      <w:r>
        <w:rPr>
          <w:rFonts w:hint="eastAsia"/>
          <w:szCs w:val="21"/>
          <w:highlight w:val="none"/>
        </w:rPr>
        <w:t>其余</w:t>
      </w:r>
      <w:r>
        <w:rPr>
          <w:rFonts w:hint="eastAsia"/>
          <w:kern w:val="0"/>
          <w:szCs w:val="21"/>
          <w:highlight w:val="none"/>
        </w:rPr>
        <w:t>未尽事宜按</w:t>
      </w:r>
      <w:r>
        <w:rPr>
          <w:kern w:val="0"/>
          <w:szCs w:val="21"/>
          <w:highlight w:val="none"/>
        </w:rPr>
        <w:t>《中华人民共和国政府采购法》、《中华人民共和国政府采购法实施条例》</w:t>
      </w:r>
      <w:r>
        <w:rPr>
          <w:rFonts w:hint="eastAsia"/>
          <w:kern w:val="0"/>
          <w:szCs w:val="21"/>
          <w:highlight w:val="none"/>
        </w:rPr>
        <w:t>的相关规定执行。</w:t>
      </w:r>
    </w:p>
    <w:p w14:paraId="192CB326">
      <w:pPr>
        <w:spacing w:before="120" w:line="320" w:lineRule="atLeast"/>
        <w:ind w:left="2" w:leftChars="1" w:firstLine="420" w:firstLineChars="200"/>
        <w:rPr>
          <w:rFonts w:hint="eastAsia"/>
          <w:sz w:val="32"/>
          <w:szCs w:val="32"/>
          <w:highlight w:val="none"/>
        </w:rPr>
        <w:sectPr>
          <w:headerReference r:id="rId15" w:type="first"/>
          <w:headerReference r:id="rId14" w:type="default"/>
          <w:pgSz w:w="11906" w:h="16838"/>
          <w:pgMar w:top="1417" w:right="1133" w:bottom="1246" w:left="1418" w:header="851" w:footer="992" w:gutter="0"/>
          <w:cols w:space="720" w:num="1"/>
          <w:titlePg/>
          <w:docGrid w:linePitch="312" w:charSpace="0"/>
        </w:sectPr>
      </w:pPr>
      <w:r>
        <w:rPr>
          <w:szCs w:val="21"/>
          <w:highlight w:val="none"/>
        </w:rPr>
        <w:t>10.2</w:t>
      </w:r>
      <w:r>
        <w:rPr>
          <w:rFonts w:hint="eastAsia"/>
          <w:szCs w:val="21"/>
          <w:highlight w:val="none"/>
        </w:rPr>
        <w:t>本</w:t>
      </w:r>
      <w:r>
        <w:rPr>
          <w:szCs w:val="21"/>
          <w:highlight w:val="none"/>
        </w:rPr>
        <w:t>采购文件</w:t>
      </w:r>
      <w:r>
        <w:rPr>
          <w:highlight w:val="none"/>
        </w:rPr>
        <w:t>是根据国家有关法律及有关政策、法规和参照国际惯例编制，解释权属采购代理机构。</w:t>
      </w:r>
      <w:bookmarkEnd w:id="28"/>
    </w:p>
    <w:p w14:paraId="511D6364">
      <w:pPr>
        <w:pStyle w:val="27"/>
        <w:snapToGrid w:val="0"/>
        <w:spacing w:before="120" w:after="120" w:line="320" w:lineRule="exact"/>
        <w:jc w:val="center"/>
        <w:outlineLvl w:val="0"/>
        <w:rPr>
          <w:rFonts w:ascii="Times New Roman" w:hAnsi="Times New Roman" w:cs="Times New Roman"/>
          <w:sz w:val="32"/>
          <w:szCs w:val="32"/>
          <w:highlight w:val="none"/>
        </w:rPr>
      </w:pPr>
      <w:bookmarkStart w:id="78" w:name="_Toc89186352"/>
      <w:bookmarkStart w:id="79" w:name="_Toc254970690"/>
      <w:bookmarkStart w:id="80" w:name="_Toc254970549"/>
      <w:r>
        <w:rPr>
          <w:rFonts w:ascii="Times New Roman" w:hAnsi="Times New Roman" w:cs="Times New Roman"/>
          <w:sz w:val="32"/>
          <w:szCs w:val="32"/>
          <w:highlight w:val="none"/>
        </w:rPr>
        <w:t>第</w:t>
      </w:r>
      <w:r>
        <w:rPr>
          <w:rFonts w:hint="eastAsia" w:ascii="Times New Roman" w:hAnsi="Times New Roman" w:cs="Times New Roman"/>
          <w:sz w:val="32"/>
          <w:szCs w:val="32"/>
          <w:highlight w:val="none"/>
        </w:rPr>
        <w:t>四</w:t>
      </w:r>
      <w:r>
        <w:rPr>
          <w:rFonts w:ascii="Times New Roman" w:hAnsi="Times New Roman" w:cs="Times New Roman"/>
          <w:sz w:val="32"/>
          <w:szCs w:val="32"/>
          <w:highlight w:val="none"/>
        </w:rPr>
        <w:t>章  评审方法及标准</w:t>
      </w:r>
      <w:bookmarkEnd w:id="78"/>
    </w:p>
    <w:p w14:paraId="1E127591">
      <w:pPr>
        <w:spacing w:before="120" w:line="320" w:lineRule="atLeast"/>
        <w:ind w:firstLine="413" w:firstLineChars="196"/>
        <w:outlineLvl w:val="1"/>
        <w:rPr>
          <w:b/>
          <w:bCs/>
          <w:kern w:val="0"/>
          <w:szCs w:val="21"/>
          <w:highlight w:val="none"/>
        </w:rPr>
      </w:pPr>
      <w:r>
        <w:rPr>
          <w:rFonts w:hint="eastAsia"/>
          <w:b/>
          <w:bCs/>
          <w:kern w:val="0"/>
          <w:szCs w:val="21"/>
          <w:highlight w:val="none"/>
        </w:rPr>
        <w:t>1.</w:t>
      </w:r>
      <w:r>
        <w:rPr>
          <w:b/>
          <w:bCs/>
          <w:kern w:val="0"/>
          <w:szCs w:val="21"/>
          <w:highlight w:val="none"/>
        </w:rPr>
        <w:t>评审</w:t>
      </w:r>
      <w:r>
        <w:rPr>
          <w:rFonts w:hint="eastAsia"/>
          <w:b/>
          <w:bCs/>
          <w:kern w:val="0"/>
          <w:szCs w:val="21"/>
          <w:highlight w:val="none"/>
        </w:rPr>
        <w:t>方法</w:t>
      </w:r>
    </w:p>
    <w:p w14:paraId="186A1111">
      <w:pPr>
        <w:suppressAutoHyphens/>
        <w:spacing w:before="120" w:line="320" w:lineRule="atLeast"/>
        <w:ind w:firstLine="420" w:firstLineChars="200"/>
        <w:rPr>
          <w:kern w:val="1"/>
          <w:szCs w:val="21"/>
          <w:highlight w:val="none"/>
        </w:rPr>
      </w:pPr>
      <w:r>
        <w:rPr>
          <w:szCs w:val="21"/>
          <w:highlight w:val="none"/>
        </w:rPr>
        <w:t>本项目采用</w:t>
      </w:r>
      <w:r>
        <w:rPr>
          <w:bCs/>
          <w:kern w:val="1"/>
          <w:szCs w:val="21"/>
          <w:highlight w:val="none"/>
        </w:rPr>
        <w:t>综合评分法</w:t>
      </w:r>
      <w:r>
        <w:rPr>
          <w:szCs w:val="21"/>
          <w:highlight w:val="none"/>
        </w:rPr>
        <w:t>进行评审</w:t>
      </w:r>
      <w:r>
        <w:rPr>
          <w:bCs/>
          <w:kern w:val="1"/>
          <w:szCs w:val="21"/>
          <w:highlight w:val="none"/>
        </w:rPr>
        <w:t>。</w:t>
      </w:r>
      <w:r>
        <w:rPr>
          <w:szCs w:val="21"/>
          <w:highlight w:val="none"/>
        </w:rPr>
        <w:t>综合评分法，是指响应文件满足采购文件全部实质性要求且按照评审因素的量化指标评审得分最高的</w:t>
      </w:r>
      <w:r>
        <w:rPr>
          <w:rFonts w:hint="eastAsia"/>
          <w:szCs w:val="21"/>
          <w:highlight w:val="none"/>
        </w:rPr>
        <w:t>供应商</w:t>
      </w:r>
      <w:r>
        <w:rPr>
          <w:szCs w:val="21"/>
          <w:highlight w:val="none"/>
        </w:rPr>
        <w:t>为</w:t>
      </w:r>
      <w:r>
        <w:rPr>
          <w:rFonts w:hint="eastAsia"/>
          <w:szCs w:val="21"/>
          <w:highlight w:val="none"/>
        </w:rPr>
        <w:t>成交</w:t>
      </w:r>
      <w:r>
        <w:rPr>
          <w:szCs w:val="21"/>
          <w:highlight w:val="none"/>
        </w:rPr>
        <w:t>候选人的评审方法。</w:t>
      </w:r>
    </w:p>
    <w:p w14:paraId="40B3964D">
      <w:pPr>
        <w:suppressAutoHyphens/>
        <w:spacing w:before="120" w:line="320" w:lineRule="atLeast"/>
        <w:ind w:firstLine="420" w:firstLineChars="200"/>
        <w:rPr>
          <w:kern w:val="1"/>
          <w:szCs w:val="21"/>
          <w:highlight w:val="none"/>
        </w:rPr>
      </w:pPr>
      <w:r>
        <w:rPr>
          <w:rFonts w:hint="eastAsia"/>
          <w:kern w:val="1"/>
          <w:szCs w:val="21"/>
          <w:highlight w:val="none"/>
        </w:rPr>
        <w:t>本项目评审的其他详细规定在第三章供应商须知中规定。</w:t>
      </w:r>
    </w:p>
    <w:p w14:paraId="641BEAEE">
      <w:pPr>
        <w:spacing w:before="120" w:line="320" w:lineRule="atLeast"/>
        <w:ind w:firstLine="413" w:firstLineChars="196"/>
        <w:outlineLvl w:val="1"/>
        <w:rPr>
          <w:rFonts w:hint="eastAsia"/>
          <w:b/>
          <w:bCs/>
          <w:kern w:val="0"/>
          <w:szCs w:val="21"/>
          <w:highlight w:val="none"/>
        </w:rPr>
      </w:pPr>
      <w:r>
        <w:rPr>
          <w:b/>
          <w:kern w:val="0"/>
          <w:szCs w:val="21"/>
          <w:highlight w:val="none"/>
        </w:rPr>
        <w:t>2</w:t>
      </w:r>
      <w:r>
        <w:rPr>
          <w:rFonts w:hint="eastAsia"/>
          <w:b/>
          <w:kern w:val="0"/>
          <w:szCs w:val="21"/>
          <w:highlight w:val="none"/>
        </w:rPr>
        <w:t>.资格审查标准</w:t>
      </w:r>
      <w:r>
        <w:rPr>
          <w:rFonts w:hint="eastAsia"/>
          <w:b/>
          <w:bCs/>
          <w:kern w:val="0"/>
          <w:szCs w:val="21"/>
          <w:highlight w:val="none"/>
        </w:rPr>
        <w:t>（不满足任何一项审查内容要求，资格审查即为不合格）</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461"/>
        <w:gridCol w:w="1266"/>
        <w:gridCol w:w="5743"/>
      </w:tblGrid>
      <w:tr w14:paraId="2420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101" w:type="dxa"/>
            <w:noWrap w:val="0"/>
            <w:vAlign w:val="center"/>
          </w:tcPr>
          <w:p w14:paraId="71D2750A">
            <w:pPr>
              <w:spacing w:line="240" w:lineRule="exact"/>
              <w:jc w:val="center"/>
              <w:rPr>
                <w:b/>
                <w:kern w:val="0"/>
                <w:szCs w:val="21"/>
                <w:highlight w:val="none"/>
              </w:rPr>
            </w:pPr>
            <w:r>
              <w:rPr>
                <w:rFonts w:hint="eastAsia"/>
                <w:b/>
                <w:kern w:val="0"/>
                <w:szCs w:val="21"/>
                <w:highlight w:val="none"/>
              </w:rPr>
              <w:t>审查</w:t>
            </w:r>
            <w:r>
              <w:rPr>
                <w:b/>
                <w:kern w:val="0"/>
                <w:szCs w:val="21"/>
                <w:highlight w:val="none"/>
              </w:rPr>
              <w:t>因素</w:t>
            </w:r>
          </w:p>
        </w:tc>
        <w:tc>
          <w:tcPr>
            <w:tcW w:w="2727" w:type="dxa"/>
            <w:gridSpan w:val="2"/>
            <w:noWrap w:val="0"/>
            <w:vAlign w:val="center"/>
          </w:tcPr>
          <w:p w14:paraId="4981CE8B">
            <w:pPr>
              <w:spacing w:line="240" w:lineRule="exact"/>
              <w:jc w:val="center"/>
              <w:rPr>
                <w:b/>
                <w:kern w:val="0"/>
                <w:szCs w:val="21"/>
                <w:highlight w:val="none"/>
              </w:rPr>
            </w:pPr>
            <w:r>
              <w:rPr>
                <w:rFonts w:hint="eastAsia"/>
                <w:b/>
                <w:kern w:val="0"/>
                <w:szCs w:val="21"/>
                <w:highlight w:val="none"/>
              </w:rPr>
              <w:t>审查</w:t>
            </w:r>
            <w:r>
              <w:rPr>
                <w:b/>
                <w:kern w:val="0"/>
                <w:szCs w:val="21"/>
                <w:highlight w:val="none"/>
              </w:rPr>
              <w:t>内容</w:t>
            </w:r>
          </w:p>
        </w:tc>
        <w:tc>
          <w:tcPr>
            <w:tcW w:w="0" w:type="auto"/>
            <w:noWrap w:val="0"/>
            <w:vAlign w:val="center"/>
          </w:tcPr>
          <w:p w14:paraId="7CB028C2">
            <w:pPr>
              <w:spacing w:line="240" w:lineRule="exact"/>
              <w:jc w:val="center"/>
              <w:rPr>
                <w:b/>
                <w:kern w:val="0"/>
                <w:szCs w:val="21"/>
                <w:highlight w:val="none"/>
              </w:rPr>
            </w:pPr>
            <w:r>
              <w:rPr>
                <w:rFonts w:hint="eastAsia"/>
                <w:b/>
                <w:kern w:val="0"/>
                <w:szCs w:val="21"/>
                <w:highlight w:val="none"/>
              </w:rPr>
              <w:t>说明</w:t>
            </w:r>
          </w:p>
        </w:tc>
      </w:tr>
      <w:tr w14:paraId="6286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trPr>
        <w:tc>
          <w:tcPr>
            <w:tcW w:w="1101" w:type="dxa"/>
            <w:vMerge w:val="restart"/>
            <w:noWrap w:val="0"/>
            <w:vAlign w:val="center"/>
          </w:tcPr>
          <w:p w14:paraId="2AEDD693">
            <w:pPr>
              <w:spacing w:line="240" w:lineRule="exact"/>
              <w:jc w:val="center"/>
              <w:rPr>
                <w:szCs w:val="21"/>
                <w:highlight w:val="none"/>
              </w:rPr>
            </w:pPr>
            <w:r>
              <w:rPr>
                <w:rFonts w:hint="eastAsia"/>
                <w:szCs w:val="21"/>
                <w:highlight w:val="none"/>
              </w:rPr>
              <w:t>供应商应符合的基本资格要求</w:t>
            </w:r>
          </w:p>
        </w:tc>
        <w:tc>
          <w:tcPr>
            <w:tcW w:w="2727" w:type="dxa"/>
            <w:gridSpan w:val="2"/>
            <w:noWrap w:val="0"/>
            <w:vAlign w:val="center"/>
          </w:tcPr>
          <w:p w14:paraId="51EC1CA2">
            <w:pPr>
              <w:spacing w:line="240" w:lineRule="exact"/>
              <w:rPr>
                <w:szCs w:val="21"/>
                <w:highlight w:val="none"/>
              </w:rPr>
            </w:pPr>
            <w:r>
              <w:rPr>
                <w:szCs w:val="21"/>
                <w:highlight w:val="none"/>
              </w:rPr>
              <w:t>（1）具有独立承担民事责任的能力</w:t>
            </w:r>
          </w:p>
        </w:tc>
        <w:tc>
          <w:tcPr>
            <w:tcW w:w="0" w:type="auto"/>
            <w:noWrap w:val="0"/>
            <w:vAlign w:val="center"/>
          </w:tcPr>
          <w:p w14:paraId="59325D88">
            <w:pPr>
              <w:spacing w:line="240" w:lineRule="exact"/>
              <w:rPr>
                <w:szCs w:val="21"/>
                <w:highlight w:val="none"/>
              </w:rPr>
            </w:pPr>
            <w:r>
              <w:rPr>
                <w:rFonts w:hint="eastAsia"/>
                <w:szCs w:val="21"/>
                <w:highlight w:val="none"/>
              </w:rPr>
              <w:t>审查供应商为法人或者其他组织的，提供营业执照等证明文件（如营业执照或者事业单位法人证书或者执业许可证等），供应商为自然人的，提供身份证扫描件。</w:t>
            </w:r>
          </w:p>
        </w:tc>
      </w:tr>
      <w:tr w14:paraId="2033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1" w:hRule="atLeast"/>
        </w:trPr>
        <w:tc>
          <w:tcPr>
            <w:tcW w:w="1101" w:type="dxa"/>
            <w:vMerge w:val="continue"/>
            <w:noWrap w:val="0"/>
            <w:vAlign w:val="center"/>
          </w:tcPr>
          <w:p w14:paraId="0380021C">
            <w:pPr>
              <w:spacing w:line="240" w:lineRule="exact"/>
              <w:jc w:val="center"/>
              <w:rPr>
                <w:szCs w:val="21"/>
                <w:highlight w:val="none"/>
              </w:rPr>
            </w:pPr>
          </w:p>
        </w:tc>
        <w:tc>
          <w:tcPr>
            <w:tcW w:w="2727" w:type="dxa"/>
            <w:gridSpan w:val="2"/>
            <w:noWrap w:val="0"/>
            <w:vAlign w:val="center"/>
          </w:tcPr>
          <w:p w14:paraId="686E6F0A">
            <w:pPr>
              <w:spacing w:line="240" w:lineRule="exact"/>
              <w:rPr>
                <w:szCs w:val="21"/>
                <w:highlight w:val="none"/>
              </w:rPr>
            </w:pPr>
            <w:r>
              <w:rPr>
                <w:szCs w:val="21"/>
                <w:highlight w:val="none"/>
                <w:lang w:val="zh-CN"/>
              </w:rPr>
              <w:t>（2）</w:t>
            </w:r>
            <w:r>
              <w:rPr>
                <w:szCs w:val="21"/>
                <w:highlight w:val="none"/>
              </w:rPr>
              <w:t>具有良好的商业信誉和健全的财务会计制度</w:t>
            </w:r>
          </w:p>
        </w:tc>
        <w:tc>
          <w:tcPr>
            <w:tcW w:w="0" w:type="auto"/>
            <w:noWrap w:val="0"/>
            <w:vAlign w:val="center"/>
          </w:tcPr>
          <w:p w14:paraId="4C411774">
            <w:pPr>
              <w:spacing w:line="240" w:lineRule="exact"/>
              <w:rPr>
                <w:szCs w:val="21"/>
                <w:highlight w:val="none"/>
              </w:rPr>
            </w:pPr>
            <w:r>
              <w:rPr>
                <w:rFonts w:hint="eastAsia" w:ascii="宋体" w:hAnsi="宋体" w:cs="宋体"/>
                <w:szCs w:val="21"/>
                <w:highlight w:val="none"/>
              </w:rPr>
              <w:t>①</w:t>
            </w:r>
            <w:r>
              <w:rPr>
                <w:szCs w:val="21"/>
                <w:highlight w:val="none"/>
              </w:rPr>
              <w:t>审查商业信誉声明。须提供，格式见第</w:t>
            </w:r>
            <w:r>
              <w:rPr>
                <w:rFonts w:hint="eastAsia"/>
                <w:szCs w:val="21"/>
                <w:highlight w:val="none"/>
              </w:rPr>
              <w:t>六章</w:t>
            </w:r>
            <w:r>
              <w:rPr>
                <w:szCs w:val="21"/>
                <w:highlight w:val="none"/>
              </w:rPr>
              <w:t>响应文件格式“响应声明书”。</w:t>
            </w:r>
          </w:p>
          <w:p w14:paraId="4ACBFAB8">
            <w:pPr>
              <w:spacing w:line="240" w:lineRule="exact"/>
              <w:rPr>
                <w:szCs w:val="21"/>
                <w:highlight w:val="none"/>
              </w:rPr>
            </w:pPr>
            <w:r>
              <w:rPr>
                <w:rFonts w:hint="eastAsia" w:ascii="宋体" w:hAnsi="宋体" w:cs="宋体"/>
                <w:szCs w:val="21"/>
                <w:highlight w:val="none"/>
              </w:rPr>
              <w:t>②</w:t>
            </w:r>
            <w:r>
              <w:rPr>
                <w:szCs w:val="21"/>
                <w:highlight w:val="none"/>
              </w:rPr>
              <w:t>审查</w:t>
            </w:r>
            <w:r>
              <w:rPr>
                <w:rFonts w:hint="eastAsia"/>
                <w:color w:val="auto"/>
                <w:szCs w:val="21"/>
                <w:highlight w:val="none"/>
                <w:lang w:val="en-US" w:eastAsia="zh-CN"/>
              </w:rPr>
              <w:t>2025</w:t>
            </w:r>
            <w:r>
              <w:rPr>
                <w:rFonts w:hint="eastAsia"/>
                <w:color w:val="auto"/>
                <w:szCs w:val="21"/>
                <w:highlight w:val="none"/>
              </w:rPr>
              <w:t>年</w:t>
            </w:r>
            <w:r>
              <w:rPr>
                <w:rFonts w:hint="eastAsia"/>
                <w:color w:val="auto"/>
                <w:szCs w:val="21"/>
                <w:highlight w:val="none"/>
                <w:lang w:eastAsia="zh-CN"/>
              </w:rPr>
              <w:t>年</w:t>
            </w:r>
            <w:r>
              <w:rPr>
                <w:rFonts w:hint="eastAsia"/>
                <w:color w:val="auto"/>
                <w:szCs w:val="21"/>
                <w:highlight w:val="none"/>
              </w:rPr>
              <w:t>度</w:t>
            </w:r>
            <w:r>
              <w:rPr>
                <w:color w:val="auto"/>
                <w:szCs w:val="21"/>
                <w:highlight w:val="none"/>
              </w:rPr>
              <w:t>财务</w:t>
            </w:r>
            <w:r>
              <w:rPr>
                <w:szCs w:val="21"/>
                <w:highlight w:val="none"/>
              </w:rPr>
              <w:t>状况报告（表）</w:t>
            </w:r>
            <w:r>
              <w:rPr>
                <w:rFonts w:hint="eastAsia"/>
                <w:szCs w:val="21"/>
                <w:highlight w:val="none"/>
              </w:rPr>
              <w:t>扫描件</w:t>
            </w:r>
            <w:r>
              <w:rPr>
                <w:szCs w:val="21"/>
                <w:highlight w:val="none"/>
              </w:rPr>
              <w:t>或银行出具的资信证明</w:t>
            </w:r>
            <w:r>
              <w:rPr>
                <w:rFonts w:hint="eastAsia"/>
                <w:szCs w:val="21"/>
                <w:highlight w:val="none"/>
              </w:rPr>
              <w:t>扫描件</w:t>
            </w:r>
            <w:r>
              <w:rPr>
                <w:szCs w:val="21"/>
                <w:highlight w:val="none"/>
              </w:rPr>
              <w:t>。</w:t>
            </w:r>
            <w:r>
              <w:rPr>
                <w:highlight w:val="none"/>
              </w:rPr>
              <w:t>对于从取得营业执照时间起到响应文件递交截止时间为止不足1年的供应商，只需提交</w:t>
            </w:r>
            <w:r>
              <w:rPr>
                <w:szCs w:val="21"/>
                <w:highlight w:val="none"/>
              </w:rPr>
              <w:t>响应文件递交截止时间前一个月的财务状况报告（表）</w:t>
            </w:r>
            <w:r>
              <w:rPr>
                <w:rFonts w:hint="eastAsia"/>
                <w:szCs w:val="21"/>
                <w:highlight w:val="none"/>
              </w:rPr>
              <w:t>扫描件</w:t>
            </w:r>
            <w:r>
              <w:rPr>
                <w:szCs w:val="21"/>
                <w:highlight w:val="none"/>
              </w:rPr>
              <w:t>。</w:t>
            </w:r>
          </w:p>
        </w:tc>
      </w:tr>
      <w:tr w14:paraId="77215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1101" w:type="dxa"/>
            <w:vMerge w:val="continue"/>
            <w:noWrap w:val="0"/>
            <w:vAlign w:val="center"/>
          </w:tcPr>
          <w:p w14:paraId="138A7F31">
            <w:pPr>
              <w:spacing w:line="240" w:lineRule="exact"/>
              <w:jc w:val="center"/>
              <w:rPr>
                <w:szCs w:val="21"/>
                <w:highlight w:val="none"/>
              </w:rPr>
            </w:pPr>
          </w:p>
        </w:tc>
        <w:tc>
          <w:tcPr>
            <w:tcW w:w="2727" w:type="dxa"/>
            <w:gridSpan w:val="2"/>
            <w:noWrap w:val="0"/>
            <w:vAlign w:val="center"/>
          </w:tcPr>
          <w:p w14:paraId="14059181">
            <w:pPr>
              <w:spacing w:line="240" w:lineRule="exact"/>
              <w:rPr>
                <w:szCs w:val="21"/>
                <w:highlight w:val="none"/>
                <w:lang w:val="zh-CN"/>
              </w:rPr>
            </w:pPr>
            <w:r>
              <w:rPr>
                <w:szCs w:val="21"/>
                <w:highlight w:val="none"/>
                <w:lang w:val="zh-CN"/>
              </w:rPr>
              <w:t>（3）具有履行合同所必需的设备和专业技术能力</w:t>
            </w:r>
          </w:p>
        </w:tc>
        <w:tc>
          <w:tcPr>
            <w:tcW w:w="0" w:type="auto"/>
            <w:noWrap w:val="0"/>
            <w:vAlign w:val="center"/>
          </w:tcPr>
          <w:p w14:paraId="6A5D5FA4">
            <w:pPr>
              <w:spacing w:line="300" w:lineRule="exact"/>
              <w:rPr>
                <w:color w:val="auto"/>
                <w:szCs w:val="21"/>
                <w:highlight w:val="none"/>
              </w:rPr>
            </w:pPr>
            <w:r>
              <w:rPr>
                <w:rFonts w:hint="eastAsia" w:ascii="宋体" w:hAnsi="宋体" w:cs="宋体"/>
                <w:color w:val="auto"/>
                <w:szCs w:val="21"/>
                <w:highlight w:val="none"/>
              </w:rPr>
              <w:t>①</w:t>
            </w:r>
            <w:r>
              <w:rPr>
                <w:color w:val="auto"/>
                <w:szCs w:val="21"/>
                <w:highlight w:val="none"/>
              </w:rPr>
              <w:t>提供拟投入施工机械设备证明材料、</w:t>
            </w:r>
            <w:r>
              <w:rPr>
                <w:color w:val="auto"/>
                <w:highlight w:val="none"/>
              </w:rPr>
              <w:t>项目管理机构人员资格证件及在供应商单位依法缴纳社会保险的凭证等相关证明材料的</w:t>
            </w:r>
            <w:r>
              <w:rPr>
                <w:rFonts w:hint="eastAsia"/>
                <w:color w:val="auto"/>
                <w:szCs w:val="21"/>
                <w:highlight w:val="none"/>
              </w:rPr>
              <w:t>扫描件</w:t>
            </w:r>
            <w:r>
              <w:rPr>
                <w:color w:val="auto"/>
                <w:highlight w:val="none"/>
              </w:rPr>
              <w:t>。</w:t>
            </w:r>
          </w:p>
          <w:p w14:paraId="5747CAB6">
            <w:pPr>
              <w:spacing w:line="240" w:lineRule="exact"/>
              <w:rPr>
                <w:color w:val="auto"/>
                <w:szCs w:val="21"/>
                <w:highlight w:val="none"/>
              </w:rPr>
            </w:pPr>
            <w:r>
              <w:rPr>
                <w:rFonts w:hint="eastAsia" w:ascii="宋体" w:hAnsi="宋体" w:cs="宋体"/>
                <w:color w:val="auto"/>
                <w:szCs w:val="21"/>
                <w:highlight w:val="none"/>
              </w:rPr>
              <w:t>②</w:t>
            </w:r>
            <w:r>
              <w:rPr>
                <w:color w:val="auto"/>
                <w:szCs w:val="21"/>
                <w:highlight w:val="none"/>
              </w:rPr>
              <w:t>审查书面声明。须提供，格式见第</w:t>
            </w:r>
            <w:r>
              <w:rPr>
                <w:rFonts w:hint="eastAsia"/>
                <w:color w:val="auto"/>
                <w:szCs w:val="21"/>
                <w:highlight w:val="none"/>
              </w:rPr>
              <w:t>六章</w:t>
            </w:r>
            <w:r>
              <w:rPr>
                <w:color w:val="auto"/>
                <w:szCs w:val="21"/>
                <w:highlight w:val="none"/>
              </w:rPr>
              <w:t>响应文件格式“</w:t>
            </w:r>
            <w:r>
              <w:rPr>
                <w:rFonts w:hint="eastAsia"/>
                <w:color w:val="auto"/>
                <w:szCs w:val="21"/>
                <w:highlight w:val="none"/>
              </w:rPr>
              <w:t>响应</w:t>
            </w:r>
            <w:r>
              <w:rPr>
                <w:color w:val="auto"/>
                <w:szCs w:val="21"/>
                <w:highlight w:val="none"/>
              </w:rPr>
              <w:t>声明书”。</w:t>
            </w:r>
          </w:p>
          <w:p w14:paraId="1B886FD7">
            <w:pPr>
              <w:spacing w:line="240" w:lineRule="exact"/>
              <w:rPr>
                <w:rFonts w:hint="eastAsia"/>
                <w:color w:val="auto"/>
                <w:szCs w:val="21"/>
                <w:highlight w:val="none"/>
              </w:rPr>
            </w:pPr>
            <w:r>
              <w:rPr>
                <w:color w:val="auto"/>
                <w:szCs w:val="21"/>
                <w:highlight w:val="none"/>
              </w:rPr>
              <w:t>审查</w:t>
            </w:r>
            <w:r>
              <w:rPr>
                <w:rFonts w:hint="eastAsia" w:ascii="宋体" w:hAnsi="宋体" w:cs="宋体"/>
                <w:color w:val="auto"/>
                <w:szCs w:val="21"/>
                <w:highlight w:val="none"/>
              </w:rPr>
              <w:t>①</w:t>
            </w:r>
            <w:r>
              <w:rPr>
                <w:color w:val="auto"/>
                <w:szCs w:val="21"/>
                <w:highlight w:val="none"/>
              </w:rPr>
              <w:t>或</w:t>
            </w:r>
            <w:r>
              <w:rPr>
                <w:rFonts w:hint="eastAsia" w:ascii="宋体" w:hAnsi="宋体" w:cs="宋体"/>
                <w:color w:val="auto"/>
                <w:szCs w:val="21"/>
                <w:highlight w:val="none"/>
              </w:rPr>
              <w:t>②</w:t>
            </w:r>
            <w:r>
              <w:rPr>
                <w:color w:val="auto"/>
                <w:szCs w:val="21"/>
                <w:highlight w:val="none"/>
              </w:rPr>
              <w:t>，满足其一，即为符合要求。</w:t>
            </w:r>
          </w:p>
        </w:tc>
      </w:tr>
      <w:tr w14:paraId="5AA0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6" w:hRule="atLeast"/>
        </w:trPr>
        <w:tc>
          <w:tcPr>
            <w:tcW w:w="1101" w:type="dxa"/>
            <w:vMerge w:val="continue"/>
            <w:noWrap w:val="0"/>
            <w:vAlign w:val="center"/>
          </w:tcPr>
          <w:p w14:paraId="0DF78464">
            <w:pPr>
              <w:spacing w:line="240" w:lineRule="exact"/>
              <w:jc w:val="center"/>
              <w:rPr>
                <w:szCs w:val="21"/>
                <w:highlight w:val="none"/>
              </w:rPr>
            </w:pPr>
          </w:p>
        </w:tc>
        <w:tc>
          <w:tcPr>
            <w:tcW w:w="2727" w:type="dxa"/>
            <w:gridSpan w:val="2"/>
            <w:noWrap w:val="0"/>
            <w:vAlign w:val="center"/>
          </w:tcPr>
          <w:p w14:paraId="301AD9B1">
            <w:pPr>
              <w:spacing w:line="240" w:lineRule="exact"/>
              <w:rPr>
                <w:szCs w:val="21"/>
                <w:highlight w:val="none"/>
                <w:lang w:val="zh-CN"/>
              </w:rPr>
            </w:pPr>
            <w:r>
              <w:rPr>
                <w:szCs w:val="21"/>
                <w:highlight w:val="none"/>
                <w:lang w:val="zh-CN"/>
              </w:rPr>
              <w:t>（4）有依法缴纳税收和社会保障金的良好记录</w:t>
            </w:r>
          </w:p>
        </w:tc>
        <w:tc>
          <w:tcPr>
            <w:tcW w:w="0" w:type="auto"/>
            <w:noWrap w:val="0"/>
            <w:vAlign w:val="center"/>
          </w:tcPr>
          <w:p w14:paraId="0027E03F">
            <w:pPr>
              <w:spacing w:line="240" w:lineRule="exact"/>
              <w:jc w:val="left"/>
              <w:rPr>
                <w:color w:val="auto"/>
                <w:szCs w:val="21"/>
                <w:highlight w:val="none"/>
              </w:rPr>
            </w:pPr>
            <w:r>
              <w:rPr>
                <w:rFonts w:hint="eastAsia" w:ascii="宋体" w:hAnsi="宋体" w:cs="宋体"/>
                <w:color w:val="auto"/>
                <w:szCs w:val="21"/>
                <w:highlight w:val="none"/>
              </w:rPr>
              <w:t>①</w:t>
            </w:r>
            <w:r>
              <w:rPr>
                <w:color w:val="auto"/>
                <w:szCs w:val="21"/>
                <w:highlight w:val="none"/>
              </w:rPr>
              <w:t>审查</w:t>
            </w:r>
            <w:r>
              <w:rPr>
                <w:rFonts w:hint="eastAsia"/>
                <w:color w:val="auto"/>
                <w:szCs w:val="21"/>
                <w:highlight w:val="none"/>
              </w:rPr>
              <w:t>响应</w:t>
            </w:r>
            <w:r>
              <w:rPr>
                <w:color w:val="auto"/>
                <w:szCs w:val="21"/>
                <w:highlight w:val="none"/>
              </w:rPr>
              <w:t>截止时间前6个月内，</w:t>
            </w:r>
            <w:r>
              <w:rPr>
                <w:rFonts w:hint="eastAsia"/>
                <w:color w:val="auto"/>
                <w:highlight w:val="none"/>
              </w:rPr>
              <w:t>供应商</w:t>
            </w:r>
            <w:r>
              <w:rPr>
                <w:color w:val="auto"/>
                <w:highlight w:val="none"/>
              </w:rPr>
              <w:t>任意</w:t>
            </w:r>
            <w:r>
              <w:rPr>
                <w:rFonts w:hint="eastAsia"/>
                <w:color w:val="auto"/>
                <w:highlight w:val="none"/>
              </w:rPr>
              <w:t>1个月</w:t>
            </w:r>
            <w:r>
              <w:rPr>
                <w:color w:val="auto"/>
                <w:szCs w:val="21"/>
                <w:highlight w:val="none"/>
              </w:rPr>
              <w:t>依法缴纳税费证明</w:t>
            </w:r>
            <w:r>
              <w:rPr>
                <w:rFonts w:hint="eastAsia"/>
                <w:color w:val="auto"/>
                <w:szCs w:val="21"/>
                <w:highlight w:val="none"/>
              </w:rPr>
              <w:t>扫描件</w:t>
            </w:r>
            <w:r>
              <w:rPr>
                <w:color w:val="auto"/>
                <w:szCs w:val="21"/>
                <w:highlight w:val="none"/>
              </w:rPr>
              <w:t>加盖供应商</w:t>
            </w:r>
            <w:r>
              <w:rPr>
                <w:rFonts w:hint="eastAsia"/>
                <w:color w:val="auto"/>
                <w:szCs w:val="21"/>
                <w:highlight w:val="none"/>
              </w:rPr>
              <w:t>电子签章</w:t>
            </w:r>
            <w:r>
              <w:rPr>
                <w:color w:val="auto"/>
                <w:szCs w:val="21"/>
                <w:highlight w:val="none"/>
              </w:rPr>
              <w:t>。</w:t>
            </w:r>
          </w:p>
          <w:p w14:paraId="6F03B804">
            <w:pPr>
              <w:spacing w:line="240" w:lineRule="exact"/>
              <w:jc w:val="left"/>
              <w:rPr>
                <w:b/>
                <w:bCs/>
                <w:color w:val="auto"/>
                <w:szCs w:val="21"/>
                <w:highlight w:val="none"/>
              </w:rPr>
            </w:pPr>
            <w:r>
              <w:rPr>
                <w:rFonts w:hint="eastAsia" w:ascii="宋体" w:hAnsi="宋体" w:cs="宋体"/>
                <w:color w:val="auto"/>
                <w:szCs w:val="21"/>
                <w:highlight w:val="none"/>
              </w:rPr>
              <w:t>②</w:t>
            </w:r>
            <w:r>
              <w:rPr>
                <w:color w:val="auto"/>
                <w:szCs w:val="21"/>
                <w:highlight w:val="none"/>
              </w:rPr>
              <w:t>审查</w:t>
            </w:r>
            <w:r>
              <w:rPr>
                <w:rFonts w:hint="eastAsia"/>
                <w:color w:val="auto"/>
                <w:szCs w:val="21"/>
                <w:highlight w:val="none"/>
              </w:rPr>
              <w:t>响应</w:t>
            </w:r>
            <w:r>
              <w:rPr>
                <w:color w:val="auto"/>
                <w:szCs w:val="21"/>
                <w:highlight w:val="none"/>
              </w:rPr>
              <w:t>截止时间前6个月内，</w:t>
            </w:r>
            <w:r>
              <w:rPr>
                <w:rFonts w:hint="eastAsia"/>
                <w:color w:val="auto"/>
                <w:highlight w:val="none"/>
              </w:rPr>
              <w:t>供应商</w:t>
            </w:r>
            <w:r>
              <w:rPr>
                <w:color w:val="auto"/>
                <w:highlight w:val="none"/>
              </w:rPr>
              <w:t>任意</w:t>
            </w:r>
            <w:r>
              <w:rPr>
                <w:rFonts w:hint="eastAsia"/>
                <w:color w:val="auto"/>
                <w:highlight w:val="none"/>
              </w:rPr>
              <w:t>1个月</w:t>
            </w:r>
            <w:r>
              <w:rPr>
                <w:color w:val="auto"/>
                <w:szCs w:val="21"/>
                <w:highlight w:val="none"/>
              </w:rPr>
              <w:t>的</w:t>
            </w:r>
            <w:r>
              <w:rPr>
                <w:color w:val="auto"/>
                <w:szCs w:val="21"/>
                <w:highlight w:val="none"/>
                <w:lang w:val="zh-CN"/>
              </w:rPr>
              <w:t>社会保障</w:t>
            </w:r>
            <w:r>
              <w:rPr>
                <w:rFonts w:hint="eastAsia"/>
                <w:color w:val="auto"/>
                <w:szCs w:val="21"/>
                <w:highlight w:val="none"/>
                <w:lang w:val="en-US" w:eastAsia="zh-CN"/>
              </w:rPr>
              <w:t>资</w:t>
            </w:r>
            <w:r>
              <w:rPr>
                <w:color w:val="auto"/>
                <w:szCs w:val="21"/>
                <w:highlight w:val="none"/>
                <w:lang w:val="zh-CN"/>
              </w:rPr>
              <w:t>金</w:t>
            </w:r>
            <w:r>
              <w:rPr>
                <w:color w:val="auto"/>
                <w:szCs w:val="21"/>
                <w:highlight w:val="none"/>
              </w:rPr>
              <w:t>缴费证明记录</w:t>
            </w:r>
            <w:r>
              <w:rPr>
                <w:rFonts w:hint="eastAsia"/>
                <w:color w:val="auto"/>
                <w:szCs w:val="21"/>
                <w:highlight w:val="none"/>
              </w:rPr>
              <w:t>扫描件</w:t>
            </w:r>
            <w:r>
              <w:rPr>
                <w:color w:val="auto"/>
                <w:szCs w:val="21"/>
                <w:highlight w:val="none"/>
              </w:rPr>
              <w:t>加盖供应商</w:t>
            </w:r>
            <w:r>
              <w:rPr>
                <w:rFonts w:hint="eastAsia"/>
                <w:color w:val="auto"/>
                <w:szCs w:val="21"/>
                <w:highlight w:val="none"/>
              </w:rPr>
              <w:t>电子签章</w:t>
            </w:r>
            <w:r>
              <w:rPr>
                <w:color w:val="auto"/>
                <w:szCs w:val="21"/>
                <w:highlight w:val="none"/>
              </w:rPr>
              <w:t>。</w:t>
            </w:r>
            <w:r>
              <w:rPr>
                <w:rFonts w:hint="eastAsia"/>
                <w:b/>
                <w:bCs/>
                <w:color w:val="auto"/>
                <w:szCs w:val="21"/>
                <w:highlight w:val="none"/>
                <w:lang w:eastAsia="zh-CN"/>
              </w:rPr>
              <w:t>【</w:t>
            </w:r>
            <w:r>
              <w:rPr>
                <w:b/>
                <w:bCs/>
                <w:color w:val="auto"/>
                <w:szCs w:val="21"/>
                <w:highlight w:val="none"/>
                <w:lang w:val="zh-CN"/>
              </w:rPr>
              <w:t>社会保障</w:t>
            </w:r>
            <w:r>
              <w:rPr>
                <w:rFonts w:hint="eastAsia"/>
                <w:b/>
                <w:bCs/>
                <w:color w:val="auto"/>
                <w:szCs w:val="21"/>
                <w:highlight w:val="none"/>
                <w:lang w:val="en-US" w:eastAsia="zh-CN"/>
              </w:rPr>
              <w:t>资</w:t>
            </w:r>
            <w:r>
              <w:rPr>
                <w:b/>
                <w:bCs/>
                <w:color w:val="auto"/>
                <w:szCs w:val="21"/>
                <w:highlight w:val="none"/>
                <w:lang w:val="zh-CN"/>
              </w:rPr>
              <w:t>金</w:t>
            </w:r>
            <w:r>
              <w:rPr>
                <w:rFonts w:hint="eastAsia"/>
                <w:b/>
                <w:bCs/>
                <w:color w:val="auto"/>
                <w:szCs w:val="21"/>
                <w:highlight w:val="none"/>
                <w:lang w:eastAsia="zh-CN"/>
              </w:rPr>
              <w:t>包括：养老保险、失业保险、医疗保险、工伤保险、生育保险（如有）】</w:t>
            </w:r>
          </w:p>
          <w:p w14:paraId="61D381A0">
            <w:pPr>
              <w:spacing w:line="240" w:lineRule="exact"/>
              <w:jc w:val="left"/>
              <w:rPr>
                <w:color w:val="auto"/>
                <w:szCs w:val="21"/>
                <w:highlight w:val="none"/>
              </w:rPr>
            </w:pPr>
            <w:r>
              <w:rPr>
                <w:color w:val="auto"/>
                <w:szCs w:val="21"/>
                <w:highlight w:val="none"/>
              </w:rPr>
              <w:t>供应商成立不足</w:t>
            </w:r>
            <w:r>
              <w:rPr>
                <w:rFonts w:hint="eastAsia"/>
                <w:color w:val="auto"/>
                <w:szCs w:val="21"/>
                <w:highlight w:val="none"/>
              </w:rPr>
              <w:t>1个月的，无须提供</w:t>
            </w:r>
            <w:r>
              <w:rPr>
                <w:color w:val="auto"/>
                <w:szCs w:val="21"/>
                <w:highlight w:val="none"/>
              </w:rPr>
              <w:t>缴纳税费证明及社</w:t>
            </w:r>
            <w:r>
              <w:rPr>
                <w:rFonts w:hint="eastAsia"/>
                <w:color w:val="auto"/>
                <w:szCs w:val="21"/>
                <w:highlight w:val="none"/>
                <w:lang w:val="en-US" w:eastAsia="zh-CN"/>
              </w:rPr>
              <w:t>会保障资金</w:t>
            </w:r>
            <w:r>
              <w:rPr>
                <w:color w:val="auto"/>
                <w:szCs w:val="21"/>
                <w:highlight w:val="none"/>
              </w:rPr>
              <w:t>缴费证明加盖供应商电子签章</w:t>
            </w:r>
            <w:r>
              <w:rPr>
                <w:rFonts w:hint="eastAsia"/>
                <w:color w:val="auto"/>
                <w:szCs w:val="21"/>
                <w:highlight w:val="none"/>
              </w:rPr>
              <w:t>。</w:t>
            </w:r>
          </w:p>
          <w:p w14:paraId="728E0C60">
            <w:pPr>
              <w:spacing w:line="240" w:lineRule="exact"/>
              <w:rPr>
                <w:color w:val="auto"/>
                <w:szCs w:val="21"/>
                <w:highlight w:val="none"/>
              </w:rPr>
            </w:pPr>
            <w:r>
              <w:rPr>
                <w:color w:val="auto"/>
                <w:szCs w:val="21"/>
                <w:highlight w:val="none"/>
              </w:rPr>
              <w:t>依法免税或不需要缴纳社会保障资金的供应商，须提供相应文件证明其依法免税或不需要缴纳社会保障资金。</w:t>
            </w:r>
          </w:p>
        </w:tc>
      </w:tr>
      <w:tr w14:paraId="10A5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7" w:hRule="atLeast"/>
        </w:trPr>
        <w:tc>
          <w:tcPr>
            <w:tcW w:w="1101" w:type="dxa"/>
            <w:vMerge w:val="continue"/>
            <w:noWrap w:val="0"/>
            <w:vAlign w:val="center"/>
          </w:tcPr>
          <w:p w14:paraId="5E87AAF8">
            <w:pPr>
              <w:spacing w:line="240" w:lineRule="exact"/>
              <w:jc w:val="center"/>
              <w:rPr>
                <w:szCs w:val="21"/>
                <w:highlight w:val="none"/>
              </w:rPr>
            </w:pPr>
          </w:p>
        </w:tc>
        <w:tc>
          <w:tcPr>
            <w:tcW w:w="2727" w:type="dxa"/>
            <w:gridSpan w:val="2"/>
            <w:noWrap w:val="0"/>
            <w:vAlign w:val="center"/>
          </w:tcPr>
          <w:p w14:paraId="0A1FB36B">
            <w:pPr>
              <w:spacing w:line="240" w:lineRule="exact"/>
              <w:rPr>
                <w:szCs w:val="21"/>
                <w:highlight w:val="none"/>
                <w:lang w:val="zh-CN"/>
              </w:rPr>
            </w:pPr>
            <w:r>
              <w:rPr>
                <w:szCs w:val="21"/>
                <w:highlight w:val="none"/>
              </w:rPr>
              <w:t>（5）参加政府采购活动前三年内，在经营活动中没有重大违法记录</w:t>
            </w:r>
          </w:p>
        </w:tc>
        <w:tc>
          <w:tcPr>
            <w:tcW w:w="0" w:type="auto"/>
            <w:noWrap w:val="0"/>
            <w:vAlign w:val="center"/>
          </w:tcPr>
          <w:p w14:paraId="0EFC34FB">
            <w:pPr>
              <w:spacing w:line="240" w:lineRule="exact"/>
              <w:jc w:val="left"/>
              <w:rPr>
                <w:color w:val="auto"/>
                <w:szCs w:val="21"/>
                <w:highlight w:val="none"/>
              </w:rPr>
            </w:pPr>
            <w:r>
              <w:rPr>
                <w:color w:val="auto"/>
                <w:szCs w:val="21"/>
                <w:highlight w:val="none"/>
              </w:rPr>
              <w:t>审查无重大违法记录声明。须提供，格式见第</w:t>
            </w:r>
            <w:r>
              <w:rPr>
                <w:rFonts w:hint="eastAsia"/>
                <w:color w:val="auto"/>
                <w:szCs w:val="21"/>
                <w:highlight w:val="none"/>
              </w:rPr>
              <w:t>六章</w:t>
            </w:r>
            <w:r>
              <w:rPr>
                <w:color w:val="auto"/>
                <w:szCs w:val="21"/>
                <w:highlight w:val="none"/>
              </w:rPr>
              <w:t xml:space="preserve">响应文件格式“响应声明书”。 </w:t>
            </w:r>
          </w:p>
        </w:tc>
      </w:tr>
      <w:tr w14:paraId="6BF9C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1101" w:type="dxa"/>
            <w:vMerge w:val="continue"/>
            <w:noWrap w:val="0"/>
            <w:vAlign w:val="center"/>
          </w:tcPr>
          <w:p w14:paraId="5E744367">
            <w:pPr>
              <w:spacing w:line="240" w:lineRule="exact"/>
              <w:jc w:val="center"/>
              <w:rPr>
                <w:szCs w:val="21"/>
                <w:highlight w:val="none"/>
              </w:rPr>
            </w:pPr>
          </w:p>
        </w:tc>
        <w:tc>
          <w:tcPr>
            <w:tcW w:w="2727" w:type="dxa"/>
            <w:gridSpan w:val="2"/>
            <w:noWrap w:val="0"/>
            <w:vAlign w:val="center"/>
          </w:tcPr>
          <w:p w14:paraId="300DBD2A">
            <w:pPr>
              <w:spacing w:line="240" w:lineRule="exact"/>
              <w:rPr>
                <w:szCs w:val="21"/>
                <w:highlight w:val="none"/>
              </w:rPr>
            </w:pPr>
            <w:r>
              <w:rPr>
                <w:szCs w:val="21"/>
                <w:highlight w:val="none"/>
              </w:rPr>
              <w:t>（6）具备法律、行政法规规定的其他要求</w:t>
            </w:r>
          </w:p>
        </w:tc>
        <w:tc>
          <w:tcPr>
            <w:tcW w:w="0" w:type="auto"/>
            <w:noWrap w:val="0"/>
            <w:vAlign w:val="center"/>
          </w:tcPr>
          <w:p w14:paraId="5901BD19">
            <w:pPr>
              <w:spacing w:line="240" w:lineRule="exact"/>
              <w:rPr>
                <w:color w:val="auto"/>
                <w:szCs w:val="21"/>
                <w:highlight w:val="none"/>
              </w:rPr>
            </w:pPr>
            <w:r>
              <w:rPr>
                <w:rFonts w:hint="eastAsia"/>
                <w:color w:val="auto"/>
                <w:szCs w:val="21"/>
                <w:highlight w:val="none"/>
              </w:rPr>
              <w:t>无。</w:t>
            </w:r>
          </w:p>
        </w:tc>
      </w:tr>
      <w:tr w14:paraId="1207A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1101" w:type="dxa"/>
            <w:noWrap w:val="0"/>
            <w:vAlign w:val="center"/>
          </w:tcPr>
          <w:p w14:paraId="646A5535">
            <w:pPr>
              <w:spacing w:line="240" w:lineRule="exact"/>
              <w:rPr>
                <w:szCs w:val="21"/>
                <w:highlight w:val="none"/>
                <w:lang w:val="zh-CN"/>
              </w:rPr>
            </w:pPr>
            <w:r>
              <w:rPr>
                <w:rFonts w:hint="eastAsia"/>
                <w:kern w:val="0"/>
                <w:szCs w:val="21"/>
                <w:highlight w:val="none"/>
              </w:rPr>
              <w:t>采购政策</w:t>
            </w:r>
          </w:p>
        </w:tc>
        <w:tc>
          <w:tcPr>
            <w:tcW w:w="2727" w:type="dxa"/>
            <w:gridSpan w:val="2"/>
            <w:noWrap w:val="0"/>
            <w:vAlign w:val="center"/>
          </w:tcPr>
          <w:p w14:paraId="2D1A3404">
            <w:pPr>
              <w:spacing w:line="240" w:lineRule="exact"/>
              <w:jc w:val="left"/>
              <w:rPr>
                <w:szCs w:val="21"/>
                <w:highlight w:val="none"/>
              </w:rPr>
            </w:pPr>
            <w:r>
              <w:rPr>
                <w:rFonts w:hint="eastAsia"/>
                <w:szCs w:val="21"/>
                <w:highlight w:val="none"/>
              </w:rPr>
              <w:t>落实政府采购政策需满足的资格要求</w:t>
            </w:r>
          </w:p>
        </w:tc>
        <w:tc>
          <w:tcPr>
            <w:tcW w:w="0" w:type="auto"/>
            <w:noWrap w:val="0"/>
            <w:vAlign w:val="center"/>
          </w:tcPr>
          <w:p w14:paraId="7492CA6B">
            <w:pPr>
              <w:spacing w:line="240" w:lineRule="exact"/>
              <w:rPr>
                <w:rFonts w:ascii="宋体" w:hAnsi="宋体" w:cs="宋体"/>
                <w:szCs w:val="21"/>
                <w:highlight w:val="none"/>
              </w:rPr>
            </w:pPr>
            <w:r>
              <w:rPr>
                <w:rFonts w:hint="eastAsia" w:ascii="宋体" w:hAnsi="宋体" w:cs="宋体"/>
                <w:szCs w:val="21"/>
                <w:highlight w:val="none"/>
              </w:rPr>
              <w:t>供应商独立</w:t>
            </w:r>
            <w:r>
              <w:rPr>
                <w:rFonts w:hint="eastAsia"/>
                <w:szCs w:val="21"/>
                <w:highlight w:val="none"/>
              </w:rPr>
              <w:t>响应</w:t>
            </w:r>
            <w:r>
              <w:rPr>
                <w:rFonts w:hint="eastAsia" w:ascii="宋体" w:hAnsi="宋体" w:cs="宋体"/>
                <w:szCs w:val="21"/>
                <w:highlight w:val="none"/>
              </w:rPr>
              <w:t>：</w:t>
            </w:r>
          </w:p>
          <w:p w14:paraId="10525655">
            <w:pPr>
              <w:spacing w:line="240" w:lineRule="exact"/>
              <w:rPr>
                <w:szCs w:val="21"/>
                <w:highlight w:val="none"/>
              </w:rPr>
            </w:pPr>
            <w:r>
              <w:rPr>
                <w:rFonts w:hint="eastAsia" w:ascii="宋体" w:hAnsi="宋体" w:cs="宋体"/>
                <w:szCs w:val="21"/>
                <w:highlight w:val="none"/>
              </w:rPr>
              <w:t>提供</w:t>
            </w:r>
            <w:r>
              <w:rPr>
                <w:rFonts w:hint="eastAsia"/>
                <w:szCs w:val="21"/>
                <w:highlight w:val="none"/>
              </w:rPr>
              <w:t>《中小企业声明函》</w:t>
            </w:r>
            <w:r>
              <w:rPr>
                <w:rFonts w:hint="eastAsia" w:ascii="宋体" w:hAnsi="宋体" w:cs="宋体"/>
                <w:szCs w:val="21"/>
                <w:highlight w:val="none"/>
              </w:rPr>
              <w:t>，符合承建</w:t>
            </w:r>
            <w:r>
              <w:rPr>
                <w:rFonts w:hint="eastAsia"/>
                <w:szCs w:val="21"/>
                <w:highlight w:val="none"/>
              </w:rPr>
              <w:t>采购文件标明所属行业的标的物的工程施工单位应全部为中型或小型或微型企业</w:t>
            </w:r>
            <w:r>
              <w:rPr>
                <w:rFonts w:hint="eastAsia" w:ascii="宋体" w:hAnsi="宋体" w:cs="宋体"/>
                <w:szCs w:val="21"/>
                <w:highlight w:val="none"/>
              </w:rPr>
              <w:t>的条件</w:t>
            </w:r>
            <w:r>
              <w:rPr>
                <w:rFonts w:hint="eastAsia"/>
                <w:szCs w:val="21"/>
                <w:highlight w:val="none"/>
              </w:rPr>
              <w:t>。</w:t>
            </w:r>
          </w:p>
          <w:p w14:paraId="7B03791B">
            <w:pPr>
              <w:spacing w:line="240" w:lineRule="exact"/>
              <w:jc w:val="left"/>
              <w:rPr>
                <w:rFonts w:ascii="宋体" w:hAnsi="宋体" w:cs="宋体"/>
                <w:szCs w:val="21"/>
                <w:highlight w:val="none"/>
              </w:rPr>
            </w:pPr>
            <w:r>
              <w:rPr>
                <w:rFonts w:hint="eastAsia"/>
                <w:szCs w:val="21"/>
                <w:highlight w:val="none"/>
              </w:rPr>
              <w:t>注：1、符合</w:t>
            </w:r>
            <w:r>
              <w:rPr>
                <w:rFonts w:hint="eastAsia" w:ascii="宋体" w:hAnsi="宋体" w:cs="宋体"/>
                <w:szCs w:val="21"/>
                <w:highlight w:val="none"/>
              </w:rPr>
              <w:t>监狱企业出具监狱企业证明文件的、符合残疾人福利性单位出具《残疾人福利性单位声明函》的视同中小企业。</w:t>
            </w:r>
          </w:p>
          <w:p w14:paraId="2B6B909C">
            <w:pPr>
              <w:spacing w:line="240" w:lineRule="exact"/>
              <w:jc w:val="left"/>
              <w:rPr>
                <w:szCs w:val="21"/>
                <w:highlight w:val="none"/>
              </w:rPr>
            </w:pPr>
            <w:r>
              <w:rPr>
                <w:szCs w:val="21"/>
                <w:highlight w:val="none"/>
              </w:rPr>
              <w:t>2</w:t>
            </w:r>
            <w:r>
              <w:rPr>
                <w:rFonts w:hint="eastAsia"/>
                <w:szCs w:val="21"/>
                <w:highlight w:val="none"/>
              </w:rPr>
              <w:t>、律师事务所、司法鉴定机构不适用《中小企业划型标准规定》，不享受中小企业发展政策。</w:t>
            </w:r>
          </w:p>
        </w:tc>
      </w:tr>
      <w:tr w14:paraId="4E6C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101" w:type="dxa"/>
            <w:vMerge w:val="restart"/>
            <w:noWrap w:val="0"/>
            <w:vAlign w:val="center"/>
          </w:tcPr>
          <w:p w14:paraId="1E88C3F3">
            <w:pPr>
              <w:spacing w:line="240" w:lineRule="exact"/>
              <w:jc w:val="center"/>
              <w:rPr>
                <w:szCs w:val="21"/>
                <w:highlight w:val="none"/>
              </w:rPr>
            </w:pPr>
            <w:r>
              <w:rPr>
                <w:szCs w:val="21"/>
                <w:highlight w:val="none"/>
                <w:lang w:val="zh-CN"/>
              </w:rPr>
              <w:t>供应商应符合的</w:t>
            </w:r>
            <w:r>
              <w:rPr>
                <w:szCs w:val="21"/>
                <w:highlight w:val="none"/>
              </w:rPr>
              <w:t>特定资格条件</w:t>
            </w:r>
          </w:p>
        </w:tc>
        <w:tc>
          <w:tcPr>
            <w:tcW w:w="2727" w:type="dxa"/>
            <w:gridSpan w:val="2"/>
            <w:noWrap w:val="0"/>
            <w:vAlign w:val="center"/>
          </w:tcPr>
          <w:p w14:paraId="155545D6">
            <w:pPr>
              <w:spacing w:line="240" w:lineRule="exact"/>
              <w:jc w:val="left"/>
              <w:rPr>
                <w:szCs w:val="21"/>
                <w:highlight w:val="none"/>
              </w:rPr>
            </w:pPr>
            <w:r>
              <w:rPr>
                <w:szCs w:val="21"/>
                <w:highlight w:val="none"/>
              </w:rPr>
              <w:t>（1）资质</w:t>
            </w:r>
            <w:r>
              <w:rPr>
                <w:rFonts w:hint="eastAsia"/>
                <w:szCs w:val="21"/>
                <w:highlight w:val="none"/>
              </w:rPr>
              <w:t>要求</w:t>
            </w:r>
          </w:p>
        </w:tc>
        <w:tc>
          <w:tcPr>
            <w:tcW w:w="0" w:type="auto"/>
            <w:noWrap w:val="0"/>
            <w:vAlign w:val="center"/>
          </w:tcPr>
          <w:p w14:paraId="4E6D13B5">
            <w:pPr>
              <w:spacing w:line="240" w:lineRule="exact"/>
              <w:rPr>
                <w:szCs w:val="21"/>
                <w:highlight w:val="none"/>
              </w:rPr>
            </w:pPr>
            <w:r>
              <w:rPr>
                <w:szCs w:val="21"/>
                <w:highlight w:val="none"/>
              </w:rPr>
              <w:t>须符合</w:t>
            </w:r>
            <w:r>
              <w:rPr>
                <w:rFonts w:hint="eastAsia"/>
                <w:szCs w:val="21"/>
                <w:highlight w:val="none"/>
              </w:rPr>
              <w:t>“磋商公告”</w:t>
            </w:r>
            <w:r>
              <w:rPr>
                <w:szCs w:val="21"/>
                <w:highlight w:val="none"/>
              </w:rPr>
              <w:t>要求</w:t>
            </w:r>
            <w:r>
              <w:rPr>
                <w:rFonts w:hint="eastAsia"/>
                <w:szCs w:val="21"/>
                <w:highlight w:val="none"/>
              </w:rPr>
              <w:t>。</w:t>
            </w:r>
          </w:p>
        </w:tc>
      </w:tr>
      <w:tr w14:paraId="465E6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trPr>
        <w:tc>
          <w:tcPr>
            <w:tcW w:w="1101" w:type="dxa"/>
            <w:vMerge w:val="continue"/>
            <w:noWrap w:val="0"/>
            <w:vAlign w:val="center"/>
          </w:tcPr>
          <w:p w14:paraId="0D546151">
            <w:pPr>
              <w:spacing w:line="240" w:lineRule="exact"/>
              <w:jc w:val="center"/>
              <w:rPr>
                <w:szCs w:val="21"/>
                <w:highlight w:val="none"/>
              </w:rPr>
            </w:pPr>
          </w:p>
        </w:tc>
        <w:tc>
          <w:tcPr>
            <w:tcW w:w="1461" w:type="dxa"/>
            <w:vMerge w:val="restart"/>
            <w:noWrap w:val="0"/>
            <w:vAlign w:val="center"/>
          </w:tcPr>
          <w:p w14:paraId="124EEFB5">
            <w:pPr>
              <w:spacing w:line="240" w:lineRule="exact"/>
              <w:rPr>
                <w:szCs w:val="21"/>
                <w:highlight w:val="none"/>
              </w:rPr>
            </w:pPr>
            <w:r>
              <w:rPr>
                <w:rFonts w:hint="eastAsia"/>
                <w:szCs w:val="21"/>
                <w:highlight w:val="none"/>
              </w:rPr>
              <w:t>（2）人员要求</w:t>
            </w:r>
          </w:p>
        </w:tc>
        <w:tc>
          <w:tcPr>
            <w:tcW w:w="0" w:type="auto"/>
            <w:noWrap w:val="0"/>
            <w:vAlign w:val="center"/>
          </w:tcPr>
          <w:p w14:paraId="6A28C091">
            <w:pPr>
              <w:spacing w:line="240" w:lineRule="exact"/>
              <w:jc w:val="left"/>
              <w:rPr>
                <w:szCs w:val="21"/>
                <w:highlight w:val="none"/>
              </w:rPr>
            </w:pPr>
            <w:r>
              <w:rPr>
                <w:rFonts w:hint="eastAsia"/>
                <w:szCs w:val="21"/>
                <w:highlight w:val="none"/>
              </w:rPr>
              <w:t>项目经理</w:t>
            </w:r>
          </w:p>
        </w:tc>
        <w:tc>
          <w:tcPr>
            <w:tcW w:w="0" w:type="auto"/>
            <w:noWrap w:val="0"/>
            <w:vAlign w:val="center"/>
          </w:tcPr>
          <w:p w14:paraId="65A9919C">
            <w:pPr>
              <w:spacing w:line="240" w:lineRule="exact"/>
              <w:rPr>
                <w:szCs w:val="21"/>
                <w:highlight w:val="none"/>
              </w:rPr>
            </w:pPr>
            <w:r>
              <w:rPr>
                <w:szCs w:val="21"/>
                <w:highlight w:val="none"/>
              </w:rPr>
              <w:t>须符合</w:t>
            </w:r>
            <w:r>
              <w:rPr>
                <w:rFonts w:hint="eastAsia"/>
                <w:szCs w:val="21"/>
                <w:highlight w:val="none"/>
              </w:rPr>
              <w:t>“磋商公告”</w:t>
            </w:r>
            <w:r>
              <w:rPr>
                <w:szCs w:val="21"/>
                <w:highlight w:val="none"/>
              </w:rPr>
              <w:t>要求</w:t>
            </w:r>
            <w:r>
              <w:rPr>
                <w:rFonts w:hint="eastAsia"/>
                <w:szCs w:val="21"/>
                <w:highlight w:val="none"/>
              </w:rPr>
              <w:t>。须提供在响应文件递交</w:t>
            </w:r>
            <w:r>
              <w:rPr>
                <w:szCs w:val="21"/>
                <w:highlight w:val="none"/>
              </w:rPr>
              <w:t>截止时间前6个月内</w:t>
            </w:r>
            <w:r>
              <w:rPr>
                <w:rFonts w:hint="eastAsia"/>
                <w:szCs w:val="21"/>
                <w:highlight w:val="none"/>
              </w:rPr>
              <w:t>任意1</w:t>
            </w:r>
            <w:r>
              <w:rPr>
                <w:szCs w:val="21"/>
                <w:highlight w:val="none"/>
              </w:rPr>
              <w:t>个月在现任职单位依法缴纳社会保险的</w:t>
            </w:r>
            <w:r>
              <w:rPr>
                <w:rFonts w:hint="eastAsia"/>
                <w:szCs w:val="21"/>
                <w:highlight w:val="none"/>
              </w:rPr>
              <w:t>证明材料扫描件。</w:t>
            </w:r>
          </w:p>
        </w:tc>
      </w:tr>
      <w:tr w14:paraId="3267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trPr>
        <w:tc>
          <w:tcPr>
            <w:tcW w:w="1101" w:type="dxa"/>
            <w:vMerge w:val="continue"/>
            <w:noWrap w:val="0"/>
            <w:vAlign w:val="center"/>
          </w:tcPr>
          <w:p w14:paraId="013FA58E">
            <w:pPr>
              <w:spacing w:line="240" w:lineRule="exact"/>
              <w:jc w:val="center"/>
              <w:rPr>
                <w:szCs w:val="21"/>
                <w:highlight w:val="none"/>
              </w:rPr>
            </w:pPr>
          </w:p>
        </w:tc>
        <w:tc>
          <w:tcPr>
            <w:tcW w:w="1461" w:type="dxa"/>
            <w:vMerge w:val="continue"/>
            <w:noWrap w:val="0"/>
            <w:vAlign w:val="top"/>
          </w:tcPr>
          <w:p w14:paraId="45DD2A2D">
            <w:pPr>
              <w:spacing w:line="240" w:lineRule="exact"/>
              <w:jc w:val="left"/>
              <w:rPr>
                <w:rFonts w:hint="eastAsia"/>
                <w:szCs w:val="21"/>
                <w:highlight w:val="none"/>
              </w:rPr>
            </w:pPr>
          </w:p>
        </w:tc>
        <w:tc>
          <w:tcPr>
            <w:tcW w:w="0" w:type="auto"/>
            <w:noWrap w:val="0"/>
            <w:vAlign w:val="center"/>
          </w:tcPr>
          <w:p w14:paraId="2F2E6332">
            <w:pPr>
              <w:spacing w:line="240" w:lineRule="exact"/>
              <w:jc w:val="left"/>
              <w:rPr>
                <w:rFonts w:hint="eastAsia"/>
                <w:szCs w:val="21"/>
                <w:highlight w:val="none"/>
              </w:rPr>
            </w:pPr>
            <w:r>
              <w:rPr>
                <w:rFonts w:hint="eastAsia"/>
                <w:szCs w:val="21"/>
                <w:highlight w:val="none"/>
              </w:rPr>
              <w:t>技术负责人</w:t>
            </w:r>
          </w:p>
        </w:tc>
        <w:tc>
          <w:tcPr>
            <w:tcW w:w="0" w:type="auto"/>
            <w:noWrap w:val="0"/>
            <w:vAlign w:val="center"/>
          </w:tcPr>
          <w:p w14:paraId="696771DB">
            <w:pPr>
              <w:spacing w:line="240" w:lineRule="exact"/>
              <w:rPr>
                <w:szCs w:val="21"/>
                <w:highlight w:val="none"/>
              </w:rPr>
            </w:pPr>
            <w:r>
              <w:rPr>
                <w:szCs w:val="21"/>
                <w:highlight w:val="none"/>
              </w:rPr>
              <w:t>须符合</w:t>
            </w:r>
            <w:r>
              <w:rPr>
                <w:rFonts w:hint="eastAsia"/>
                <w:szCs w:val="21"/>
                <w:highlight w:val="none"/>
              </w:rPr>
              <w:t>“磋商公告”</w:t>
            </w:r>
            <w:r>
              <w:rPr>
                <w:szCs w:val="21"/>
                <w:highlight w:val="none"/>
              </w:rPr>
              <w:t>要求</w:t>
            </w:r>
            <w:r>
              <w:rPr>
                <w:rFonts w:hint="eastAsia"/>
                <w:szCs w:val="21"/>
                <w:highlight w:val="none"/>
              </w:rPr>
              <w:t>。须提供在响应文件递交</w:t>
            </w:r>
            <w:r>
              <w:rPr>
                <w:szCs w:val="21"/>
                <w:highlight w:val="none"/>
              </w:rPr>
              <w:t>截止时间前6个月内</w:t>
            </w:r>
            <w:r>
              <w:rPr>
                <w:rFonts w:hint="eastAsia"/>
                <w:szCs w:val="21"/>
                <w:highlight w:val="none"/>
              </w:rPr>
              <w:t>任意1</w:t>
            </w:r>
            <w:r>
              <w:rPr>
                <w:szCs w:val="21"/>
                <w:highlight w:val="none"/>
              </w:rPr>
              <w:t>个月在现任职单位依法缴纳社会保险的</w:t>
            </w:r>
            <w:r>
              <w:rPr>
                <w:rFonts w:hint="eastAsia"/>
                <w:szCs w:val="21"/>
                <w:highlight w:val="none"/>
              </w:rPr>
              <w:t>证明材料扫描件。</w:t>
            </w:r>
          </w:p>
        </w:tc>
      </w:tr>
      <w:tr w14:paraId="52DA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8" w:hRule="atLeast"/>
        </w:trPr>
        <w:tc>
          <w:tcPr>
            <w:tcW w:w="1101" w:type="dxa"/>
            <w:vMerge w:val="continue"/>
            <w:noWrap w:val="0"/>
            <w:vAlign w:val="center"/>
          </w:tcPr>
          <w:p w14:paraId="153D5C5A">
            <w:pPr>
              <w:spacing w:line="240" w:lineRule="exact"/>
              <w:jc w:val="center"/>
              <w:rPr>
                <w:szCs w:val="21"/>
                <w:highlight w:val="none"/>
              </w:rPr>
            </w:pPr>
          </w:p>
        </w:tc>
        <w:tc>
          <w:tcPr>
            <w:tcW w:w="1461" w:type="dxa"/>
            <w:vMerge w:val="continue"/>
            <w:noWrap w:val="0"/>
            <w:vAlign w:val="top"/>
          </w:tcPr>
          <w:p w14:paraId="2A43BD44">
            <w:pPr>
              <w:spacing w:line="240" w:lineRule="exact"/>
              <w:jc w:val="left"/>
              <w:rPr>
                <w:szCs w:val="21"/>
                <w:highlight w:val="none"/>
              </w:rPr>
            </w:pPr>
          </w:p>
        </w:tc>
        <w:tc>
          <w:tcPr>
            <w:tcW w:w="0" w:type="auto"/>
            <w:noWrap w:val="0"/>
            <w:vAlign w:val="center"/>
          </w:tcPr>
          <w:p w14:paraId="268BC7FE">
            <w:pPr>
              <w:spacing w:line="240" w:lineRule="exact"/>
              <w:jc w:val="left"/>
              <w:rPr>
                <w:szCs w:val="21"/>
                <w:highlight w:val="none"/>
              </w:rPr>
            </w:pPr>
            <w:r>
              <w:rPr>
                <w:rFonts w:hint="eastAsia"/>
                <w:szCs w:val="21"/>
                <w:highlight w:val="none"/>
              </w:rPr>
              <w:t>专职安全员</w:t>
            </w:r>
          </w:p>
        </w:tc>
        <w:tc>
          <w:tcPr>
            <w:tcW w:w="0" w:type="auto"/>
            <w:noWrap w:val="0"/>
            <w:vAlign w:val="center"/>
          </w:tcPr>
          <w:p w14:paraId="408DD369">
            <w:pPr>
              <w:spacing w:line="240" w:lineRule="exact"/>
              <w:rPr>
                <w:szCs w:val="21"/>
                <w:highlight w:val="none"/>
              </w:rPr>
            </w:pPr>
            <w:r>
              <w:rPr>
                <w:szCs w:val="21"/>
                <w:highlight w:val="none"/>
              </w:rPr>
              <w:t>须符合</w:t>
            </w:r>
            <w:r>
              <w:rPr>
                <w:rFonts w:hint="eastAsia"/>
                <w:szCs w:val="21"/>
                <w:highlight w:val="none"/>
              </w:rPr>
              <w:t>“磋商公告”</w:t>
            </w:r>
            <w:r>
              <w:rPr>
                <w:szCs w:val="21"/>
                <w:highlight w:val="none"/>
              </w:rPr>
              <w:t>要求</w:t>
            </w:r>
            <w:r>
              <w:rPr>
                <w:rFonts w:hint="eastAsia"/>
                <w:szCs w:val="21"/>
                <w:highlight w:val="none"/>
              </w:rPr>
              <w:t>。须提供在响应文件递交</w:t>
            </w:r>
            <w:r>
              <w:rPr>
                <w:szCs w:val="21"/>
                <w:highlight w:val="none"/>
              </w:rPr>
              <w:t>截止时间前6个月内</w:t>
            </w:r>
            <w:r>
              <w:rPr>
                <w:rFonts w:hint="eastAsia"/>
                <w:szCs w:val="21"/>
                <w:highlight w:val="none"/>
              </w:rPr>
              <w:t>任意1</w:t>
            </w:r>
            <w:r>
              <w:rPr>
                <w:szCs w:val="21"/>
                <w:highlight w:val="none"/>
              </w:rPr>
              <w:t>个月在现任职单位依法缴纳社会保险的</w:t>
            </w:r>
            <w:r>
              <w:rPr>
                <w:rFonts w:hint="eastAsia"/>
                <w:szCs w:val="21"/>
                <w:highlight w:val="none"/>
              </w:rPr>
              <w:t>证明材料扫描件。</w:t>
            </w:r>
          </w:p>
        </w:tc>
      </w:tr>
      <w:tr w14:paraId="6B21A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101" w:type="dxa"/>
            <w:vMerge w:val="continue"/>
            <w:noWrap w:val="0"/>
            <w:vAlign w:val="center"/>
          </w:tcPr>
          <w:p w14:paraId="2E5A0974">
            <w:pPr>
              <w:spacing w:line="240" w:lineRule="exact"/>
              <w:jc w:val="center"/>
              <w:rPr>
                <w:szCs w:val="21"/>
                <w:highlight w:val="none"/>
              </w:rPr>
            </w:pPr>
          </w:p>
        </w:tc>
        <w:tc>
          <w:tcPr>
            <w:tcW w:w="2727" w:type="dxa"/>
            <w:gridSpan w:val="2"/>
            <w:noWrap w:val="0"/>
            <w:vAlign w:val="center"/>
          </w:tcPr>
          <w:p w14:paraId="7DA71992">
            <w:pPr>
              <w:spacing w:line="240" w:lineRule="exact"/>
              <w:jc w:val="left"/>
              <w:rPr>
                <w:szCs w:val="21"/>
                <w:highlight w:val="none"/>
              </w:rPr>
            </w:pPr>
            <w:r>
              <w:rPr>
                <w:szCs w:val="21"/>
                <w:highlight w:val="none"/>
              </w:rPr>
              <w:t>（3）业绩要求</w:t>
            </w:r>
          </w:p>
        </w:tc>
        <w:tc>
          <w:tcPr>
            <w:tcW w:w="0" w:type="auto"/>
            <w:noWrap w:val="0"/>
            <w:vAlign w:val="center"/>
          </w:tcPr>
          <w:p w14:paraId="7B4F7579">
            <w:pPr>
              <w:spacing w:line="240" w:lineRule="exact"/>
              <w:jc w:val="left"/>
              <w:rPr>
                <w:szCs w:val="21"/>
                <w:highlight w:val="none"/>
              </w:rPr>
            </w:pPr>
            <w:r>
              <w:rPr>
                <w:szCs w:val="21"/>
                <w:highlight w:val="none"/>
              </w:rPr>
              <w:t>须符合</w:t>
            </w:r>
            <w:r>
              <w:rPr>
                <w:rFonts w:hint="eastAsia"/>
                <w:szCs w:val="21"/>
                <w:highlight w:val="none"/>
              </w:rPr>
              <w:t>“磋商公告”</w:t>
            </w:r>
            <w:r>
              <w:rPr>
                <w:szCs w:val="21"/>
                <w:highlight w:val="none"/>
              </w:rPr>
              <w:t>要求</w:t>
            </w:r>
            <w:r>
              <w:rPr>
                <w:rFonts w:hint="eastAsia"/>
                <w:szCs w:val="21"/>
                <w:highlight w:val="none"/>
              </w:rPr>
              <w:t>。</w:t>
            </w:r>
          </w:p>
        </w:tc>
      </w:tr>
      <w:tr w14:paraId="16D9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4" w:hRule="atLeast"/>
        </w:trPr>
        <w:tc>
          <w:tcPr>
            <w:tcW w:w="1101" w:type="dxa"/>
            <w:vMerge w:val="continue"/>
            <w:noWrap w:val="0"/>
            <w:vAlign w:val="center"/>
          </w:tcPr>
          <w:p w14:paraId="06ED8926">
            <w:pPr>
              <w:spacing w:line="240" w:lineRule="exact"/>
              <w:jc w:val="center"/>
              <w:rPr>
                <w:szCs w:val="21"/>
                <w:highlight w:val="none"/>
              </w:rPr>
            </w:pPr>
          </w:p>
        </w:tc>
        <w:tc>
          <w:tcPr>
            <w:tcW w:w="2727" w:type="dxa"/>
            <w:gridSpan w:val="2"/>
            <w:noWrap w:val="0"/>
            <w:vAlign w:val="center"/>
          </w:tcPr>
          <w:p w14:paraId="097210FD">
            <w:pPr>
              <w:spacing w:line="240" w:lineRule="exact"/>
              <w:rPr>
                <w:szCs w:val="21"/>
                <w:highlight w:val="none"/>
              </w:rPr>
            </w:pPr>
            <w:r>
              <w:rPr>
                <w:kern w:val="0"/>
                <w:szCs w:val="21"/>
                <w:highlight w:val="none"/>
              </w:rPr>
              <w:t>（4）</w:t>
            </w:r>
            <w:r>
              <w:rPr>
                <w:rFonts w:hint="eastAsia"/>
                <w:kern w:val="0"/>
                <w:szCs w:val="21"/>
                <w:highlight w:val="none"/>
              </w:rPr>
              <w:t>供应商不得参加响应的情形</w:t>
            </w:r>
          </w:p>
        </w:tc>
        <w:tc>
          <w:tcPr>
            <w:tcW w:w="0" w:type="auto"/>
            <w:noWrap w:val="0"/>
            <w:vAlign w:val="center"/>
          </w:tcPr>
          <w:p w14:paraId="2114FD2A">
            <w:pPr>
              <w:spacing w:line="240" w:lineRule="exact"/>
              <w:jc w:val="left"/>
              <w:rPr>
                <w:kern w:val="0"/>
                <w:szCs w:val="21"/>
                <w:highlight w:val="none"/>
              </w:rPr>
            </w:pPr>
            <w:r>
              <w:rPr>
                <w:kern w:val="0"/>
                <w:szCs w:val="21"/>
                <w:highlight w:val="none"/>
              </w:rPr>
              <w:t>单位负责人为同一人或者存在直接控股、管理关系的不同供应商，不得参加本项目同一合同项下的政府采购活动。为本项目提供整体设计、规范编制或者项目管理、监理、检测等服务的供应商，不得再参加</w:t>
            </w:r>
            <w:r>
              <w:rPr>
                <w:rFonts w:hint="eastAsia"/>
                <w:kern w:val="0"/>
                <w:szCs w:val="21"/>
                <w:highlight w:val="none"/>
              </w:rPr>
              <w:t>本</w:t>
            </w:r>
            <w:r>
              <w:rPr>
                <w:kern w:val="0"/>
                <w:szCs w:val="21"/>
                <w:highlight w:val="none"/>
              </w:rPr>
              <w:t>项目的采购活动。</w:t>
            </w:r>
          </w:p>
          <w:p w14:paraId="72B28AE1">
            <w:pPr>
              <w:spacing w:line="240" w:lineRule="exact"/>
              <w:jc w:val="left"/>
              <w:rPr>
                <w:rFonts w:hint="eastAsia"/>
                <w:szCs w:val="21"/>
                <w:highlight w:val="none"/>
              </w:rPr>
            </w:pPr>
            <w:r>
              <w:rPr>
                <w:szCs w:val="21"/>
                <w:highlight w:val="none"/>
              </w:rPr>
              <w:t>须提供，格式见第六章</w:t>
            </w:r>
            <w:r>
              <w:rPr>
                <w:rFonts w:hint="eastAsia"/>
                <w:szCs w:val="21"/>
                <w:highlight w:val="none"/>
              </w:rPr>
              <w:t>响应</w:t>
            </w:r>
            <w:r>
              <w:rPr>
                <w:szCs w:val="21"/>
                <w:highlight w:val="none"/>
              </w:rPr>
              <w:t>文件格式“</w:t>
            </w:r>
            <w:r>
              <w:rPr>
                <w:rFonts w:hint="eastAsia"/>
                <w:szCs w:val="21"/>
                <w:highlight w:val="none"/>
              </w:rPr>
              <w:t>供应商直接控股股东、管理关系信息表</w:t>
            </w:r>
            <w:r>
              <w:rPr>
                <w:szCs w:val="21"/>
                <w:highlight w:val="none"/>
              </w:rPr>
              <w:t>”。</w:t>
            </w:r>
          </w:p>
        </w:tc>
      </w:tr>
      <w:tr w14:paraId="092BE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rPr>
        <w:tc>
          <w:tcPr>
            <w:tcW w:w="1101" w:type="dxa"/>
            <w:vMerge w:val="continue"/>
            <w:noWrap w:val="0"/>
            <w:vAlign w:val="center"/>
          </w:tcPr>
          <w:p w14:paraId="317741CA">
            <w:pPr>
              <w:spacing w:line="240" w:lineRule="exact"/>
              <w:jc w:val="center"/>
              <w:rPr>
                <w:szCs w:val="21"/>
                <w:highlight w:val="none"/>
              </w:rPr>
            </w:pPr>
          </w:p>
        </w:tc>
        <w:tc>
          <w:tcPr>
            <w:tcW w:w="2727" w:type="dxa"/>
            <w:gridSpan w:val="2"/>
            <w:noWrap w:val="0"/>
            <w:vAlign w:val="center"/>
          </w:tcPr>
          <w:p w14:paraId="34AE1F00">
            <w:pPr>
              <w:spacing w:line="240" w:lineRule="exact"/>
              <w:rPr>
                <w:szCs w:val="21"/>
                <w:highlight w:val="none"/>
              </w:rPr>
            </w:pPr>
            <w:r>
              <w:rPr>
                <w:szCs w:val="21"/>
                <w:highlight w:val="none"/>
              </w:rPr>
              <w:t>（5）诚信要求</w:t>
            </w:r>
          </w:p>
        </w:tc>
        <w:tc>
          <w:tcPr>
            <w:tcW w:w="0" w:type="auto"/>
            <w:noWrap w:val="0"/>
            <w:vAlign w:val="top"/>
          </w:tcPr>
          <w:p w14:paraId="5EBED5BD">
            <w:pPr>
              <w:spacing w:line="240" w:lineRule="exact"/>
              <w:jc w:val="left"/>
              <w:rPr>
                <w:szCs w:val="21"/>
                <w:highlight w:val="none"/>
              </w:rPr>
            </w:pPr>
            <w:r>
              <w:rPr>
                <w:rFonts w:hint="eastAsia"/>
                <w:szCs w:val="21"/>
                <w:highlight w:val="none"/>
              </w:rPr>
              <w:t>未被列入失信被执行人、</w:t>
            </w:r>
            <w:r>
              <w:rPr>
                <w:kern w:val="0"/>
                <w:szCs w:val="21"/>
                <w:highlight w:val="none"/>
              </w:rPr>
              <w:t>重大税收违法失信主体</w:t>
            </w:r>
            <w:r>
              <w:rPr>
                <w:szCs w:val="21"/>
                <w:highlight w:val="none"/>
              </w:rPr>
              <w:t>、政府采购严重违法失信行为记录名单</w:t>
            </w:r>
            <w:r>
              <w:rPr>
                <w:rFonts w:hint="eastAsia"/>
                <w:szCs w:val="21"/>
                <w:highlight w:val="none"/>
              </w:rPr>
              <w:t>。</w:t>
            </w:r>
          </w:p>
        </w:tc>
      </w:tr>
      <w:tr w14:paraId="5678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rPr>
        <w:tc>
          <w:tcPr>
            <w:tcW w:w="1101" w:type="dxa"/>
            <w:vMerge w:val="continue"/>
            <w:noWrap w:val="0"/>
            <w:vAlign w:val="center"/>
          </w:tcPr>
          <w:p w14:paraId="6B746665">
            <w:pPr>
              <w:spacing w:line="240" w:lineRule="exact"/>
              <w:jc w:val="center"/>
              <w:rPr>
                <w:szCs w:val="21"/>
                <w:highlight w:val="none"/>
              </w:rPr>
            </w:pPr>
          </w:p>
        </w:tc>
        <w:tc>
          <w:tcPr>
            <w:tcW w:w="2727" w:type="dxa"/>
            <w:gridSpan w:val="2"/>
            <w:noWrap w:val="0"/>
            <w:vAlign w:val="center"/>
          </w:tcPr>
          <w:p w14:paraId="4C603350">
            <w:pPr>
              <w:rPr>
                <w:rFonts w:hint="eastAsia"/>
                <w:highlight w:val="none"/>
              </w:rPr>
            </w:pPr>
            <w:r>
              <w:rPr>
                <w:rFonts w:hint="eastAsia"/>
                <w:highlight w:val="none"/>
              </w:rPr>
              <w:t>（</w:t>
            </w:r>
            <w:r>
              <w:rPr>
                <w:highlight w:val="none"/>
              </w:rPr>
              <w:t>6</w:t>
            </w:r>
            <w:r>
              <w:rPr>
                <w:rFonts w:hint="eastAsia"/>
                <w:highlight w:val="none"/>
              </w:rPr>
              <w:t>）分包</w:t>
            </w:r>
          </w:p>
        </w:tc>
        <w:tc>
          <w:tcPr>
            <w:tcW w:w="0" w:type="auto"/>
            <w:noWrap w:val="0"/>
            <w:vAlign w:val="center"/>
          </w:tcPr>
          <w:p w14:paraId="3EEA82DB">
            <w:pPr>
              <w:rPr>
                <w:rFonts w:hint="eastAsia"/>
                <w:highlight w:val="none"/>
              </w:rPr>
            </w:pPr>
            <w:r>
              <w:rPr>
                <w:rFonts w:hint="eastAsia"/>
                <w:highlight w:val="none"/>
              </w:rPr>
              <w:t>须符合“</w:t>
            </w:r>
            <w:r>
              <w:rPr>
                <w:rFonts w:hint="eastAsia"/>
                <w:szCs w:val="21"/>
                <w:highlight w:val="none"/>
              </w:rPr>
              <w:t>磋商公告</w:t>
            </w:r>
            <w:r>
              <w:rPr>
                <w:rFonts w:hint="eastAsia"/>
                <w:highlight w:val="none"/>
              </w:rPr>
              <w:t>”的要求</w:t>
            </w:r>
          </w:p>
        </w:tc>
      </w:tr>
      <w:tr w14:paraId="33A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trPr>
        <w:tc>
          <w:tcPr>
            <w:tcW w:w="1101" w:type="dxa"/>
            <w:vMerge w:val="continue"/>
            <w:noWrap w:val="0"/>
            <w:vAlign w:val="center"/>
          </w:tcPr>
          <w:p w14:paraId="6C61FC6C">
            <w:pPr>
              <w:spacing w:line="240" w:lineRule="exact"/>
              <w:jc w:val="center"/>
              <w:rPr>
                <w:szCs w:val="21"/>
                <w:highlight w:val="none"/>
              </w:rPr>
            </w:pPr>
          </w:p>
        </w:tc>
        <w:tc>
          <w:tcPr>
            <w:tcW w:w="2727" w:type="dxa"/>
            <w:gridSpan w:val="2"/>
            <w:noWrap w:val="0"/>
            <w:vAlign w:val="center"/>
          </w:tcPr>
          <w:p w14:paraId="1B122F6B">
            <w:pPr>
              <w:rPr>
                <w:rFonts w:hint="eastAsia"/>
                <w:highlight w:val="none"/>
              </w:rPr>
            </w:pPr>
            <w:r>
              <w:rPr>
                <w:rFonts w:hint="eastAsia"/>
                <w:highlight w:val="none"/>
              </w:rPr>
              <w:t>（</w:t>
            </w:r>
            <w:r>
              <w:rPr>
                <w:highlight w:val="none"/>
              </w:rPr>
              <w:t>7</w:t>
            </w:r>
            <w:r>
              <w:rPr>
                <w:rFonts w:hint="eastAsia"/>
                <w:highlight w:val="none"/>
              </w:rPr>
              <w:t>）联合体</w:t>
            </w:r>
          </w:p>
        </w:tc>
        <w:tc>
          <w:tcPr>
            <w:tcW w:w="0" w:type="auto"/>
            <w:noWrap w:val="0"/>
            <w:vAlign w:val="center"/>
          </w:tcPr>
          <w:p w14:paraId="04C3FB51">
            <w:pPr>
              <w:rPr>
                <w:highlight w:val="none"/>
              </w:rPr>
            </w:pPr>
            <w:r>
              <w:rPr>
                <w:rFonts w:hint="eastAsia"/>
                <w:highlight w:val="none"/>
              </w:rPr>
              <w:t>须符合“</w:t>
            </w:r>
            <w:r>
              <w:rPr>
                <w:rFonts w:hint="eastAsia"/>
                <w:szCs w:val="21"/>
                <w:highlight w:val="none"/>
              </w:rPr>
              <w:t>磋商公告</w:t>
            </w:r>
            <w:r>
              <w:rPr>
                <w:rFonts w:hint="eastAsia"/>
                <w:highlight w:val="none"/>
              </w:rPr>
              <w:t>”的要求</w:t>
            </w:r>
          </w:p>
        </w:tc>
      </w:tr>
      <w:tr w14:paraId="3A69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1101" w:type="dxa"/>
            <w:vMerge w:val="continue"/>
            <w:noWrap w:val="0"/>
            <w:vAlign w:val="center"/>
          </w:tcPr>
          <w:p w14:paraId="1D685FF8">
            <w:pPr>
              <w:spacing w:line="240" w:lineRule="exact"/>
              <w:jc w:val="center"/>
              <w:rPr>
                <w:szCs w:val="21"/>
                <w:highlight w:val="none"/>
              </w:rPr>
            </w:pPr>
          </w:p>
        </w:tc>
        <w:tc>
          <w:tcPr>
            <w:tcW w:w="2727" w:type="dxa"/>
            <w:gridSpan w:val="2"/>
            <w:noWrap w:val="0"/>
            <w:vAlign w:val="center"/>
          </w:tcPr>
          <w:p w14:paraId="747C4819">
            <w:pPr>
              <w:spacing w:line="240" w:lineRule="exact"/>
              <w:jc w:val="left"/>
              <w:rPr>
                <w:szCs w:val="21"/>
                <w:highlight w:val="none"/>
              </w:rPr>
            </w:pPr>
            <w:r>
              <w:rPr>
                <w:rFonts w:hint="eastAsia"/>
                <w:szCs w:val="21"/>
                <w:highlight w:val="none"/>
              </w:rPr>
              <w:t>（</w:t>
            </w:r>
            <w:r>
              <w:rPr>
                <w:szCs w:val="21"/>
                <w:highlight w:val="none"/>
              </w:rPr>
              <w:t>8</w:t>
            </w:r>
            <w:r>
              <w:rPr>
                <w:rFonts w:hint="eastAsia"/>
                <w:szCs w:val="21"/>
                <w:highlight w:val="none"/>
              </w:rPr>
              <w:t>）其他要求</w:t>
            </w:r>
          </w:p>
        </w:tc>
        <w:tc>
          <w:tcPr>
            <w:tcW w:w="0" w:type="auto"/>
            <w:noWrap w:val="0"/>
            <w:vAlign w:val="center"/>
          </w:tcPr>
          <w:p w14:paraId="67F4ACEF">
            <w:pPr>
              <w:spacing w:line="312" w:lineRule="auto"/>
              <w:rPr>
                <w:kern w:val="0"/>
                <w:szCs w:val="21"/>
                <w:highlight w:val="none"/>
              </w:rPr>
            </w:pPr>
            <w:r>
              <w:rPr>
                <w:rFonts w:hint="eastAsia"/>
                <w:kern w:val="0"/>
                <w:szCs w:val="21"/>
                <w:highlight w:val="none"/>
              </w:rPr>
              <w:t>按</w:t>
            </w:r>
            <w:r>
              <w:rPr>
                <w:kern w:val="0"/>
                <w:szCs w:val="21"/>
                <w:highlight w:val="none"/>
              </w:rPr>
              <w:t>照</w:t>
            </w:r>
            <w:r>
              <w:rPr>
                <w:rFonts w:hint="eastAsia"/>
                <w:kern w:val="0"/>
                <w:szCs w:val="21"/>
                <w:highlight w:val="none"/>
              </w:rPr>
              <w:t>磋商</w:t>
            </w:r>
            <w:r>
              <w:rPr>
                <w:kern w:val="0"/>
                <w:szCs w:val="21"/>
                <w:highlight w:val="none"/>
              </w:rPr>
              <w:t>公告规定获得</w:t>
            </w:r>
            <w:r>
              <w:rPr>
                <w:rFonts w:hint="eastAsia"/>
                <w:kern w:val="0"/>
                <w:szCs w:val="21"/>
                <w:highlight w:val="none"/>
              </w:rPr>
              <w:t>采购</w:t>
            </w:r>
            <w:r>
              <w:rPr>
                <w:kern w:val="0"/>
                <w:szCs w:val="21"/>
                <w:highlight w:val="none"/>
              </w:rPr>
              <w:t>文件。</w:t>
            </w:r>
          </w:p>
        </w:tc>
      </w:tr>
    </w:tbl>
    <w:p w14:paraId="01BF2F0B">
      <w:pPr>
        <w:spacing w:before="120" w:line="320" w:lineRule="atLeast"/>
        <w:ind w:firstLine="413" w:firstLineChars="196"/>
        <w:outlineLvl w:val="1"/>
        <w:rPr>
          <w:szCs w:val="21"/>
          <w:highlight w:val="none"/>
        </w:rPr>
      </w:pPr>
      <w:r>
        <w:rPr>
          <w:b/>
          <w:bCs/>
          <w:kern w:val="0"/>
          <w:szCs w:val="21"/>
          <w:highlight w:val="none"/>
        </w:rPr>
        <w:t>3</w:t>
      </w:r>
      <w:r>
        <w:rPr>
          <w:rFonts w:hint="eastAsia"/>
          <w:b/>
          <w:bCs/>
          <w:kern w:val="0"/>
          <w:szCs w:val="21"/>
          <w:highlight w:val="none"/>
        </w:rPr>
        <w:t>.</w:t>
      </w:r>
      <w:r>
        <w:rPr>
          <w:b/>
          <w:bCs/>
          <w:kern w:val="0"/>
          <w:szCs w:val="21"/>
          <w:highlight w:val="none"/>
        </w:rPr>
        <w:t>符合性审查</w:t>
      </w:r>
      <w:r>
        <w:rPr>
          <w:rFonts w:hint="eastAsia"/>
          <w:b/>
          <w:bCs/>
          <w:kern w:val="0"/>
          <w:szCs w:val="21"/>
          <w:highlight w:val="none"/>
        </w:rPr>
        <w:t>标准（不满足任何一项审查内容要求，符合性审查即为不合格）</w:t>
      </w:r>
    </w:p>
    <w:bookmarkEnd w:id="79"/>
    <w:bookmarkEnd w:id="80"/>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2693"/>
        <w:gridCol w:w="5777"/>
      </w:tblGrid>
      <w:tr w14:paraId="3A90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01" w:type="dxa"/>
            <w:noWrap w:val="0"/>
            <w:vAlign w:val="center"/>
          </w:tcPr>
          <w:p w14:paraId="654CF68E">
            <w:pPr>
              <w:spacing w:line="240" w:lineRule="exact"/>
              <w:jc w:val="center"/>
              <w:rPr>
                <w:b/>
                <w:kern w:val="0"/>
                <w:szCs w:val="21"/>
                <w:highlight w:val="none"/>
              </w:rPr>
            </w:pPr>
            <w:r>
              <w:rPr>
                <w:rFonts w:hint="eastAsia"/>
                <w:b/>
                <w:kern w:val="0"/>
                <w:szCs w:val="21"/>
                <w:highlight w:val="none"/>
              </w:rPr>
              <w:t>审查</w:t>
            </w:r>
            <w:r>
              <w:rPr>
                <w:b/>
                <w:kern w:val="0"/>
                <w:szCs w:val="21"/>
                <w:highlight w:val="none"/>
              </w:rPr>
              <w:t>因素</w:t>
            </w:r>
          </w:p>
        </w:tc>
        <w:tc>
          <w:tcPr>
            <w:tcW w:w="2693" w:type="dxa"/>
            <w:noWrap w:val="0"/>
            <w:vAlign w:val="center"/>
          </w:tcPr>
          <w:p w14:paraId="37AF77D4">
            <w:pPr>
              <w:spacing w:line="240" w:lineRule="exact"/>
              <w:jc w:val="center"/>
              <w:rPr>
                <w:b/>
                <w:kern w:val="0"/>
                <w:szCs w:val="21"/>
                <w:highlight w:val="none"/>
              </w:rPr>
            </w:pPr>
            <w:r>
              <w:rPr>
                <w:rFonts w:hint="eastAsia"/>
                <w:b/>
                <w:kern w:val="0"/>
                <w:szCs w:val="21"/>
                <w:highlight w:val="none"/>
              </w:rPr>
              <w:t>审查内容</w:t>
            </w:r>
          </w:p>
        </w:tc>
        <w:tc>
          <w:tcPr>
            <w:tcW w:w="5777" w:type="dxa"/>
            <w:noWrap w:val="0"/>
            <w:vAlign w:val="center"/>
          </w:tcPr>
          <w:p w14:paraId="1BB63F2D">
            <w:pPr>
              <w:spacing w:line="240" w:lineRule="exact"/>
              <w:jc w:val="center"/>
              <w:rPr>
                <w:b/>
                <w:kern w:val="0"/>
                <w:szCs w:val="21"/>
                <w:highlight w:val="none"/>
              </w:rPr>
            </w:pPr>
            <w:r>
              <w:rPr>
                <w:rFonts w:hint="eastAsia"/>
                <w:b/>
                <w:kern w:val="0"/>
                <w:szCs w:val="21"/>
                <w:highlight w:val="none"/>
              </w:rPr>
              <w:t>说明</w:t>
            </w:r>
          </w:p>
        </w:tc>
      </w:tr>
      <w:tr w14:paraId="4E225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1101" w:type="dxa"/>
            <w:vMerge w:val="restart"/>
            <w:noWrap w:val="0"/>
            <w:vAlign w:val="center"/>
          </w:tcPr>
          <w:p w14:paraId="30E893D7">
            <w:pPr>
              <w:spacing w:line="240" w:lineRule="exact"/>
              <w:jc w:val="center"/>
              <w:rPr>
                <w:szCs w:val="21"/>
                <w:highlight w:val="none"/>
              </w:rPr>
            </w:pPr>
            <w:r>
              <w:rPr>
                <w:rFonts w:hint="eastAsia"/>
                <w:kern w:val="0"/>
                <w:szCs w:val="21"/>
                <w:highlight w:val="none"/>
              </w:rPr>
              <w:t>商务资信</w:t>
            </w:r>
          </w:p>
        </w:tc>
        <w:tc>
          <w:tcPr>
            <w:tcW w:w="2693" w:type="dxa"/>
            <w:noWrap w:val="0"/>
            <w:vAlign w:val="center"/>
          </w:tcPr>
          <w:p w14:paraId="20E192C8">
            <w:pPr>
              <w:spacing w:line="240" w:lineRule="exact"/>
              <w:rPr>
                <w:highlight w:val="none"/>
              </w:rPr>
            </w:pPr>
            <w:r>
              <w:rPr>
                <w:rFonts w:hint="eastAsia"/>
                <w:highlight w:val="none"/>
              </w:rPr>
              <w:t>法定代表人身份证明及授权委托书</w:t>
            </w:r>
          </w:p>
        </w:tc>
        <w:tc>
          <w:tcPr>
            <w:tcW w:w="5777" w:type="dxa"/>
            <w:noWrap w:val="0"/>
            <w:vAlign w:val="center"/>
          </w:tcPr>
          <w:p w14:paraId="0A34939B">
            <w:pPr>
              <w:spacing w:line="240" w:lineRule="exact"/>
              <w:rPr>
                <w:szCs w:val="21"/>
                <w:highlight w:val="none"/>
              </w:rPr>
            </w:pPr>
            <w:r>
              <w:rPr>
                <w:rFonts w:hint="eastAsia"/>
                <w:szCs w:val="21"/>
                <w:highlight w:val="none"/>
              </w:rPr>
              <w:t>授权</w:t>
            </w:r>
            <w:r>
              <w:rPr>
                <w:szCs w:val="21"/>
                <w:highlight w:val="none"/>
              </w:rPr>
              <w:t>代表</w:t>
            </w:r>
            <w:r>
              <w:rPr>
                <w:rFonts w:hint="eastAsia"/>
                <w:szCs w:val="21"/>
                <w:highlight w:val="none"/>
              </w:rPr>
              <w:t>参加响应</w:t>
            </w:r>
            <w:r>
              <w:rPr>
                <w:szCs w:val="21"/>
                <w:highlight w:val="none"/>
              </w:rPr>
              <w:t>时审查</w:t>
            </w:r>
            <w:r>
              <w:rPr>
                <w:highlight w:val="none"/>
              </w:rPr>
              <w:t>：</w:t>
            </w:r>
            <w:r>
              <w:rPr>
                <w:rFonts w:ascii="宋体" w:hAnsi="宋体"/>
                <w:szCs w:val="21"/>
                <w:highlight w:val="none"/>
              </w:rPr>
              <w:t>法定代表人授权委托书及附件</w:t>
            </w:r>
            <w:r>
              <w:rPr>
                <w:szCs w:val="21"/>
                <w:highlight w:val="none"/>
              </w:rPr>
              <w:t xml:space="preserve"> </w:t>
            </w:r>
          </w:p>
          <w:p w14:paraId="0231BC21">
            <w:pPr>
              <w:spacing w:line="240" w:lineRule="exact"/>
              <w:rPr>
                <w:rFonts w:ascii="宋体" w:hAnsi="宋体"/>
                <w:szCs w:val="21"/>
                <w:highlight w:val="none"/>
              </w:rPr>
            </w:pPr>
            <w:r>
              <w:rPr>
                <w:rFonts w:hint="eastAsia"/>
                <w:szCs w:val="21"/>
                <w:highlight w:val="none"/>
              </w:rPr>
              <w:t>法定代表人直接参加响应</w:t>
            </w:r>
            <w:r>
              <w:rPr>
                <w:szCs w:val="21"/>
                <w:highlight w:val="none"/>
              </w:rPr>
              <w:t>时审查</w:t>
            </w:r>
            <w:r>
              <w:rPr>
                <w:highlight w:val="none"/>
              </w:rPr>
              <w:t>：</w:t>
            </w:r>
            <w:r>
              <w:rPr>
                <w:rFonts w:ascii="宋体" w:hAnsi="宋体"/>
                <w:szCs w:val="21"/>
                <w:highlight w:val="none"/>
              </w:rPr>
              <w:t>法定代表人身份证明</w:t>
            </w:r>
            <w:r>
              <w:rPr>
                <w:rFonts w:hint="eastAsia" w:ascii="宋体" w:hAnsi="宋体"/>
                <w:szCs w:val="21"/>
                <w:highlight w:val="none"/>
              </w:rPr>
              <w:t>及</w:t>
            </w:r>
            <w:r>
              <w:rPr>
                <w:rFonts w:ascii="宋体" w:hAnsi="宋体"/>
                <w:szCs w:val="21"/>
                <w:highlight w:val="none"/>
              </w:rPr>
              <w:t>附件</w:t>
            </w:r>
          </w:p>
          <w:p w14:paraId="113327B0">
            <w:pPr>
              <w:spacing w:line="240" w:lineRule="exact"/>
              <w:rPr>
                <w:highlight w:val="none"/>
              </w:rPr>
            </w:pPr>
            <w:r>
              <w:rPr>
                <w:rFonts w:ascii="宋体" w:hAnsi="宋体"/>
                <w:szCs w:val="21"/>
                <w:highlight w:val="none"/>
              </w:rPr>
              <w:t>格式及附件见第六章响应文件格式要求</w:t>
            </w:r>
          </w:p>
        </w:tc>
      </w:tr>
      <w:tr w14:paraId="2D4F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5ED7115F">
            <w:pPr>
              <w:spacing w:line="240" w:lineRule="exact"/>
              <w:jc w:val="center"/>
              <w:rPr>
                <w:kern w:val="0"/>
                <w:szCs w:val="21"/>
                <w:highlight w:val="none"/>
              </w:rPr>
            </w:pPr>
          </w:p>
        </w:tc>
        <w:tc>
          <w:tcPr>
            <w:tcW w:w="2693" w:type="dxa"/>
            <w:noWrap w:val="0"/>
            <w:vAlign w:val="center"/>
          </w:tcPr>
          <w:p w14:paraId="6E2075E0">
            <w:pPr>
              <w:spacing w:line="240" w:lineRule="exact"/>
              <w:rPr>
                <w:szCs w:val="21"/>
                <w:highlight w:val="none"/>
              </w:rPr>
            </w:pPr>
            <w:r>
              <w:rPr>
                <w:rFonts w:hint="eastAsia"/>
                <w:szCs w:val="21"/>
                <w:highlight w:val="none"/>
              </w:rPr>
              <w:t>实质性条款响应</w:t>
            </w:r>
          </w:p>
        </w:tc>
        <w:tc>
          <w:tcPr>
            <w:tcW w:w="5777" w:type="dxa"/>
            <w:noWrap w:val="0"/>
            <w:vAlign w:val="center"/>
          </w:tcPr>
          <w:p w14:paraId="412DEF55">
            <w:pPr>
              <w:spacing w:line="240" w:lineRule="exact"/>
              <w:rPr>
                <w:szCs w:val="21"/>
                <w:highlight w:val="none"/>
              </w:rPr>
            </w:pPr>
            <w:r>
              <w:rPr>
                <w:rFonts w:hint="eastAsia" w:ascii="宋体" w:hAnsi="宋体"/>
                <w:color w:val="000000"/>
                <w:szCs w:val="21"/>
                <w:highlight w:val="none"/>
              </w:rPr>
              <w:t>采购文件实质性要求响应均无负偏离</w:t>
            </w:r>
          </w:p>
        </w:tc>
      </w:tr>
      <w:tr w14:paraId="1AFC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101" w:type="dxa"/>
            <w:vMerge w:val="continue"/>
            <w:noWrap w:val="0"/>
            <w:vAlign w:val="center"/>
          </w:tcPr>
          <w:p w14:paraId="7100D653">
            <w:pPr>
              <w:spacing w:line="240" w:lineRule="exact"/>
              <w:jc w:val="center"/>
              <w:rPr>
                <w:kern w:val="0"/>
                <w:szCs w:val="21"/>
                <w:highlight w:val="none"/>
              </w:rPr>
            </w:pPr>
          </w:p>
        </w:tc>
        <w:tc>
          <w:tcPr>
            <w:tcW w:w="2693" w:type="dxa"/>
            <w:noWrap w:val="0"/>
            <w:vAlign w:val="center"/>
          </w:tcPr>
          <w:p w14:paraId="2DEBADE9">
            <w:pPr>
              <w:spacing w:line="240" w:lineRule="exact"/>
              <w:rPr>
                <w:szCs w:val="21"/>
                <w:highlight w:val="none"/>
              </w:rPr>
            </w:pPr>
            <w:r>
              <w:rPr>
                <w:rFonts w:hint="eastAsia"/>
                <w:szCs w:val="21"/>
                <w:highlight w:val="none"/>
              </w:rPr>
              <w:t>串通投标</w:t>
            </w:r>
          </w:p>
        </w:tc>
        <w:tc>
          <w:tcPr>
            <w:tcW w:w="5777" w:type="dxa"/>
            <w:noWrap w:val="0"/>
            <w:vAlign w:val="center"/>
          </w:tcPr>
          <w:p w14:paraId="7C386A6C">
            <w:pPr>
              <w:spacing w:line="240" w:lineRule="exact"/>
              <w:rPr>
                <w:szCs w:val="21"/>
                <w:highlight w:val="none"/>
              </w:rPr>
            </w:pPr>
            <w:r>
              <w:rPr>
                <w:rFonts w:hint="eastAsia" w:ascii="宋体" w:hAnsi="宋体"/>
                <w:color w:val="000000"/>
                <w:szCs w:val="21"/>
                <w:highlight w:val="none"/>
              </w:rPr>
              <w:t>不属于供应商</w:t>
            </w:r>
            <w:r>
              <w:rPr>
                <w:rFonts w:hint="eastAsia" w:ascii="宋体" w:hAnsi="宋体"/>
                <w:szCs w:val="21"/>
                <w:highlight w:val="none"/>
              </w:rPr>
              <w:t>须知正文第</w:t>
            </w:r>
            <w:r>
              <w:rPr>
                <w:rFonts w:ascii="宋体" w:hAnsi="宋体"/>
                <w:szCs w:val="21"/>
                <w:highlight w:val="none"/>
              </w:rPr>
              <w:t>6</w:t>
            </w: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w:t>
            </w:r>
            <w:r>
              <w:rPr>
                <w:rFonts w:hint="eastAsia" w:ascii="宋体" w:hAnsi="宋体"/>
                <w:szCs w:val="21"/>
                <w:highlight w:val="none"/>
                <w:lang w:val="en-US" w:eastAsia="zh-CN"/>
              </w:rPr>
              <w:t>9</w:t>
            </w:r>
            <w:r>
              <w:rPr>
                <w:rFonts w:hint="eastAsia" w:ascii="宋体" w:hAnsi="宋体"/>
                <w:szCs w:val="21"/>
                <w:highlight w:val="none"/>
              </w:rPr>
              <w:t>规定</w:t>
            </w:r>
            <w:r>
              <w:rPr>
                <w:rFonts w:hint="eastAsia" w:ascii="宋体" w:hAnsi="宋体"/>
                <w:color w:val="000000"/>
                <w:szCs w:val="21"/>
                <w:highlight w:val="none"/>
              </w:rPr>
              <w:t>的串通投标情形，见</w:t>
            </w:r>
            <w:r>
              <w:rPr>
                <w:rFonts w:ascii="宋体" w:hAnsi="宋体"/>
                <w:szCs w:val="21"/>
                <w:highlight w:val="none"/>
              </w:rPr>
              <w:t>第六章响应文件格式要求</w:t>
            </w:r>
          </w:p>
        </w:tc>
      </w:tr>
      <w:tr w14:paraId="1811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restart"/>
            <w:noWrap w:val="0"/>
            <w:vAlign w:val="center"/>
          </w:tcPr>
          <w:p w14:paraId="3E5C4940">
            <w:pPr>
              <w:spacing w:line="240" w:lineRule="exact"/>
              <w:jc w:val="center"/>
              <w:rPr>
                <w:kern w:val="0"/>
                <w:szCs w:val="21"/>
                <w:highlight w:val="none"/>
              </w:rPr>
            </w:pPr>
            <w:r>
              <w:rPr>
                <w:rFonts w:hint="eastAsia"/>
                <w:kern w:val="0"/>
                <w:szCs w:val="21"/>
                <w:highlight w:val="none"/>
              </w:rPr>
              <w:t>技术</w:t>
            </w:r>
          </w:p>
        </w:tc>
        <w:tc>
          <w:tcPr>
            <w:tcW w:w="2693" w:type="dxa"/>
            <w:noWrap w:val="0"/>
            <w:vAlign w:val="center"/>
          </w:tcPr>
          <w:p w14:paraId="05D6F443">
            <w:pPr>
              <w:spacing w:line="240" w:lineRule="exact"/>
              <w:rPr>
                <w:szCs w:val="21"/>
                <w:highlight w:val="none"/>
                <w:lang w:val="zh-CN"/>
              </w:rPr>
            </w:pPr>
            <w:r>
              <w:rPr>
                <w:szCs w:val="21"/>
                <w:highlight w:val="none"/>
                <w:lang w:val="zh-CN"/>
              </w:rPr>
              <w:t>工期</w:t>
            </w:r>
          </w:p>
        </w:tc>
        <w:tc>
          <w:tcPr>
            <w:tcW w:w="5777" w:type="dxa"/>
            <w:noWrap w:val="0"/>
            <w:vAlign w:val="center"/>
          </w:tcPr>
          <w:p w14:paraId="5D2F10DF">
            <w:pPr>
              <w:spacing w:line="240" w:lineRule="exact"/>
              <w:rPr>
                <w:szCs w:val="21"/>
                <w:highlight w:val="none"/>
                <w:lang w:val="zh-CN"/>
              </w:rPr>
            </w:pPr>
            <w:r>
              <w:rPr>
                <w:szCs w:val="21"/>
                <w:highlight w:val="none"/>
              </w:rPr>
              <w:t>满足</w:t>
            </w:r>
            <w:r>
              <w:rPr>
                <w:rFonts w:hint="eastAsia" w:ascii="宋体" w:hAnsi="宋体"/>
                <w:color w:val="000000"/>
                <w:szCs w:val="21"/>
                <w:highlight w:val="none"/>
              </w:rPr>
              <w:t>采购</w:t>
            </w:r>
            <w:r>
              <w:rPr>
                <w:rFonts w:hint="eastAsia"/>
                <w:szCs w:val="21"/>
                <w:highlight w:val="none"/>
              </w:rPr>
              <w:t>文件</w:t>
            </w:r>
            <w:r>
              <w:rPr>
                <w:szCs w:val="21"/>
                <w:highlight w:val="none"/>
              </w:rPr>
              <w:t>规定</w:t>
            </w:r>
          </w:p>
        </w:tc>
      </w:tr>
      <w:tr w14:paraId="1DA84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405ECB10">
            <w:pPr>
              <w:spacing w:line="240" w:lineRule="exact"/>
              <w:jc w:val="center"/>
              <w:rPr>
                <w:kern w:val="0"/>
                <w:szCs w:val="21"/>
                <w:highlight w:val="none"/>
              </w:rPr>
            </w:pPr>
          </w:p>
        </w:tc>
        <w:tc>
          <w:tcPr>
            <w:tcW w:w="2693" w:type="dxa"/>
            <w:noWrap w:val="0"/>
            <w:vAlign w:val="center"/>
          </w:tcPr>
          <w:p w14:paraId="3D470D44">
            <w:pPr>
              <w:spacing w:line="240" w:lineRule="exact"/>
              <w:rPr>
                <w:szCs w:val="21"/>
                <w:highlight w:val="none"/>
                <w:lang w:val="zh-CN"/>
              </w:rPr>
            </w:pPr>
            <w:r>
              <w:rPr>
                <w:szCs w:val="21"/>
                <w:highlight w:val="none"/>
                <w:lang w:val="zh-CN"/>
              </w:rPr>
              <w:t>工程质量</w:t>
            </w:r>
          </w:p>
        </w:tc>
        <w:tc>
          <w:tcPr>
            <w:tcW w:w="5777" w:type="dxa"/>
            <w:noWrap w:val="0"/>
            <w:vAlign w:val="center"/>
          </w:tcPr>
          <w:p w14:paraId="568DD6F0">
            <w:pPr>
              <w:spacing w:line="240" w:lineRule="exact"/>
              <w:rPr>
                <w:szCs w:val="21"/>
                <w:highlight w:val="none"/>
                <w:lang w:val="zh-CN"/>
              </w:rPr>
            </w:pPr>
            <w:r>
              <w:rPr>
                <w:szCs w:val="21"/>
                <w:highlight w:val="none"/>
              </w:rPr>
              <w:t>满足</w:t>
            </w:r>
            <w:r>
              <w:rPr>
                <w:rFonts w:hint="eastAsia" w:ascii="宋体" w:hAnsi="宋体"/>
                <w:color w:val="000000"/>
                <w:szCs w:val="21"/>
                <w:highlight w:val="none"/>
              </w:rPr>
              <w:t>采购</w:t>
            </w:r>
            <w:r>
              <w:rPr>
                <w:rFonts w:hint="eastAsia"/>
                <w:szCs w:val="21"/>
                <w:highlight w:val="none"/>
              </w:rPr>
              <w:t>文件</w:t>
            </w:r>
            <w:r>
              <w:rPr>
                <w:szCs w:val="21"/>
                <w:highlight w:val="none"/>
              </w:rPr>
              <w:t>规定</w:t>
            </w:r>
          </w:p>
        </w:tc>
      </w:tr>
      <w:tr w14:paraId="7E532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75D4CD6C">
            <w:pPr>
              <w:spacing w:line="240" w:lineRule="exact"/>
              <w:jc w:val="center"/>
              <w:rPr>
                <w:kern w:val="0"/>
                <w:szCs w:val="21"/>
                <w:highlight w:val="none"/>
              </w:rPr>
            </w:pPr>
          </w:p>
        </w:tc>
        <w:tc>
          <w:tcPr>
            <w:tcW w:w="2693" w:type="dxa"/>
            <w:noWrap w:val="0"/>
            <w:vAlign w:val="center"/>
          </w:tcPr>
          <w:p w14:paraId="301B848E">
            <w:pPr>
              <w:rPr>
                <w:szCs w:val="21"/>
                <w:highlight w:val="none"/>
              </w:rPr>
            </w:pPr>
            <w:r>
              <w:rPr>
                <w:rFonts w:hint="eastAsia"/>
                <w:szCs w:val="21"/>
                <w:highlight w:val="none"/>
              </w:rPr>
              <w:t>响应</w:t>
            </w:r>
            <w:r>
              <w:rPr>
                <w:szCs w:val="21"/>
                <w:highlight w:val="none"/>
              </w:rPr>
              <w:t>有效期</w:t>
            </w:r>
          </w:p>
        </w:tc>
        <w:tc>
          <w:tcPr>
            <w:tcW w:w="5777" w:type="dxa"/>
            <w:noWrap w:val="0"/>
            <w:vAlign w:val="center"/>
          </w:tcPr>
          <w:p w14:paraId="47964E93">
            <w:pPr>
              <w:rPr>
                <w:rFonts w:hint="eastAsia"/>
                <w:szCs w:val="21"/>
                <w:highlight w:val="none"/>
              </w:rPr>
            </w:pPr>
            <w:r>
              <w:rPr>
                <w:szCs w:val="21"/>
                <w:highlight w:val="none"/>
              </w:rPr>
              <w:t>满足</w:t>
            </w:r>
            <w:r>
              <w:rPr>
                <w:rFonts w:hint="eastAsia" w:ascii="宋体" w:hAnsi="宋体"/>
                <w:color w:val="000000"/>
                <w:szCs w:val="21"/>
                <w:highlight w:val="none"/>
              </w:rPr>
              <w:t>采购</w:t>
            </w:r>
            <w:r>
              <w:rPr>
                <w:szCs w:val="21"/>
                <w:highlight w:val="none"/>
              </w:rPr>
              <w:t>文件规定</w:t>
            </w:r>
          </w:p>
        </w:tc>
      </w:tr>
      <w:tr w14:paraId="30F1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06EEC52C">
            <w:pPr>
              <w:spacing w:line="240" w:lineRule="exact"/>
              <w:jc w:val="center"/>
              <w:rPr>
                <w:kern w:val="0"/>
                <w:szCs w:val="21"/>
                <w:highlight w:val="none"/>
              </w:rPr>
            </w:pPr>
          </w:p>
        </w:tc>
        <w:tc>
          <w:tcPr>
            <w:tcW w:w="2693" w:type="dxa"/>
            <w:noWrap w:val="0"/>
            <w:vAlign w:val="center"/>
          </w:tcPr>
          <w:p w14:paraId="32A79A33">
            <w:pPr>
              <w:rPr>
                <w:rFonts w:hint="eastAsia"/>
                <w:szCs w:val="21"/>
                <w:highlight w:val="none"/>
              </w:rPr>
            </w:pPr>
            <w:r>
              <w:rPr>
                <w:rFonts w:hint="eastAsia"/>
                <w:szCs w:val="21"/>
                <w:highlight w:val="none"/>
              </w:rPr>
              <w:t>技术标准和要求</w:t>
            </w:r>
          </w:p>
        </w:tc>
        <w:tc>
          <w:tcPr>
            <w:tcW w:w="5777" w:type="dxa"/>
            <w:noWrap w:val="0"/>
            <w:vAlign w:val="center"/>
          </w:tcPr>
          <w:p w14:paraId="3E0EB24B">
            <w:pPr>
              <w:rPr>
                <w:szCs w:val="21"/>
                <w:highlight w:val="none"/>
              </w:rPr>
            </w:pPr>
            <w:r>
              <w:rPr>
                <w:szCs w:val="21"/>
                <w:highlight w:val="none"/>
              </w:rPr>
              <w:t>满足</w:t>
            </w:r>
            <w:r>
              <w:rPr>
                <w:rFonts w:hint="eastAsia" w:ascii="宋体" w:hAnsi="宋体"/>
                <w:color w:val="000000"/>
                <w:szCs w:val="21"/>
                <w:highlight w:val="none"/>
              </w:rPr>
              <w:t>采购</w:t>
            </w:r>
            <w:r>
              <w:rPr>
                <w:szCs w:val="21"/>
                <w:highlight w:val="none"/>
              </w:rPr>
              <w:t>文件规定</w:t>
            </w:r>
          </w:p>
        </w:tc>
      </w:tr>
      <w:tr w14:paraId="1C1EB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1C5A2796">
            <w:pPr>
              <w:spacing w:line="240" w:lineRule="exact"/>
              <w:jc w:val="center"/>
              <w:rPr>
                <w:kern w:val="0"/>
                <w:szCs w:val="21"/>
                <w:highlight w:val="none"/>
              </w:rPr>
            </w:pPr>
          </w:p>
        </w:tc>
        <w:tc>
          <w:tcPr>
            <w:tcW w:w="2693" w:type="dxa"/>
            <w:noWrap w:val="0"/>
            <w:vAlign w:val="center"/>
          </w:tcPr>
          <w:p w14:paraId="739D652E">
            <w:pPr>
              <w:rPr>
                <w:rFonts w:hint="eastAsia"/>
                <w:szCs w:val="21"/>
                <w:highlight w:val="none"/>
              </w:rPr>
            </w:pPr>
            <w:r>
              <w:rPr>
                <w:rFonts w:hint="eastAsia"/>
                <w:szCs w:val="21"/>
                <w:highlight w:val="none"/>
              </w:rPr>
              <w:t>分包计划（如有）</w:t>
            </w:r>
          </w:p>
        </w:tc>
        <w:tc>
          <w:tcPr>
            <w:tcW w:w="5777" w:type="dxa"/>
            <w:noWrap w:val="0"/>
            <w:vAlign w:val="center"/>
          </w:tcPr>
          <w:p w14:paraId="3306497D">
            <w:pPr>
              <w:rPr>
                <w:szCs w:val="21"/>
                <w:highlight w:val="none"/>
              </w:rPr>
            </w:pPr>
            <w:r>
              <w:rPr>
                <w:szCs w:val="21"/>
                <w:highlight w:val="none"/>
              </w:rPr>
              <w:t>满足</w:t>
            </w:r>
            <w:r>
              <w:rPr>
                <w:rFonts w:hint="eastAsia" w:ascii="宋体" w:hAnsi="宋体"/>
                <w:color w:val="000000"/>
                <w:szCs w:val="21"/>
                <w:highlight w:val="none"/>
              </w:rPr>
              <w:t>采购</w:t>
            </w:r>
            <w:r>
              <w:rPr>
                <w:szCs w:val="21"/>
                <w:highlight w:val="none"/>
              </w:rPr>
              <w:t>文件规定</w:t>
            </w:r>
          </w:p>
        </w:tc>
      </w:tr>
      <w:tr w14:paraId="2AB4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2641CF55">
            <w:pPr>
              <w:spacing w:line="240" w:lineRule="exact"/>
              <w:jc w:val="center"/>
              <w:rPr>
                <w:kern w:val="0"/>
                <w:szCs w:val="21"/>
                <w:highlight w:val="none"/>
              </w:rPr>
            </w:pPr>
          </w:p>
        </w:tc>
        <w:tc>
          <w:tcPr>
            <w:tcW w:w="2693" w:type="dxa"/>
            <w:noWrap w:val="0"/>
            <w:vAlign w:val="center"/>
          </w:tcPr>
          <w:p w14:paraId="17DBEF2D">
            <w:pPr>
              <w:spacing w:line="240" w:lineRule="exact"/>
              <w:rPr>
                <w:szCs w:val="21"/>
                <w:highlight w:val="none"/>
                <w:lang w:val="zh-CN"/>
              </w:rPr>
            </w:pPr>
            <w:r>
              <w:rPr>
                <w:szCs w:val="21"/>
                <w:highlight w:val="none"/>
                <w:lang w:val="zh-CN"/>
              </w:rPr>
              <w:t>已标价工程量清单</w:t>
            </w:r>
          </w:p>
        </w:tc>
        <w:tc>
          <w:tcPr>
            <w:tcW w:w="5777" w:type="dxa"/>
            <w:noWrap w:val="0"/>
            <w:vAlign w:val="center"/>
          </w:tcPr>
          <w:p w14:paraId="24643CFF">
            <w:pPr>
              <w:spacing w:line="240" w:lineRule="exact"/>
              <w:rPr>
                <w:szCs w:val="21"/>
                <w:highlight w:val="none"/>
                <w:lang w:val="zh-CN"/>
              </w:rPr>
            </w:pPr>
            <w:r>
              <w:rPr>
                <w:szCs w:val="21"/>
                <w:highlight w:val="none"/>
                <w:lang w:val="zh-CN"/>
              </w:rPr>
              <w:t>符合</w:t>
            </w:r>
            <w:r>
              <w:rPr>
                <w:szCs w:val="21"/>
                <w:highlight w:val="none"/>
              </w:rPr>
              <w:t>第</w:t>
            </w:r>
            <w:r>
              <w:rPr>
                <w:rFonts w:hint="eastAsia"/>
                <w:szCs w:val="21"/>
                <w:highlight w:val="none"/>
              </w:rPr>
              <w:t>二</w:t>
            </w:r>
            <w:r>
              <w:rPr>
                <w:szCs w:val="21"/>
                <w:highlight w:val="none"/>
              </w:rPr>
              <w:t>章“工程量清单”及 “</w:t>
            </w:r>
            <w:r>
              <w:rPr>
                <w:rFonts w:hint="eastAsia"/>
                <w:szCs w:val="21"/>
                <w:highlight w:val="none"/>
              </w:rPr>
              <w:t>图纸</w:t>
            </w:r>
            <w:r>
              <w:rPr>
                <w:szCs w:val="21"/>
                <w:highlight w:val="none"/>
              </w:rPr>
              <w:t>”</w:t>
            </w:r>
            <w:r>
              <w:rPr>
                <w:szCs w:val="21"/>
                <w:highlight w:val="none"/>
                <w:lang w:val="zh-CN"/>
              </w:rPr>
              <w:t>给出的范围、数量及编制要求</w:t>
            </w:r>
          </w:p>
        </w:tc>
      </w:tr>
      <w:tr w14:paraId="1E4A8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01" w:type="dxa"/>
            <w:vMerge w:val="continue"/>
            <w:noWrap w:val="0"/>
            <w:vAlign w:val="center"/>
          </w:tcPr>
          <w:p w14:paraId="7D6B9ED6">
            <w:pPr>
              <w:spacing w:line="240" w:lineRule="exact"/>
              <w:jc w:val="center"/>
              <w:rPr>
                <w:kern w:val="0"/>
                <w:szCs w:val="21"/>
                <w:highlight w:val="none"/>
              </w:rPr>
            </w:pPr>
          </w:p>
        </w:tc>
        <w:tc>
          <w:tcPr>
            <w:tcW w:w="2693" w:type="dxa"/>
            <w:noWrap w:val="0"/>
            <w:vAlign w:val="center"/>
          </w:tcPr>
          <w:p w14:paraId="43C74C33">
            <w:pPr>
              <w:spacing w:line="240" w:lineRule="exact"/>
              <w:rPr>
                <w:szCs w:val="21"/>
                <w:highlight w:val="none"/>
                <w:lang w:val="zh-CN"/>
              </w:rPr>
            </w:pPr>
            <w:r>
              <w:rPr>
                <w:rFonts w:hint="eastAsia"/>
                <w:szCs w:val="21"/>
                <w:highlight w:val="none"/>
                <w:lang w:val="en-US" w:eastAsia="zh-CN"/>
              </w:rPr>
              <w:t>权利义务</w:t>
            </w:r>
          </w:p>
        </w:tc>
        <w:tc>
          <w:tcPr>
            <w:tcW w:w="5777" w:type="dxa"/>
            <w:noWrap w:val="0"/>
            <w:vAlign w:val="center"/>
          </w:tcPr>
          <w:p w14:paraId="61CC1DF4">
            <w:pPr>
              <w:spacing w:line="240" w:lineRule="exact"/>
              <w:rPr>
                <w:szCs w:val="21"/>
                <w:highlight w:val="none"/>
                <w:lang w:val="zh-CN"/>
              </w:rPr>
            </w:pPr>
            <w:r>
              <w:rPr>
                <w:rFonts w:hint="eastAsia"/>
                <w:szCs w:val="21"/>
                <w:highlight w:val="none"/>
                <w:lang w:val="en-US" w:eastAsia="zh-CN"/>
              </w:rPr>
              <w:t>响应函</w:t>
            </w:r>
            <w:r>
              <w:rPr>
                <w:rFonts w:hint="eastAsia"/>
                <w:szCs w:val="21"/>
                <w:highlight w:val="none"/>
                <w:lang w:val="zh-CN"/>
              </w:rPr>
              <w:t>附录中的相关承诺符合或优于第</w:t>
            </w:r>
            <w:r>
              <w:rPr>
                <w:rFonts w:hint="eastAsia"/>
                <w:szCs w:val="21"/>
                <w:highlight w:val="none"/>
                <w:lang w:val="en-US" w:eastAsia="zh-CN"/>
              </w:rPr>
              <w:t>五</w:t>
            </w:r>
            <w:r>
              <w:rPr>
                <w:rFonts w:hint="eastAsia"/>
                <w:szCs w:val="21"/>
                <w:highlight w:val="none"/>
                <w:lang w:val="zh-CN"/>
              </w:rPr>
              <w:t>章“合同</w:t>
            </w:r>
            <w:r>
              <w:rPr>
                <w:rFonts w:hint="eastAsia"/>
                <w:szCs w:val="21"/>
                <w:highlight w:val="none"/>
                <w:lang w:val="en-US" w:eastAsia="zh-CN"/>
              </w:rPr>
              <w:t>主要条款格式</w:t>
            </w:r>
            <w:r>
              <w:rPr>
                <w:rFonts w:hint="eastAsia"/>
                <w:szCs w:val="21"/>
                <w:highlight w:val="none"/>
                <w:lang w:val="zh-CN"/>
              </w:rPr>
              <w:t>”的相关规定</w:t>
            </w:r>
          </w:p>
        </w:tc>
      </w:tr>
      <w:tr w14:paraId="009AE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vMerge w:val="restart"/>
            <w:noWrap w:val="0"/>
            <w:vAlign w:val="center"/>
          </w:tcPr>
          <w:p w14:paraId="6131064B">
            <w:pPr>
              <w:spacing w:line="240" w:lineRule="exact"/>
              <w:jc w:val="center"/>
              <w:rPr>
                <w:rFonts w:hint="eastAsia"/>
                <w:szCs w:val="21"/>
                <w:highlight w:val="none"/>
              </w:rPr>
            </w:pPr>
            <w:r>
              <w:rPr>
                <w:rFonts w:hint="eastAsia"/>
                <w:kern w:val="0"/>
                <w:szCs w:val="21"/>
                <w:highlight w:val="none"/>
              </w:rPr>
              <w:t>报价</w:t>
            </w:r>
          </w:p>
        </w:tc>
        <w:tc>
          <w:tcPr>
            <w:tcW w:w="2693" w:type="dxa"/>
            <w:noWrap w:val="0"/>
            <w:vAlign w:val="center"/>
          </w:tcPr>
          <w:p w14:paraId="0B9159F9">
            <w:pPr>
              <w:rPr>
                <w:rFonts w:hint="eastAsia"/>
                <w:highlight w:val="none"/>
              </w:rPr>
            </w:pPr>
            <w:r>
              <w:rPr>
                <w:rFonts w:hint="eastAsia"/>
                <w:highlight w:val="none"/>
              </w:rPr>
              <w:t>有效报价</w:t>
            </w:r>
          </w:p>
        </w:tc>
        <w:tc>
          <w:tcPr>
            <w:tcW w:w="5777" w:type="dxa"/>
            <w:noWrap w:val="0"/>
            <w:vAlign w:val="center"/>
          </w:tcPr>
          <w:p w14:paraId="48A8AD7B">
            <w:pPr>
              <w:rPr>
                <w:rFonts w:hint="eastAsia"/>
                <w:highlight w:val="none"/>
              </w:rPr>
            </w:pPr>
            <w:r>
              <w:rPr>
                <w:rFonts w:hint="eastAsia"/>
                <w:highlight w:val="none"/>
              </w:rPr>
              <w:t>最后报价未超出采购预算金额（包括分项预算），也未超出最高限价（如有）</w:t>
            </w:r>
          </w:p>
        </w:tc>
      </w:tr>
      <w:tr w14:paraId="18E13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101" w:type="dxa"/>
            <w:vMerge w:val="continue"/>
            <w:noWrap w:val="0"/>
            <w:vAlign w:val="center"/>
          </w:tcPr>
          <w:p w14:paraId="00D5FEBF">
            <w:pPr>
              <w:spacing w:line="240" w:lineRule="exact"/>
              <w:jc w:val="center"/>
              <w:rPr>
                <w:szCs w:val="21"/>
                <w:highlight w:val="none"/>
              </w:rPr>
            </w:pPr>
          </w:p>
        </w:tc>
        <w:tc>
          <w:tcPr>
            <w:tcW w:w="2693" w:type="dxa"/>
            <w:noWrap w:val="0"/>
            <w:vAlign w:val="center"/>
          </w:tcPr>
          <w:p w14:paraId="508823A6">
            <w:pPr>
              <w:rPr>
                <w:rFonts w:hint="eastAsia"/>
                <w:highlight w:val="none"/>
              </w:rPr>
            </w:pPr>
            <w:r>
              <w:rPr>
                <w:rFonts w:hint="eastAsia"/>
                <w:highlight w:val="none"/>
              </w:rPr>
              <w:t>漏项报价</w:t>
            </w:r>
          </w:p>
        </w:tc>
        <w:tc>
          <w:tcPr>
            <w:tcW w:w="5777" w:type="dxa"/>
            <w:noWrap w:val="0"/>
            <w:vAlign w:val="center"/>
          </w:tcPr>
          <w:p w14:paraId="7579114C">
            <w:pPr>
              <w:rPr>
                <w:rFonts w:hint="eastAsia"/>
                <w:highlight w:val="none"/>
              </w:rPr>
            </w:pPr>
            <w:r>
              <w:rPr>
                <w:rFonts w:hint="eastAsia"/>
                <w:highlight w:val="none"/>
              </w:rPr>
              <w:t>未就所投分标进行报价或者存在漏项报价；</w:t>
            </w:r>
          </w:p>
        </w:tc>
      </w:tr>
      <w:tr w14:paraId="6FEB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01" w:type="dxa"/>
            <w:vMerge w:val="continue"/>
            <w:noWrap w:val="0"/>
            <w:vAlign w:val="center"/>
          </w:tcPr>
          <w:p w14:paraId="5761C291">
            <w:pPr>
              <w:spacing w:line="240" w:lineRule="exact"/>
              <w:jc w:val="center"/>
              <w:rPr>
                <w:szCs w:val="21"/>
                <w:highlight w:val="none"/>
              </w:rPr>
            </w:pPr>
          </w:p>
        </w:tc>
        <w:tc>
          <w:tcPr>
            <w:tcW w:w="2693" w:type="dxa"/>
            <w:noWrap w:val="0"/>
            <w:vAlign w:val="center"/>
          </w:tcPr>
          <w:p w14:paraId="22CD0CA3">
            <w:pPr>
              <w:rPr>
                <w:rFonts w:hint="eastAsia"/>
                <w:highlight w:val="none"/>
              </w:rPr>
            </w:pPr>
            <w:r>
              <w:rPr>
                <w:rFonts w:hint="eastAsia"/>
                <w:highlight w:val="none"/>
              </w:rPr>
              <w:t>响应报价唯一性</w:t>
            </w:r>
          </w:p>
        </w:tc>
        <w:tc>
          <w:tcPr>
            <w:tcW w:w="5777" w:type="dxa"/>
            <w:noWrap w:val="0"/>
            <w:vAlign w:val="center"/>
          </w:tcPr>
          <w:p w14:paraId="1016D0C4">
            <w:pPr>
              <w:rPr>
                <w:highlight w:val="none"/>
              </w:rPr>
            </w:pPr>
            <w:r>
              <w:rPr>
                <w:rFonts w:hint="eastAsia"/>
                <w:highlight w:val="none"/>
              </w:rPr>
              <w:t>不存在有选择、有条件的最后报价（采购文件允许有备选方案或者其他约定的除外）</w:t>
            </w:r>
          </w:p>
        </w:tc>
      </w:tr>
      <w:tr w14:paraId="169C4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01" w:type="dxa"/>
            <w:vMerge w:val="continue"/>
            <w:noWrap w:val="0"/>
            <w:vAlign w:val="center"/>
          </w:tcPr>
          <w:p w14:paraId="1F958BAC">
            <w:pPr>
              <w:spacing w:line="240" w:lineRule="exact"/>
              <w:jc w:val="center"/>
              <w:rPr>
                <w:szCs w:val="21"/>
                <w:highlight w:val="none"/>
              </w:rPr>
            </w:pPr>
          </w:p>
        </w:tc>
        <w:tc>
          <w:tcPr>
            <w:tcW w:w="2693" w:type="dxa"/>
            <w:noWrap w:val="0"/>
            <w:vAlign w:val="center"/>
          </w:tcPr>
          <w:p w14:paraId="5490DF6A">
            <w:pPr>
              <w:spacing w:line="240" w:lineRule="exact"/>
              <w:rPr>
                <w:rFonts w:hint="eastAsia" w:ascii="Times New Roman" w:hAnsi="Times New Roman" w:eastAsia="宋体" w:cs="Times New Roman"/>
                <w:kern w:val="2"/>
                <w:sz w:val="21"/>
                <w:szCs w:val="24"/>
                <w:highlight w:val="none"/>
                <w:lang w:val="zh-CN" w:eastAsia="zh-CN" w:bidi="ar-SA"/>
              </w:rPr>
            </w:pPr>
            <w:r>
              <w:rPr>
                <w:rFonts w:hint="eastAsia"/>
                <w:szCs w:val="21"/>
                <w:highlight w:val="none"/>
                <w:lang w:val="zh-CN"/>
              </w:rPr>
              <w:t>过低报价合理性</w:t>
            </w:r>
          </w:p>
        </w:tc>
        <w:tc>
          <w:tcPr>
            <w:tcW w:w="5777" w:type="dxa"/>
            <w:noWrap w:val="0"/>
            <w:vAlign w:val="center"/>
          </w:tcPr>
          <w:p w14:paraId="42F6689F">
            <w:pPr>
              <w:spacing w:line="240" w:lineRule="exact"/>
              <w:rPr>
                <w:rFonts w:hint="eastAsia" w:ascii="Times New Roman" w:hAnsi="Times New Roman" w:eastAsia="宋体" w:cs="Times New Roman"/>
                <w:kern w:val="2"/>
                <w:sz w:val="21"/>
                <w:szCs w:val="24"/>
                <w:highlight w:val="none"/>
                <w:lang w:val="en-US" w:eastAsia="zh-CN" w:bidi="ar-SA"/>
              </w:rPr>
            </w:pPr>
            <w:r>
              <w:rPr>
                <w:rFonts w:hint="eastAsia"/>
                <w:highlight w:val="none"/>
                <w:lang w:val="en-US" w:eastAsia="zh-CN"/>
              </w:rPr>
              <w:t>供应商</w:t>
            </w:r>
            <w:r>
              <w:rPr>
                <w:rFonts w:hint="eastAsia"/>
                <w:highlight w:val="none"/>
              </w:rPr>
              <w:t>的</w:t>
            </w:r>
            <w:r>
              <w:rPr>
                <w:rFonts w:hint="eastAsia"/>
                <w:highlight w:val="none"/>
                <w:lang w:val="en-US" w:eastAsia="zh-CN"/>
              </w:rPr>
              <w:t>报价</w:t>
            </w:r>
            <w:r>
              <w:rPr>
                <w:rFonts w:hint="eastAsia"/>
                <w:highlight w:val="none"/>
              </w:rPr>
              <w:t>存在异常低价问题</w:t>
            </w:r>
            <w:r>
              <w:rPr>
                <w:rFonts w:hint="eastAsia"/>
                <w:highlight w:val="none"/>
                <w:lang w:val="en-US" w:eastAsia="zh-CN"/>
              </w:rPr>
              <w:t>的情形，评审委员会</w:t>
            </w:r>
            <w:r>
              <w:rPr>
                <w:rFonts w:hint="eastAsia"/>
                <w:szCs w:val="21"/>
                <w:highlight w:val="none"/>
              </w:rPr>
              <w:t>应当要求其在</w:t>
            </w:r>
            <w:r>
              <w:rPr>
                <w:rFonts w:hint="eastAsia"/>
                <w:szCs w:val="21"/>
                <w:highlight w:val="none"/>
                <w:lang w:val="en-US" w:eastAsia="zh-CN"/>
              </w:rPr>
              <w:t>评审</w:t>
            </w:r>
            <w:r>
              <w:rPr>
                <w:rFonts w:hint="eastAsia"/>
                <w:szCs w:val="21"/>
                <w:highlight w:val="none"/>
              </w:rPr>
              <w:t>现场合理的时间内</w:t>
            </w:r>
            <w:r>
              <w:rPr>
                <w:rFonts w:hint="eastAsia"/>
                <w:szCs w:val="21"/>
                <w:highlight w:val="none"/>
                <w:lang w:val="en-US" w:eastAsia="zh-CN"/>
              </w:rPr>
              <w:t>提供</w:t>
            </w:r>
            <w:r>
              <w:rPr>
                <w:rFonts w:hint="eastAsia"/>
                <w:szCs w:val="21"/>
                <w:highlight w:val="none"/>
              </w:rPr>
              <w:t>报价合理性相关的书面说明及必要的证明材料。</w:t>
            </w:r>
            <w:r>
              <w:rPr>
                <w:rFonts w:hint="eastAsia"/>
                <w:highlight w:val="none"/>
                <w:lang w:val="en-US" w:eastAsia="zh-CN"/>
              </w:rPr>
              <w:t>供应商</w:t>
            </w:r>
            <w:r>
              <w:rPr>
                <w:rFonts w:hint="eastAsia"/>
                <w:highlight w:val="none"/>
              </w:rPr>
              <w:t>不能证明其报价合理性的，</w:t>
            </w:r>
            <w:r>
              <w:rPr>
                <w:rFonts w:hint="eastAsia"/>
                <w:highlight w:val="none"/>
                <w:lang w:eastAsia="zh-CN"/>
              </w:rPr>
              <w:t>评审委员会</w:t>
            </w:r>
            <w:r>
              <w:rPr>
                <w:rFonts w:hint="eastAsia"/>
                <w:highlight w:val="none"/>
              </w:rPr>
              <w:t>应当将其作为无效</w:t>
            </w:r>
            <w:r>
              <w:rPr>
                <w:rFonts w:hint="eastAsia"/>
                <w:highlight w:val="none"/>
                <w:lang w:val="en-US" w:eastAsia="zh-CN"/>
              </w:rPr>
              <w:t>响应</w:t>
            </w:r>
            <w:r>
              <w:rPr>
                <w:rFonts w:hint="eastAsia"/>
                <w:highlight w:val="none"/>
              </w:rPr>
              <w:t>处理。</w:t>
            </w:r>
          </w:p>
        </w:tc>
      </w:tr>
      <w:tr w14:paraId="2D4FE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101" w:type="dxa"/>
            <w:vMerge w:val="continue"/>
            <w:noWrap w:val="0"/>
            <w:vAlign w:val="center"/>
          </w:tcPr>
          <w:p w14:paraId="3856BD8C">
            <w:pPr>
              <w:spacing w:line="240" w:lineRule="exact"/>
              <w:jc w:val="center"/>
              <w:rPr>
                <w:szCs w:val="21"/>
                <w:highlight w:val="none"/>
              </w:rPr>
            </w:pPr>
          </w:p>
        </w:tc>
        <w:tc>
          <w:tcPr>
            <w:tcW w:w="2693" w:type="dxa"/>
            <w:noWrap w:val="0"/>
            <w:vAlign w:val="center"/>
          </w:tcPr>
          <w:p w14:paraId="5A0CA3B2">
            <w:pPr>
              <w:rPr>
                <w:rFonts w:hint="eastAsia"/>
                <w:highlight w:val="none"/>
              </w:rPr>
            </w:pPr>
            <w:r>
              <w:rPr>
                <w:rFonts w:hint="eastAsia"/>
                <w:highlight w:val="none"/>
              </w:rPr>
              <w:t>响应有效期</w:t>
            </w:r>
          </w:p>
        </w:tc>
        <w:tc>
          <w:tcPr>
            <w:tcW w:w="5777" w:type="dxa"/>
            <w:noWrap w:val="0"/>
            <w:vAlign w:val="center"/>
          </w:tcPr>
          <w:p w14:paraId="154CBE7D">
            <w:pPr>
              <w:rPr>
                <w:rFonts w:hint="eastAsia"/>
                <w:highlight w:val="none"/>
              </w:rPr>
            </w:pPr>
            <w:r>
              <w:rPr>
                <w:rFonts w:hint="eastAsia"/>
                <w:highlight w:val="none"/>
              </w:rPr>
              <w:t>满足采购文件规定</w:t>
            </w:r>
          </w:p>
        </w:tc>
      </w:tr>
    </w:tbl>
    <w:p w14:paraId="4C2D5B69">
      <w:pPr>
        <w:spacing w:before="120" w:line="320" w:lineRule="atLeast"/>
        <w:ind w:firstLine="413" w:firstLineChars="196"/>
        <w:outlineLvl w:val="1"/>
        <w:rPr>
          <w:b/>
          <w:bCs/>
          <w:kern w:val="0"/>
          <w:szCs w:val="21"/>
          <w:highlight w:val="none"/>
        </w:rPr>
      </w:pPr>
      <w:r>
        <w:rPr>
          <w:b/>
          <w:bCs/>
          <w:kern w:val="0"/>
          <w:szCs w:val="21"/>
          <w:highlight w:val="none"/>
        </w:rPr>
        <w:br w:type="page"/>
      </w:r>
      <w:r>
        <w:rPr>
          <w:b/>
          <w:bCs/>
          <w:kern w:val="0"/>
          <w:szCs w:val="21"/>
          <w:highlight w:val="none"/>
        </w:rPr>
        <w:t>4.</w:t>
      </w:r>
      <w:r>
        <w:rPr>
          <w:rFonts w:hint="eastAsia"/>
          <w:b/>
          <w:bCs/>
          <w:kern w:val="0"/>
          <w:szCs w:val="21"/>
          <w:highlight w:val="none"/>
        </w:rPr>
        <w:t>评审</w:t>
      </w:r>
      <w:r>
        <w:rPr>
          <w:b/>
          <w:bCs/>
          <w:kern w:val="0"/>
          <w:szCs w:val="21"/>
          <w:highlight w:val="none"/>
        </w:rPr>
        <w:t>标准</w:t>
      </w:r>
    </w:p>
    <w:p w14:paraId="508BFD08">
      <w:pPr>
        <w:ind w:firstLine="420" w:firstLineChars="200"/>
        <w:rPr>
          <w:highlight w:val="none"/>
        </w:rPr>
      </w:pPr>
      <w:r>
        <w:rPr>
          <w:rFonts w:hint="eastAsia"/>
          <w:highlight w:val="none"/>
        </w:rPr>
        <w:t>（1）技术及商务资信分</w:t>
      </w:r>
    </w:p>
    <w:tbl>
      <w:tblPr>
        <w:tblStyle w:val="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9"/>
        <w:gridCol w:w="720"/>
        <w:gridCol w:w="877"/>
        <w:gridCol w:w="5843"/>
        <w:gridCol w:w="873"/>
        <w:gridCol w:w="749"/>
      </w:tblGrid>
      <w:tr w14:paraId="094B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noWrap w:val="0"/>
            <w:vAlign w:val="center"/>
          </w:tcPr>
          <w:p w14:paraId="24FA650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r>
              <w:rPr>
                <w:rFonts w:hint="default" w:ascii="Arial" w:hAnsi="Arial" w:cs="Arial"/>
                <w:b/>
                <w:color w:val="auto"/>
                <w:szCs w:val="21"/>
              </w:rPr>
              <w:t>序号</w:t>
            </w:r>
          </w:p>
        </w:tc>
        <w:tc>
          <w:tcPr>
            <w:tcW w:w="376" w:type="pct"/>
            <w:noWrap w:val="0"/>
            <w:vAlign w:val="center"/>
          </w:tcPr>
          <w:p w14:paraId="4D51D52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r>
              <w:rPr>
                <w:rFonts w:hint="default" w:ascii="Arial" w:hAnsi="Arial" w:cs="Arial"/>
                <w:b/>
                <w:color w:val="auto"/>
                <w:szCs w:val="21"/>
              </w:rPr>
              <w:t>类型</w:t>
            </w:r>
          </w:p>
        </w:tc>
        <w:tc>
          <w:tcPr>
            <w:tcW w:w="3509" w:type="pct"/>
            <w:gridSpan w:val="2"/>
            <w:noWrap w:val="0"/>
            <w:vAlign w:val="top"/>
          </w:tcPr>
          <w:p w14:paraId="1DC5B55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r>
              <w:rPr>
                <w:rFonts w:hint="default" w:ascii="Arial" w:hAnsi="Arial" w:cs="Arial"/>
                <w:b/>
                <w:color w:val="auto"/>
                <w:szCs w:val="21"/>
              </w:rPr>
              <w:t>评分标准</w:t>
            </w:r>
          </w:p>
        </w:tc>
        <w:tc>
          <w:tcPr>
            <w:tcW w:w="456" w:type="pct"/>
            <w:noWrap w:val="0"/>
            <w:vAlign w:val="center"/>
          </w:tcPr>
          <w:p w14:paraId="6B5671B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r>
              <w:rPr>
                <w:rFonts w:hint="default" w:ascii="Arial" w:hAnsi="Arial" w:cs="Arial"/>
                <w:b/>
                <w:color w:val="auto"/>
                <w:szCs w:val="21"/>
              </w:rPr>
              <w:t>分值权重</w:t>
            </w:r>
          </w:p>
        </w:tc>
        <w:tc>
          <w:tcPr>
            <w:tcW w:w="391" w:type="pct"/>
            <w:noWrap w:val="0"/>
            <w:vAlign w:val="center"/>
          </w:tcPr>
          <w:p w14:paraId="2B21B78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r>
              <w:rPr>
                <w:rFonts w:hint="default" w:ascii="Arial" w:hAnsi="Arial" w:cs="Arial"/>
                <w:b/>
                <w:color w:val="auto"/>
                <w:szCs w:val="21"/>
              </w:rPr>
              <w:t>说明</w:t>
            </w:r>
          </w:p>
        </w:tc>
      </w:tr>
      <w:tr w14:paraId="62D3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restart"/>
            <w:noWrap w:val="0"/>
            <w:vAlign w:val="center"/>
          </w:tcPr>
          <w:p w14:paraId="13F2E82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r>
              <w:rPr>
                <w:rFonts w:hint="default" w:ascii="Arial" w:hAnsi="Arial" w:cs="Arial"/>
                <w:b/>
                <w:color w:val="auto"/>
                <w:szCs w:val="21"/>
              </w:rPr>
              <w:t>1</w:t>
            </w:r>
          </w:p>
        </w:tc>
        <w:tc>
          <w:tcPr>
            <w:tcW w:w="376" w:type="pct"/>
            <w:vMerge w:val="restart"/>
            <w:noWrap w:val="0"/>
            <w:vAlign w:val="center"/>
          </w:tcPr>
          <w:p w14:paraId="341C49E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r>
              <w:rPr>
                <w:rFonts w:hint="default" w:ascii="Arial" w:hAnsi="Arial" w:cs="Arial"/>
                <w:color w:val="auto"/>
                <w:szCs w:val="21"/>
              </w:rPr>
              <w:t>技术分</w:t>
            </w:r>
          </w:p>
        </w:tc>
        <w:tc>
          <w:tcPr>
            <w:tcW w:w="458" w:type="pct"/>
            <w:vMerge w:val="restart"/>
            <w:noWrap w:val="0"/>
            <w:vAlign w:val="center"/>
          </w:tcPr>
          <w:p w14:paraId="341A8EB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Arial" w:hAnsi="Arial" w:cs="Arial"/>
                <w:color w:val="auto"/>
                <w:kern w:val="0"/>
                <w:highlight w:val="none"/>
              </w:rPr>
            </w:pPr>
            <w:r>
              <w:rPr>
                <w:rFonts w:hint="default" w:ascii="Arial" w:hAnsi="Arial" w:cs="Arial"/>
                <w:color w:val="auto"/>
                <w:highlight w:val="none"/>
              </w:rPr>
              <w:t>项目管理机构</w:t>
            </w:r>
          </w:p>
        </w:tc>
        <w:tc>
          <w:tcPr>
            <w:tcW w:w="3051" w:type="pct"/>
            <w:noWrap w:val="0"/>
            <w:vAlign w:val="center"/>
          </w:tcPr>
          <w:p w14:paraId="3DDD5439">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highlight w:val="none"/>
                <w:lang w:val="en-US" w:eastAsia="zh-CN"/>
              </w:rPr>
            </w:pPr>
            <w:r>
              <w:rPr>
                <w:rFonts w:hint="default" w:ascii="Arial" w:hAnsi="Arial" w:cs="Arial"/>
                <w:color w:val="auto"/>
                <w:szCs w:val="21"/>
                <w:highlight w:val="none"/>
                <w:lang w:eastAsia="zh-CN"/>
              </w:rPr>
              <w:t>项目经理（</w:t>
            </w:r>
            <w:r>
              <w:rPr>
                <w:rFonts w:hint="default" w:ascii="Arial" w:hAnsi="Arial" w:cs="Arial"/>
                <w:color w:val="auto"/>
                <w:szCs w:val="21"/>
                <w:highlight w:val="none"/>
                <w:lang w:val="en-US" w:eastAsia="zh-CN"/>
              </w:rPr>
              <w:t>5分）</w:t>
            </w:r>
          </w:p>
          <w:p w14:paraId="187DA1E8">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highlight w:val="none"/>
              </w:rPr>
            </w:pPr>
            <w:r>
              <w:rPr>
                <w:rFonts w:hint="default" w:ascii="Arial" w:hAnsi="Arial" w:cs="Arial"/>
                <w:color w:val="auto"/>
                <w:szCs w:val="21"/>
                <w:highlight w:val="none"/>
              </w:rPr>
              <w:t>具备工程类专业</w:t>
            </w:r>
            <w:r>
              <w:rPr>
                <w:rFonts w:hint="default" w:ascii="Arial" w:hAnsi="Arial" w:cs="Arial"/>
                <w:color w:val="auto"/>
                <w:szCs w:val="21"/>
                <w:highlight w:val="none"/>
                <w:lang w:val="en-US" w:eastAsia="zh-CN"/>
              </w:rPr>
              <w:t>中</w:t>
            </w:r>
            <w:r>
              <w:rPr>
                <w:rFonts w:hint="default" w:ascii="Arial" w:hAnsi="Arial" w:cs="Arial"/>
                <w:color w:val="auto"/>
                <w:szCs w:val="21"/>
                <w:highlight w:val="none"/>
              </w:rPr>
              <w:t>级</w:t>
            </w:r>
            <w:r>
              <w:rPr>
                <w:rFonts w:hint="default" w:ascii="Arial" w:hAnsi="Arial" w:cs="Arial"/>
                <w:color w:val="auto"/>
                <w:szCs w:val="21"/>
                <w:highlight w:val="none"/>
                <w:lang w:val="en-US" w:eastAsia="zh-CN"/>
              </w:rPr>
              <w:t>及以上</w:t>
            </w:r>
            <w:r>
              <w:rPr>
                <w:rFonts w:hint="default" w:ascii="Arial" w:hAnsi="Arial" w:cs="Arial"/>
                <w:color w:val="auto"/>
                <w:szCs w:val="21"/>
                <w:highlight w:val="none"/>
              </w:rPr>
              <w:t>工程师职称的得</w:t>
            </w:r>
            <w:r>
              <w:rPr>
                <w:rFonts w:hint="default" w:ascii="Arial" w:hAnsi="Arial" w:cs="Arial"/>
                <w:color w:val="auto"/>
                <w:szCs w:val="21"/>
                <w:highlight w:val="none"/>
                <w:lang w:val="en-US" w:eastAsia="zh-CN"/>
              </w:rPr>
              <w:t>5</w:t>
            </w:r>
            <w:r>
              <w:rPr>
                <w:rFonts w:hint="default" w:ascii="Arial" w:hAnsi="Arial" w:cs="Arial"/>
                <w:color w:val="auto"/>
                <w:szCs w:val="21"/>
                <w:highlight w:val="none"/>
              </w:rPr>
              <w:t>分。满分</w:t>
            </w:r>
            <w:r>
              <w:rPr>
                <w:rFonts w:hint="default" w:ascii="Arial" w:hAnsi="Arial" w:cs="Arial"/>
                <w:color w:val="auto"/>
                <w:szCs w:val="21"/>
                <w:highlight w:val="none"/>
                <w:lang w:val="en-US" w:eastAsia="zh-CN"/>
              </w:rPr>
              <w:t>5</w:t>
            </w:r>
            <w:r>
              <w:rPr>
                <w:rFonts w:hint="default" w:ascii="Arial" w:hAnsi="Arial" w:cs="Arial"/>
                <w:color w:val="auto"/>
                <w:szCs w:val="21"/>
                <w:highlight w:val="none"/>
              </w:rPr>
              <w:t>分。</w:t>
            </w:r>
          </w:p>
          <w:p w14:paraId="7824C5A1">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highlight w:val="none"/>
              </w:rPr>
            </w:pPr>
            <w:r>
              <w:rPr>
                <w:rFonts w:hint="default" w:ascii="Arial" w:hAnsi="Arial" w:cs="Arial"/>
                <w:color w:val="auto"/>
                <w:szCs w:val="21"/>
                <w:highlight w:val="none"/>
              </w:rPr>
              <w:t>注：响应文件提供证明材料（复印件加盖公章）。</w:t>
            </w:r>
            <w:r>
              <w:rPr>
                <w:rFonts w:hint="eastAsia" w:ascii="Arial" w:hAnsi="Arial" w:cs="Arial"/>
                <w:color w:val="auto"/>
                <w:szCs w:val="21"/>
                <w:highlight w:val="none"/>
                <w:lang w:val="en-US" w:eastAsia="zh-CN"/>
              </w:rPr>
              <w:t>不提供不得分。</w:t>
            </w:r>
          </w:p>
        </w:tc>
        <w:tc>
          <w:tcPr>
            <w:tcW w:w="456" w:type="pct"/>
            <w:noWrap w:val="0"/>
            <w:vAlign w:val="center"/>
          </w:tcPr>
          <w:p w14:paraId="35D0431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r>
              <w:rPr>
                <w:rFonts w:hint="default" w:ascii="Arial" w:hAnsi="Arial" w:cs="Arial"/>
                <w:color w:val="auto"/>
                <w:szCs w:val="21"/>
              </w:rPr>
              <w:t>0-5</w:t>
            </w:r>
          </w:p>
        </w:tc>
        <w:tc>
          <w:tcPr>
            <w:tcW w:w="391" w:type="pct"/>
            <w:noWrap w:val="0"/>
            <w:vAlign w:val="center"/>
          </w:tcPr>
          <w:p w14:paraId="0E0A8ED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eastAsia="zh-CN"/>
              </w:rPr>
            </w:pPr>
            <w:r>
              <w:rPr>
                <w:rFonts w:hint="default" w:ascii="Arial" w:hAnsi="Arial" w:cs="Arial"/>
                <w:color w:val="auto"/>
                <w:szCs w:val="21"/>
                <w:lang w:eastAsia="zh-CN"/>
              </w:rPr>
              <w:t>提供证明材料</w:t>
            </w:r>
          </w:p>
        </w:tc>
      </w:tr>
      <w:tr w14:paraId="2AB0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4C9A46F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4B189E1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13722740">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highlight w:val="none"/>
              </w:rPr>
            </w:pPr>
          </w:p>
        </w:tc>
        <w:tc>
          <w:tcPr>
            <w:tcW w:w="3051" w:type="pct"/>
            <w:noWrap w:val="0"/>
            <w:vAlign w:val="center"/>
          </w:tcPr>
          <w:p w14:paraId="645EACA3">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highlight w:val="none"/>
              </w:rPr>
            </w:pPr>
            <w:r>
              <w:rPr>
                <w:rFonts w:hint="default" w:ascii="Arial" w:hAnsi="Arial" w:cs="Arial"/>
                <w:color w:val="auto"/>
                <w:kern w:val="0"/>
                <w:highlight w:val="none"/>
              </w:rPr>
              <w:t>其他主要人员（5分）</w:t>
            </w:r>
          </w:p>
          <w:p w14:paraId="1DBD9E4D">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Arial" w:hAnsi="Arial" w:eastAsia="宋体" w:cs="Arial"/>
                <w:color w:val="auto"/>
                <w:kern w:val="0"/>
                <w:highlight w:val="none"/>
                <w:lang w:val="en-US" w:eastAsia="zh-CN"/>
              </w:rPr>
            </w:pPr>
            <w:r>
              <w:rPr>
                <w:rFonts w:hint="default" w:ascii="Arial" w:hAnsi="Arial" w:cs="Arial"/>
                <w:color w:val="auto"/>
                <w:kern w:val="0"/>
                <w:highlight w:val="none"/>
              </w:rPr>
              <w:t>基本要求：人员齐备、专业配套应与资格审查提供的人员配备相一致，且具备相关施工现场专业人员职业培训合格证书</w:t>
            </w:r>
            <w:r>
              <w:rPr>
                <w:rFonts w:hint="eastAsia" w:ascii="Arial" w:hAnsi="Arial" w:cs="Arial"/>
                <w:color w:val="auto"/>
                <w:kern w:val="0"/>
                <w:highlight w:val="none"/>
                <w:lang w:eastAsia="zh-CN"/>
              </w:rPr>
              <w:t>，</w:t>
            </w:r>
            <w:r>
              <w:rPr>
                <w:rFonts w:hint="default" w:ascii="Arial" w:hAnsi="Arial" w:cs="Arial"/>
                <w:color w:val="auto"/>
                <w:kern w:val="0"/>
                <w:highlight w:val="none"/>
              </w:rPr>
              <w:t>拟派驻本项目的技术</w:t>
            </w:r>
            <w:r>
              <w:rPr>
                <w:rFonts w:hint="eastAsia" w:ascii="Arial" w:hAnsi="Arial" w:cs="Arial"/>
                <w:color w:val="auto"/>
                <w:kern w:val="0"/>
                <w:highlight w:val="none"/>
                <w:lang w:eastAsia="zh-CN"/>
              </w:rPr>
              <w:t>总工不少于</w:t>
            </w:r>
            <w:r>
              <w:rPr>
                <w:rFonts w:hint="eastAsia" w:ascii="Arial" w:hAnsi="Arial" w:cs="Arial"/>
                <w:color w:val="auto"/>
                <w:kern w:val="0"/>
                <w:highlight w:val="none"/>
                <w:lang w:val="en-US" w:eastAsia="zh-CN"/>
              </w:rPr>
              <w:t>1人（</w:t>
            </w:r>
            <w:r>
              <w:rPr>
                <w:rFonts w:hint="default" w:ascii="Arial" w:hAnsi="Arial" w:cs="Arial"/>
                <w:color w:val="auto"/>
                <w:kern w:val="0"/>
                <w:highlight w:val="none"/>
              </w:rPr>
              <w:t>应具有中级及以上职称证件</w:t>
            </w:r>
            <w:r>
              <w:rPr>
                <w:rFonts w:hint="eastAsia" w:ascii="Arial" w:hAnsi="Arial" w:cs="Arial"/>
                <w:color w:val="auto"/>
                <w:kern w:val="0"/>
                <w:highlight w:val="none"/>
                <w:lang w:eastAsia="zh-CN"/>
              </w:rPr>
              <w:t>）</w:t>
            </w:r>
            <w:r>
              <w:rPr>
                <w:rFonts w:hint="default" w:ascii="Arial" w:hAnsi="Arial" w:cs="Arial"/>
                <w:color w:val="auto"/>
                <w:kern w:val="0"/>
                <w:highlight w:val="none"/>
              </w:rPr>
              <w:t>，施工员</w:t>
            </w:r>
            <w:r>
              <w:rPr>
                <w:rFonts w:hint="eastAsia" w:ascii="Arial" w:hAnsi="Arial" w:cs="Arial"/>
                <w:color w:val="auto"/>
                <w:kern w:val="0"/>
                <w:highlight w:val="none"/>
                <w:lang w:eastAsia="zh-CN"/>
              </w:rPr>
              <w:t>不少于</w:t>
            </w:r>
            <w:r>
              <w:rPr>
                <w:rFonts w:hint="eastAsia" w:ascii="Arial" w:hAnsi="Arial" w:cs="Arial"/>
                <w:color w:val="auto"/>
                <w:kern w:val="0"/>
                <w:highlight w:val="none"/>
                <w:lang w:val="en-US" w:eastAsia="zh-CN"/>
              </w:rPr>
              <w:t>1人</w:t>
            </w:r>
            <w:r>
              <w:rPr>
                <w:rFonts w:hint="default" w:ascii="Arial" w:hAnsi="Arial" w:cs="Arial"/>
                <w:color w:val="auto"/>
                <w:kern w:val="0"/>
                <w:highlight w:val="none"/>
              </w:rPr>
              <w:t>、质量员</w:t>
            </w:r>
            <w:r>
              <w:rPr>
                <w:rFonts w:hint="eastAsia" w:ascii="Arial" w:hAnsi="Arial" w:cs="Arial"/>
                <w:color w:val="auto"/>
                <w:kern w:val="0"/>
                <w:highlight w:val="none"/>
                <w:lang w:eastAsia="zh-CN"/>
              </w:rPr>
              <w:t>不少于</w:t>
            </w:r>
            <w:r>
              <w:rPr>
                <w:rFonts w:hint="eastAsia" w:ascii="Arial" w:hAnsi="Arial" w:cs="Arial"/>
                <w:color w:val="auto"/>
                <w:kern w:val="0"/>
                <w:highlight w:val="none"/>
                <w:lang w:val="en-US" w:eastAsia="zh-CN"/>
              </w:rPr>
              <w:t>1人</w:t>
            </w:r>
            <w:r>
              <w:rPr>
                <w:rFonts w:hint="default" w:ascii="Arial" w:hAnsi="Arial" w:cs="Arial"/>
                <w:color w:val="auto"/>
                <w:kern w:val="0"/>
                <w:highlight w:val="none"/>
              </w:rPr>
              <w:t>、材料员</w:t>
            </w:r>
            <w:r>
              <w:rPr>
                <w:rFonts w:hint="eastAsia" w:ascii="Arial" w:hAnsi="Arial" w:cs="Arial"/>
                <w:color w:val="auto"/>
                <w:kern w:val="0"/>
                <w:highlight w:val="none"/>
                <w:lang w:eastAsia="zh-CN"/>
              </w:rPr>
              <w:t>不少于</w:t>
            </w:r>
            <w:r>
              <w:rPr>
                <w:rFonts w:hint="eastAsia" w:ascii="Arial" w:hAnsi="Arial" w:cs="Arial"/>
                <w:color w:val="auto"/>
                <w:kern w:val="0"/>
                <w:highlight w:val="none"/>
                <w:lang w:val="en-US" w:eastAsia="zh-CN"/>
              </w:rPr>
              <w:t>1人（</w:t>
            </w:r>
            <w:r>
              <w:rPr>
                <w:rFonts w:hint="default" w:ascii="Arial" w:hAnsi="Arial" w:cs="Arial"/>
                <w:color w:val="auto"/>
                <w:kern w:val="0"/>
                <w:highlight w:val="none"/>
              </w:rPr>
              <w:t>应具有有效的相应施工现场专业人员职业培训合格证书</w:t>
            </w:r>
            <w:r>
              <w:rPr>
                <w:rFonts w:hint="eastAsia" w:ascii="Arial" w:hAnsi="Arial" w:cs="Arial"/>
                <w:color w:val="auto"/>
                <w:kern w:val="0"/>
                <w:highlight w:val="none"/>
                <w:lang w:eastAsia="zh-CN"/>
              </w:rPr>
              <w:t>）</w:t>
            </w:r>
            <w:r>
              <w:rPr>
                <w:rFonts w:hint="default" w:ascii="Arial" w:hAnsi="Arial" w:cs="Arial"/>
                <w:color w:val="auto"/>
                <w:kern w:val="0"/>
                <w:highlight w:val="none"/>
              </w:rPr>
              <w:t>，专职安全生产管理人员</w:t>
            </w:r>
            <w:r>
              <w:rPr>
                <w:rFonts w:hint="eastAsia" w:ascii="Arial" w:hAnsi="Arial" w:cs="Arial"/>
                <w:color w:val="auto"/>
                <w:kern w:val="0"/>
                <w:highlight w:val="none"/>
                <w:lang w:eastAsia="zh-CN"/>
              </w:rPr>
              <w:t>不少于</w:t>
            </w:r>
            <w:r>
              <w:rPr>
                <w:rFonts w:hint="eastAsia" w:ascii="Arial" w:hAnsi="Arial" w:cs="Arial"/>
                <w:color w:val="auto"/>
                <w:kern w:val="0"/>
                <w:highlight w:val="none"/>
                <w:lang w:val="en-US" w:eastAsia="zh-CN"/>
              </w:rPr>
              <w:t>1人（具有省级（或以上）行政主管部门颁发的《安全生产考核合格证书》C证</w:t>
            </w:r>
            <w:r>
              <w:rPr>
                <w:rFonts w:hint="default" w:ascii="Arial" w:hAnsi="Arial" w:cs="Arial"/>
                <w:color w:val="auto"/>
                <w:kern w:val="0"/>
                <w:highlight w:val="none"/>
              </w:rPr>
              <w:t>）。</w:t>
            </w:r>
            <w:r>
              <w:rPr>
                <w:rFonts w:hint="eastAsia" w:ascii="Arial" w:hAnsi="Arial" w:cs="Arial"/>
                <w:color w:val="auto"/>
                <w:kern w:val="0"/>
                <w:highlight w:val="none"/>
                <w:lang w:val="en-US" w:eastAsia="zh-CN"/>
              </w:rPr>
              <w:t xml:space="preserve"> </w:t>
            </w:r>
          </w:p>
          <w:p w14:paraId="19A50776">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szCs w:val="21"/>
                <w:highlight w:val="none"/>
              </w:rPr>
            </w:pPr>
            <w:r>
              <w:rPr>
                <w:rFonts w:hint="eastAsia" w:ascii="Arial" w:hAnsi="Arial" w:cs="Arial"/>
                <w:szCs w:val="21"/>
                <w:highlight w:val="none"/>
                <w:lang w:eastAsia="zh-CN"/>
              </w:rPr>
              <w:t>注：拟投入人员</w:t>
            </w:r>
            <w:r>
              <w:rPr>
                <w:rFonts w:hint="default" w:ascii="Arial" w:hAnsi="Arial" w:cs="Arial"/>
                <w:szCs w:val="21"/>
                <w:highlight w:val="none"/>
              </w:rPr>
              <w:t>须提供在响应文件递交截止时间前6个月内任意1个月在现任职单位依法缴纳社会保险的证明材料扫描件。</w:t>
            </w:r>
          </w:p>
          <w:p w14:paraId="4AB73777">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szCs w:val="21"/>
                <w:highlight w:val="none"/>
              </w:rPr>
            </w:pPr>
            <w:r>
              <w:rPr>
                <w:rFonts w:hint="eastAsia" w:ascii="Arial" w:hAnsi="Arial" w:cs="Arial"/>
                <w:color w:val="auto"/>
                <w:szCs w:val="21"/>
                <w:highlight w:val="none"/>
                <w:lang w:val="en-US" w:eastAsia="zh-CN"/>
              </w:rPr>
              <w:t>不提供不得分。</w:t>
            </w:r>
          </w:p>
        </w:tc>
        <w:tc>
          <w:tcPr>
            <w:tcW w:w="456" w:type="pct"/>
            <w:noWrap w:val="0"/>
            <w:vAlign w:val="center"/>
          </w:tcPr>
          <w:p w14:paraId="0B9EE75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r>
              <w:rPr>
                <w:rFonts w:hint="default" w:ascii="Arial" w:hAnsi="Arial" w:cs="Arial"/>
                <w:color w:val="auto"/>
                <w:szCs w:val="21"/>
              </w:rPr>
              <w:t>0-5</w:t>
            </w:r>
          </w:p>
        </w:tc>
        <w:tc>
          <w:tcPr>
            <w:tcW w:w="391" w:type="pct"/>
            <w:noWrap w:val="0"/>
            <w:vAlign w:val="center"/>
          </w:tcPr>
          <w:p w14:paraId="733473D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r>
              <w:rPr>
                <w:rFonts w:hint="default" w:ascii="Arial" w:hAnsi="Arial" w:cs="Arial"/>
                <w:color w:val="auto"/>
                <w:szCs w:val="21"/>
                <w:lang w:eastAsia="zh-CN"/>
              </w:rPr>
              <w:t>提供证明材料</w:t>
            </w:r>
          </w:p>
        </w:tc>
      </w:tr>
      <w:tr w14:paraId="0992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3F4200A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60DE8C0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restart"/>
            <w:noWrap w:val="0"/>
            <w:vAlign w:val="center"/>
          </w:tcPr>
          <w:p w14:paraId="0E7C8FC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r>
              <w:rPr>
                <w:rFonts w:hint="default" w:ascii="Arial" w:hAnsi="Arial" w:cs="Arial"/>
                <w:color w:val="auto"/>
                <w:szCs w:val="21"/>
              </w:rPr>
              <w:t>施工组织设计</w:t>
            </w:r>
          </w:p>
        </w:tc>
        <w:tc>
          <w:tcPr>
            <w:tcW w:w="3051" w:type="pct"/>
            <w:noWrap w:val="0"/>
            <w:vAlign w:val="center"/>
          </w:tcPr>
          <w:p w14:paraId="46A4EA42">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①总体概述（满分10分）</w:t>
            </w:r>
          </w:p>
          <w:p w14:paraId="11AAC709">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一档（2分）：对项目认识不足，表述不清晰，措施不具体；施工段划分不合理。</w:t>
            </w:r>
          </w:p>
          <w:p w14:paraId="793FEBF0">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二档（</w:t>
            </w:r>
            <w:r>
              <w:rPr>
                <w:rFonts w:hint="eastAsia" w:ascii="Arial" w:hAnsi="Arial" w:cs="Arial"/>
                <w:color w:val="auto"/>
                <w:kern w:val="0"/>
                <w:lang w:val="en-US" w:eastAsia="zh-CN"/>
              </w:rPr>
              <w:t>5</w:t>
            </w:r>
            <w:r>
              <w:rPr>
                <w:rFonts w:hint="default" w:ascii="Arial" w:hAnsi="Arial" w:cs="Arial"/>
                <w:color w:val="auto"/>
                <w:kern w:val="0"/>
                <w:lang w:eastAsia="zh-CN"/>
              </w:rPr>
              <w:t>分）：对项目总体有认识，有一定的措施但部分不具体；施工段划分较合理，符合规范要求。</w:t>
            </w:r>
          </w:p>
          <w:p w14:paraId="153A004D">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三档（</w:t>
            </w:r>
            <w:r>
              <w:rPr>
                <w:rFonts w:hint="eastAsia" w:ascii="Arial" w:hAnsi="Arial" w:cs="Arial"/>
                <w:color w:val="auto"/>
                <w:kern w:val="0"/>
                <w:lang w:val="en-US" w:eastAsia="zh-CN"/>
              </w:rPr>
              <w:t>7</w:t>
            </w:r>
            <w:r>
              <w:rPr>
                <w:rFonts w:hint="default" w:ascii="Arial" w:hAnsi="Arial" w:cs="Arial"/>
                <w:color w:val="auto"/>
                <w:kern w:val="0"/>
                <w:lang w:eastAsia="zh-CN"/>
              </w:rPr>
              <w:t>分）：对项目总体有一定认识，表述清晰、完整，措施具体有效；施工段划分呼应总体表述，划分清晰，符合规范要求。</w:t>
            </w:r>
          </w:p>
          <w:p w14:paraId="0451BFD4">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rPr>
            </w:pPr>
            <w:r>
              <w:rPr>
                <w:rFonts w:hint="default" w:ascii="Arial" w:hAnsi="Arial" w:cs="Arial"/>
                <w:color w:val="auto"/>
                <w:kern w:val="0"/>
                <w:lang w:eastAsia="zh-CN"/>
              </w:rPr>
              <w:t>四档（10分）：对项目总体有深刻认识，表述清晰、完整、严谨、合理，措施先进、具体 、有效、成熟，采用了已论证的新技术、新工艺、新材料、新设备；施工段划分呼应总体表述，划分清晰、合理，符合规范要求。</w:t>
            </w:r>
          </w:p>
        </w:tc>
        <w:tc>
          <w:tcPr>
            <w:tcW w:w="456" w:type="pct"/>
            <w:noWrap w:val="0"/>
            <w:vAlign w:val="center"/>
          </w:tcPr>
          <w:p w14:paraId="248E89A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10</w:t>
            </w:r>
          </w:p>
        </w:tc>
        <w:tc>
          <w:tcPr>
            <w:tcW w:w="391" w:type="pct"/>
            <w:noWrap w:val="0"/>
            <w:vAlign w:val="center"/>
          </w:tcPr>
          <w:p w14:paraId="33567E7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18E92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2791D7A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1919E0C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42A06891">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05B3FBBB">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②施工进度计划和各阶段进度的保证措施（满分10分）</w:t>
            </w:r>
          </w:p>
          <w:p w14:paraId="3AE1E9ED">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一档（2分）：关键线路不准确，计划编制不合理，关键节点的控制不可行，没有违约责任承诺。</w:t>
            </w:r>
          </w:p>
          <w:p w14:paraId="4225066D">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二档（5分）：关键线路基本准确，计划编制基本合理，关键节点的控制措施基本可行，进度违约责任承诺具体。</w:t>
            </w:r>
          </w:p>
          <w:p w14:paraId="596AFFCB">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三档（</w:t>
            </w:r>
            <w:r>
              <w:rPr>
                <w:rFonts w:hint="eastAsia" w:ascii="Arial" w:hAnsi="Arial" w:cs="Arial"/>
                <w:color w:val="auto"/>
                <w:kern w:val="0"/>
                <w:lang w:val="en-US" w:eastAsia="zh-CN"/>
              </w:rPr>
              <w:t>7</w:t>
            </w:r>
            <w:r>
              <w:rPr>
                <w:rFonts w:hint="default" w:ascii="Arial" w:hAnsi="Arial" w:cs="Arial"/>
                <w:color w:val="auto"/>
                <w:kern w:val="0"/>
                <w:lang w:eastAsia="zh-CN"/>
              </w:rPr>
              <w:t>分）：关键线路清晰、准确、完整，计划编制可行，关键节点的控制措施合理、可行，进度违约责任承诺具体。</w:t>
            </w:r>
          </w:p>
          <w:p w14:paraId="47B8F2C5">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rPr>
            </w:pPr>
            <w:r>
              <w:rPr>
                <w:rFonts w:hint="default" w:ascii="Arial" w:hAnsi="Arial" w:cs="Arial"/>
                <w:color w:val="auto"/>
                <w:kern w:val="0"/>
                <w:lang w:eastAsia="zh-CN"/>
              </w:rPr>
              <w:t>四档（10分）：关键线路清晰、准确、完整，计划编制合理、可行，关键节点的控制措施有力、合理、可行，进度违约责任承诺具体。</w:t>
            </w:r>
          </w:p>
        </w:tc>
        <w:tc>
          <w:tcPr>
            <w:tcW w:w="456" w:type="pct"/>
            <w:noWrap w:val="0"/>
            <w:vAlign w:val="center"/>
          </w:tcPr>
          <w:p w14:paraId="5B6CEE0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10</w:t>
            </w:r>
          </w:p>
        </w:tc>
        <w:tc>
          <w:tcPr>
            <w:tcW w:w="391" w:type="pct"/>
            <w:noWrap w:val="0"/>
            <w:vAlign w:val="center"/>
          </w:tcPr>
          <w:p w14:paraId="78048FE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39D3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770A2C1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289814A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39ED25F4">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26B2146D">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③劳动力和材料投入计划及其保证措施（满分10分）</w:t>
            </w:r>
          </w:p>
          <w:p w14:paraId="505BCCD8">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一档（2分）：投入计划与进度计划不呼应，不能满足施工需要。</w:t>
            </w:r>
          </w:p>
          <w:p w14:paraId="0E30FBA0">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二档（5分）：投入计划与进度计划呼应，基本满足施工需要，调配投入计划基本合理。</w:t>
            </w:r>
          </w:p>
          <w:p w14:paraId="61BED4E5">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三档（</w:t>
            </w:r>
            <w:r>
              <w:rPr>
                <w:rFonts w:hint="eastAsia" w:ascii="Arial" w:hAnsi="Arial" w:cs="Arial"/>
                <w:color w:val="auto"/>
                <w:kern w:val="0"/>
                <w:lang w:val="en-US" w:eastAsia="zh-CN"/>
              </w:rPr>
              <w:t>7</w:t>
            </w:r>
            <w:r>
              <w:rPr>
                <w:rFonts w:hint="default" w:ascii="Arial" w:hAnsi="Arial" w:cs="Arial"/>
                <w:color w:val="auto"/>
                <w:kern w:val="0"/>
                <w:lang w:eastAsia="zh-CN"/>
              </w:rPr>
              <w:t>分）：投入计划与进度计划呼应，基本满足施工需要，调配投入计划基本合理、准确。</w:t>
            </w:r>
          </w:p>
          <w:p w14:paraId="7F814C42">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kern w:val="0"/>
              </w:rPr>
            </w:pPr>
            <w:r>
              <w:rPr>
                <w:rFonts w:hint="default" w:ascii="Arial" w:hAnsi="Arial" w:cs="Arial"/>
                <w:color w:val="auto"/>
                <w:kern w:val="0"/>
                <w:lang w:eastAsia="zh-CN"/>
              </w:rPr>
              <w:t>四档（10分）：投入计划与进度计划呼应，较好满足施工需要，调配投入计划合理、准确 。</w:t>
            </w:r>
          </w:p>
        </w:tc>
        <w:tc>
          <w:tcPr>
            <w:tcW w:w="456" w:type="pct"/>
            <w:noWrap w:val="0"/>
            <w:vAlign w:val="center"/>
          </w:tcPr>
          <w:p w14:paraId="67DA3F1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10</w:t>
            </w:r>
          </w:p>
        </w:tc>
        <w:tc>
          <w:tcPr>
            <w:tcW w:w="391" w:type="pct"/>
            <w:noWrap w:val="0"/>
            <w:vAlign w:val="center"/>
          </w:tcPr>
          <w:p w14:paraId="1A34B57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30B3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7F6AE42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177ABD8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645C8740">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0D852FF8">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④机械设备投入计划（满分10分）</w:t>
            </w:r>
          </w:p>
          <w:p w14:paraId="6E1FC21D">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一档(2分)：投入计划与进度计划不呼应，不能满足施工要求。</w:t>
            </w:r>
          </w:p>
          <w:p w14:paraId="15BC51F7">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二档(5分)：投入计划与进度计划呼应，基本满足施工要求。</w:t>
            </w:r>
          </w:p>
          <w:p w14:paraId="6030285F">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三档(</w:t>
            </w:r>
            <w:r>
              <w:rPr>
                <w:rFonts w:hint="eastAsia" w:ascii="Arial" w:hAnsi="Arial" w:cs="Arial"/>
                <w:color w:val="auto"/>
                <w:szCs w:val="21"/>
                <w:lang w:val="en-US" w:eastAsia="zh-CN"/>
              </w:rPr>
              <w:t>7</w:t>
            </w:r>
            <w:r>
              <w:rPr>
                <w:rFonts w:hint="default" w:ascii="Arial" w:hAnsi="Arial" w:cs="Arial"/>
                <w:color w:val="auto"/>
                <w:szCs w:val="21"/>
                <w:lang w:eastAsia="zh-CN"/>
              </w:rPr>
              <w:t>分)：投入计划与进度计划呼应，满足施工要求。</w:t>
            </w:r>
          </w:p>
          <w:p w14:paraId="7FE3CF8F">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lang w:eastAsia="zh-CN"/>
              </w:rPr>
              <w:t>四档（10分)：投入计划与进度计划呼应，较好满足施工要求，采用较先进机械设备。</w:t>
            </w:r>
          </w:p>
        </w:tc>
        <w:tc>
          <w:tcPr>
            <w:tcW w:w="456" w:type="pct"/>
            <w:noWrap w:val="0"/>
            <w:vAlign w:val="center"/>
          </w:tcPr>
          <w:p w14:paraId="0067B73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10</w:t>
            </w:r>
          </w:p>
        </w:tc>
        <w:tc>
          <w:tcPr>
            <w:tcW w:w="391" w:type="pct"/>
            <w:noWrap w:val="0"/>
            <w:vAlign w:val="center"/>
          </w:tcPr>
          <w:p w14:paraId="183603E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69EB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4D0AC67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4F98473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6664F704">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6F247CA9">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⑤施工平面布置和临时设施布置（满分</w:t>
            </w:r>
            <w:r>
              <w:rPr>
                <w:rFonts w:hint="default" w:ascii="Arial" w:hAnsi="Arial" w:cs="Arial"/>
                <w:color w:val="auto"/>
                <w:szCs w:val="21"/>
                <w:lang w:val="en-US" w:eastAsia="zh-CN"/>
              </w:rPr>
              <w:t>5</w:t>
            </w:r>
            <w:r>
              <w:rPr>
                <w:rFonts w:hint="default" w:ascii="Arial" w:hAnsi="Arial" w:cs="Arial"/>
                <w:color w:val="auto"/>
                <w:szCs w:val="21"/>
                <w:lang w:eastAsia="zh-CN"/>
              </w:rPr>
              <w:t>分）</w:t>
            </w:r>
          </w:p>
          <w:p w14:paraId="5DEBD5DA">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一档(</w:t>
            </w:r>
            <w:r>
              <w:rPr>
                <w:rFonts w:hint="default" w:ascii="Arial" w:hAnsi="Arial" w:cs="Arial"/>
                <w:color w:val="auto"/>
                <w:szCs w:val="21"/>
                <w:lang w:val="en-US" w:eastAsia="zh-CN"/>
              </w:rPr>
              <w:t>1</w:t>
            </w:r>
            <w:r>
              <w:rPr>
                <w:rFonts w:hint="default" w:ascii="Arial" w:hAnsi="Arial" w:cs="Arial"/>
                <w:color w:val="auto"/>
                <w:szCs w:val="21"/>
                <w:lang w:eastAsia="zh-CN"/>
              </w:rPr>
              <w:t>分)：总体布置不合理，不符合安全、文明生产要求。</w:t>
            </w:r>
          </w:p>
          <w:p w14:paraId="33ABAF43">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二档（</w:t>
            </w:r>
            <w:r>
              <w:rPr>
                <w:rFonts w:hint="default" w:ascii="Arial" w:hAnsi="Arial" w:cs="Arial"/>
                <w:color w:val="auto"/>
                <w:szCs w:val="21"/>
                <w:lang w:val="en-US" w:eastAsia="zh-CN"/>
              </w:rPr>
              <w:t>2</w:t>
            </w:r>
            <w:r>
              <w:rPr>
                <w:rFonts w:hint="default" w:ascii="Arial" w:hAnsi="Arial" w:cs="Arial"/>
                <w:color w:val="auto"/>
                <w:szCs w:val="21"/>
                <w:lang w:eastAsia="zh-CN"/>
              </w:rPr>
              <w:t>分）：总体布置基本合理，基本满足施工需要。</w:t>
            </w:r>
          </w:p>
          <w:p w14:paraId="14771EC1">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三档（</w:t>
            </w:r>
            <w:r>
              <w:rPr>
                <w:rFonts w:hint="default" w:ascii="Arial" w:hAnsi="Arial" w:cs="Arial"/>
                <w:color w:val="auto"/>
                <w:szCs w:val="21"/>
                <w:lang w:val="en-US" w:eastAsia="zh-CN"/>
              </w:rPr>
              <w:t>3</w:t>
            </w:r>
            <w:r>
              <w:rPr>
                <w:rFonts w:hint="default" w:ascii="Arial" w:hAnsi="Arial" w:cs="Arial"/>
                <w:color w:val="auto"/>
                <w:szCs w:val="21"/>
                <w:lang w:eastAsia="zh-CN"/>
              </w:rPr>
              <w:t>分）：总体布置合理，能满足施工需要，基本符合安全、文明生产要求。</w:t>
            </w:r>
          </w:p>
          <w:p w14:paraId="4EDE1B0B">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lang w:eastAsia="zh-CN"/>
              </w:rPr>
              <w:t>四档（</w:t>
            </w:r>
            <w:r>
              <w:rPr>
                <w:rFonts w:hint="default" w:ascii="Arial" w:hAnsi="Arial" w:cs="Arial"/>
                <w:color w:val="auto"/>
                <w:szCs w:val="21"/>
                <w:lang w:val="en-US" w:eastAsia="zh-CN"/>
              </w:rPr>
              <w:t>5</w:t>
            </w:r>
            <w:r>
              <w:rPr>
                <w:rFonts w:hint="default" w:ascii="Arial" w:hAnsi="Arial" w:cs="Arial"/>
                <w:color w:val="auto"/>
                <w:szCs w:val="21"/>
                <w:lang w:eastAsia="zh-CN"/>
              </w:rPr>
              <w:t>分)：总体布置有针对性、合理，较好满足施工需要，符合安全、文明生产要求。</w:t>
            </w:r>
          </w:p>
        </w:tc>
        <w:tc>
          <w:tcPr>
            <w:tcW w:w="456" w:type="pct"/>
            <w:noWrap w:val="0"/>
            <w:vAlign w:val="center"/>
          </w:tcPr>
          <w:p w14:paraId="0FC516C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5</w:t>
            </w:r>
          </w:p>
        </w:tc>
        <w:tc>
          <w:tcPr>
            <w:tcW w:w="391" w:type="pct"/>
            <w:noWrap w:val="0"/>
            <w:vAlign w:val="center"/>
          </w:tcPr>
          <w:p w14:paraId="6240484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1989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1E44812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200CBCF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5FD8AD31">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4FAA1A9B">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⑥关键施工技术、工艺及工程项目实施的重点、难点分析和解决方案（满分10分）</w:t>
            </w:r>
          </w:p>
          <w:p w14:paraId="35FE6A09">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一档（2分）：对项目关键技术有表述，对重点、难点有建议，解决方案不可行。</w:t>
            </w:r>
          </w:p>
          <w:p w14:paraId="7FDFCC9A">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二档（5分）：对项目关键技术有一定了解，对重点、难点有建议，解决方案基本可行。</w:t>
            </w:r>
          </w:p>
          <w:p w14:paraId="7594A543">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三档（</w:t>
            </w:r>
            <w:r>
              <w:rPr>
                <w:rFonts w:hint="eastAsia" w:ascii="Arial" w:hAnsi="Arial" w:cs="Arial"/>
                <w:color w:val="auto"/>
                <w:szCs w:val="21"/>
                <w:lang w:val="en-US" w:eastAsia="zh-CN"/>
              </w:rPr>
              <w:t>7</w:t>
            </w:r>
            <w:r>
              <w:rPr>
                <w:rFonts w:hint="default" w:ascii="Arial" w:hAnsi="Arial" w:cs="Arial"/>
                <w:color w:val="auto"/>
                <w:szCs w:val="21"/>
                <w:lang w:eastAsia="zh-CN"/>
              </w:rPr>
              <w:t>分）：对项目关键技术、工艺有深入的表述，对重点、难点有合理的建议，解决方案经济、安全、基本可行。</w:t>
            </w:r>
          </w:p>
          <w:p w14:paraId="4810AAFC">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四档（10分）：对项目关键技术、工艺有深入的表述，对重点、难点有先进合理的施工措施</w:t>
            </w:r>
          </w:p>
          <w:p w14:paraId="605340CB">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lang w:eastAsia="zh-CN"/>
              </w:rPr>
              <w:t>并有可行的安全措施，解决方案完整、经济、安全、切实可行，措施得力。</w:t>
            </w:r>
          </w:p>
        </w:tc>
        <w:tc>
          <w:tcPr>
            <w:tcW w:w="456" w:type="pct"/>
            <w:noWrap w:val="0"/>
            <w:vAlign w:val="center"/>
          </w:tcPr>
          <w:p w14:paraId="679D075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10</w:t>
            </w:r>
          </w:p>
        </w:tc>
        <w:tc>
          <w:tcPr>
            <w:tcW w:w="391" w:type="pct"/>
            <w:noWrap w:val="0"/>
            <w:vAlign w:val="center"/>
          </w:tcPr>
          <w:p w14:paraId="0C3E787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2994B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44CC585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3600886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00472EB6">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36F6ABD8">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⑦安全文明施工措施（满分</w:t>
            </w:r>
            <w:r>
              <w:rPr>
                <w:rFonts w:hint="eastAsia" w:ascii="Arial" w:hAnsi="Arial" w:cs="Arial"/>
                <w:color w:val="auto"/>
                <w:kern w:val="0"/>
                <w:lang w:val="en-US" w:eastAsia="zh-CN"/>
              </w:rPr>
              <w:t>8</w:t>
            </w:r>
            <w:r>
              <w:rPr>
                <w:rFonts w:hint="default" w:ascii="Arial" w:hAnsi="Arial" w:cs="Arial"/>
                <w:color w:val="auto"/>
                <w:kern w:val="0"/>
                <w:lang w:eastAsia="zh-CN"/>
              </w:rPr>
              <w:t>分）</w:t>
            </w:r>
          </w:p>
          <w:p w14:paraId="2C6F28B0">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一档（2分）：安全文明措施不得力，采用规范不正确。</w:t>
            </w:r>
          </w:p>
          <w:p w14:paraId="19D53F42">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二档（</w:t>
            </w:r>
            <w:r>
              <w:rPr>
                <w:rFonts w:hint="eastAsia" w:ascii="Arial" w:hAnsi="Arial" w:cs="Arial"/>
                <w:color w:val="auto"/>
                <w:kern w:val="0"/>
                <w:lang w:val="en-US" w:eastAsia="zh-CN"/>
              </w:rPr>
              <w:t>4</w:t>
            </w:r>
            <w:r>
              <w:rPr>
                <w:rFonts w:hint="default" w:ascii="Arial" w:hAnsi="Arial" w:cs="Arial"/>
                <w:color w:val="auto"/>
                <w:kern w:val="0"/>
                <w:lang w:eastAsia="zh-CN"/>
              </w:rPr>
              <w:t>分）：有基本合理的措施，采用规范正确。</w:t>
            </w:r>
          </w:p>
          <w:p w14:paraId="4D0CDF27">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lang w:eastAsia="zh-CN"/>
              </w:rPr>
            </w:pPr>
            <w:r>
              <w:rPr>
                <w:rFonts w:hint="default" w:ascii="Arial" w:hAnsi="Arial" w:cs="Arial"/>
                <w:color w:val="auto"/>
                <w:kern w:val="0"/>
                <w:lang w:eastAsia="zh-CN"/>
              </w:rPr>
              <w:t>三档（</w:t>
            </w:r>
            <w:r>
              <w:rPr>
                <w:rFonts w:hint="eastAsia" w:ascii="Arial" w:hAnsi="Arial" w:cs="Arial"/>
                <w:color w:val="auto"/>
                <w:kern w:val="0"/>
                <w:lang w:val="en-US" w:eastAsia="zh-CN"/>
              </w:rPr>
              <w:t>6</w:t>
            </w:r>
            <w:r>
              <w:rPr>
                <w:rFonts w:hint="default" w:ascii="Arial" w:hAnsi="Arial" w:cs="Arial"/>
                <w:color w:val="auto"/>
                <w:kern w:val="0"/>
                <w:lang w:eastAsia="zh-CN"/>
              </w:rPr>
              <w:t>分）：针对项目实际情况，有合理的措施且具体、完整，采用规范正确。</w:t>
            </w:r>
          </w:p>
          <w:p w14:paraId="5EA4E61E">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kern w:val="0"/>
              </w:rPr>
            </w:pPr>
            <w:r>
              <w:rPr>
                <w:rFonts w:hint="default" w:ascii="Arial" w:hAnsi="Arial" w:cs="Arial"/>
                <w:color w:val="auto"/>
                <w:kern w:val="0"/>
                <w:lang w:eastAsia="zh-CN"/>
              </w:rPr>
              <w:t>四档（</w:t>
            </w:r>
            <w:r>
              <w:rPr>
                <w:rFonts w:hint="eastAsia" w:ascii="Arial" w:hAnsi="Arial" w:cs="Arial"/>
                <w:color w:val="auto"/>
                <w:kern w:val="0"/>
                <w:lang w:val="en-US" w:eastAsia="zh-CN"/>
              </w:rPr>
              <w:t>8</w:t>
            </w:r>
            <w:r>
              <w:rPr>
                <w:rFonts w:hint="default" w:ascii="Arial" w:hAnsi="Arial" w:cs="Arial"/>
                <w:color w:val="auto"/>
                <w:kern w:val="0"/>
                <w:lang w:eastAsia="zh-CN"/>
              </w:rPr>
              <w:t>分）：针对项目实际情况，有先进、具体、完整、可行的实施措施，采用规范正确、清晰。</w:t>
            </w:r>
          </w:p>
        </w:tc>
        <w:tc>
          <w:tcPr>
            <w:tcW w:w="456" w:type="pct"/>
            <w:noWrap w:val="0"/>
            <w:vAlign w:val="center"/>
          </w:tcPr>
          <w:p w14:paraId="46928A6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eastAsia" w:ascii="Arial" w:hAnsi="Arial" w:cs="Arial"/>
                <w:color w:val="auto"/>
                <w:szCs w:val="21"/>
                <w:lang w:val="en-US" w:eastAsia="zh-CN"/>
              </w:rPr>
              <w:t>8</w:t>
            </w:r>
          </w:p>
        </w:tc>
        <w:tc>
          <w:tcPr>
            <w:tcW w:w="391" w:type="pct"/>
            <w:noWrap w:val="0"/>
            <w:vAlign w:val="center"/>
          </w:tcPr>
          <w:p w14:paraId="59DEEFA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664AB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vMerge w:val="continue"/>
            <w:noWrap w:val="0"/>
            <w:vAlign w:val="center"/>
          </w:tcPr>
          <w:p w14:paraId="4629AFD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b/>
                <w:color w:val="auto"/>
                <w:szCs w:val="21"/>
              </w:rPr>
            </w:pPr>
          </w:p>
        </w:tc>
        <w:tc>
          <w:tcPr>
            <w:tcW w:w="376" w:type="pct"/>
            <w:vMerge w:val="continue"/>
            <w:noWrap w:val="0"/>
            <w:vAlign w:val="center"/>
          </w:tcPr>
          <w:p w14:paraId="1186FE6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p>
        </w:tc>
        <w:tc>
          <w:tcPr>
            <w:tcW w:w="458" w:type="pct"/>
            <w:vMerge w:val="continue"/>
            <w:noWrap w:val="0"/>
            <w:vAlign w:val="top"/>
          </w:tcPr>
          <w:p w14:paraId="79789358">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p>
        </w:tc>
        <w:tc>
          <w:tcPr>
            <w:tcW w:w="3051" w:type="pct"/>
            <w:noWrap w:val="0"/>
            <w:vAlign w:val="center"/>
          </w:tcPr>
          <w:p w14:paraId="769914EC">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⑧质量保证措施（满分10分）</w:t>
            </w:r>
          </w:p>
          <w:p w14:paraId="38D73B76">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一档（2分）：措施不可行，没有质量违约责任承诺。</w:t>
            </w:r>
          </w:p>
          <w:p w14:paraId="48845A6D">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二档（5分）：具体措施可行，满足竞争性磋商采购文件的质量要求。</w:t>
            </w:r>
          </w:p>
          <w:p w14:paraId="55FB71EA">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lang w:eastAsia="zh-CN"/>
              </w:rPr>
            </w:pPr>
            <w:r>
              <w:rPr>
                <w:rFonts w:hint="default" w:ascii="Arial" w:hAnsi="Arial" w:cs="Arial"/>
                <w:color w:val="auto"/>
                <w:szCs w:val="21"/>
                <w:lang w:eastAsia="zh-CN"/>
              </w:rPr>
              <w:t>三档（</w:t>
            </w:r>
            <w:r>
              <w:rPr>
                <w:rFonts w:hint="eastAsia" w:ascii="Arial" w:hAnsi="Arial" w:cs="Arial"/>
                <w:color w:val="auto"/>
                <w:szCs w:val="21"/>
                <w:lang w:val="en-US" w:eastAsia="zh-CN"/>
              </w:rPr>
              <w:t>7</w:t>
            </w:r>
            <w:r>
              <w:rPr>
                <w:rFonts w:hint="default" w:ascii="Arial" w:hAnsi="Arial" w:cs="Arial"/>
                <w:color w:val="auto"/>
                <w:szCs w:val="21"/>
                <w:lang w:eastAsia="zh-CN"/>
              </w:rPr>
              <w:t>分）：针对项目实际提出先进、可行、具体的保证措施，满足竞争性磋商采购文件的质量要求。</w:t>
            </w:r>
          </w:p>
          <w:p w14:paraId="264DCF34">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lang w:eastAsia="zh-CN"/>
              </w:rPr>
              <w:t>四档（10分）：应用新技术、新工艺、新材料、新设备，针对项目实际提出先进、可行、具体的保证措施，超过竞争性磋商采购文件的质量要求及施工验收规范要求。</w:t>
            </w:r>
          </w:p>
        </w:tc>
        <w:tc>
          <w:tcPr>
            <w:tcW w:w="456" w:type="pct"/>
            <w:noWrap w:val="0"/>
            <w:vAlign w:val="center"/>
          </w:tcPr>
          <w:p w14:paraId="1114474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10</w:t>
            </w:r>
          </w:p>
        </w:tc>
        <w:tc>
          <w:tcPr>
            <w:tcW w:w="391" w:type="pct"/>
            <w:noWrap w:val="0"/>
            <w:vAlign w:val="center"/>
          </w:tcPr>
          <w:p w14:paraId="4F70A61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w:t>
            </w:r>
          </w:p>
        </w:tc>
      </w:tr>
      <w:tr w14:paraId="6024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266" w:type="pct"/>
            <w:noWrap w:val="0"/>
            <w:vAlign w:val="center"/>
          </w:tcPr>
          <w:p w14:paraId="32DF065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b/>
                <w:color w:val="auto"/>
                <w:szCs w:val="21"/>
                <w:lang w:val="en-US" w:eastAsia="zh-CN"/>
              </w:rPr>
            </w:pPr>
            <w:r>
              <w:rPr>
                <w:rFonts w:hint="default" w:ascii="Arial" w:hAnsi="Arial" w:cs="Arial"/>
                <w:b/>
                <w:color w:val="auto"/>
                <w:szCs w:val="21"/>
                <w:lang w:val="en-US" w:eastAsia="zh-CN"/>
              </w:rPr>
              <w:t>2</w:t>
            </w:r>
          </w:p>
        </w:tc>
        <w:tc>
          <w:tcPr>
            <w:tcW w:w="376" w:type="pct"/>
            <w:noWrap w:val="0"/>
            <w:vAlign w:val="center"/>
          </w:tcPr>
          <w:p w14:paraId="30AC193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cs="Arial"/>
                <w:color w:val="auto"/>
                <w:szCs w:val="21"/>
              </w:rPr>
            </w:pPr>
            <w:r>
              <w:rPr>
                <w:rFonts w:hint="default" w:ascii="Arial" w:hAnsi="Arial" w:cs="Arial"/>
                <w:color w:val="auto"/>
                <w:szCs w:val="21"/>
              </w:rPr>
              <w:t>商务分</w:t>
            </w:r>
          </w:p>
        </w:tc>
        <w:tc>
          <w:tcPr>
            <w:tcW w:w="458" w:type="pct"/>
            <w:noWrap w:val="0"/>
            <w:vAlign w:val="center"/>
          </w:tcPr>
          <w:p w14:paraId="5EAC9D0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eastAsia="zh-CN"/>
              </w:rPr>
            </w:pPr>
            <w:r>
              <w:rPr>
                <w:rFonts w:hint="default" w:ascii="Arial" w:hAnsi="Arial" w:cs="Arial"/>
                <w:color w:val="auto"/>
                <w:szCs w:val="21"/>
                <w:lang w:eastAsia="zh-CN"/>
              </w:rPr>
              <w:t>资信业绩</w:t>
            </w:r>
          </w:p>
        </w:tc>
        <w:tc>
          <w:tcPr>
            <w:tcW w:w="3051" w:type="pct"/>
            <w:noWrap w:val="0"/>
            <w:vAlign w:val="center"/>
          </w:tcPr>
          <w:p w14:paraId="54001782">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rPr>
              <w:t>完成过的类似工程项目</w:t>
            </w:r>
          </w:p>
          <w:p w14:paraId="2C51E308">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rPr>
              <w:t>供应商每提供1个有效业绩得</w:t>
            </w:r>
            <w:r>
              <w:rPr>
                <w:rFonts w:hint="default" w:ascii="Arial" w:hAnsi="Arial" w:cs="Arial"/>
                <w:color w:val="auto"/>
                <w:szCs w:val="21"/>
                <w:lang w:val="en-US" w:eastAsia="zh-CN"/>
              </w:rPr>
              <w:t>1</w:t>
            </w:r>
            <w:r>
              <w:rPr>
                <w:rFonts w:hint="default" w:ascii="Arial" w:hAnsi="Arial" w:cs="Arial"/>
                <w:color w:val="auto"/>
                <w:szCs w:val="21"/>
              </w:rPr>
              <w:t>分；最高得</w:t>
            </w:r>
            <w:r>
              <w:rPr>
                <w:rFonts w:hint="eastAsia" w:ascii="Arial" w:hAnsi="Arial" w:cs="Arial"/>
                <w:color w:val="auto"/>
                <w:szCs w:val="21"/>
                <w:lang w:val="en-US" w:eastAsia="zh-CN"/>
              </w:rPr>
              <w:t>5</w:t>
            </w:r>
            <w:r>
              <w:rPr>
                <w:rFonts w:hint="default" w:ascii="Arial" w:hAnsi="Arial" w:cs="Arial"/>
                <w:color w:val="auto"/>
                <w:szCs w:val="21"/>
              </w:rPr>
              <w:t>分。必须提供相关证明材料</w:t>
            </w:r>
            <w:r>
              <w:rPr>
                <w:rFonts w:hint="eastAsia" w:ascii="Arial" w:hAnsi="Arial" w:cs="Arial"/>
                <w:color w:val="auto"/>
                <w:szCs w:val="21"/>
                <w:lang w:eastAsia="zh-CN"/>
              </w:rPr>
              <w:t>，</w:t>
            </w:r>
            <w:r>
              <w:rPr>
                <w:rFonts w:hint="eastAsia" w:ascii="Arial" w:hAnsi="Arial" w:cs="Arial"/>
                <w:color w:val="auto"/>
                <w:szCs w:val="21"/>
                <w:lang w:val="en-US" w:eastAsia="zh-CN"/>
              </w:rPr>
              <w:t>证明材料可以为施工合同或竣工验收证明</w:t>
            </w:r>
            <w:r>
              <w:rPr>
                <w:rFonts w:hint="default" w:ascii="Arial" w:hAnsi="Arial" w:cs="Arial"/>
                <w:color w:val="auto"/>
                <w:szCs w:val="21"/>
              </w:rPr>
              <w:t>。</w:t>
            </w:r>
          </w:p>
          <w:p w14:paraId="4AFB44F6">
            <w:pPr>
              <w:keepNext w:val="0"/>
              <w:keepLines w:val="0"/>
              <w:pageBreakBefore w:val="0"/>
              <w:kinsoku/>
              <w:wordWrap/>
              <w:overflowPunct/>
              <w:topLinePunct w:val="0"/>
              <w:autoSpaceDE/>
              <w:autoSpaceDN/>
              <w:bidi w:val="0"/>
              <w:adjustRightInd/>
              <w:snapToGrid/>
              <w:spacing w:line="240" w:lineRule="auto"/>
              <w:textAlignment w:val="auto"/>
              <w:rPr>
                <w:rFonts w:hint="default" w:ascii="Arial" w:hAnsi="Arial" w:cs="Arial"/>
                <w:color w:val="auto"/>
                <w:szCs w:val="21"/>
              </w:rPr>
            </w:pPr>
            <w:r>
              <w:rPr>
                <w:rFonts w:hint="default" w:ascii="Arial" w:hAnsi="Arial" w:cs="Arial"/>
                <w:color w:val="auto"/>
                <w:szCs w:val="21"/>
              </w:rPr>
              <w:t>有效业绩定义：指</w:t>
            </w:r>
            <w:r>
              <w:rPr>
                <w:rFonts w:hint="default" w:ascii="Arial" w:hAnsi="Arial" w:cs="Arial"/>
                <w:color w:val="auto"/>
                <w:szCs w:val="21"/>
                <w:lang w:eastAsia="zh-CN"/>
              </w:rPr>
              <w:t>相关</w:t>
            </w:r>
            <w:r>
              <w:rPr>
                <w:rFonts w:hint="eastAsia" w:ascii="Arial" w:hAnsi="Arial" w:cs="Arial"/>
                <w:color w:val="auto"/>
                <w:szCs w:val="21"/>
                <w:lang w:val="en-US" w:eastAsia="zh-CN"/>
              </w:rPr>
              <w:t>类似</w:t>
            </w:r>
            <w:r>
              <w:rPr>
                <w:rFonts w:hint="default" w:ascii="Arial" w:hAnsi="Arial" w:cs="Arial"/>
                <w:color w:val="auto"/>
                <w:szCs w:val="21"/>
                <w:lang w:eastAsia="zh-CN"/>
              </w:rPr>
              <w:t>的</w:t>
            </w:r>
            <w:r>
              <w:rPr>
                <w:rFonts w:hint="eastAsia" w:ascii="Arial" w:hAnsi="Arial" w:cs="Arial"/>
                <w:color w:val="auto"/>
                <w:szCs w:val="21"/>
                <w:lang w:val="en-US" w:eastAsia="zh-CN"/>
              </w:rPr>
              <w:t>建筑</w:t>
            </w:r>
            <w:r>
              <w:rPr>
                <w:rFonts w:hint="default" w:ascii="Arial" w:hAnsi="Arial" w:cs="Arial"/>
                <w:color w:val="auto"/>
                <w:szCs w:val="21"/>
                <w:lang w:eastAsia="zh-CN"/>
              </w:rPr>
              <w:t>工程项目</w:t>
            </w:r>
            <w:r>
              <w:rPr>
                <w:rFonts w:hint="default" w:ascii="Arial" w:hAnsi="Arial" w:cs="Arial"/>
                <w:color w:val="auto"/>
                <w:szCs w:val="21"/>
              </w:rPr>
              <w:t>。</w:t>
            </w:r>
          </w:p>
        </w:tc>
        <w:tc>
          <w:tcPr>
            <w:tcW w:w="456" w:type="pct"/>
            <w:noWrap w:val="0"/>
            <w:vAlign w:val="center"/>
          </w:tcPr>
          <w:p w14:paraId="722371C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eastAsia" w:ascii="Arial" w:hAnsi="Arial" w:cs="Arial"/>
                <w:color w:val="auto"/>
                <w:szCs w:val="21"/>
                <w:lang w:val="en-US" w:eastAsia="zh-CN"/>
              </w:rPr>
              <w:t>5</w:t>
            </w:r>
          </w:p>
        </w:tc>
        <w:tc>
          <w:tcPr>
            <w:tcW w:w="391" w:type="pct"/>
            <w:noWrap w:val="0"/>
            <w:vAlign w:val="center"/>
          </w:tcPr>
          <w:p w14:paraId="153DFBA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Arial" w:hAnsi="Arial" w:eastAsia="宋体" w:cs="Arial"/>
                <w:color w:val="auto"/>
                <w:szCs w:val="21"/>
                <w:lang w:val="en-US" w:eastAsia="zh-CN"/>
              </w:rPr>
            </w:pPr>
            <w:r>
              <w:rPr>
                <w:rFonts w:hint="default" w:ascii="Arial" w:hAnsi="Arial" w:cs="Arial"/>
                <w:color w:val="auto"/>
                <w:szCs w:val="21"/>
                <w:lang w:val="en-US" w:eastAsia="zh-CN"/>
              </w:rPr>
              <w:t>提供证明材料</w:t>
            </w:r>
          </w:p>
        </w:tc>
      </w:tr>
    </w:tbl>
    <w:p w14:paraId="09BF154F">
      <w:pPr>
        <w:ind w:firstLine="420" w:firstLineChars="200"/>
        <w:rPr>
          <w:highlight w:val="none"/>
        </w:rPr>
      </w:pPr>
    </w:p>
    <w:p w14:paraId="37415203">
      <w:pPr>
        <w:ind w:firstLine="315" w:firstLineChars="150"/>
        <w:rPr>
          <w:highlight w:val="none"/>
          <w:lang w:val="zh-CN"/>
        </w:rPr>
      </w:pPr>
      <w:r>
        <w:rPr>
          <w:rFonts w:hint="eastAsia"/>
          <w:highlight w:val="none"/>
          <w:lang w:val="zh-CN"/>
        </w:rPr>
        <w:t>（2）最后报价分</w:t>
      </w:r>
    </w:p>
    <w:tbl>
      <w:tblPr>
        <w:tblStyle w:val="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2127"/>
        <w:gridCol w:w="3608"/>
        <w:gridCol w:w="819"/>
        <w:gridCol w:w="2198"/>
      </w:tblGrid>
      <w:tr w14:paraId="52BB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28" w:type="pct"/>
            <w:noWrap w:val="0"/>
            <w:vAlign w:val="center"/>
          </w:tcPr>
          <w:p w14:paraId="62C7BBC7">
            <w:pPr>
              <w:jc w:val="center"/>
              <w:rPr>
                <w:b/>
                <w:szCs w:val="21"/>
                <w:highlight w:val="none"/>
              </w:rPr>
            </w:pPr>
            <w:r>
              <w:rPr>
                <w:b/>
                <w:szCs w:val="21"/>
                <w:highlight w:val="none"/>
              </w:rPr>
              <w:t>序号</w:t>
            </w:r>
          </w:p>
        </w:tc>
        <w:tc>
          <w:tcPr>
            <w:tcW w:w="1111" w:type="pct"/>
            <w:noWrap w:val="0"/>
            <w:vAlign w:val="center"/>
          </w:tcPr>
          <w:p w14:paraId="4061E48D">
            <w:pPr>
              <w:jc w:val="center"/>
              <w:rPr>
                <w:b/>
                <w:szCs w:val="21"/>
                <w:highlight w:val="none"/>
              </w:rPr>
            </w:pPr>
            <w:r>
              <w:rPr>
                <w:rFonts w:hint="eastAsia"/>
                <w:b/>
                <w:szCs w:val="21"/>
                <w:highlight w:val="none"/>
              </w:rPr>
              <w:t>类型</w:t>
            </w:r>
          </w:p>
        </w:tc>
        <w:tc>
          <w:tcPr>
            <w:tcW w:w="1885" w:type="pct"/>
            <w:noWrap w:val="0"/>
            <w:vAlign w:val="center"/>
          </w:tcPr>
          <w:p w14:paraId="10FF2249">
            <w:pPr>
              <w:jc w:val="center"/>
              <w:rPr>
                <w:b/>
                <w:szCs w:val="21"/>
                <w:highlight w:val="none"/>
              </w:rPr>
            </w:pPr>
            <w:r>
              <w:rPr>
                <w:rFonts w:hint="eastAsia"/>
                <w:b/>
                <w:szCs w:val="21"/>
                <w:highlight w:val="none"/>
              </w:rPr>
              <w:t>评分标准</w:t>
            </w:r>
          </w:p>
        </w:tc>
        <w:tc>
          <w:tcPr>
            <w:tcW w:w="428" w:type="pct"/>
            <w:noWrap w:val="0"/>
            <w:vAlign w:val="center"/>
          </w:tcPr>
          <w:p w14:paraId="37254217">
            <w:pPr>
              <w:jc w:val="center"/>
              <w:rPr>
                <w:b/>
                <w:szCs w:val="21"/>
                <w:highlight w:val="none"/>
              </w:rPr>
            </w:pPr>
            <w:r>
              <w:rPr>
                <w:rFonts w:hint="eastAsia"/>
                <w:b/>
                <w:szCs w:val="21"/>
                <w:highlight w:val="none"/>
              </w:rPr>
              <w:t>分值权重</w:t>
            </w:r>
          </w:p>
        </w:tc>
        <w:tc>
          <w:tcPr>
            <w:tcW w:w="1148" w:type="pct"/>
            <w:noWrap w:val="0"/>
            <w:vAlign w:val="center"/>
          </w:tcPr>
          <w:p w14:paraId="25AFB328">
            <w:pPr>
              <w:jc w:val="center"/>
              <w:rPr>
                <w:b/>
                <w:szCs w:val="21"/>
                <w:highlight w:val="none"/>
              </w:rPr>
            </w:pPr>
            <w:r>
              <w:rPr>
                <w:b/>
                <w:szCs w:val="21"/>
                <w:highlight w:val="none"/>
              </w:rPr>
              <w:t>说明</w:t>
            </w:r>
          </w:p>
        </w:tc>
      </w:tr>
      <w:tr w14:paraId="3128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28" w:type="pct"/>
            <w:noWrap w:val="0"/>
            <w:vAlign w:val="center"/>
          </w:tcPr>
          <w:p w14:paraId="2F8DBA40">
            <w:pPr>
              <w:jc w:val="center"/>
              <w:rPr>
                <w:b/>
                <w:szCs w:val="21"/>
                <w:highlight w:val="none"/>
              </w:rPr>
            </w:pPr>
            <w:r>
              <w:rPr>
                <w:rFonts w:hint="eastAsia"/>
                <w:b/>
                <w:szCs w:val="21"/>
                <w:highlight w:val="none"/>
              </w:rPr>
              <w:t>1</w:t>
            </w:r>
          </w:p>
        </w:tc>
        <w:tc>
          <w:tcPr>
            <w:tcW w:w="1111" w:type="pct"/>
            <w:noWrap w:val="0"/>
            <w:vAlign w:val="center"/>
          </w:tcPr>
          <w:p w14:paraId="50681B58">
            <w:pPr>
              <w:rPr>
                <w:color w:val="auto"/>
                <w:szCs w:val="21"/>
                <w:highlight w:val="none"/>
              </w:rPr>
            </w:pPr>
            <w:r>
              <w:rPr>
                <w:rFonts w:hint="eastAsia"/>
                <w:color w:val="auto"/>
                <w:szCs w:val="21"/>
                <w:highlight w:val="none"/>
                <w:lang w:val="en-US" w:eastAsia="zh-CN"/>
              </w:rPr>
              <w:t>最后</w:t>
            </w:r>
            <w:r>
              <w:rPr>
                <w:rFonts w:hint="eastAsia"/>
                <w:color w:val="auto"/>
                <w:szCs w:val="21"/>
                <w:highlight w:val="none"/>
              </w:rPr>
              <w:t>报价分（</w:t>
            </w:r>
            <w:r>
              <w:rPr>
                <w:rFonts w:hint="eastAsia"/>
                <w:color w:val="auto"/>
                <w:szCs w:val="21"/>
                <w:highlight w:val="none"/>
                <w:lang w:val="en-US" w:eastAsia="zh-CN"/>
              </w:rPr>
              <w:t>10分</w:t>
            </w:r>
            <w:r>
              <w:rPr>
                <w:rFonts w:hint="eastAsia"/>
                <w:color w:val="auto"/>
                <w:szCs w:val="21"/>
                <w:highlight w:val="none"/>
              </w:rPr>
              <w:t>）</w:t>
            </w:r>
          </w:p>
        </w:tc>
        <w:tc>
          <w:tcPr>
            <w:tcW w:w="1885" w:type="pct"/>
            <w:noWrap w:val="0"/>
            <w:vAlign w:val="center"/>
          </w:tcPr>
          <w:p w14:paraId="535DCCAA">
            <w:pPr>
              <w:rPr>
                <w:color w:val="auto"/>
                <w:szCs w:val="21"/>
                <w:highlight w:val="none"/>
              </w:rPr>
            </w:pPr>
            <w:r>
              <w:rPr>
                <w:rFonts w:hint="eastAsia"/>
                <w:color w:val="auto"/>
                <w:szCs w:val="21"/>
                <w:highlight w:val="none"/>
              </w:rPr>
              <w:t>以满足采购文件要求且价格最低的</w:t>
            </w:r>
            <w:r>
              <w:rPr>
                <w:rFonts w:hint="eastAsia"/>
                <w:color w:val="auto"/>
                <w:szCs w:val="21"/>
                <w:highlight w:val="none"/>
                <w:lang w:val="en-US" w:eastAsia="zh-CN"/>
              </w:rPr>
              <w:t>最后</w:t>
            </w:r>
            <w:r>
              <w:rPr>
                <w:rFonts w:hint="eastAsia"/>
                <w:color w:val="auto"/>
                <w:szCs w:val="21"/>
                <w:highlight w:val="none"/>
              </w:rPr>
              <w:t>报价为评</w:t>
            </w:r>
            <w:r>
              <w:rPr>
                <w:rFonts w:hint="eastAsia"/>
                <w:color w:val="auto"/>
                <w:szCs w:val="21"/>
                <w:highlight w:val="none"/>
                <w:lang w:val="en-US" w:eastAsia="zh-CN"/>
              </w:rPr>
              <w:t>审</w:t>
            </w:r>
            <w:r>
              <w:rPr>
                <w:rFonts w:hint="eastAsia"/>
                <w:color w:val="auto"/>
                <w:szCs w:val="21"/>
                <w:highlight w:val="none"/>
              </w:rPr>
              <w:t>基准价，其价格分为满分。其他供应商的价格分统一按照下列公式计算：</w:t>
            </w:r>
            <w:r>
              <w:rPr>
                <w:rFonts w:hint="eastAsia"/>
                <w:color w:val="auto"/>
                <w:szCs w:val="21"/>
                <w:highlight w:val="none"/>
                <w:lang w:val="en-US" w:eastAsia="zh-CN"/>
              </w:rPr>
              <w:t>最后</w:t>
            </w:r>
            <w:r>
              <w:rPr>
                <w:rFonts w:hint="eastAsia"/>
                <w:color w:val="auto"/>
                <w:szCs w:val="21"/>
                <w:highlight w:val="none"/>
              </w:rPr>
              <w:t>报价得分</w:t>
            </w:r>
            <w:r>
              <w:rPr>
                <w:color w:val="auto"/>
                <w:szCs w:val="21"/>
                <w:highlight w:val="none"/>
              </w:rPr>
              <w:t>=（评</w:t>
            </w:r>
            <w:r>
              <w:rPr>
                <w:rFonts w:hint="eastAsia"/>
                <w:color w:val="auto"/>
                <w:szCs w:val="21"/>
                <w:highlight w:val="none"/>
                <w:lang w:val="en-US" w:eastAsia="zh-CN"/>
              </w:rPr>
              <w:t>审</w:t>
            </w:r>
            <w:r>
              <w:rPr>
                <w:color w:val="auto"/>
                <w:szCs w:val="21"/>
                <w:highlight w:val="none"/>
              </w:rPr>
              <w:t>基准价/</w:t>
            </w:r>
            <w:r>
              <w:rPr>
                <w:rFonts w:hint="eastAsia"/>
                <w:color w:val="auto"/>
                <w:szCs w:val="21"/>
                <w:highlight w:val="none"/>
                <w:lang w:val="en-US" w:eastAsia="zh-CN"/>
              </w:rPr>
              <w:t>最后</w:t>
            </w:r>
            <w:r>
              <w:rPr>
                <w:color w:val="auto"/>
                <w:szCs w:val="21"/>
                <w:highlight w:val="none"/>
              </w:rPr>
              <w:t>报价）×</w:t>
            </w:r>
            <w:r>
              <w:rPr>
                <w:rFonts w:hint="eastAsia"/>
                <w:color w:val="auto"/>
                <w:szCs w:val="21"/>
                <w:highlight w:val="none"/>
                <w:lang w:val="en-US" w:eastAsia="zh-CN"/>
              </w:rPr>
              <w:t>最后</w:t>
            </w:r>
            <w:r>
              <w:rPr>
                <w:color w:val="auto"/>
                <w:szCs w:val="21"/>
                <w:highlight w:val="none"/>
              </w:rPr>
              <w:t>报价分满分分值。</w:t>
            </w:r>
          </w:p>
        </w:tc>
        <w:tc>
          <w:tcPr>
            <w:tcW w:w="428" w:type="pct"/>
            <w:noWrap w:val="0"/>
            <w:vAlign w:val="center"/>
          </w:tcPr>
          <w:p w14:paraId="4A500DE4">
            <w:pPr>
              <w:jc w:val="center"/>
              <w:rPr>
                <w:color w:val="auto"/>
                <w:szCs w:val="21"/>
                <w:highlight w:val="none"/>
              </w:rPr>
            </w:pPr>
            <w:r>
              <w:rPr>
                <w:color w:val="auto"/>
                <w:szCs w:val="21"/>
                <w:highlight w:val="none"/>
              </w:rPr>
              <w:t>10</w:t>
            </w:r>
          </w:p>
        </w:tc>
        <w:tc>
          <w:tcPr>
            <w:tcW w:w="1148" w:type="pct"/>
            <w:noWrap w:val="0"/>
            <w:vAlign w:val="center"/>
          </w:tcPr>
          <w:p w14:paraId="2E786211">
            <w:pPr>
              <w:rPr>
                <w:color w:val="auto"/>
                <w:szCs w:val="21"/>
                <w:highlight w:val="none"/>
              </w:rPr>
            </w:pPr>
            <w:r>
              <w:rPr>
                <w:rFonts w:hint="eastAsia"/>
                <w:color w:val="auto"/>
                <w:szCs w:val="21"/>
                <w:highlight w:val="none"/>
              </w:rPr>
              <w:t>最后报价分均按供应商实际最后报价进行价进行计算，最终成交金额＝最后报价。</w:t>
            </w:r>
          </w:p>
        </w:tc>
      </w:tr>
    </w:tbl>
    <w:p w14:paraId="76652523">
      <w:pPr>
        <w:ind w:firstLine="420" w:firstLineChars="200"/>
        <w:rPr>
          <w:rFonts w:hint="eastAsia"/>
          <w:highlight w:val="none"/>
        </w:rPr>
      </w:pPr>
    </w:p>
    <w:p w14:paraId="37922ACB">
      <w:pPr>
        <w:ind w:firstLine="315" w:firstLineChars="150"/>
        <w:rPr>
          <w:highlight w:val="none"/>
        </w:rPr>
      </w:pPr>
      <w:r>
        <w:rPr>
          <w:rFonts w:hint="eastAsia"/>
          <w:highlight w:val="none"/>
        </w:rPr>
        <w:t>（3）政策性加分</w:t>
      </w:r>
    </w:p>
    <w:tbl>
      <w:tblPr>
        <w:tblStyle w:val="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896"/>
        <w:gridCol w:w="3932"/>
        <w:gridCol w:w="1223"/>
        <w:gridCol w:w="2755"/>
      </w:tblGrid>
      <w:tr w14:paraId="2262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00" w:type="pct"/>
            <w:noWrap w:val="0"/>
            <w:vAlign w:val="center"/>
          </w:tcPr>
          <w:p w14:paraId="62B5CD83">
            <w:pPr>
              <w:jc w:val="center"/>
              <w:rPr>
                <w:b/>
                <w:szCs w:val="21"/>
                <w:highlight w:val="none"/>
              </w:rPr>
            </w:pPr>
            <w:r>
              <w:rPr>
                <w:b/>
                <w:szCs w:val="21"/>
                <w:highlight w:val="none"/>
              </w:rPr>
              <w:t>序号</w:t>
            </w:r>
          </w:p>
        </w:tc>
        <w:tc>
          <w:tcPr>
            <w:tcW w:w="468" w:type="pct"/>
            <w:noWrap w:val="0"/>
            <w:vAlign w:val="center"/>
          </w:tcPr>
          <w:p w14:paraId="1E02E24C">
            <w:pPr>
              <w:jc w:val="center"/>
              <w:rPr>
                <w:b/>
                <w:szCs w:val="21"/>
                <w:highlight w:val="none"/>
              </w:rPr>
            </w:pPr>
            <w:r>
              <w:rPr>
                <w:rFonts w:hint="eastAsia"/>
                <w:b/>
                <w:szCs w:val="21"/>
                <w:highlight w:val="none"/>
              </w:rPr>
              <w:t>类型</w:t>
            </w:r>
          </w:p>
        </w:tc>
        <w:tc>
          <w:tcPr>
            <w:tcW w:w="2054" w:type="pct"/>
            <w:noWrap w:val="0"/>
            <w:vAlign w:val="center"/>
          </w:tcPr>
          <w:p w14:paraId="50A5C69B">
            <w:pPr>
              <w:jc w:val="center"/>
              <w:rPr>
                <w:b/>
                <w:szCs w:val="21"/>
                <w:highlight w:val="none"/>
              </w:rPr>
            </w:pPr>
            <w:r>
              <w:rPr>
                <w:rFonts w:hint="eastAsia"/>
                <w:b/>
                <w:szCs w:val="21"/>
                <w:highlight w:val="none"/>
              </w:rPr>
              <w:t>评分标准</w:t>
            </w:r>
          </w:p>
        </w:tc>
        <w:tc>
          <w:tcPr>
            <w:tcW w:w="639" w:type="pct"/>
            <w:noWrap w:val="0"/>
            <w:vAlign w:val="center"/>
          </w:tcPr>
          <w:p w14:paraId="507E49C5">
            <w:pPr>
              <w:jc w:val="center"/>
              <w:rPr>
                <w:b/>
                <w:szCs w:val="21"/>
                <w:highlight w:val="none"/>
              </w:rPr>
            </w:pPr>
            <w:r>
              <w:rPr>
                <w:rFonts w:hint="eastAsia"/>
                <w:b/>
                <w:szCs w:val="21"/>
                <w:highlight w:val="none"/>
              </w:rPr>
              <w:t>分值权重</w:t>
            </w:r>
          </w:p>
        </w:tc>
        <w:tc>
          <w:tcPr>
            <w:tcW w:w="1439" w:type="pct"/>
            <w:noWrap w:val="0"/>
            <w:vAlign w:val="center"/>
          </w:tcPr>
          <w:p w14:paraId="5415D70E">
            <w:pPr>
              <w:jc w:val="center"/>
              <w:rPr>
                <w:b/>
                <w:szCs w:val="21"/>
                <w:highlight w:val="none"/>
              </w:rPr>
            </w:pPr>
            <w:r>
              <w:rPr>
                <w:b/>
                <w:szCs w:val="21"/>
                <w:highlight w:val="none"/>
              </w:rPr>
              <w:t>说明</w:t>
            </w:r>
          </w:p>
        </w:tc>
      </w:tr>
      <w:tr w14:paraId="22D21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4" w:hRule="atLeast"/>
          <w:jc w:val="center"/>
        </w:trPr>
        <w:tc>
          <w:tcPr>
            <w:tcW w:w="400" w:type="pct"/>
            <w:noWrap w:val="0"/>
            <w:vAlign w:val="center"/>
          </w:tcPr>
          <w:p w14:paraId="349CE111">
            <w:pPr>
              <w:jc w:val="center"/>
              <w:rPr>
                <w:b/>
                <w:szCs w:val="21"/>
                <w:highlight w:val="none"/>
              </w:rPr>
            </w:pPr>
            <w:r>
              <w:rPr>
                <w:rFonts w:hint="eastAsia"/>
                <w:b/>
                <w:szCs w:val="21"/>
                <w:highlight w:val="none"/>
              </w:rPr>
              <w:t>1</w:t>
            </w:r>
          </w:p>
        </w:tc>
        <w:tc>
          <w:tcPr>
            <w:tcW w:w="468" w:type="pct"/>
            <w:noWrap w:val="0"/>
            <w:vAlign w:val="center"/>
          </w:tcPr>
          <w:p w14:paraId="77F4A753">
            <w:pPr>
              <w:jc w:val="center"/>
              <w:rPr>
                <w:szCs w:val="21"/>
                <w:highlight w:val="none"/>
              </w:rPr>
            </w:pPr>
            <w:r>
              <w:rPr>
                <w:rFonts w:hint="eastAsia"/>
                <w:szCs w:val="21"/>
                <w:highlight w:val="none"/>
              </w:rPr>
              <w:t>政策性加分</w:t>
            </w:r>
          </w:p>
        </w:tc>
        <w:tc>
          <w:tcPr>
            <w:tcW w:w="2054" w:type="pct"/>
            <w:noWrap w:val="0"/>
            <w:vAlign w:val="center"/>
          </w:tcPr>
          <w:p w14:paraId="5886B667">
            <w:pPr>
              <w:rPr>
                <w:iCs/>
                <w:szCs w:val="21"/>
                <w:highlight w:val="none"/>
              </w:rPr>
            </w:pPr>
            <w:r>
              <w:rPr>
                <w:iCs/>
                <w:szCs w:val="21"/>
                <w:highlight w:val="none"/>
              </w:rPr>
              <w:t>（1）节能产品分（</w:t>
            </w:r>
            <w:r>
              <w:rPr>
                <w:rFonts w:hint="eastAsia"/>
                <w:iCs/>
                <w:szCs w:val="21"/>
                <w:highlight w:val="none"/>
                <w:lang w:val="en-US" w:eastAsia="zh-CN"/>
              </w:rPr>
              <w:t>1</w:t>
            </w:r>
            <w:r>
              <w:rPr>
                <w:iCs/>
                <w:szCs w:val="21"/>
                <w:highlight w:val="none"/>
              </w:rPr>
              <w:t>分）</w:t>
            </w:r>
          </w:p>
          <w:p w14:paraId="41B905A3">
            <w:pPr>
              <w:rPr>
                <w:iCs/>
                <w:szCs w:val="21"/>
                <w:highlight w:val="none"/>
              </w:rPr>
            </w:pPr>
            <w:r>
              <w:rPr>
                <w:rFonts w:hint="eastAsia"/>
                <w:iCs/>
                <w:szCs w:val="21"/>
                <w:highlight w:val="none"/>
              </w:rPr>
              <w:t>供应商</w:t>
            </w:r>
            <w:r>
              <w:rPr>
                <w:rFonts w:hint="eastAsia"/>
                <w:szCs w:val="21"/>
                <w:highlight w:val="none"/>
              </w:rPr>
              <w:t>响应</w:t>
            </w:r>
            <w:r>
              <w:rPr>
                <w:rFonts w:hint="eastAsia"/>
                <w:iCs/>
                <w:szCs w:val="21"/>
                <w:highlight w:val="none"/>
              </w:rPr>
              <w:t>产品属于</w:t>
            </w:r>
            <w:r>
              <w:rPr>
                <w:rFonts w:hint="eastAsia" w:ascii="宋体" w:hAnsi="宋体"/>
                <w:iCs/>
                <w:highlight w:val="none"/>
              </w:rPr>
              <w:t>节能产品政府采购品目清单</w:t>
            </w:r>
            <w:r>
              <w:rPr>
                <w:rFonts w:hint="eastAsia"/>
                <w:iCs/>
                <w:szCs w:val="21"/>
                <w:highlight w:val="none"/>
              </w:rPr>
              <w:t>范围内优先采购的</w:t>
            </w:r>
            <w:r>
              <w:rPr>
                <w:iCs/>
                <w:szCs w:val="21"/>
                <w:highlight w:val="none"/>
              </w:rPr>
              <w:t>，每有一项得</w:t>
            </w:r>
            <w:r>
              <w:rPr>
                <w:rFonts w:hint="eastAsia"/>
                <w:iCs/>
                <w:szCs w:val="21"/>
                <w:highlight w:val="none"/>
                <w:lang w:val="en-US" w:eastAsia="zh-CN"/>
              </w:rPr>
              <w:t>1</w:t>
            </w:r>
            <w:r>
              <w:rPr>
                <w:iCs/>
                <w:szCs w:val="21"/>
                <w:highlight w:val="none"/>
              </w:rPr>
              <w:t>分，最多得</w:t>
            </w:r>
            <w:r>
              <w:rPr>
                <w:rFonts w:hint="eastAsia"/>
                <w:iCs/>
                <w:szCs w:val="21"/>
                <w:highlight w:val="none"/>
                <w:lang w:val="en-US" w:eastAsia="zh-CN"/>
              </w:rPr>
              <w:t>1</w:t>
            </w:r>
            <w:r>
              <w:rPr>
                <w:iCs/>
                <w:szCs w:val="21"/>
                <w:highlight w:val="none"/>
              </w:rPr>
              <w:t>分。采购内容中的强制产品不加分。</w:t>
            </w:r>
          </w:p>
          <w:p w14:paraId="12145093">
            <w:pPr>
              <w:rPr>
                <w:iCs/>
                <w:szCs w:val="21"/>
                <w:highlight w:val="none"/>
              </w:rPr>
            </w:pPr>
            <w:r>
              <w:rPr>
                <w:iCs/>
                <w:szCs w:val="21"/>
                <w:highlight w:val="none"/>
              </w:rPr>
              <w:t>（</w:t>
            </w:r>
            <w:r>
              <w:rPr>
                <w:rFonts w:hint="eastAsia"/>
                <w:iCs/>
                <w:szCs w:val="21"/>
                <w:highlight w:val="none"/>
              </w:rPr>
              <w:t>2</w:t>
            </w:r>
            <w:r>
              <w:rPr>
                <w:iCs/>
                <w:szCs w:val="21"/>
                <w:highlight w:val="none"/>
              </w:rPr>
              <w:t>）</w:t>
            </w:r>
            <w:r>
              <w:rPr>
                <w:rFonts w:hint="eastAsia"/>
                <w:iCs/>
                <w:szCs w:val="21"/>
                <w:highlight w:val="none"/>
              </w:rPr>
              <w:t>环境标志产品</w:t>
            </w:r>
            <w:r>
              <w:rPr>
                <w:iCs/>
                <w:szCs w:val="21"/>
                <w:highlight w:val="none"/>
              </w:rPr>
              <w:t>分（</w:t>
            </w:r>
            <w:r>
              <w:rPr>
                <w:rFonts w:hint="eastAsia"/>
                <w:iCs/>
                <w:szCs w:val="21"/>
                <w:highlight w:val="none"/>
                <w:lang w:val="en-US" w:eastAsia="zh-CN"/>
              </w:rPr>
              <w:t>1</w:t>
            </w:r>
            <w:r>
              <w:rPr>
                <w:iCs/>
                <w:szCs w:val="21"/>
                <w:highlight w:val="none"/>
              </w:rPr>
              <w:t>分）</w:t>
            </w:r>
          </w:p>
          <w:p w14:paraId="7BBB0A90">
            <w:pPr>
              <w:rPr>
                <w:rFonts w:hint="eastAsia"/>
                <w:iCs/>
                <w:szCs w:val="21"/>
                <w:highlight w:val="none"/>
              </w:rPr>
            </w:pPr>
            <w:r>
              <w:rPr>
                <w:rFonts w:hint="eastAsia"/>
                <w:iCs/>
                <w:szCs w:val="21"/>
                <w:highlight w:val="none"/>
              </w:rPr>
              <w:t>供应商</w:t>
            </w:r>
            <w:r>
              <w:rPr>
                <w:rFonts w:hint="eastAsia"/>
                <w:szCs w:val="21"/>
                <w:highlight w:val="none"/>
              </w:rPr>
              <w:t>响应</w:t>
            </w:r>
            <w:r>
              <w:rPr>
                <w:rFonts w:hint="eastAsia"/>
                <w:iCs/>
                <w:szCs w:val="21"/>
                <w:highlight w:val="none"/>
              </w:rPr>
              <w:t>产品属于</w:t>
            </w:r>
            <w:r>
              <w:rPr>
                <w:rFonts w:hint="eastAsia" w:ascii="宋体" w:hAnsi="宋体"/>
                <w:iCs/>
                <w:highlight w:val="none"/>
              </w:rPr>
              <w:t>环境标志产品政府采购品目清单</w:t>
            </w:r>
            <w:r>
              <w:rPr>
                <w:rFonts w:hint="eastAsia"/>
                <w:iCs/>
                <w:szCs w:val="21"/>
                <w:highlight w:val="none"/>
              </w:rPr>
              <w:t>范围内优先采购的</w:t>
            </w:r>
            <w:r>
              <w:rPr>
                <w:iCs/>
                <w:szCs w:val="21"/>
                <w:highlight w:val="none"/>
              </w:rPr>
              <w:t>，每有一项得</w:t>
            </w:r>
            <w:r>
              <w:rPr>
                <w:rFonts w:hint="eastAsia"/>
                <w:iCs/>
                <w:szCs w:val="21"/>
                <w:highlight w:val="none"/>
                <w:lang w:val="en-US" w:eastAsia="zh-CN"/>
              </w:rPr>
              <w:t>1</w:t>
            </w:r>
            <w:r>
              <w:rPr>
                <w:iCs/>
                <w:szCs w:val="21"/>
                <w:highlight w:val="none"/>
              </w:rPr>
              <w:t>分，最多得</w:t>
            </w:r>
            <w:r>
              <w:rPr>
                <w:rFonts w:hint="eastAsia"/>
                <w:iCs/>
                <w:szCs w:val="21"/>
                <w:highlight w:val="none"/>
                <w:lang w:val="en-US" w:eastAsia="zh-CN"/>
              </w:rPr>
              <w:t>1</w:t>
            </w:r>
            <w:r>
              <w:rPr>
                <w:iCs/>
                <w:szCs w:val="21"/>
                <w:highlight w:val="none"/>
              </w:rPr>
              <w:t>分。</w:t>
            </w:r>
          </w:p>
        </w:tc>
        <w:tc>
          <w:tcPr>
            <w:tcW w:w="639" w:type="pct"/>
            <w:noWrap w:val="0"/>
            <w:vAlign w:val="center"/>
          </w:tcPr>
          <w:p w14:paraId="223D7BCF">
            <w:pPr>
              <w:jc w:val="center"/>
              <w:rPr>
                <w:rFonts w:hint="eastAsia" w:eastAsia="宋体"/>
                <w:color w:val="4472C4"/>
                <w:szCs w:val="21"/>
                <w:highlight w:val="none"/>
                <w:lang w:eastAsia="zh-CN"/>
              </w:rPr>
            </w:pPr>
            <w:r>
              <w:rPr>
                <w:rFonts w:hint="eastAsia"/>
                <w:szCs w:val="21"/>
                <w:highlight w:val="none"/>
              </w:rPr>
              <w:t>0</w:t>
            </w:r>
            <w:r>
              <w:rPr>
                <w:szCs w:val="21"/>
                <w:highlight w:val="none"/>
              </w:rPr>
              <w:t>-</w:t>
            </w:r>
            <w:r>
              <w:rPr>
                <w:rFonts w:hint="eastAsia"/>
                <w:szCs w:val="21"/>
                <w:highlight w:val="none"/>
                <w:lang w:val="en-US" w:eastAsia="zh-CN"/>
              </w:rPr>
              <w:t>2</w:t>
            </w:r>
          </w:p>
        </w:tc>
        <w:tc>
          <w:tcPr>
            <w:tcW w:w="1439" w:type="pct"/>
            <w:noWrap w:val="0"/>
            <w:vAlign w:val="center"/>
          </w:tcPr>
          <w:p w14:paraId="0B55DB4A">
            <w:pPr>
              <w:rPr>
                <w:color w:val="auto"/>
                <w:szCs w:val="21"/>
                <w:highlight w:val="none"/>
              </w:rPr>
            </w:pPr>
            <w:r>
              <w:rPr>
                <w:rFonts w:hint="eastAsia"/>
                <w:szCs w:val="21"/>
                <w:highlight w:val="none"/>
              </w:rPr>
              <w:t>（1）</w:t>
            </w:r>
            <w:r>
              <w:rPr>
                <w:rFonts w:hint="eastAsia"/>
                <w:color w:val="auto"/>
                <w:szCs w:val="21"/>
                <w:highlight w:val="none"/>
              </w:rPr>
              <w:t>供应商在</w:t>
            </w:r>
            <w:r>
              <w:rPr>
                <w:rFonts w:hint="eastAsia"/>
                <w:color w:val="auto"/>
                <w:szCs w:val="21"/>
                <w:highlight w:val="none"/>
                <w:lang w:val="en-US" w:eastAsia="zh-CN"/>
              </w:rPr>
              <w:t>响应</w:t>
            </w:r>
            <w:r>
              <w:rPr>
                <w:rFonts w:hint="eastAsia"/>
                <w:color w:val="auto"/>
                <w:szCs w:val="21"/>
                <w:highlight w:val="none"/>
              </w:rPr>
              <w:t>文件中列明属于节能、环境标志产品的</w:t>
            </w:r>
            <w:r>
              <w:rPr>
                <w:rFonts w:hint="eastAsia"/>
                <w:color w:val="auto"/>
                <w:szCs w:val="21"/>
                <w:highlight w:val="none"/>
                <w:lang w:val="en-US" w:eastAsia="zh-CN"/>
              </w:rPr>
              <w:t>响应</w:t>
            </w:r>
            <w:r>
              <w:rPr>
                <w:rFonts w:hint="eastAsia"/>
                <w:color w:val="auto"/>
                <w:szCs w:val="21"/>
                <w:highlight w:val="none"/>
              </w:rPr>
              <w:t>产品列表</w:t>
            </w:r>
            <w:r>
              <w:rPr>
                <w:rFonts w:hint="eastAsia"/>
                <w:color w:val="auto"/>
                <w:szCs w:val="21"/>
                <w:highlight w:val="none"/>
                <w:lang w:eastAsia="zh-CN"/>
              </w:rPr>
              <w:t>，</w:t>
            </w:r>
            <w:r>
              <w:rPr>
                <w:rFonts w:hint="eastAsia"/>
                <w:color w:val="auto"/>
                <w:szCs w:val="21"/>
                <w:highlight w:val="none"/>
                <w:lang w:val="en-US" w:eastAsia="zh-CN"/>
              </w:rPr>
              <w:t>并提供所响应产品的节能、环境标志产品认证证书扫描件</w:t>
            </w:r>
            <w:r>
              <w:rPr>
                <w:rFonts w:hint="eastAsia"/>
                <w:color w:val="auto"/>
                <w:szCs w:val="21"/>
                <w:highlight w:val="none"/>
              </w:rPr>
              <w:t>。</w:t>
            </w:r>
          </w:p>
          <w:p w14:paraId="0ABC38F6">
            <w:pPr>
              <w:rPr>
                <w:rFonts w:hint="eastAsia"/>
                <w:szCs w:val="21"/>
                <w:highlight w:val="none"/>
              </w:rPr>
            </w:pPr>
            <w:r>
              <w:rPr>
                <w:rFonts w:hint="eastAsia"/>
                <w:color w:val="auto"/>
                <w:szCs w:val="21"/>
                <w:highlight w:val="none"/>
              </w:rPr>
              <w:t>（2）以节能</w:t>
            </w:r>
            <w:r>
              <w:rPr>
                <w:rFonts w:hint="eastAsia"/>
                <w:color w:val="auto"/>
                <w:szCs w:val="21"/>
                <w:highlight w:val="none"/>
                <w:lang w:eastAsia="zh-CN"/>
              </w:rPr>
              <w:t>、</w:t>
            </w:r>
            <w:r>
              <w:rPr>
                <w:rFonts w:hint="eastAsia"/>
                <w:color w:val="auto"/>
                <w:szCs w:val="21"/>
                <w:highlight w:val="none"/>
                <w:lang w:val="en-US" w:eastAsia="zh-CN"/>
              </w:rPr>
              <w:t>环境标志</w:t>
            </w:r>
            <w:r>
              <w:rPr>
                <w:rFonts w:hint="eastAsia"/>
                <w:color w:val="auto"/>
                <w:szCs w:val="21"/>
                <w:highlight w:val="none"/>
              </w:rPr>
              <w:t>产品认证证书与供应商所提供的</w:t>
            </w:r>
            <w:r>
              <w:rPr>
                <w:rFonts w:hint="eastAsia"/>
                <w:color w:val="auto"/>
                <w:szCs w:val="21"/>
                <w:highlight w:val="none"/>
                <w:lang w:val="en-US" w:eastAsia="zh-CN"/>
              </w:rPr>
              <w:t>响应</w:t>
            </w:r>
            <w:r>
              <w:rPr>
                <w:rFonts w:hint="eastAsia"/>
                <w:color w:val="auto"/>
                <w:szCs w:val="21"/>
                <w:highlight w:val="none"/>
              </w:rPr>
              <w:t>产品列表进行比对作为评审依据</w:t>
            </w:r>
            <w:r>
              <w:rPr>
                <w:color w:val="auto"/>
                <w:szCs w:val="21"/>
                <w:highlight w:val="none"/>
              </w:rPr>
              <w:t>。</w:t>
            </w:r>
          </w:p>
        </w:tc>
      </w:tr>
    </w:tbl>
    <w:p w14:paraId="7B392516">
      <w:pPr>
        <w:rPr>
          <w:highlight w:val="none"/>
        </w:rPr>
      </w:pPr>
    </w:p>
    <w:p w14:paraId="521B9206">
      <w:pPr>
        <w:ind w:firstLine="315" w:firstLineChars="150"/>
        <w:rPr>
          <w:highlight w:val="none"/>
        </w:rPr>
      </w:pPr>
      <w:r>
        <w:rPr>
          <w:rFonts w:hint="eastAsia"/>
          <w:highlight w:val="none"/>
        </w:rPr>
        <w:t>（</w:t>
      </w:r>
      <w:r>
        <w:rPr>
          <w:highlight w:val="none"/>
        </w:rPr>
        <w:t>4</w:t>
      </w:r>
      <w:r>
        <w:rPr>
          <w:rFonts w:hint="eastAsia"/>
          <w:highlight w:val="none"/>
        </w:rPr>
        <w:t>）</w:t>
      </w:r>
      <w:r>
        <w:rPr>
          <w:highlight w:val="none"/>
        </w:rPr>
        <w:t>综合得分</w:t>
      </w:r>
    </w:p>
    <w:tbl>
      <w:tblPr>
        <w:tblStyle w:val="5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2391"/>
        <w:gridCol w:w="1939"/>
        <w:gridCol w:w="2165"/>
        <w:gridCol w:w="2222"/>
      </w:tblGrid>
      <w:tr w14:paraId="7B153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46" w:type="pct"/>
            <w:noWrap w:val="0"/>
            <w:vAlign w:val="center"/>
          </w:tcPr>
          <w:p w14:paraId="5C6472B0">
            <w:pPr>
              <w:jc w:val="center"/>
              <w:rPr>
                <w:b/>
                <w:szCs w:val="21"/>
                <w:highlight w:val="none"/>
              </w:rPr>
            </w:pPr>
            <w:r>
              <w:rPr>
                <w:rFonts w:hint="eastAsia"/>
                <w:b/>
                <w:szCs w:val="21"/>
                <w:highlight w:val="none"/>
              </w:rPr>
              <w:t>分项</w:t>
            </w:r>
          </w:p>
        </w:tc>
        <w:tc>
          <w:tcPr>
            <w:tcW w:w="1249" w:type="pct"/>
            <w:noWrap w:val="0"/>
            <w:vAlign w:val="center"/>
          </w:tcPr>
          <w:p w14:paraId="07E57DA2">
            <w:pPr>
              <w:jc w:val="center"/>
              <w:rPr>
                <w:b/>
                <w:szCs w:val="21"/>
                <w:highlight w:val="none"/>
              </w:rPr>
            </w:pPr>
            <w:r>
              <w:rPr>
                <w:rFonts w:hint="eastAsia"/>
                <w:b/>
                <w:szCs w:val="21"/>
                <w:highlight w:val="none"/>
              </w:rPr>
              <w:t>技术及商务资信分</w:t>
            </w:r>
          </w:p>
        </w:tc>
        <w:tc>
          <w:tcPr>
            <w:tcW w:w="1013" w:type="pct"/>
            <w:noWrap w:val="0"/>
            <w:vAlign w:val="center"/>
          </w:tcPr>
          <w:p w14:paraId="1E452EF7">
            <w:pPr>
              <w:jc w:val="center"/>
              <w:rPr>
                <w:b/>
                <w:szCs w:val="21"/>
                <w:highlight w:val="none"/>
              </w:rPr>
            </w:pPr>
            <w:r>
              <w:rPr>
                <w:rFonts w:hint="eastAsia"/>
                <w:b/>
                <w:szCs w:val="21"/>
                <w:highlight w:val="none"/>
                <w:lang w:val="en-US" w:eastAsia="zh-CN"/>
              </w:rPr>
              <w:t>响应</w:t>
            </w:r>
            <w:r>
              <w:rPr>
                <w:rFonts w:hint="eastAsia"/>
                <w:b/>
                <w:szCs w:val="21"/>
                <w:highlight w:val="none"/>
              </w:rPr>
              <w:t>报价得分</w:t>
            </w:r>
          </w:p>
        </w:tc>
        <w:tc>
          <w:tcPr>
            <w:tcW w:w="1131" w:type="pct"/>
            <w:noWrap w:val="0"/>
            <w:vAlign w:val="center"/>
          </w:tcPr>
          <w:p w14:paraId="2CAF55B1">
            <w:pPr>
              <w:jc w:val="center"/>
              <w:rPr>
                <w:b/>
                <w:szCs w:val="21"/>
                <w:highlight w:val="none"/>
              </w:rPr>
            </w:pPr>
            <w:r>
              <w:rPr>
                <w:rFonts w:hint="eastAsia"/>
                <w:b/>
                <w:szCs w:val="21"/>
                <w:highlight w:val="none"/>
              </w:rPr>
              <w:t>政策性加分</w:t>
            </w:r>
          </w:p>
        </w:tc>
        <w:tc>
          <w:tcPr>
            <w:tcW w:w="1161" w:type="pct"/>
            <w:noWrap w:val="0"/>
            <w:vAlign w:val="center"/>
          </w:tcPr>
          <w:p w14:paraId="4990F78A">
            <w:pPr>
              <w:jc w:val="center"/>
              <w:rPr>
                <w:b/>
                <w:szCs w:val="21"/>
                <w:highlight w:val="none"/>
              </w:rPr>
            </w:pPr>
            <w:r>
              <w:rPr>
                <w:rFonts w:hint="eastAsia"/>
                <w:b/>
                <w:szCs w:val="21"/>
                <w:highlight w:val="none"/>
              </w:rPr>
              <w:t>总分</w:t>
            </w:r>
          </w:p>
        </w:tc>
      </w:tr>
      <w:tr w14:paraId="0C80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446" w:type="pct"/>
            <w:noWrap w:val="0"/>
            <w:vAlign w:val="center"/>
          </w:tcPr>
          <w:p w14:paraId="0783E7C4">
            <w:pPr>
              <w:jc w:val="center"/>
              <w:rPr>
                <w:b/>
                <w:color w:val="auto"/>
                <w:szCs w:val="21"/>
                <w:highlight w:val="none"/>
              </w:rPr>
            </w:pPr>
            <w:r>
              <w:rPr>
                <w:rFonts w:hint="eastAsia"/>
                <w:b/>
                <w:color w:val="auto"/>
                <w:szCs w:val="21"/>
                <w:highlight w:val="none"/>
              </w:rPr>
              <w:t>分值</w:t>
            </w:r>
          </w:p>
        </w:tc>
        <w:tc>
          <w:tcPr>
            <w:tcW w:w="1249" w:type="pct"/>
            <w:noWrap w:val="0"/>
            <w:vAlign w:val="center"/>
          </w:tcPr>
          <w:p w14:paraId="0944A4A0">
            <w:pPr>
              <w:jc w:val="center"/>
              <w:rPr>
                <w:rFonts w:hint="default" w:eastAsia="宋体"/>
                <w:color w:val="auto"/>
                <w:szCs w:val="21"/>
                <w:highlight w:val="none"/>
                <w:lang w:val="en-US" w:eastAsia="zh-CN"/>
              </w:rPr>
            </w:pPr>
            <w:r>
              <w:rPr>
                <w:rFonts w:hint="eastAsia"/>
                <w:color w:val="auto"/>
                <w:szCs w:val="21"/>
                <w:highlight w:val="none"/>
                <w:lang w:val="en-US" w:eastAsia="zh-CN"/>
              </w:rPr>
              <w:t>88</w:t>
            </w:r>
          </w:p>
        </w:tc>
        <w:tc>
          <w:tcPr>
            <w:tcW w:w="1013" w:type="pct"/>
            <w:noWrap w:val="0"/>
            <w:vAlign w:val="center"/>
          </w:tcPr>
          <w:p w14:paraId="68BE2A51">
            <w:pPr>
              <w:jc w:val="center"/>
              <w:rPr>
                <w:rFonts w:hint="default" w:eastAsia="宋体"/>
                <w:color w:val="auto"/>
                <w:szCs w:val="21"/>
                <w:highlight w:val="none"/>
                <w:lang w:val="en-US" w:eastAsia="zh-CN"/>
              </w:rPr>
            </w:pPr>
            <w:r>
              <w:rPr>
                <w:rFonts w:hint="eastAsia"/>
                <w:color w:val="auto"/>
                <w:szCs w:val="21"/>
                <w:highlight w:val="none"/>
                <w:lang w:val="en-US" w:eastAsia="zh-CN"/>
              </w:rPr>
              <w:t>10</w:t>
            </w:r>
          </w:p>
        </w:tc>
        <w:tc>
          <w:tcPr>
            <w:tcW w:w="1131" w:type="pct"/>
            <w:noWrap w:val="0"/>
            <w:vAlign w:val="center"/>
          </w:tcPr>
          <w:p w14:paraId="4503456E">
            <w:pPr>
              <w:jc w:val="center"/>
              <w:rPr>
                <w:rFonts w:hint="eastAsia" w:eastAsia="宋体"/>
                <w:color w:val="auto"/>
                <w:szCs w:val="21"/>
                <w:highlight w:val="none"/>
                <w:lang w:val="en-US" w:eastAsia="zh-CN"/>
              </w:rPr>
            </w:pPr>
            <w:r>
              <w:rPr>
                <w:rFonts w:hint="eastAsia"/>
                <w:color w:val="auto"/>
                <w:szCs w:val="21"/>
                <w:highlight w:val="none"/>
                <w:lang w:val="en-US" w:eastAsia="zh-CN"/>
              </w:rPr>
              <w:t>2</w:t>
            </w:r>
          </w:p>
        </w:tc>
        <w:tc>
          <w:tcPr>
            <w:tcW w:w="1161" w:type="pct"/>
            <w:noWrap w:val="0"/>
            <w:vAlign w:val="center"/>
          </w:tcPr>
          <w:p w14:paraId="793FD86F">
            <w:pPr>
              <w:jc w:val="center"/>
              <w:rPr>
                <w:rFonts w:hint="default" w:eastAsia="宋体"/>
                <w:color w:val="auto"/>
                <w:szCs w:val="21"/>
                <w:highlight w:val="none"/>
                <w:lang w:val="en-US" w:eastAsia="zh-CN"/>
              </w:rPr>
            </w:pPr>
            <w:r>
              <w:rPr>
                <w:rFonts w:hint="eastAsia"/>
                <w:color w:val="auto"/>
                <w:szCs w:val="21"/>
                <w:highlight w:val="none"/>
                <w:lang w:val="en-US" w:eastAsia="zh-CN"/>
              </w:rPr>
              <w:t>100</w:t>
            </w:r>
          </w:p>
        </w:tc>
      </w:tr>
      <w:tr w14:paraId="00D79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5000" w:type="pct"/>
            <w:gridSpan w:val="5"/>
            <w:noWrap w:val="0"/>
            <w:vAlign w:val="center"/>
          </w:tcPr>
          <w:p w14:paraId="59B78AA1">
            <w:pPr>
              <w:rPr>
                <w:color w:val="auto"/>
                <w:szCs w:val="21"/>
                <w:highlight w:val="none"/>
              </w:rPr>
            </w:pPr>
            <w:r>
              <w:rPr>
                <w:rFonts w:hint="eastAsia"/>
                <w:color w:val="auto"/>
                <w:szCs w:val="21"/>
                <w:highlight w:val="none"/>
              </w:rPr>
              <w:t>综合得分</w:t>
            </w:r>
            <w:r>
              <w:rPr>
                <w:color w:val="auto"/>
                <w:szCs w:val="21"/>
                <w:highlight w:val="none"/>
              </w:rPr>
              <w:t>=</w:t>
            </w:r>
            <w:r>
              <w:rPr>
                <w:rFonts w:hint="eastAsia"/>
                <w:color w:val="auto"/>
                <w:szCs w:val="21"/>
                <w:highlight w:val="none"/>
              </w:rPr>
              <w:t>技术及商务资信分+</w:t>
            </w:r>
            <w:r>
              <w:rPr>
                <w:rFonts w:hint="eastAsia"/>
                <w:color w:val="auto"/>
                <w:szCs w:val="21"/>
                <w:highlight w:val="none"/>
                <w:lang w:val="en-US" w:eastAsia="zh-CN"/>
              </w:rPr>
              <w:t>响应</w:t>
            </w:r>
            <w:r>
              <w:rPr>
                <w:rFonts w:hint="eastAsia"/>
                <w:color w:val="auto"/>
                <w:szCs w:val="21"/>
                <w:highlight w:val="none"/>
              </w:rPr>
              <w:t>报价得分+政策性加分（</w:t>
            </w:r>
            <w:r>
              <w:rPr>
                <w:rFonts w:hint="eastAsia"/>
                <w:color w:val="auto"/>
                <w:highlight w:val="none"/>
              </w:rPr>
              <w:t>注：各</w:t>
            </w:r>
            <w:r>
              <w:rPr>
                <w:color w:val="auto"/>
                <w:szCs w:val="21"/>
                <w:highlight w:val="none"/>
              </w:rPr>
              <w:t>项评分分值计算保留小数点后两位，小数点后第三位“四舍五入”</w:t>
            </w:r>
            <w:r>
              <w:rPr>
                <w:rFonts w:hint="eastAsia"/>
                <w:color w:val="auto"/>
                <w:szCs w:val="21"/>
                <w:highlight w:val="none"/>
              </w:rPr>
              <w:t>）</w:t>
            </w:r>
          </w:p>
        </w:tc>
      </w:tr>
    </w:tbl>
    <w:p w14:paraId="49110170">
      <w:pPr>
        <w:spacing w:before="120" w:line="320" w:lineRule="atLeast"/>
        <w:ind w:firstLine="643" w:firstLineChars="200"/>
        <w:rPr>
          <w:b/>
          <w:sz w:val="32"/>
          <w:szCs w:val="32"/>
          <w:highlight w:val="none"/>
        </w:rPr>
        <w:sectPr>
          <w:headerReference r:id="rId17" w:type="first"/>
          <w:headerReference r:id="rId16" w:type="default"/>
          <w:pgSz w:w="11906" w:h="16838"/>
          <w:pgMar w:top="1418" w:right="1133" w:bottom="1246" w:left="1418" w:header="851" w:footer="992" w:gutter="0"/>
          <w:cols w:space="720" w:num="1"/>
          <w:docGrid w:linePitch="312" w:charSpace="0"/>
        </w:sectPr>
      </w:pPr>
    </w:p>
    <w:bookmarkEnd w:id="0"/>
    <w:bookmarkEnd w:id="1"/>
    <w:p w14:paraId="7243CD3A">
      <w:pPr>
        <w:pStyle w:val="27"/>
        <w:snapToGrid w:val="0"/>
        <w:spacing w:before="120" w:after="120" w:line="320" w:lineRule="exact"/>
        <w:jc w:val="center"/>
        <w:outlineLvl w:val="0"/>
        <w:rPr>
          <w:rFonts w:ascii="Times New Roman" w:hAnsi="Times New Roman" w:cs="Times New Roman"/>
          <w:sz w:val="32"/>
          <w:szCs w:val="32"/>
          <w:highlight w:val="none"/>
        </w:rPr>
      </w:pPr>
      <w:bookmarkStart w:id="81" w:name="_Toc89186353"/>
      <w:bookmarkStart w:id="82" w:name="_Hlk89190624"/>
      <w:r>
        <w:rPr>
          <w:rFonts w:ascii="Times New Roman" w:hAnsi="Times New Roman" w:cs="Times New Roman"/>
          <w:sz w:val="32"/>
          <w:szCs w:val="32"/>
          <w:highlight w:val="none"/>
        </w:rPr>
        <w:t>第</w:t>
      </w:r>
      <w:r>
        <w:rPr>
          <w:rFonts w:hint="eastAsia" w:ascii="Times New Roman" w:hAnsi="Times New Roman" w:cs="Times New Roman"/>
          <w:sz w:val="32"/>
          <w:szCs w:val="32"/>
          <w:highlight w:val="none"/>
        </w:rPr>
        <w:t>五</w:t>
      </w:r>
      <w:r>
        <w:rPr>
          <w:rFonts w:ascii="Times New Roman" w:hAnsi="Times New Roman" w:cs="Times New Roman"/>
          <w:sz w:val="32"/>
          <w:szCs w:val="32"/>
          <w:highlight w:val="none"/>
        </w:rPr>
        <w:t>章  合同主要条款格式</w:t>
      </w:r>
      <w:bookmarkEnd w:id="81"/>
    </w:p>
    <w:p w14:paraId="34CE00A9">
      <w:pPr>
        <w:pStyle w:val="3"/>
        <w:jc w:val="center"/>
        <w:rPr>
          <w:b w:val="0"/>
          <w:sz w:val="28"/>
          <w:szCs w:val="28"/>
          <w:highlight w:val="none"/>
        </w:rPr>
      </w:pPr>
      <w:bookmarkStart w:id="83" w:name="_Toc351203480"/>
      <w:bookmarkStart w:id="84" w:name="_Toc296503025"/>
      <w:bookmarkStart w:id="85" w:name="_Toc373227552"/>
      <w:bookmarkStart w:id="86" w:name="_Toc724920571"/>
      <w:bookmarkStart w:id="87" w:name="_Toc1756478213"/>
      <w:bookmarkStart w:id="88" w:name="_Toc296890982"/>
      <w:bookmarkStart w:id="89" w:name="_Toc407135191"/>
      <w:bookmarkStart w:id="90" w:name="_Toc373478199"/>
      <w:bookmarkStart w:id="91" w:name="_Toc78449777"/>
      <w:bookmarkStart w:id="92" w:name="_Toc389065255"/>
      <w:r>
        <w:rPr>
          <w:rFonts w:hint="eastAsia"/>
          <w:b w:val="0"/>
          <w:sz w:val="28"/>
          <w:szCs w:val="28"/>
          <w:highlight w:val="none"/>
        </w:rPr>
        <w:t>第一部分</w:t>
      </w:r>
      <w:r>
        <w:rPr>
          <w:b w:val="0"/>
          <w:sz w:val="28"/>
          <w:szCs w:val="28"/>
          <w:highlight w:val="none"/>
        </w:rPr>
        <w:t xml:space="preserve"> </w:t>
      </w:r>
      <w:r>
        <w:rPr>
          <w:rFonts w:hint="eastAsia"/>
          <w:b w:val="0"/>
          <w:sz w:val="28"/>
          <w:szCs w:val="28"/>
          <w:highlight w:val="none"/>
        </w:rPr>
        <w:t>合同协议书</w:t>
      </w:r>
      <w:bookmarkEnd w:id="83"/>
      <w:bookmarkEnd w:id="84"/>
      <w:bookmarkEnd w:id="85"/>
      <w:bookmarkEnd w:id="86"/>
      <w:bookmarkEnd w:id="87"/>
      <w:bookmarkEnd w:id="88"/>
      <w:bookmarkEnd w:id="89"/>
      <w:bookmarkEnd w:id="90"/>
      <w:bookmarkEnd w:id="91"/>
      <w:bookmarkEnd w:id="92"/>
    </w:p>
    <w:p w14:paraId="2DFBA016">
      <w:pPr>
        <w:spacing w:line="360" w:lineRule="auto"/>
        <w:rPr>
          <w:highlight w:val="none"/>
          <w:u w:val="single"/>
        </w:rPr>
      </w:pPr>
      <w:r>
        <w:rPr>
          <w:rFonts w:hint="eastAsia" w:hAnsi="宋体" w:cs="宋体"/>
          <w:highlight w:val="none"/>
        </w:rPr>
        <w:t>发包人（全称）：</w:t>
      </w:r>
      <w:r>
        <w:rPr>
          <w:rFonts w:hAnsi="宋体"/>
          <w:highlight w:val="none"/>
          <w:u w:val="single"/>
        </w:rPr>
        <w:t xml:space="preserve">                              </w:t>
      </w:r>
    </w:p>
    <w:p w14:paraId="5ECD02E0">
      <w:pPr>
        <w:spacing w:line="360" w:lineRule="auto"/>
        <w:rPr>
          <w:highlight w:val="none"/>
          <w:u w:val="single"/>
        </w:rPr>
      </w:pPr>
      <w:r>
        <w:rPr>
          <w:rFonts w:hint="eastAsia" w:hAnsi="宋体" w:cs="宋体"/>
          <w:highlight w:val="none"/>
        </w:rPr>
        <w:t>承包人（全称）：</w:t>
      </w:r>
      <w:r>
        <w:rPr>
          <w:rFonts w:hAnsi="宋体"/>
          <w:highlight w:val="none"/>
          <w:u w:val="single"/>
        </w:rPr>
        <w:t xml:space="preserve">                              </w:t>
      </w:r>
    </w:p>
    <w:p w14:paraId="36285C7C">
      <w:pPr>
        <w:spacing w:line="360" w:lineRule="auto"/>
        <w:ind w:firstLine="420" w:firstLineChars="200"/>
        <w:rPr>
          <w:rFonts w:hAnsi="宋体"/>
          <w:highlight w:val="none"/>
        </w:rPr>
      </w:pPr>
      <w:r>
        <w:rPr>
          <w:rFonts w:hint="eastAsia" w:hAnsi="宋体" w:cs="宋体"/>
          <w:highlight w:val="none"/>
        </w:rPr>
        <w:t>根据《中华人民共和国民法典》、《中华人民共和国建筑法》及有关法律规定，遵循平等、自愿、公平和诚实信用的原则，双方就</w:t>
      </w:r>
      <w:r>
        <w:rPr>
          <w:highlight w:val="none"/>
          <w:u w:val="single"/>
        </w:rPr>
        <w:t xml:space="preserve">    </w:t>
      </w:r>
      <w:r>
        <w:rPr>
          <w:rFonts w:hint="eastAsia"/>
          <w:highlight w:val="none"/>
          <w:u w:val="single"/>
          <w:lang w:eastAsia="zh-CN"/>
        </w:rPr>
        <w:t>武宣乡村工匠建设项目</w:t>
      </w:r>
      <w:r>
        <w:rPr>
          <w:highlight w:val="none"/>
          <w:u w:val="single"/>
        </w:rPr>
        <w:t xml:space="preserve">     </w:t>
      </w:r>
      <w:r>
        <w:rPr>
          <w:rFonts w:hint="eastAsia" w:hAnsi="宋体" w:cs="宋体"/>
          <w:highlight w:val="none"/>
        </w:rPr>
        <w:t>工程施工及有关事项协商一致，共同达成如下协议：</w:t>
      </w:r>
      <w:bookmarkStart w:id="93" w:name="_Toc351203481"/>
    </w:p>
    <w:p w14:paraId="358CF05D">
      <w:pPr>
        <w:spacing w:line="360" w:lineRule="auto"/>
        <w:ind w:firstLine="422" w:firstLineChars="200"/>
        <w:outlineLvl w:val="2"/>
        <w:rPr>
          <w:b/>
          <w:bCs/>
          <w:highlight w:val="none"/>
        </w:rPr>
      </w:pPr>
      <w:r>
        <w:rPr>
          <w:rFonts w:hint="eastAsia" w:hAnsi="宋体" w:cs="宋体"/>
          <w:b/>
          <w:bCs/>
          <w:highlight w:val="none"/>
        </w:rPr>
        <w:t>一、工程概况</w:t>
      </w:r>
      <w:bookmarkEnd w:id="93"/>
    </w:p>
    <w:p w14:paraId="0E9545D3">
      <w:pPr>
        <w:spacing w:line="360" w:lineRule="auto"/>
        <w:ind w:firstLine="411" w:firstLineChars="196"/>
        <w:rPr>
          <w:highlight w:val="none"/>
          <w:u w:val="single"/>
        </w:rPr>
      </w:pPr>
      <w:r>
        <w:rPr>
          <w:highlight w:val="none"/>
        </w:rPr>
        <w:t xml:space="preserve">1. </w:t>
      </w:r>
      <w:r>
        <w:rPr>
          <w:rFonts w:hint="eastAsia" w:hAnsi="宋体" w:cs="宋体"/>
          <w:highlight w:val="none"/>
        </w:rPr>
        <w:t>工程名称：</w:t>
      </w:r>
      <w:r>
        <w:rPr>
          <w:highlight w:val="none"/>
          <w:u w:val="single"/>
        </w:rPr>
        <w:t xml:space="preserve">   </w:t>
      </w:r>
      <w:r>
        <w:rPr>
          <w:rFonts w:hint="eastAsia"/>
          <w:highlight w:val="none"/>
          <w:u w:val="single"/>
          <w:lang w:eastAsia="zh-CN"/>
        </w:rPr>
        <w:t>武宣乡村工匠建设项目</w:t>
      </w:r>
      <w:r>
        <w:rPr>
          <w:rFonts w:hint="eastAsia"/>
          <w:highlight w:val="none"/>
          <w:u w:val="single"/>
        </w:rPr>
        <w:t xml:space="preserve"> </w:t>
      </w:r>
      <w:r>
        <w:rPr>
          <w:highlight w:val="none"/>
          <w:u w:val="single"/>
        </w:rPr>
        <w:t xml:space="preserve"> </w:t>
      </w:r>
      <w:r>
        <w:rPr>
          <w:rFonts w:hint="eastAsia" w:hAnsi="宋体" w:cs="宋体"/>
          <w:highlight w:val="none"/>
        </w:rPr>
        <w:t>。</w:t>
      </w:r>
    </w:p>
    <w:p w14:paraId="3D6C3705">
      <w:pPr>
        <w:spacing w:line="360" w:lineRule="auto"/>
        <w:ind w:firstLine="411" w:firstLineChars="196"/>
        <w:rPr>
          <w:highlight w:val="none"/>
        </w:rPr>
      </w:pPr>
      <w:r>
        <w:rPr>
          <w:highlight w:val="none"/>
        </w:rPr>
        <w:t xml:space="preserve">2. </w:t>
      </w:r>
      <w:r>
        <w:rPr>
          <w:rFonts w:hint="eastAsia" w:hAnsi="宋体" w:cs="宋体"/>
          <w:highlight w:val="none"/>
        </w:rPr>
        <w:t>工程地点：</w:t>
      </w:r>
      <w:r>
        <w:rPr>
          <w:highlight w:val="none"/>
          <w:u w:val="single"/>
        </w:rPr>
        <w:t xml:space="preserve">   </w:t>
      </w:r>
      <w:r>
        <w:rPr>
          <w:rFonts w:hint="default"/>
          <w:highlight w:val="none"/>
          <w:u w:val="single"/>
          <w:lang w:eastAsia="zh-CN"/>
        </w:rPr>
        <w:t>金鸡乡仁元村廷乃屯永灵蛋鸡场</w:t>
      </w:r>
      <w:r>
        <w:rPr>
          <w:rFonts w:hint="eastAsia"/>
          <w:highlight w:val="none"/>
          <w:u w:val="single"/>
        </w:rPr>
        <w:t xml:space="preserve">     </w:t>
      </w:r>
      <w:r>
        <w:rPr>
          <w:highlight w:val="none"/>
          <w:u w:val="single"/>
        </w:rPr>
        <w:t xml:space="preserve">   </w:t>
      </w:r>
      <w:r>
        <w:rPr>
          <w:rFonts w:hint="eastAsia" w:hAnsi="宋体" w:cs="宋体"/>
          <w:highlight w:val="none"/>
        </w:rPr>
        <w:t>。</w:t>
      </w:r>
    </w:p>
    <w:p w14:paraId="463402B3">
      <w:pPr>
        <w:spacing w:line="360" w:lineRule="auto"/>
        <w:ind w:firstLine="411" w:firstLineChars="196"/>
        <w:rPr>
          <w:highlight w:val="none"/>
        </w:rPr>
      </w:pPr>
      <w:r>
        <w:rPr>
          <w:highlight w:val="none"/>
        </w:rPr>
        <w:t xml:space="preserve">3. </w:t>
      </w:r>
      <w:r>
        <w:rPr>
          <w:rFonts w:hint="eastAsia" w:hAnsi="宋体" w:cs="宋体"/>
          <w:highlight w:val="none"/>
        </w:rPr>
        <w:t>工程立项批准文号：</w:t>
      </w:r>
      <w:r>
        <w:rPr>
          <w:highlight w:val="none"/>
          <w:u w:val="single"/>
        </w:rPr>
        <w:t xml:space="preserve">   </w:t>
      </w:r>
      <w:r>
        <w:rPr>
          <w:rFonts w:hint="eastAsia"/>
          <w:highlight w:val="none"/>
          <w:u w:val="single"/>
        </w:rPr>
        <w:t xml:space="preserve">   </w:t>
      </w:r>
      <w:r>
        <w:rPr>
          <w:rFonts w:hint="eastAsia"/>
          <w:highlight w:val="none"/>
          <w:u w:val="single"/>
          <w:lang w:val="en-US" w:eastAsia="zh-CN"/>
        </w:rPr>
        <w:t>/</w:t>
      </w:r>
      <w:r>
        <w:rPr>
          <w:rFonts w:hint="eastAsia"/>
          <w:highlight w:val="none"/>
          <w:u w:val="single"/>
        </w:rPr>
        <w:t xml:space="preserve">   </w:t>
      </w:r>
      <w:r>
        <w:rPr>
          <w:highlight w:val="none"/>
          <w:u w:val="single"/>
        </w:rPr>
        <w:t xml:space="preserve">    </w:t>
      </w:r>
      <w:r>
        <w:rPr>
          <w:rFonts w:hint="eastAsia" w:hAnsi="宋体" w:cs="宋体"/>
          <w:highlight w:val="none"/>
        </w:rPr>
        <w:t>。</w:t>
      </w:r>
    </w:p>
    <w:p w14:paraId="7AA5DA82">
      <w:pPr>
        <w:spacing w:line="360" w:lineRule="auto"/>
        <w:ind w:firstLine="411" w:firstLineChars="196"/>
        <w:rPr>
          <w:highlight w:val="none"/>
        </w:rPr>
      </w:pPr>
      <w:r>
        <w:rPr>
          <w:highlight w:val="none"/>
        </w:rPr>
        <w:t xml:space="preserve">4. </w:t>
      </w:r>
      <w:r>
        <w:rPr>
          <w:rFonts w:hint="eastAsia" w:hAnsi="宋体" w:cs="宋体"/>
          <w:highlight w:val="none"/>
        </w:rPr>
        <w:t>资金来源：</w:t>
      </w:r>
      <w:r>
        <w:rPr>
          <w:highlight w:val="none"/>
          <w:u w:val="single"/>
        </w:rPr>
        <w:t xml:space="preserve">   </w:t>
      </w:r>
      <w:r>
        <w:rPr>
          <w:rFonts w:hint="eastAsia"/>
          <w:highlight w:val="none"/>
          <w:u w:val="single"/>
          <w:lang w:eastAsia="zh-CN"/>
        </w:rPr>
        <w:t>财政性资金</w:t>
      </w:r>
      <w:r>
        <w:rPr>
          <w:rFonts w:hint="eastAsia"/>
          <w:highlight w:val="none"/>
          <w:u w:val="single"/>
        </w:rPr>
        <w:t xml:space="preserve">         </w:t>
      </w:r>
      <w:r>
        <w:rPr>
          <w:highlight w:val="none"/>
          <w:u w:val="single"/>
        </w:rPr>
        <w:t xml:space="preserve">   </w:t>
      </w:r>
      <w:r>
        <w:rPr>
          <w:rFonts w:hint="eastAsia" w:hAnsi="宋体" w:cs="宋体"/>
          <w:highlight w:val="none"/>
        </w:rPr>
        <w:t>。</w:t>
      </w:r>
    </w:p>
    <w:p w14:paraId="06DF6325">
      <w:pPr>
        <w:spacing w:line="360" w:lineRule="auto"/>
        <w:ind w:firstLine="411" w:firstLineChars="196"/>
        <w:rPr>
          <w:highlight w:val="none"/>
        </w:rPr>
      </w:pPr>
      <w:r>
        <w:rPr>
          <w:highlight w:val="none"/>
        </w:rPr>
        <w:t xml:space="preserve">5. </w:t>
      </w:r>
      <w:r>
        <w:rPr>
          <w:rFonts w:hint="eastAsia" w:hAnsi="宋体" w:cs="宋体"/>
          <w:highlight w:val="none"/>
        </w:rPr>
        <w:t>工程内容：</w:t>
      </w:r>
      <w:r>
        <w:rPr>
          <w:highlight w:val="none"/>
          <w:u w:val="single"/>
        </w:rPr>
        <w:t xml:space="preserve"> </w:t>
      </w:r>
      <w:r>
        <w:rPr>
          <w:rFonts w:hint="default"/>
          <w:highlight w:val="none"/>
          <w:u w:val="single"/>
        </w:rPr>
        <w:t>武宣乡村工匠建设项目建筑面积为</w:t>
      </w:r>
      <w:r>
        <w:rPr>
          <w:rFonts w:hint="eastAsia"/>
          <w:highlight w:val="none"/>
          <w:u w:val="single"/>
          <w:lang w:eastAsia="zh-CN"/>
        </w:rPr>
        <w:t>1197.91㎡</w:t>
      </w:r>
      <w:r>
        <w:rPr>
          <w:rFonts w:hint="default"/>
          <w:highlight w:val="none"/>
          <w:u w:val="single"/>
        </w:rPr>
        <w:t>；主要结构类型为：框架结构+轻钢屋面；建筑高度7.6；抗震设防分类：丙类；建筑层数：一层。</w:t>
      </w:r>
      <w:r>
        <w:rPr>
          <w:rFonts w:hint="eastAsia"/>
          <w:highlight w:val="none"/>
          <w:u w:val="single"/>
          <w:lang w:eastAsia="zh-CN"/>
        </w:rPr>
        <w:t>具体详见工程量清单及图纸</w:t>
      </w:r>
      <w:r>
        <w:rPr>
          <w:highlight w:val="none"/>
          <w:u w:val="single"/>
        </w:rPr>
        <w:t xml:space="preserve"> </w:t>
      </w:r>
      <w:r>
        <w:rPr>
          <w:rFonts w:hint="eastAsia" w:hAnsi="宋体" w:cs="宋体"/>
          <w:highlight w:val="none"/>
        </w:rPr>
        <w:t>。</w:t>
      </w:r>
    </w:p>
    <w:p w14:paraId="5D27B22F">
      <w:pPr>
        <w:spacing w:line="360" w:lineRule="auto"/>
        <w:ind w:firstLine="411" w:firstLineChars="196"/>
        <w:rPr>
          <w:highlight w:val="none"/>
        </w:rPr>
      </w:pPr>
      <w:r>
        <w:rPr>
          <w:rFonts w:hint="eastAsia" w:hAnsi="宋体" w:cs="宋体"/>
          <w:highlight w:val="none"/>
        </w:rPr>
        <w:t>群体工程应附《承包人承揽工程项目一览表》（附件</w:t>
      </w:r>
      <w:r>
        <w:rPr>
          <w:highlight w:val="none"/>
        </w:rPr>
        <w:t>1</w:t>
      </w:r>
      <w:r>
        <w:rPr>
          <w:rFonts w:hint="eastAsia" w:hAnsi="宋体" w:cs="宋体"/>
          <w:highlight w:val="none"/>
        </w:rPr>
        <w:t>）。</w:t>
      </w:r>
    </w:p>
    <w:p w14:paraId="29210BE2">
      <w:pPr>
        <w:spacing w:line="360" w:lineRule="auto"/>
        <w:ind w:firstLine="411" w:firstLineChars="196"/>
        <w:rPr>
          <w:rFonts w:hAnsi="宋体"/>
          <w:highlight w:val="none"/>
        </w:rPr>
      </w:pPr>
      <w:r>
        <w:rPr>
          <w:highlight w:val="none"/>
        </w:rPr>
        <w:t xml:space="preserve">6. </w:t>
      </w:r>
      <w:r>
        <w:rPr>
          <w:rFonts w:hint="eastAsia" w:hAnsi="宋体" w:cs="宋体"/>
          <w:highlight w:val="none"/>
        </w:rPr>
        <w:t>工程承包范围：</w:t>
      </w:r>
      <w:r>
        <w:rPr>
          <w:highlight w:val="none"/>
          <w:u w:val="single"/>
        </w:rPr>
        <w:t xml:space="preserve"> </w:t>
      </w:r>
      <w:r>
        <w:rPr>
          <w:rFonts w:hint="eastAsia"/>
          <w:highlight w:val="none"/>
          <w:u w:val="single"/>
          <w:lang w:eastAsia="zh-CN"/>
        </w:rPr>
        <w:t>具体详见工程量清单及图纸</w:t>
      </w:r>
      <w:r>
        <w:rPr>
          <w:highlight w:val="none"/>
          <w:u w:val="single"/>
        </w:rPr>
        <w:t xml:space="preserve"> </w:t>
      </w:r>
      <w:r>
        <w:rPr>
          <w:rFonts w:hint="eastAsia" w:hAnsi="宋体" w:cs="宋体"/>
          <w:highlight w:val="none"/>
        </w:rPr>
        <w:t>。</w:t>
      </w:r>
    </w:p>
    <w:p w14:paraId="57EE7082">
      <w:pPr>
        <w:spacing w:line="360" w:lineRule="auto"/>
        <w:ind w:firstLine="407" w:firstLineChars="193"/>
        <w:outlineLvl w:val="2"/>
        <w:rPr>
          <w:b/>
          <w:bCs/>
          <w:highlight w:val="none"/>
        </w:rPr>
      </w:pPr>
      <w:bookmarkStart w:id="94" w:name="_Toc351203482"/>
      <w:r>
        <w:rPr>
          <w:rFonts w:hint="eastAsia" w:hAnsi="宋体" w:cs="宋体"/>
          <w:b/>
          <w:bCs/>
          <w:highlight w:val="none"/>
        </w:rPr>
        <w:t>二、合同工期</w:t>
      </w:r>
      <w:bookmarkEnd w:id="94"/>
    </w:p>
    <w:p w14:paraId="7A0400AE">
      <w:pPr>
        <w:spacing w:line="360" w:lineRule="auto"/>
        <w:ind w:firstLine="459"/>
        <w:rPr>
          <w:highlight w:val="none"/>
        </w:rPr>
      </w:pPr>
      <w:r>
        <w:rPr>
          <w:rFonts w:hint="eastAsia" w:hAnsi="宋体" w:cs="宋体"/>
          <w:highlight w:val="none"/>
        </w:rPr>
        <w:t>计划开工日期：</w:t>
      </w:r>
      <w:r>
        <w:rPr>
          <w:rFonts w:hAnsi="宋体"/>
          <w:highlight w:val="none"/>
          <w:u w:val="single"/>
        </w:rPr>
        <w:t></w:t>
      </w:r>
      <w:r>
        <w:rPr>
          <w:rFonts w:hAnsi="宋体"/>
          <w:highlight w:val="none"/>
        </w:rPr>
        <w:t>年</w:t>
      </w:r>
      <w:r>
        <w:rPr>
          <w:rFonts w:hAnsi="宋体"/>
          <w:highlight w:val="none"/>
          <w:u w:val="single"/>
        </w:rPr>
        <w:t></w:t>
      </w:r>
      <w:r>
        <w:rPr>
          <w:rFonts w:hAnsi="宋体"/>
          <w:highlight w:val="none"/>
        </w:rPr>
        <w:t>月</w:t>
      </w:r>
      <w:r>
        <w:rPr>
          <w:rFonts w:hAnsi="宋体"/>
          <w:highlight w:val="none"/>
          <w:u w:val="single"/>
        </w:rPr>
        <w:t></w:t>
      </w:r>
      <w:r>
        <w:rPr>
          <w:rFonts w:hAnsi="宋体"/>
          <w:highlight w:val="none"/>
        </w:rPr>
        <w:t>日。</w:t>
      </w:r>
      <w:r>
        <w:rPr>
          <w:rFonts w:hint="eastAsia" w:hAnsi="宋体" w:cs="宋体"/>
          <w:highlight w:val="none"/>
        </w:rPr>
        <w:t>（具体以发包人书面通知为准）</w:t>
      </w:r>
    </w:p>
    <w:p w14:paraId="3F583A75">
      <w:pPr>
        <w:spacing w:line="360" w:lineRule="auto"/>
        <w:ind w:firstLine="459"/>
        <w:rPr>
          <w:highlight w:val="none"/>
        </w:rPr>
      </w:pPr>
      <w:r>
        <w:rPr>
          <w:rFonts w:hint="eastAsia" w:hAnsi="宋体" w:cs="宋体"/>
          <w:highlight w:val="none"/>
        </w:rPr>
        <w:t>计划竣工日期：</w:t>
      </w:r>
      <w:r>
        <w:rPr>
          <w:rFonts w:hAnsi="宋体"/>
          <w:highlight w:val="none"/>
          <w:u w:val="single"/>
        </w:rPr>
        <w:t></w:t>
      </w:r>
      <w:r>
        <w:rPr>
          <w:rFonts w:hAnsi="宋体"/>
          <w:highlight w:val="none"/>
        </w:rPr>
        <w:t>年</w:t>
      </w:r>
      <w:r>
        <w:rPr>
          <w:rFonts w:hAnsi="宋体"/>
          <w:highlight w:val="none"/>
          <w:u w:val="single"/>
        </w:rPr>
        <w:t></w:t>
      </w:r>
      <w:r>
        <w:rPr>
          <w:rFonts w:hAnsi="宋体"/>
          <w:highlight w:val="none"/>
        </w:rPr>
        <w:t>月</w:t>
      </w:r>
      <w:r>
        <w:rPr>
          <w:rFonts w:hAnsi="宋体"/>
          <w:highlight w:val="none"/>
          <w:u w:val="single"/>
        </w:rPr>
        <w:t></w:t>
      </w:r>
      <w:r>
        <w:rPr>
          <w:rFonts w:hAnsi="宋体"/>
          <w:highlight w:val="none"/>
        </w:rPr>
        <w:t>日</w:t>
      </w:r>
      <w:r>
        <w:rPr>
          <w:rFonts w:hint="eastAsia" w:hAnsi="宋体" w:cs="宋体"/>
          <w:highlight w:val="none"/>
        </w:rPr>
        <w:t>。</w:t>
      </w:r>
    </w:p>
    <w:p w14:paraId="37D53493">
      <w:pPr>
        <w:spacing w:line="360" w:lineRule="auto"/>
        <w:ind w:firstLine="459"/>
        <w:rPr>
          <w:rFonts w:hAnsi="宋体"/>
          <w:highlight w:val="none"/>
        </w:rPr>
      </w:pPr>
      <w:r>
        <w:rPr>
          <w:rFonts w:hint="eastAsia" w:hAnsi="宋体" w:cs="宋体"/>
          <w:highlight w:val="none"/>
        </w:rPr>
        <w:t>工期总日历天数：</w:t>
      </w:r>
      <w:r>
        <w:rPr>
          <w:rFonts w:hint="eastAsia" w:hAnsi="宋体" w:cs="宋体"/>
          <w:highlight w:val="none"/>
          <w:u w:val="single"/>
        </w:rPr>
        <w:t xml:space="preserve"> </w:t>
      </w:r>
      <w:r>
        <w:rPr>
          <w:rFonts w:hint="eastAsia" w:hAnsi="宋体" w:cs="宋体"/>
          <w:highlight w:val="none"/>
          <w:u w:val="single"/>
          <w:lang w:val="en-US" w:eastAsia="zh-CN"/>
        </w:rPr>
        <w:t>90个日历</w:t>
      </w:r>
      <w:r>
        <w:rPr>
          <w:rFonts w:hint="eastAsia" w:hAnsi="宋体" w:cs="宋体"/>
          <w:highlight w:val="none"/>
          <w:u w:val="single"/>
        </w:rPr>
        <w:t xml:space="preserve">  </w:t>
      </w:r>
      <w:r>
        <w:rPr>
          <w:rFonts w:hint="eastAsia" w:hAnsi="宋体" w:cs="宋体"/>
          <w:highlight w:val="none"/>
        </w:rPr>
        <w:t>天。工期总日历天数与根据前述计划开竣工日期计算的工期天数不一致的，以工期总日历天数为准。</w:t>
      </w:r>
    </w:p>
    <w:p w14:paraId="366520CC">
      <w:pPr>
        <w:spacing w:line="360" w:lineRule="auto"/>
        <w:ind w:firstLine="459"/>
        <w:outlineLvl w:val="2"/>
        <w:rPr>
          <w:b/>
          <w:bCs/>
          <w:highlight w:val="none"/>
        </w:rPr>
      </w:pPr>
      <w:bookmarkStart w:id="95" w:name="_Toc351203483"/>
      <w:r>
        <w:rPr>
          <w:rFonts w:hint="eastAsia" w:hAnsi="宋体" w:cs="宋体"/>
          <w:b/>
          <w:bCs/>
          <w:highlight w:val="none"/>
        </w:rPr>
        <w:t>三、质量标准</w:t>
      </w:r>
      <w:bookmarkEnd w:id="95"/>
    </w:p>
    <w:p w14:paraId="76218194">
      <w:pPr>
        <w:spacing w:line="360" w:lineRule="auto"/>
        <w:ind w:firstLine="459"/>
        <w:rPr>
          <w:rFonts w:hAnsi="宋体"/>
          <w:highlight w:val="none"/>
        </w:rPr>
      </w:pPr>
      <w:r>
        <w:rPr>
          <w:rFonts w:hint="eastAsia" w:hAnsi="宋体" w:cs="宋体"/>
          <w:highlight w:val="none"/>
        </w:rPr>
        <w:t>工程质量符合</w:t>
      </w:r>
      <w:r>
        <w:rPr>
          <w:rFonts w:eastAsia="仿宋_GB2312"/>
          <w:highlight w:val="none"/>
          <w:u w:val="single"/>
        </w:rPr>
        <w:t></w:t>
      </w:r>
      <w:r>
        <w:rPr>
          <w:rFonts w:hint="eastAsia" w:eastAsia="仿宋_GB2312"/>
          <w:highlight w:val="none"/>
          <w:u w:val="single"/>
          <w:lang w:eastAsia="zh-CN"/>
        </w:rPr>
        <w:t>合格</w:t>
      </w:r>
      <w:r>
        <w:rPr>
          <w:rFonts w:eastAsia="仿宋_GB2312"/>
          <w:highlight w:val="none"/>
          <w:u w:val="single"/>
        </w:rPr>
        <w:t></w:t>
      </w:r>
      <w:r>
        <w:rPr>
          <w:rFonts w:hint="eastAsia" w:hAnsi="宋体" w:cs="宋体"/>
          <w:highlight w:val="none"/>
        </w:rPr>
        <w:t>标准。</w:t>
      </w:r>
    </w:p>
    <w:p w14:paraId="350033CC">
      <w:pPr>
        <w:spacing w:line="360" w:lineRule="auto"/>
        <w:ind w:firstLine="459"/>
        <w:outlineLvl w:val="2"/>
        <w:rPr>
          <w:rFonts w:hAnsi="宋体"/>
          <w:b/>
          <w:bCs/>
          <w:highlight w:val="none"/>
        </w:rPr>
      </w:pPr>
      <w:bookmarkStart w:id="96" w:name="_Toc351203484"/>
      <w:r>
        <w:rPr>
          <w:rFonts w:hint="eastAsia" w:hAnsi="宋体" w:cs="宋体"/>
          <w:b/>
          <w:bCs/>
          <w:highlight w:val="none"/>
        </w:rPr>
        <w:t>四、签约合同价与合同价格形式</w:t>
      </w:r>
      <w:bookmarkEnd w:id="96"/>
    </w:p>
    <w:p w14:paraId="2A75E75F">
      <w:pPr>
        <w:spacing w:line="360" w:lineRule="auto"/>
        <w:ind w:firstLine="459"/>
        <w:rPr>
          <w:color w:val="auto"/>
          <w:highlight w:val="none"/>
        </w:rPr>
      </w:pPr>
      <w:r>
        <w:rPr>
          <w:color w:val="auto"/>
          <w:highlight w:val="none"/>
        </w:rPr>
        <w:t xml:space="preserve">1. </w:t>
      </w:r>
      <w:r>
        <w:rPr>
          <w:rFonts w:hint="eastAsia" w:hAnsi="宋体" w:cs="宋体"/>
          <w:color w:val="auto"/>
          <w:highlight w:val="none"/>
        </w:rPr>
        <w:t>签约合同价</w:t>
      </w:r>
      <w:r>
        <w:rPr>
          <w:rFonts w:hint="eastAsia" w:hAnsi="宋体" w:cs="宋体"/>
          <w:color w:val="auto"/>
          <w:highlight w:val="none"/>
          <w:lang w:eastAsia="zh-CN"/>
        </w:rPr>
        <w:t>（</w:t>
      </w:r>
      <w:r>
        <w:rPr>
          <w:rFonts w:hint="eastAsia" w:hAnsi="宋体" w:cs="宋体"/>
          <w:color w:val="auto"/>
          <w:highlight w:val="none"/>
          <w:lang w:val="en-US" w:eastAsia="zh-CN"/>
        </w:rPr>
        <w:t>含税）</w:t>
      </w:r>
      <w:r>
        <w:rPr>
          <w:rFonts w:hint="eastAsia" w:hAnsi="宋体" w:cs="宋体"/>
          <w:color w:val="auto"/>
          <w:highlight w:val="none"/>
        </w:rPr>
        <w:t>为：</w:t>
      </w:r>
    </w:p>
    <w:p w14:paraId="0A241E38">
      <w:pPr>
        <w:spacing w:line="360" w:lineRule="auto"/>
        <w:ind w:firstLine="525" w:firstLineChars="250"/>
        <w:rPr>
          <w:rFonts w:hAnsi="宋体"/>
          <w:color w:val="auto"/>
          <w:highlight w:val="none"/>
        </w:rPr>
      </w:pPr>
      <w:r>
        <w:rPr>
          <w:rFonts w:hint="eastAsia" w:hAnsi="宋体" w:cs="宋体"/>
          <w:color w:val="auto"/>
          <w:highlight w:val="none"/>
          <w:lang w:val="en-US" w:eastAsia="zh-CN"/>
        </w:rPr>
        <w:t>（1）</w:t>
      </w:r>
      <w:r>
        <w:rPr>
          <w:rFonts w:hint="eastAsia" w:hAnsi="宋体" w:cs="宋体"/>
          <w:color w:val="auto"/>
          <w:highlight w:val="none"/>
        </w:rPr>
        <w:t>建筑安装工程费（含税）：人民币（大写）</w:t>
      </w:r>
      <w:r>
        <w:rPr>
          <w:color w:val="auto"/>
          <w:highlight w:val="none"/>
          <w:u w:val="single"/>
        </w:rPr>
        <w:t xml:space="preserve">                 </w:t>
      </w:r>
      <w:r>
        <w:rPr>
          <w:rFonts w:hint="eastAsia" w:cs="宋体"/>
          <w:color w:val="auto"/>
          <w:highlight w:val="none"/>
        </w:rPr>
        <w:t>（</w:t>
      </w:r>
      <w:r>
        <w:rPr>
          <w:color w:val="auto"/>
          <w:highlight w:val="none"/>
        </w:rPr>
        <w:t>¥</w:t>
      </w:r>
      <w:r>
        <w:rPr>
          <w:color w:val="auto"/>
          <w:highlight w:val="none"/>
          <w:u w:val="single"/>
        </w:rPr>
        <w:t xml:space="preserve">            </w:t>
      </w:r>
      <w:r>
        <w:rPr>
          <w:rFonts w:hint="eastAsia" w:hAnsi="宋体" w:cs="宋体"/>
          <w:color w:val="auto"/>
          <w:highlight w:val="none"/>
        </w:rPr>
        <w:t>元</w:t>
      </w:r>
      <w:r>
        <w:rPr>
          <w:rFonts w:hint="eastAsia" w:cs="宋体"/>
          <w:color w:val="auto"/>
          <w:highlight w:val="none"/>
        </w:rPr>
        <w:t>）</w:t>
      </w:r>
      <w:r>
        <w:rPr>
          <w:rFonts w:hint="eastAsia" w:hAnsi="宋体" w:cs="宋体"/>
          <w:color w:val="auto"/>
          <w:highlight w:val="none"/>
        </w:rPr>
        <w:t>；增值税税率</w:t>
      </w:r>
      <w:r>
        <w:rPr>
          <w:rFonts w:hint="eastAsia" w:hAnsi="宋体" w:cs="宋体"/>
          <w:color w:val="auto"/>
          <w:highlight w:val="none"/>
          <w:u w:val="single"/>
        </w:rPr>
        <w:t xml:space="preserve">    </w:t>
      </w:r>
      <w:r>
        <w:rPr>
          <w:rFonts w:hint="eastAsia" w:hAnsi="宋体" w:cs="宋体"/>
          <w:color w:val="auto"/>
          <w:highlight w:val="none"/>
        </w:rPr>
        <w:t>%。</w:t>
      </w:r>
    </w:p>
    <w:p w14:paraId="4749A728">
      <w:pPr>
        <w:spacing w:line="360" w:lineRule="auto"/>
        <w:ind w:firstLine="525" w:firstLineChars="250"/>
        <w:rPr>
          <w:rFonts w:hAnsi="宋体"/>
          <w:color w:val="auto"/>
          <w:highlight w:val="none"/>
        </w:rPr>
      </w:pPr>
      <w:r>
        <w:rPr>
          <w:rFonts w:hint="eastAsia" w:hAnsi="宋体" w:cs="宋体"/>
          <w:color w:val="auto"/>
          <w:highlight w:val="none"/>
        </w:rPr>
        <w:t>其中：</w:t>
      </w:r>
    </w:p>
    <w:p w14:paraId="663964F8">
      <w:pPr>
        <w:spacing w:line="360" w:lineRule="auto"/>
        <w:ind w:firstLine="420" w:firstLineChars="200"/>
        <w:rPr>
          <w:color w:val="auto"/>
          <w:highlight w:val="none"/>
        </w:rPr>
      </w:pPr>
      <w:r>
        <w:rPr>
          <w:rFonts w:hint="default" w:ascii="Calibri" w:hAnsi="Calibri" w:cs="Calibri"/>
          <w:color w:val="auto"/>
          <w:highlight w:val="none"/>
        </w:rPr>
        <w:t>①</w:t>
      </w:r>
      <w:r>
        <w:rPr>
          <w:rFonts w:hint="eastAsia" w:hAnsi="宋体" w:cs="宋体"/>
          <w:color w:val="auto"/>
          <w:highlight w:val="none"/>
        </w:rPr>
        <w:t>安全</w:t>
      </w:r>
      <w:r>
        <w:rPr>
          <w:rFonts w:hint="eastAsia" w:hAnsi="宋体" w:cs="宋体"/>
          <w:color w:val="auto"/>
          <w:highlight w:val="none"/>
          <w:lang w:val="en-US" w:eastAsia="zh-CN"/>
        </w:rPr>
        <w:t>生产</w:t>
      </w:r>
      <w:r>
        <w:rPr>
          <w:rFonts w:hint="eastAsia" w:hAnsi="宋体" w:cs="宋体"/>
          <w:color w:val="auto"/>
          <w:highlight w:val="none"/>
        </w:rPr>
        <w:t>费</w:t>
      </w:r>
      <w:r>
        <w:rPr>
          <w:rFonts w:hint="eastAsia" w:hAnsi="宋体" w:cs="宋体"/>
          <w:color w:val="auto"/>
          <w:highlight w:val="none"/>
          <w:lang w:eastAsia="zh-CN"/>
        </w:rPr>
        <w:t>（含税）</w:t>
      </w:r>
      <w:r>
        <w:rPr>
          <w:rFonts w:hint="eastAsia" w:hAnsi="宋体" w:cs="宋体"/>
          <w:color w:val="auto"/>
          <w:highlight w:val="none"/>
        </w:rPr>
        <w:t>：</w:t>
      </w:r>
    </w:p>
    <w:p w14:paraId="51ED3836">
      <w:pPr>
        <w:spacing w:line="360" w:lineRule="auto"/>
        <w:ind w:left="420" w:leftChars="200" w:firstLine="525" w:firstLineChars="250"/>
        <w:rPr>
          <w:rFonts w:hAnsi="宋体"/>
          <w:color w:val="auto"/>
          <w:highlight w:val="none"/>
        </w:rPr>
      </w:pPr>
      <w:r>
        <w:rPr>
          <w:rFonts w:hint="eastAsia" w:hAnsi="宋体" w:cs="宋体"/>
          <w:color w:val="auto"/>
          <w:highlight w:val="none"/>
        </w:rPr>
        <w:t>人民币（大写）</w:t>
      </w:r>
      <w:r>
        <w:rPr>
          <w:color w:val="auto"/>
          <w:highlight w:val="none"/>
          <w:u w:val="single"/>
        </w:rPr>
        <w:t xml:space="preserve">              </w:t>
      </w:r>
      <w:r>
        <w:rPr>
          <w:color w:val="auto"/>
          <w:highlight w:val="none"/>
        </w:rPr>
        <w:t xml:space="preserve"> </w:t>
      </w:r>
      <w:r>
        <w:rPr>
          <w:rFonts w:hint="eastAsia" w:cs="宋体"/>
          <w:color w:val="auto"/>
          <w:highlight w:val="none"/>
        </w:rPr>
        <w:t>（</w:t>
      </w:r>
      <w:r>
        <w:rPr>
          <w:color w:val="auto"/>
          <w:highlight w:val="none"/>
        </w:rPr>
        <w:t>¥</w:t>
      </w:r>
      <w:r>
        <w:rPr>
          <w:color w:val="auto"/>
          <w:highlight w:val="none"/>
          <w:u w:val="single"/>
        </w:rPr>
        <w:t xml:space="preserve">          </w:t>
      </w:r>
      <w:r>
        <w:rPr>
          <w:rFonts w:hint="eastAsia" w:hAnsi="宋体" w:cs="宋体"/>
          <w:color w:val="auto"/>
          <w:highlight w:val="none"/>
        </w:rPr>
        <w:t>元</w:t>
      </w:r>
      <w:r>
        <w:rPr>
          <w:rFonts w:hint="eastAsia" w:cs="宋体"/>
          <w:color w:val="auto"/>
          <w:highlight w:val="none"/>
        </w:rPr>
        <w:t>）</w:t>
      </w:r>
      <w:r>
        <w:rPr>
          <w:rFonts w:hint="eastAsia" w:hAnsi="宋体" w:cs="宋体"/>
          <w:color w:val="auto"/>
          <w:highlight w:val="none"/>
        </w:rPr>
        <w:t>；</w:t>
      </w:r>
    </w:p>
    <w:p w14:paraId="5E23B709">
      <w:pPr>
        <w:spacing w:line="360" w:lineRule="auto"/>
        <w:ind w:firstLine="420" w:firstLineChars="200"/>
        <w:rPr>
          <w:color w:val="auto"/>
          <w:highlight w:val="none"/>
        </w:rPr>
      </w:pPr>
      <w:r>
        <w:rPr>
          <w:rFonts w:hint="default" w:ascii="Calibri" w:hAnsi="Calibri" w:cs="Calibri"/>
          <w:color w:val="auto"/>
          <w:highlight w:val="none"/>
        </w:rPr>
        <w:t>②</w:t>
      </w:r>
      <w:r>
        <w:rPr>
          <w:rFonts w:hint="eastAsia" w:hAnsi="宋体" w:cs="宋体"/>
          <w:color w:val="auto"/>
          <w:highlight w:val="none"/>
        </w:rPr>
        <w:t>材料暂估价金额</w:t>
      </w:r>
      <w:r>
        <w:rPr>
          <w:rFonts w:hint="eastAsia" w:hAnsi="宋体" w:cs="宋体"/>
          <w:color w:val="auto"/>
          <w:highlight w:val="none"/>
          <w:lang w:eastAsia="zh-CN"/>
        </w:rPr>
        <w:t>（含税）</w:t>
      </w:r>
      <w:r>
        <w:rPr>
          <w:rFonts w:hint="eastAsia" w:hAnsi="宋体" w:cs="宋体"/>
          <w:color w:val="auto"/>
          <w:highlight w:val="none"/>
        </w:rPr>
        <w:t>：</w:t>
      </w:r>
    </w:p>
    <w:p w14:paraId="5039520A">
      <w:pPr>
        <w:spacing w:line="360" w:lineRule="auto"/>
        <w:ind w:firstLine="945" w:firstLineChars="450"/>
        <w:rPr>
          <w:color w:val="auto"/>
          <w:highlight w:val="none"/>
        </w:rPr>
      </w:pPr>
      <w:r>
        <w:rPr>
          <w:rFonts w:hint="eastAsia" w:hAnsi="宋体" w:cs="宋体"/>
          <w:color w:val="auto"/>
          <w:highlight w:val="none"/>
        </w:rPr>
        <w:t>人民币（大写）</w:t>
      </w:r>
      <w:r>
        <w:rPr>
          <w:color w:val="auto"/>
          <w:highlight w:val="none"/>
          <w:u w:val="single"/>
        </w:rPr>
        <w:t xml:space="preserve">              </w:t>
      </w:r>
      <w:r>
        <w:rPr>
          <w:color w:val="auto"/>
          <w:highlight w:val="none"/>
        </w:rPr>
        <w:t xml:space="preserve"> </w:t>
      </w:r>
      <w:r>
        <w:rPr>
          <w:rFonts w:hint="eastAsia" w:cs="宋体"/>
          <w:color w:val="auto"/>
          <w:highlight w:val="none"/>
        </w:rPr>
        <w:t>（</w:t>
      </w:r>
      <w:r>
        <w:rPr>
          <w:color w:val="auto"/>
          <w:highlight w:val="none"/>
        </w:rPr>
        <w:t>¥</w:t>
      </w:r>
      <w:r>
        <w:rPr>
          <w:color w:val="auto"/>
          <w:highlight w:val="none"/>
          <w:u w:val="single"/>
        </w:rPr>
        <w:t xml:space="preserve">          </w:t>
      </w:r>
      <w:r>
        <w:rPr>
          <w:rFonts w:hint="eastAsia" w:hAnsi="宋体" w:cs="宋体"/>
          <w:color w:val="auto"/>
          <w:highlight w:val="none"/>
        </w:rPr>
        <w:t>元</w:t>
      </w:r>
      <w:r>
        <w:rPr>
          <w:rFonts w:hint="eastAsia" w:cs="宋体"/>
          <w:color w:val="auto"/>
          <w:highlight w:val="none"/>
        </w:rPr>
        <w:t>）</w:t>
      </w:r>
      <w:r>
        <w:rPr>
          <w:rFonts w:hint="eastAsia" w:hAnsi="宋体" w:cs="宋体"/>
          <w:color w:val="auto"/>
          <w:highlight w:val="none"/>
        </w:rPr>
        <w:t>；</w:t>
      </w:r>
    </w:p>
    <w:p w14:paraId="4A41D7E4">
      <w:pPr>
        <w:spacing w:line="360" w:lineRule="auto"/>
        <w:ind w:firstLine="420" w:firstLineChars="200"/>
        <w:rPr>
          <w:color w:val="auto"/>
          <w:highlight w:val="none"/>
        </w:rPr>
      </w:pPr>
      <w:r>
        <w:rPr>
          <w:rFonts w:hint="default" w:ascii="Calibri" w:hAnsi="Calibri" w:cs="Calibri"/>
          <w:color w:val="auto"/>
          <w:highlight w:val="none"/>
        </w:rPr>
        <w:t>③</w:t>
      </w:r>
      <w:r>
        <w:rPr>
          <w:rFonts w:hint="eastAsia" w:hAnsi="宋体" w:cs="宋体"/>
          <w:color w:val="auto"/>
          <w:highlight w:val="none"/>
        </w:rPr>
        <w:t>专业工程暂估价金额</w:t>
      </w:r>
      <w:r>
        <w:rPr>
          <w:rFonts w:hint="eastAsia" w:hAnsi="宋体" w:cs="宋体"/>
          <w:color w:val="auto"/>
          <w:highlight w:val="none"/>
          <w:lang w:eastAsia="zh-CN"/>
        </w:rPr>
        <w:t>（含税）</w:t>
      </w:r>
      <w:r>
        <w:rPr>
          <w:rFonts w:hint="eastAsia" w:hAnsi="宋体" w:cs="宋体"/>
          <w:color w:val="auto"/>
          <w:highlight w:val="none"/>
        </w:rPr>
        <w:t>：</w:t>
      </w:r>
    </w:p>
    <w:p w14:paraId="74A9BF83">
      <w:pPr>
        <w:spacing w:line="360" w:lineRule="auto"/>
        <w:ind w:firstLine="945" w:firstLineChars="450"/>
        <w:rPr>
          <w:color w:val="auto"/>
          <w:highlight w:val="none"/>
        </w:rPr>
      </w:pPr>
      <w:r>
        <w:rPr>
          <w:rFonts w:hint="eastAsia" w:hAnsi="宋体" w:cs="宋体"/>
          <w:color w:val="auto"/>
          <w:highlight w:val="none"/>
        </w:rPr>
        <w:t>人民币（大写）</w:t>
      </w:r>
      <w:r>
        <w:rPr>
          <w:color w:val="auto"/>
          <w:highlight w:val="none"/>
          <w:u w:val="single"/>
        </w:rPr>
        <w:t xml:space="preserve">              </w:t>
      </w:r>
      <w:r>
        <w:rPr>
          <w:color w:val="auto"/>
          <w:highlight w:val="none"/>
        </w:rPr>
        <w:t xml:space="preserve"> </w:t>
      </w:r>
      <w:r>
        <w:rPr>
          <w:rFonts w:hint="eastAsia" w:cs="宋体"/>
          <w:color w:val="auto"/>
          <w:highlight w:val="none"/>
        </w:rPr>
        <w:t>（</w:t>
      </w:r>
      <w:r>
        <w:rPr>
          <w:color w:val="auto"/>
          <w:highlight w:val="none"/>
        </w:rPr>
        <w:t>¥</w:t>
      </w:r>
      <w:r>
        <w:rPr>
          <w:color w:val="auto"/>
          <w:highlight w:val="none"/>
          <w:u w:val="single"/>
        </w:rPr>
        <w:t xml:space="preserve">          </w:t>
      </w:r>
      <w:r>
        <w:rPr>
          <w:rFonts w:hint="eastAsia" w:hAnsi="宋体" w:cs="宋体"/>
          <w:color w:val="auto"/>
          <w:highlight w:val="none"/>
        </w:rPr>
        <w:t>元</w:t>
      </w:r>
      <w:r>
        <w:rPr>
          <w:rFonts w:hint="eastAsia" w:cs="宋体"/>
          <w:color w:val="auto"/>
          <w:highlight w:val="none"/>
        </w:rPr>
        <w:t>）</w:t>
      </w:r>
      <w:r>
        <w:rPr>
          <w:rFonts w:hint="eastAsia" w:hAnsi="宋体" w:cs="宋体"/>
          <w:color w:val="auto"/>
          <w:highlight w:val="none"/>
        </w:rPr>
        <w:t>；</w:t>
      </w:r>
    </w:p>
    <w:p w14:paraId="52A60812">
      <w:pPr>
        <w:spacing w:line="360" w:lineRule="auto"/>
        <w:ind w:firstLine="420" w:firstLineChars="200"/>
        <w:rPr>
          <w:color w:val="auto"/>
          <w:highlight w:val="none"/>
        </w:rPr>
      </w:pPr>
      <w:r>
        <w:rPr>
          <w:rFonts w:hint="default" w:ascii="Calibri" w:hAnsi="Calibri" w:eastAsia="宋体" w:cs="Calibri"/>
          <w:color w:val="auto"/>
          <w:highlight w:val="none"/>
        </w:rPr>
        <w:t>④</w:t>
      </w:r>
      <w:r>
        <w:rPr>
          <w:rFonts w:hint="eastAsia" w:hAnsi="宋体" w:cs="宋体"/>
          <w:color w:val="auto"/>
          <w:highlight w:val="none"/>
        </w:rPr>
        <w:t>暂列金额</w:t>
      </w:r>
      <w:r>
        <w:rPr>
          <w:rFonts w:hint="eastAsia" w:hAnsi="宋体" w:cs="宋体"/>
          <w:color w:val="auto"/>
          <w:highlight w:val="none"/>
          <w:lang w:eastAsia="zh-CN"/>
        </w:rPr>
        <w:t>（含税）</w:t>
      </w:r>
      <w:r>
        <w:rPr>
          <w:rFonts w:hint="eastAsia" w:hAnsi="宋体" w:cs="宋体"/>
          <w:color w:val="auto"/>
          <w:highlight w:val="none"/>
        </w:rPr>
        <w:t>：</w:t>
      </w:r>
    </w:p>
    <w:p w14:paraId="54B5D8AF">
      <w:pPr>
        <w:spacing w:line="360" w:lineRule="auto"/>
        <w:ind w:firstLine="945" w:firstLineChars="450"/>
        <w:rPr>
          <w:rFonts w:hint="eastAsia" w:hAnsi="宋体" w:eastAsia="宋体" w:cs="宋体"/>
          <w:color w:val="auto"/>
          <w:highlight w:val="none"/>
          <w:lang w:eastAsia="zh-CN"/>
        </w:rPr>
      </w:pPr>
      <w:r>
        <w:rPr>
          <w:rFonts w:hint="eastAsia" w:hAnsi="宋体" w:cs="宋体"/>
          <w:color w:val="auto"/>
          <w:highlight w:val="none"/>
        </w:rPr>
        <w:t>人民币（大写）</w:t>
      </w:r>
      <w:r>
        <w:rPr>
          <w:color w:val="auto"/>
          <w:highlight w:val="none"/>
          <w:u w:val="single"/>
        </w:rPr>
        <w:t xml:space="preserve">              </w:t>
      </w:r>
      <w:r>
        <w:rPr>
          <w:color w:val="auto"/>
          <w:highlight w:val="none"/>
        </w:rPr>
        <w:t xml:space="preserve"> </w:t>
      </w:r>
      <w:r>
        <w:rPr>
          <w:rFonts w:hint="eastAsia" w:cs="宋体"/>
          <w:color w:val="auto"/>
          <w:highlight w:val="none"/>
        </w:rPr>
        <w:t>（</w:t>
      </w:r>
      <w:r>
        <w:rPr>
          <w:color w:val="auto"/>
          <w:highlight w:val="none"/>
        </w:rPr>
        <w:t>¥</w:t>
      </w:r>
      <w:r>
        <w:rPr>
          <w:color w:val="auto"/>
          <w:highlight w:val="none"/>
          <w:u w:val="single"/>
        </w:rPr>
        <w:t xml:space="preserve">          </w:t>
      </w:r>
      <w:r>
        <w:rPr>
          <w:rFonts w:hint="eastAsia" w:hAnsi="宋体" w:cs="宋体"/>
          <w:color w:val="auto"/>
          <w:highlight w:val="none"/>
        </w:rPr>
        <w:t>元</w:t>
      </w:r>
      <w:r>
        <w:rPr>
          <w:rFonts w:hint="eastAsia" w:cs="宋体"/>
          <w:color w:val="auto"/>
          <w:highlight w:val="none"/>
        </w:rPr>
        <w:t>）</w:t>
      </w:r>
      <w:r>
        <w:rPr>
          <w:rFonts w:hint="eastAsia" w:hAnsi="宋体" w:cs="宋体"/>
          <w:color w:val="auto"/>
          <w:highlight w:val="none"/>
          <w:lang w:eastAsia="zh-CN"/>
        </w:rPr>
        <w:t>；</w:t>
      </w:r>
    </w:p>
    <w:p w14:paraId="66B17895">
      <w:pPr>
        <w:pStyle w:val="52"/>
        <w:numPr>
          <w:ilvl w:val="0"/>
          <w:numId w:val="0"/>
        </w:numPr>
        <w:ind w:firstLineChars="200"/>
        <w:rPr>
          <w:rFonts w:hint="eastAsia" w:hAnsi="宋体" w:cs="宋体"/>
          <w:color w:val="auto"/>
          <w:highlight w:val="none"/>
          <w:lang w:eastAsia="zh-CN"/>
        </w:rPr>
      </w:pPr>
      <w:r>
        <w:rPr>
          <w:rFonts w:hint="eastAsia" w:hAnsi="宋体" w:cs="宋体"/>
          <w:color w:val="auto"/>
          <w:kern w:val="2"/>
          <w:sz w:val="21"/>
          <w:szCs w:val="24"/>
          <w:highlight w:val="none"/>
          <w:lang w:val="en-US" w:eastAsia="zh-CN" w:bidi="ar-SA"/>
        </w:rPr>
        <w:t>（2</w:t>
      </w:r>
      <w:r>
        <w:rPr>
          <w:rFonts w:hint="eastAsia" w:ascii="Times New Roman" w:hAnsi="宋体" w:eastAsia="宋体" w:cs="宋体"/>
          <w:color w:val="auto"/>
          <w:kern w:val="2"/>
          <w:sz w:val="21"/>
          <w:szCs w:val="24"/>
          <w:highlight w:val="none"/>
          <w:lang w:val="en-US" w:eastAsia="zh-CN" w:bidi="ar-SA"/>
        </w:rPr>
        <w:t>）</w:t>
      </w:r>
      <w:r>
        <w:rPr>
          <w:rFonts w:hint="eastAsia" w:hAnsi="宋体" w:cs="宋体"/>
          <w:color w:val="auto"/>
          <w:highlight w:val="none"/>
          <w:lang w:eastAsia="zh-CN"/>
        </w:rPr>
        <w:t>设备购置费（含税）：</w:t>
      </w:r>
    </w:p>
    <w:p w14:paraId="5C992E57">
      <w:pPr>
        <w:pStyle w:val="52"/>
        <w:numPr>
          <w:ilvl w:val="0"/>
          <w:numId w:val="0"/>
        </w:numPr>
        <w:ind w:leftChars="230" w:firstLineChars="200"/>
        <w:rPr>
          <w:rFonts w:hint="eastAsia" w:hAnsi="宋体" w:cs="宋体"/>
          <w:color w:val="auto"/>
          <w:highlight w:val="none"/>
          <w:lang w:eastAsia="zh-CN"/>
        </w:rPr>
      </w:pPr>
      <w:r>
        <w:rPr>
          <w:rFonts w:hint="eastAsia" w:hAnsi="宋体" w:cs="宋体"/>
          <w:color w:val="auto"/>
          <w:highlight w:val="none"/>
        </w:rPr>
        <w:t>人民币（大写）</w:t>
      </w:r>
      <w:r>
        <w:rPr>
          <w:color w:val="auto"/>
          <w:highlight w:val="none"/>
          <w:u w:val="single"/>
        </w:rPr>
        <w:t xml:space="preserve">              </w:t>
      </w:r>
      <w:r>
        <w:rPr>
          <w:color w:val="auto"/>
          <w:highlight w:val="none"/>
        </w:rPr>
        <w:t xml:space="preserve"> </w:t>
      </w:r>
      <w:r>
        <w:rPr>
          <w:rFonts w:hint="eastAsia" w:cs="宋体"/>
          <w:color w:val="auto"/>
          <w:highlight w:val="none"/>
        </w:rPr>
        <w:t>（</w:t>
      </w:r>
      <w:r>
        <w:rPr>
          <w:color w:val="auto"/>
          <w:highlight w:val="none"/>
        </w:rPr>
        <w:t>¥</w:t>
      </w:r>
      <w:r>
        <w:rPr>
          <w:color w:val="auto"/>
          <w:highlight w:val="none"/>
          <w:u w:val="single"/>
        </w:rPr>
        <w:t xml:space="preserve">          </w:t>
      </w:r>
      <w:r>
        <w:rPr>
          <w:rFonts w:hint="eastAsia" w:hAnsi="宋体" w:cs="宋体"/>
          <w:color w:val="auto"/>
          <w:highlight w:val="none"/>
        </w:rPr>
        <w:t>元</w:t>
      </w:r>
      <w:r>
        <w:rPr>
          <w:rFonts w:hint="eastAsia" w:cs="宋体"/>
          <w:color w:val="auto"/>
          <w:highlight w:val="none"/>
        </w:rPr>
        <w:t>）</w:t>
      </w:r>
      <w:r>
        <w:rPr>
          <w:rFonts w:hint="eastAsia" w:cs="宋体"/>
          <w:color w:val="auto"/>
          <w:highlight w:val="none"/>
          <w:lang w:eastAsia="zh-CN"/>
        </w:rPr>
        <w:t>；</w:t>
      </w:r>
      <w:r>
        <w:rPr>
          <w:rFonts w:hint="eastAsia" w:hAnsi="宋体" w:cs="宋体"/>
          <w:color w:val="auto"/>
          <w:highlight w:val="none"/>
        </w:rPr>
        <w:t>增值税税率</w:t>
      </w:r>
      <w:r>
        <w:rPr>
          <w:rFonts w:hint="eastAsia" w:hAnsi="宋体" w:cs="宋体"/>
          <w:color w:val="auto"/>
          <w:highlight w:val="none"/>
          <w:u w:val="single"/>
        </w:rPr>
        <w:t xml:space="preserve">    </w:t>
      </w:r>
      <w:r>
        <w:rPr>
          <w:rFonts w:hint="eastAsia" w:hAnsi="宋体" w:cs="宋体"/>
          <w:color w:val="auto"/>
          <w:highlight w:val="none"/>
        </w:rPr>
        <w:t>%。</w:t>
      </w:r>
    </w:p>
    <w:p w14:paraId="75FB9075">
      <w:pPr>
        <w:spacing w:line="360" w:lineRule="auto"/>
        <w:ind w:firstLine="945" w:firstLineChars="450"/>
        <w:rPr>
          <w:rFonts w:hAnsi="宋体"/>
          <w:highlight w:val="none"/>
        </w:rPr>
      </w:pPr>
    </w:p>
    <w:p w14:paraId="374C74D9">
      <w:pPr>
        <w:spacing w:line="360" w:lineRule="auto"/>
        <w:ind w:firstLine="420" w:firstLineChars="200"/>
        <w:rPr>
          <w:rFonts w:hint="eastAsia" w:hAnsi="宋体"/>
          <w:highlight w:val="none"/>
        </w:rPr>
      </w:pPr>
      <w:r>
        <w:rPr>
          <w:highlight w:val="none"/>
        </w:rPr>
        <w:t xml:space="preserve">2. </w:t>
      </w:r>
      <w:r>
        <w:rPr>
          <w:rFonts w:hint="eastAsia" w:hAnsi="宋体" w:cs="宋体"/>
          <w:highlight w:val="none"/>
        </w:rPr>
        <w:t>合同价格形式：</w:t>
      </w:r>
      <w:r>
        <w:rPr>
          <w:highlight w:val="none"/>
          <w:u w:val="single"/>
        </w:rPr>
        <w:t xml:space="preserve">  </w:t>
      </w:r>
      <w:r>
        <w:rPr>
          <w:rFonts w:hint="eastAsia"/>
          <w:highlight w:val="none"/>
          <w:u w:val="single"/>
          <w:lang w:eastAsia="zh-CN"/>
        </w:rPr>
        <w:t>综合单价（包工包料）</w:t>
      </w:r>
      <w:r>
        <w:rPr>
          <w:highlight w:val="none"/>
          <w:u w:val="single"/>
        </w:rPr>
        <w:t xml:space="preserve">  </w:t>
      </w:r>
      <w:r>
        <w:rPr>
          <w:rFonts w:hint="eastAsia" w:hAnsi="宋体" w:cs="宋体"/>
          <w:highlight w:val="none"/>
        </w:rPr>
        <w:t>。</w:t>
      </w:r>
    </w:p>
    <w:p w14:paraId="2C798286">
      <w:pPr>
        <w:spacing w:line="360" w:lineRule="auto"/>
        <w:ind w:firstLine="422" w:firstLineChars="200"/>
        <w:outlineLvl w:val="2"/>
        <w:rPr>
          <w:b/>
          <w:bCs/>
          <w:highlight w:val="none"/>
        </w:rPr>
      </w:pPr>
      <w:bookmarkStart w:id="97" w:name="_Toc351203485"/>
      <w:r>
        <w:rPr>
          <w:rFonts w:hint="eastAsia" w:hAnsi="宋体" w:cs="宋体"/>
          <w:b/>
          <w:bCs/>
          <w:highlight w:val="none"/>
        </w:rPr>
        <w:t>五、</w:t>
      </w:r>
      <w:bookmarkEnd w:id="97"/>
      <w:r>
        <w:rPr>
          <w:rFonts w:hint="eastAsia" w:hAnsi="宋体" w:cs="宋体"/>
          <w:b/>
          <w:bCs/>
          <w:highlight w:val="none"/>
        </w:rPr>
        <w:t>项目经理</w:t>
      </w:r>
    </w:p>
    <w:p w14:paraId="27E6812C">
      <w:pPr>
        <w:spacing w:line="360" w:lineRule="auto"/>
        <w:ind w:firstLine="420" w:firstLineChars="200"/>
        <w:rPr>
          <w:rFonts w:hAnsi="宋体"/>
          <w:highlight w:val="none"/>
        </w:rPr>
      </w:pPr>
      <w:r>
        <w:rPr>
          <w:rFonts w:hint="eastAsia" w:hAnsi="宋体" w:cs="宋体"/>
          <w:highlight w:val="none"/>
        </w:rPr>
        <w:t>承包人项目经理：</w:t>
      </w:r>
      <w:r>
        <w:rPr>
          <w:highlight w:val="none"/>
          <w:u w:val="single"/>
        </w:rPr>
        <w:t xml:space="preserve">                     </w:t>
      </w:r>
      <w:r>
        <w:rPr>
          <w:rFonts w:hint="eastAsia" w:hAnsi="宋体" w:cs="宋体"/>
          <w:highlight w:val="none"/>
        </w:rPr>
        <w:t>。</w:t>
      </w:r>
    </w:p>
    <w:p w14:paraId="36AB6B4C">
      <w:pPr>
        <w:spacing w:line="360" w:lineRule="auto"/>
        <w:ind w:firstLine="422" w:firstLineChars="200"/>
        <w:outlineLvl w:val="2"/>
        <w:rPr>
          <w:b/>
          <w:bCs/>
          <w:highlight w:val="none"/>
        </w:rPr>
      </w:pPr>
      <w:bookmarkStart w:id="98" w:name="_Toc351203486"/>
      <w:r>
        <w:rPr>
          <w:rFonts w:hint="eastAsia" w:hAnsi="宋体" w:cs="宋体"/>
          <w:b/>
          <w:bCs/>
          <w:highlight w:val="none"/>
        </w:rPr>
        <w:t>六、合同文件构成</w:t>
      </w:r>
      <w:bookmarkEnd w:id="98"/>
    </w:p>
    <w:p w14:paraId="267DD8BD">
      <w:pPr>
        <w:spacing w:line="360" w:lineRule="auto"/>
        <w:ind w:firstLine="420" w:firstLineChars="200"/>
        <w:rPr>
          <w:color w:val="auto"/>
          <w:highlight w:val="none"/>
        </w:rPr>
      </w:pPr>
      <w:r>
        <w:rPr>
          <w:rFonts w:hint="eastAsia" w:hAnsi="宋体" w:cs="宋体"/>
          <w:color w:val="auto"/>
          <w:highlight w:val="none"/>
        </w:rPr>
        <w:t>本协议书与下列文件一起构成合同文件：</w:t>
      </w:r>
    </w:p>
    <w:p w14:paraId="42C77402">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1</w:t>
      </w:r>
      <w:r>
        <w:rPr>
          <w:rFonts w:hint="eastAsia" w:hAnsi="宋体" w:cs="宋体"/>
          <w:color w:val="auto"/>
          <w:highlight w:val="none"/>
        </w:rPr>
        <w:t>）中标通知书（如有）；</w:t>
      </w:r>
    </w:p>
    <w:p w14:paraId="1CCF52DA">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2</w:t>
      </w:r>
      <w:r>
        <w:rPr>
          <w:rFonts w:hint="eastAsia" w:hAnsi="宋体" w:cs="宋体"/>
          <w:color w:val="auto"/>
          <w:highlight w:val="none"/>
        </w:rPr>
        <w:t>）投标函及其附录（如有）；</w:t>
      </w:r>
      <w:r>
        <w:rPr>
          <w:color w:val="auto"/>
          <w:highlight w:val="none"/>
        </w:rPr>
        <w:t xml:space="preserve"> </w:t>
      </w:r>
    </w:p>
    <w:p w14:paraId="00719E9B">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3</w:t>
      </w:r>
      <w:r>
        <w:rPr>
          <w:rFonts w:hint="eastAsia" w:hAnsi="宋体" w:cs="宋体"/>
          <w:color w:val="auto"/>
          <w:highlight w:val="none"/>
        </w:rPr>
        <w:t>）专用合同条款及其附件；</w:t>
      </w:r>
    </w:p>
    <w:p w14:paraId="24E6567D">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4</w:t>
      </w:r>
      <w:r>
        <w:rPr>
          <w:rFonts w:hint="eastAsia" w:hAnsi="宋体" w:cs="宋体"/>
          <w:color w:val="auto"/>
          <w:highlight w:val="none"/>
        </w:rPr>
        <w:t>）通用合同条款；</w:t>
      </w:r>
    </w:p>
    <w:p w14:paraId="641017F3">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5</w:t>
      </w:r>
      <w:r>
        <w:rPr>
          <w:rFonts w:hint="eastAsia" w:hAnsi="宋体" w:cs="宋体"/>
          <w:color w:val="auto"/>
          <w:highlight w:val="none"/>
        </w:rPr>
        <w:t>）</w:t>
      </w:r>
      <w:r>
        <w:rPr>
          <w:rFonts w:hint="default" w:ascii="Times New Roman" w:hAnsi="Times New Roman" w:cs="Times New Roman"/>
          <w:color w:val="auto"/>
          <w:szCs w:val="21"/>
          <w:highlight w:val="none"/>
        </w:rPr>
        <w:t>标准、规范及有关技术文件</w:t>
      </w:r>
      <w:r>
        <w:rPr>
          <w:rFonts w:hint="eastAsia" w:hAnsi="宋体" w:cs="宋体"/>
          <w:color w:val="auto"/>
          <w:highlight w:val="none"/>
        </w:rPr>
        <w:t>；</w:t>
      </w:r>
    </w:p>
    <w:p w14:paraId="42DB4822">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6</w:t>
      </w:r>
      <w:r>
        <w:rPr>
          <w:rFonts w:hint="eastAsia" w:hAnsi="宋体" w:cs="宋体"/>
          <w:color w:val="auto"/>
          <w:highlight w:val="none"/>
        </w:rPr>
        <w:t>）已标价工程量清单；</w:t>
      </w:r>
    </w:p>
    <w:p w14:paraId="1F01023A">
      <w:pPr>
        <w:autoSpaceDE w:val="0"/>
        <w:autoSpaceDN w:val="0"/>
        <w:adjustRightInd w:val="0"/>
        <w:spacing w:line="360" w:lineRule="auto"/>
        <w:ind w:firstLine="420" w:firstLineChars="200"/>
        <w:jc w:val="left"/>
        <w:rPr>
          <w:highlight w:val="none"/>
        </w:rPr>
      </w:pPr>
      <w:r>
        <w:rPr>
          <w:rFonts w:hint="eastAsia" w:hAnsi="宋体" w:cs="宋体"/>
          <w:color w:val="auto"/>
          <w:highlight w:val="none"/>
        </w:rPr>
        <w:t>（</w:t>
      </w:r>
      <w:r>
        <w:rPr>
          <w:rFonts w:hint="eastAsia"/>
          <w:color w:val="auto"/>
          <w:highlight w:val="none"/>
          <w:lang w:val="en-US" w:eastAsia="zh-CN"/>
        </w:rPr>
        <w:t>7</w:t>
      </w:r>
      <w:r>
        <w:rPr>
          <w:rFonts w:hint="eastAsia" w:hAnsi="宋体" w:cs="宋体"/>
          <w:color w:val="auto"/>
          <w:highlight w:val="none"/>
        </w:rPr>
        <w:t>）</w:t>
      </w:r>
      <w:r>
        <w:rPr>
          <w:rFonts w:hint="default" w:ascii="Times New Roman" w:hAnsi="Times New Roman" w:cs="Times New Roman"/>
          <w:color w:val="auto"/>
          <w:szCs w:val="21"/>
          <w:highlight w:val="none"/>
        </w:rPr>
        <w:t>其他合同文件</w:t>
      </w:r>
      <w:r>
        <w:rPr>
          <w:rFonts w:hint="eastAsia" w:hAnsi="宋体" w:cs="宋体"/>
          <w:highlight w:val="none"/>
        </w:rPr>
        <w:t>：</w:t>
      </w:r>
    </w:p>
    <w:p w14:paraId="23FFF4D9">
      <w:pPr>
        <w:autoSpaceDE w:val="0"/>
        <w:autoSpaceDN w:val="0"/>
        <w:adjustRightInd w:val="0"/>
        <w:spacing w:line="360" w:lineRule="auto"/>
        <w:ind w:firstLine="420" w:firstLineChars="200"/>
        <w:jc w:val="left"/>
        <w:rPr>
          <w:rFonts w:hAnsi="宋体"/>
          <w:highlight w:val="none"/>
        </w:rPr>
      </w:pPr>
      <w:r>
        <w:rPr>
          <w:rFonts w:hint="eastAsia" w:hAnsi="宋体" w:cs="宋体"/>
          <w:highlight w:val="none"/>
        </w:rPr>
        <w:t>上述各项合同文件包括合同当事人就该项合同文件所作出的补充和修改，属于同一类内容的文件，应以最新签署的为准（违反招标文件</w:t>
      </w:r>
      <w:r>
        <w:rPr>
          <w:rFonts w:hAnsi="宋体" w:cs="宋体"/>
          <w:highlight w:val="none"/>
        </w:rPr>
        <w:t>实质性内容的约定除外</w:t>
      </w:r>
      <w:r>
        <w:rPr>
          <w:rFonts w:hint="eastAsia" w:hAnsi="宋体" w:cs="宋体"/>
          <w:highlight w:val="none"/>
        </w:rPr>
        <w:t>）。专用合同条款及其附件须经合同当事人签字或盖章。</w:t>
      </w:r>
    </w:p>
    <w:p w14:paraId="53DB6701">
      <w:pPr>
        <w:autoSpaceDE w:val="0"/>
        <w:autoSpaceDN w:val="0"/>
        <w:adjustRightInd w:val="0"/>
        <w:spacing w:line="360" w:lineRule="auto"/>
        <w:ind w:firstLine="422" w:firstLineChars="200"/>
        <w:jc w:val="left"/>
        <w:outlineLvl w:val="2"/>
        <w:rPr>
          <w:b/>
          <w:bCs/>
          <w:highlight w:val="none"/>
        </w:rPr>
      </w:pPr>
      <w:bookmarkStart w:id="99" w:name="_Toc351203487"/>
      <w:r>
        <w:rPr>
          <w:rFonts w:hint="eastAsia" w:hAnsi="宋体" w:cs="宋体"/>
          <w:b/>
          <w:bCs/>
          <w:highlight w:val="none"/>
        </w:rPr>
        <w:t>七、承诺</w:t>
      </w:r>
      <w:bookmarkEnd w:id="99"/>
    </w:p>
    <w:p w14:paraId="4F6CB63B">
      <w:pPr>
        <w:spacing w:line="360" w:lineRule="auto"/>
        <w:ind w:firstLine="420" w:firstLineChars="200"/>
        <w:rPr>
          <w:highlight w:val="none"/>
        </w:rPr>
      </w:pPr>
      <w:r>
        <w:rPr>
          <w:highlight w:val="none"/>
        </w:rPr>
        <w:t xml:space="preserve">1. </w:t>
      </w:r>
      <w:r>
        <w:rPr>
          <w:rFonts w:hint="eastAsia" w:hAnsi="宋体" w:cs="宋体"/>
          <w:highlight w:val="none"/>
        </w:rPr>
        <w:t>发包人承诺按照法律规定履行项目审批手续、筹集工程建设资金并按照合同约定的期限和方式支付合同价款。</w:t>
      </w:r>
    </w:p>
    <w:p w14:paraId="70C14A15">
      <w:pPr>
        <w:spacing w:line="360" w:lineRule="auto"/>
        <w:ind w:firstLine="420" w:firstLineChars="200"/>
        <w:rPr>
          <w:highlight w:val="none"/>
        </w:rPr>
      </w:pPr>
      <w:r>
        <w:rPr>
          <w:highlight w:val="none"/>
        </w:rPr>
        <w:t xml:space="preserve">2. </w:t>
      </w:r>
      <w:r>
        <w:rPr>
          <w:rFonts w:hint="eastAsia" w:hAnsi="宋体" w:cs="宋体"/>
          <w:highlight w:val="none"/>
        </w:rPr>
        <w:t>承包人承诺按照法律规定及合同约定组织完成工程施工，确保工程质量和安全，不进行转包及违法分包，并在缺陷责任期及保修期内承担相应的工程维修责任。</w:t>
      </w:r>
    </w:p>
    <w:p w14:paraId="462AA357">
      <w:pPr>
        <w:spacing w:line="360" w:lineRule="auto"/>
        <w:ind w:firstLine="420" w:firstLineChars="200"/>
        <w:rPr>
          <w:rFonts w:hAnsi="宋体"/>
          <w:highlight w:val="none"/>
        </w:rPr>
      </w:pPr>
      <w:r>
        <w:rPr>
          <w:highlight w:val="none"/>
        </w:rPr>
        <w:t xml:space="preserve">3. </w:t>
      </w:r>
      <w:r>
        <w:rPr>
          <w:rFonts w:hint="eastAsia" w:hAnsi="宋体" w:cs="宋体"/>
          <w:highlight w:val="none"/>
        </w:rPr>
        <w:t>发包人和承包人通过招投标形式签订合同的，双方理解并承诺不再就同一工程另行签订与合同实质性内容相背离的协议。</w:t>
      </w:r>
      <w:bookmarkStart w:id="100" w:name="_Toc351203488"/>
    </w:p>
    <w:p w14:paraId="4C2B1A23">
      <w:pPr>
        <w:spacing w:line="360" w:lineRule="auto"/>
        <w:ind w:firstLine="422" w:firstLineChars="200"/>
        <w:outlineLvl w:val="2"/>
        <w:rPr>
          <w:b/>
          <w:bCs/>
          <w:highlight w:val="none"/>
        </w:rPr>
      </w:pPr>
      <w:r>
        <w:rPr>
          <w:rFonts w:hint="eastAsia" w:hAnsi="宋体" w:cs="宋体"/>
          <w:b/>
          <w:bCs/>
          <w:highlight w:val="none"/>
        </w:rPr>
        <w:t>八、词语含义</w:t>
      </w:r>
      <w:bookmarkEnd w:id="100"/>
    </w:p>
    <w:p w14:paraId="0143A9D8">
      <w:pPr>
        <w:spacing w:line="360" w:lineRule="auto"/>
        <w:ind w:firstLine="420" w:firstLineChars="200"/>
        <w:rPr>
          <w:rFonts w:hAnsi="宋体"/>
          <w:highlight w:val="none"/>
        </w:rPr>
      </w:pPr>
      <w:r>
        <w:rPr>
          <w:rFonts w:hint="eastAsia" w:hAnsi="宋体" w:cs="宋体"/>
          <w:highlight w:val="none"/>
        </w:rPr>
        <w:t>本协议书中词语含义与第二部分通用合同条款中赋予的含义相同。</w:t>
      </w:r>
    </w:p>
    <w:p w14:paraId="7E47CD5C">
      <w:pPr>
        <w:spacing w:line="360" w:lineRule="auto"/>
        <w:ind w:firstLine="422" w:firstLineChars="200"/>
        <w:outlineLvl w:val="2"/>
        <w:rPr>
          <w:b/>
          <w:bCs/>
          <w:highlight w:val="none"/>
        </w:rPr>
      </w:pPr>
      <w:bookmarkStart w:id="101" w:name="_Toc351203489"/>
      <w:r>
        <w:rPr>
          <w:rFonts w:hint="eastAsia" w:hAnsi="宋体" w:cs="宋体"/>
          <w:b/>
          <w:bCs/>
          <w:highlight w:val="none"/>
        </w:rPr>
        <w:t>九、签订时间</w:t>
      </w:r>
      <w:bookmarkEnd w:id="101"/>
    </w:p>
    <w:p w14:paraId="09F0BCEE">
      <w:pPr>
        <w:spacing w:line="360" w:lineRule="auto"/>
        <w:ind w:firstLine="420" w:firstLineChars="200"/>
        <w:rPr>
          <w:rFonts w:hAnsi="宋体"/>
          <w:highlight w:val="none"/>
        </w:rPr>
      </w:pPr>
      <w:r>
        <w:rPr>
          <w:rFonts w:hint="eastAsia" w:hAnsi="宋体" w:cs="宋体"/>
          <w:highlight w:val="none"/>
        </w:rPr>
        <w:t>本合同于</w:t>
      </w:r>
      <w:r>
        <w:rPr>
          <w:highlight w:val="none"/>
          <w:u w:val="single"/>
        </w:rPr>
        <w:t xml:space="preserve">         </w:t>
      </w:r>
      <w:r>
        <w:rPr>
          <w:rFonts w:hint="eastAsia" w:hAnsi="宋体" w:cs="宋体"/>
          <w:highlight w:val="none"/>
        </w:rPr>
        <w:t>年</w:t>
      </w:r>
      <w:r>
        <w:rPr>
          <w:highlight w:val="none"/>
          <w:u w:val="single"/>
        </w:rPr>
        <w:t xml:space="preserve">    </w:t>
      </w:r>
      <w:r>
        <w:rPr>
          <w:rFonts w:hint="eastAsia" w:hAnsi="宋体" w:cs="宋体"/>
          <w:highlight w:val="none"/>
        </w:rPr>
        <w:t>月</w:t>
      </w:r>
      <w:r>
        <w:rPr>
          <w:highlight w:val="none"/>
          <w:u w:val="single"/>
        </w:rPr>
        <w:t xml:space="preserve">    </w:t>
      </w:r>
      <w:r>
        <w:rPr>
          <w:rFonts w:hint="eastAsia" w:hAnsi="宋体" w:cs="宋体"/>
          <w:highlight w:val="none"/>
        </w:rPr>
        <w:t>日签订。</w:t>
      </w:r>
    </w:p>
    <w:p w14:paraId="331B2DD1">
      <w:pPr>
        <w:spacing w:line="360" w:lineRule="auto"/>
        <w:ind w:firstLine="422" w:firstLineChars="200"/>
        <w:outlineLvl w:val="2"/>
        <w:rPr>
          <w:b/>
          <w:bCs/>
          <w:highlight w:val="none"/>
        </w:rPr>
      </w:pPr>
      <w:bookmarkStart w:id="102" w:name="_Toc351203490"/>
      <w:r>
        <w:rPr>
          <w:rFonts w:hint="eastAsia" w:hAnsi="宋体" w:cs="宋体"/>
          <w:b/>
          <w:bCs/>
          <w:highlight w:val="none"/>
        </w:rPr>
        <w:t>十、签订地点</w:t>
      </w:r>
      <w:bookmarkEnd w:id="102"/>
    </w:p>
    <w:p w14:paraId="4D7F90DB">
      <w:pPr>
        <w:spacing w:line="360" w:lineRule="auto"/>
        <w:ind w:firstLine="420" w:firstLineChars="200"/>
        <w:rPr>
          <w:rFonts w:hAnsi="宋体"/>
          <w:highlight w:val="none"/>
        </w:rPr>
      </w:pPr>
      <w:r>
        <w:rPr>
          <w:rFonts w:hint="eastAsia" w:hAnsi="宋体" w:cs="宋体"/>
          <w:highlight w:val="none"/>
        </w:rPr>
        <w:t>本合同在</w:t>
      </w:r>
      <w:r>
        <w:rPr>
          <w:highlight w:val="none"/>
          <w:u w:val="single"/>
        </w:rPr>
        <w:t xml:space="preserve">   </w:t>
      </w:r>
      <w:r>
        <w:rPr>
          <w:rFonts w:hint="default"/>
          <w:highlight w:val="none"/>
          <w:u w:val="single"/>
        </w:rPr>
        <w:t>武宣县金鸡乡南街12号</w:t>
      </w:r>
      <w:r>
        <w:rPr>
          <w:highlight w:val="none"/>
          <w:u w:val="single"/>
        </w:rPr>
        <w:t xml:space="preserve">   </w:t>
      </w:r>
      <w:r>
        <w:rPr>
          <w:rFonts w:hint="eastAsia" w:hAnsi="宋体" w:cs="宋体"/>
          <w:highlight w:val="none"/>
        </w:rPr>
        <w:t>签订。</w:t>
      </w:r>
    </w:p>
    <w:p w14:paraId="61880B6F">
      <w:pPr>
        <w:spacing w:line="360" w:lineRule="auto"/>
        <w:ind w:firstLine="422" w:firstLineChars="200"/>
        <w:outlineLvl w:val="2"/>
        <w:rPr>
          <w:b/>
          <w:bCs/>
          <w:highlight w:val="none"/>
        </w:rPr>
      </w:pPr>
      <w:bookmarkStart w:id="103" w:name="_Toc351203491"/>
      <w:r>
        <w:rPr>
          <w:rFonts w:hint="eastAsia" w:hAnsi="宋体" w:cs="宋体"/>
          <w:b/>
          <w:bCs/>
          <w:highlight w:val="none"/>
        </w:rPr>
        <w:t>十一、补充协议</w:t>
      </w:r>
      <w:bookmarkEnd w:id="103"/>
    </w:p>
    <w:p w14:paraId="2815CC3D">
      <w:pPr>
        <w:spacing w:line="360" w:lineRule="auto"/>
        <w:ind w:firstLine="420" w:firstLineChars="200"/>
        <w:rPr>
          <w:rFonts w:hAnsi="宋体"/>
          <w:highlight w:val="none"/>
        </w:rPr>
      </w:pPr>
      <w:r>
        <w:rPr>
          <w:rFonts w:hint="eastAsia" w:hAnsi="宋体" w:cs="宋体"/>
          <w:highlight w:val="none"/>
        </w:rPr>
        <w:t>合同未尽事宜，合同当事人另行签订补充协议，补充协议是合同的组成部分。</w:t>
      </w:r>
    </w:p>
    <w:p w14:paraId="7C66A755">
      <w:pPr>
        <w:spacing w:line="360" w:lineRule="auto"/>
        <w:ind w:firstLine="422" w:firstLineChars="200"/>
        <w:outlineLvl w:val="2"/>
        <w:rPr>
          <w:b/>
          <w:bCs/>
          <w:highlight w:val="none"/>
        </w:rPr>
      </w:pPr>
      <w:bookmarkStart w:id="104" w:name="_Toc351203492"/>
      <w:r>
        <w:rPr>
          <w:rFonts w:hint="eastAsia" w:hAnsi="宋体" w:cs="宋体"/>
          <w:b/>
          <w:bCs/>
          <w:highlight w:val="none"/>
        </w:rPr>
        <w:t>十二、合同生效</w:t>
      </w:r>
      <w:bookmarkEnd w:id="104"/>
    </w:p>
    <w:p w14:paraId="13580FFF">
      <w:pPr>
        <w:spacing w:line="360" w:lineRule="auto"/>
        <w:ind w:firstLine="420" w:firstLineChars="200"/>
        <w:rPr>
          <w:rFonts w:hAnsi="宋体"/>
          <w:highlight w:val="none"/>
        </w:rPr>
      </w:pPr>
      <w:r>
        <w:rPr>
          <w:rFonts w:hint="eastAsia" w:hAnsi="宋体" w:cs="宋体"/>
          <w:highlight w:val="none"/>
        </w:rPr>
        <w:t>本合同自</w:t>
      </w:r>
      <w:r>
        <w:rPr>
          <w:highlight w:val="none"/>
          <w:u w:val="single"/>
        </w:rPr>
        <w:t xml:space="preserve"> </w:t>
      </w:r>
      <w:r>
        <w:rPr>
          <w:rFonts w:hint="eastAsia"/>
          <w:highlight w:val="none"/>
          <w:u w:val="single"/>
          <w:lang w:eastAsia="zh-CN"/>
        </w:rPr>
        <w:t>双方签字并盖章后</w:t>
      </w:r>
      <w:r>
        <w:rPr>
          <w:highlight w:val="none"/>
          <w:u w:val="single"/>
        </w:rPr>
        <w:t xml:space="preserve"> </w:t>
      </w:r>
      <w:r>
        <w:rPr>
          <w:rFonts w:hint="eastAsia" w:hAnsi="宋体" w:cs="宋体"/>
          <w:highlight w:val="none"/>
        </w:rPr>
        <w:t>生效。</w:t>
      </w:r>
    </w:p>
    <w:p w14:paraId="1BFB2A92">
      <w:pPr>
        <w:spacing w:line="360" w:lineRule="auto"/>
        <w:ind w:firstLine="422" w:firstLineChars="200"/>
        <w:outlineLvl w:val="2"/>
        <w:rPr>
          <w:b/>
          <w:bCs/>
          <w:highlight w:val="none"/>
        </w:rPr>
      </w:pPr>
      <w:bookmarkStart w:id="105" w:name="_Toc351203493"/>
      <w:r>
        <w:rPr>
          <w:rFonts w:hint="eastAsia" w:hAnsi="宋体" w:cs="宋体"/>
          <w:b/>
          <w:bCs/>
          <w:highlight w:val="none"/>
        </w:rPr>
        <w:t>十三、合同份数</w:t>
      </w:r>
      <w:bookmarkEnd w:id="105"/>
    </w:p>
    <w:p w14:paraId="027A2B2E">
      <w:pPr>
        <w:spacing w:line="360" w:lineRule="auto"/>
        <w:ind w:firstLine="420" w:firstLineChars="200"/>
        <w:rPr>
          <w:highlight w:val="none"/>
        </w:rPr>
      </w:pPr>
      <w:r>
        <w:rPr>
          <w:rFonts w:hint="eastAsia" w:hAnsi="宋体" w:cs="宋体"/>
          <w:highlight w:val="none"/>
        </w:rPr>
        <w:t>本合同一式</w:t>
      </w:r>
      <w:r>
        <w:rPr>
          <w:highlight w:val="none"/>
          <w:u w:val="single"/>
        </w:rPr>
        <w:t xml:space="preserve">  </w:t>
      </w:r>
      <w:r>
        <w:rPr>
          <w:rFonts w:hint="eastAsia"/>
          <w:highlight w:val="none"/>
          <w:u w:val="single"/>
          <w:lang w:eastAsia="zh-CN"/>
        </w:rPr>
        <w:t>柒</w:t>
      </w:r>
      <w:r>
        <w:rPr>
          <w:highlight w:val="none"/>
          <w:u w:val="single"/>
        </w:rPr>
        <w:t xml:space="preserve">  </w:t>
      </w:r>
      <w:r>
        <w:rPr>
          <w:rFonts w:hint="eastAsia" w:hAnsi="宋体" w:cs="宋体"/>
          <w:highlight w:val="none"/>
        </w:rPr>
        <w:t>份，均具有同等法律效力，发包人执</w:t>
      </w:r>
      <w:r>
        <w:rPr>
          <w:highlight w:val="none"/>
          <w:u w:val="single"/>
        </w:rPr>
        <w:t xml:space="preserve">  </w:t>
      </w:r>
      <w:r>
        <w:rPr>
          <w:rFonts w:hint="eastAsia"/>
          <w:highlight w:val="none"/>
          <w:u w:val="single"/>
          <w:lang w:eastAsia="zh-CN"/>
        </w:rPr>
        <w:t>肆</w:t>
      </w:r>
      <w:r>
        <w:rPr>
          <w:highlight w:val="none"/>
          <w:u w:val="single"/>
        </w:rPr>
        <w:t xml:space="preserve">  </w:t>
      </w:r>
      <w:r>
        <w:rPr>
          <w:rFonts w:hint="eastAsia" w:hAnsi="宋体" w:cs="宋体"/>
          <w:highlight w:val="none"/>
        </w:rPr>
        <w:t>份，承包人执</w:t>
      </w:r>
      <w:r>
        <w:rPr>
          <w:highlight w:val="none"/>
          <w:u w:val="single"/>
        </w:rPr>
        <w:t xml:space="preserve"> </w:t>
      </w:r>
      <w:r>
        <w:rPr>
          <w:rFonts w:hint="eastAsia"/>
          <w:highlight w:val="none"/>
          <w:u w:val="single"/>
          <w:lang w:eastAsia="zh-CN"/>
        </w:rPr>
        <w:t>贰</w:t>
      </w:r>
      <w:r>
        <w:rPr>
          <w:highlight w:val="none"/>
          <w:u w:val="single"/>
        </w:rPr>
        <w:t xml:space="preserve">  </w:t>
      </w:r>
      <w:r>
        <w:rPr>
          <w:rFonts w:hint="eastAsia" w:hAnsi="宋体" w:cs="宋体"/>
          <w:highlight w:val="none"/>
        </w:rPr>
        <w:t>份</w:t>
      </w:r>
      <w:r>
        <w:rPr>
          <w:rFonts w:hint="eastAsia" w:hAnsi="宋体" w:cs="宋体"/>
          <w:highlight w:val="none"/>
          <w:lang w:eastAsia="zh-CN"/>
        </w:rPr>
        <w:t>、采购代理机构</w:t>
      </w:r>
      <w:r>
        <w:rPr>
          <w:rFonts w:hint="eastAsia" w:hAnsi="宋体" w:cs="宋体"/>
          <w:highlight w:val="none"/>
          <w:u w:val="single"/>
          <w:lang w:val="en-US" w:eastAsia="zh-CN"/>
        </w:rPr>
        <w:t xml:space="preserve"> </w:t>
      </w:r>
      <w:r>
        <w:rPr>
          <w:rFonts w:hint="eastAsia" w:hAnsi="宋体" w:cs="宋体"/>
          <w:highlight w:val="none"/>
          <w:u w:val="single"/>
          <w:lang w:eastAsia="zh-CN"/>
        </w:rPr>
        <w:t>壹</w:t>
      </w:r>
      <w:r>
        <w:rPr>
          <w:rFonts w:hint="eastAsia" w:hAnsi="宋体" w:cs="宋体"/>
          <w:highlight w:val="none"/>
          <w:u w:val="single"/>
          <w:lang w:val="en-US" w:eastAsia="zh-CN"/>
        </w:rPr>
        <w:t xml:space="preserve"> </w:t>
      </w:r>
      <w:r>
        <w:rPr>
          <w:rFonts w:hint="eastAsia" w:hAnsi="宋体" w:cs="宋体"/>
          <w:highlight w:val="none"/>
          <w:lang w:eastAsia="zh-CN"/>
        </w:rPr>
        <w:t>份</w:t>
      </w:r>
      <w:r>
        <w:rPr>
          <w:rFonts w:hint="eastAsia" w:hAnsi="宋体" w:cs="宋体"/>
          <w:highlight w:val="none"/>
        </w:rPr>
        <w:t>。</w:t>
      </w:r>
    </w:p>
    <w:p w14:paraId="7B7BE0E3">
      <w:pPr>
        <w:spacing w:line="360" w:lineRule="auto"/>
        <w:rPr>
          <w:highlight w:val="none"/>
        </w:rPr>
      </w:pPr>
    </w:p>
    <w:p w14:paraId="250DFAF8">
      <w:pPr>
        <w:spacing w:line="360" w:lineRule="auto"/>
        <w:rPr>
          <w:highlight w:val="none"/>
        </w:rPr>
      </w:pPr>
    </w:p>
    <w:p w14:paraId="7F5C4027">
      <w:pPr>
        <w:spacing w:line="360" w:lineRule="auto"/>
        <w:rPr>
          <w:highlight w:val="none"/>
        </w:rPr>
      </w:pPr>
      <w:r>
        <w:rPr>
          <w:rFonts w:hint="eastAsia" w:hAnsi="宋体" w:cs="宋体"/>
          <w:highlight w:val="none"/>
        </w:rPr>
        <w:t>发包人：</w:t>
      </w:r>
      <w:r>
        <w:rPr>
          <w:highlight w:val="none"/>
        </w:rPr>
        <w:t xml:space="preserve">  </w:t>
      </w:r>
      <w:r>
        <w:rPr>
          <w:rFonts w:hint="eastAsia" w:cs="宋体"/>
          <w:highlight w:val="none"/>
        </w:rPr>
        <w:t>（</w:t>
      </w:r>
      <w:r>
        <w:rPr>
          <w:rFonts w:hint="eastAsia" w:hAnsi="宋体" w:cs="宋体"/>
          <w:highlight w:val="none"/>
        </w:rPr>
        <w:t>公章</w:t>
      </w:r>
      <w:r>
        <w:rPr>
          <w:rFonts w:hint="eastAsia" w:cs="宋体"/>
          <w:highlight w:val="none"/>
        </w:rPr>
        <w:t>）</w:t>
      </w:r>
      <w:r>
        <w:rPr>
          <w:highlight w:val="none"/>
        </w:rPr>
        <w:t xml:space="preserve">                              </w:t>
      </w:r>
      <w:r>
        <w:rPr>
          <w:rFonts w:hint="eastAsia" w:hAnsi="宋体" w:cs="宋体"/>
          <w:highlight w:val="none"/>
        </w:rPr>
        <w:t>承包人：</w:t>
      </w:r>
      <w:r>
        <w:rPr>
          <w:highlight w:val="none"/>
        </w:rPr>
        <w:t xml:space="preserve">  </w:t>
      </w:r>
      <w:r>
        <w:rPr>
          <w:rFonts w:hint="eastAsia" w:cs="宋体"/>
          <w:highlight w:val="none"/>
        </w:rPr>
        <w:t>（</w:t>
      </w:r>
      <w:r>
        <w:rPr>
          <w:rFonts w:hint="eastAsia" w:hAnsi="宋体" w:cs="宋体"/>
          <w:highlight w:val="none"/>
        </w:rPr>
        <w:t>公章</w:t>
      </w:r>
      <w:r>
        <w:rPr>
          <w:rFonts w:hint="eastAsia" w:cs="宋体"/>
          <w:highlight w:val="none"/>
        </w:rPr>
        <w:t>）</w:t>
      </w:r>
    </w:p>
    <w:p w14:paraId="74CFFD23">
      <w:pPr>
        <w:spacing w:line="360" w:lineRule="auto"/>
        <w:rPr>
          <w:highlight w:val="none"/>
          <w:u w:val="single"/>
        </w:rPr>
      </w:pPr>
      <w:r>
        <w:rPr>
          <w:highlight w:val="none"/>
        </w:rPr>
        <w:t xml:space="preserve">                                 </w:t>
      </w:r>
    </w:p>
    <w:p w14:paraId="4FFCEEAB">
      <w:pPr>
        <w:spacing w:line="360" w:lineRule="auto"/>
        <w:rPr>
          <w:highlight w:val="none"/>
        </w:rPr>
      </w:pPr>
      <w:r>
        <w:rPr>
          <w:rFonts w:hint="eastAsia" w:hAnsi="宋体" w:cs="宋体"/>
          <w:highlight w:val="none"/>
        </w:rPr>
        <w:t>法定代表人或其委托代理人：</w:t>
      </w:r>
      <w:r>
        <w:rPr>
          <w:highlight w:val="none"/>
        </w:rPr>
        <w:t xml:space="preserve">                    </w:t>
      </w:r>
      <w:r>
        <w:rPr>
          <w:rFonts w:hint="eastAsia" w:hAnsi="宋体" w:cs="宋体"/>
          <w:highlight w:val="none"/>
        </w:rPr>
        <w:t>法定代表人或其委托代理人：</w:t>
      </w:r>
    </w:p>
    <w:p w14:paraId="209E93B2">
      <w:pPr>
        <w:spacing w:line="360" w:lineRule="auto"/>
        <w:rPr>
          <w:highlight w:val="none"/>
        </w:rPr>
      </w:pPr>
      <w:r>
        <w:rPr>
          <w:rFonts w:hint="eastAsia" w:hAnsi="宋体" w:cs="宋体"/>
          <w:highlight w:val="none"/>
        </w:rPr>
        <w:t>（签字）</w:t>
      </w:r>
      <w:r>
        <w:rPr>
          <w:highlight w:val="none"/>
        </w:rPr>
        <w:t xml:space="preserve">                                     </w:t>
      </w:r>
      <w:r>
        <w:rPr>
          <w:rFonts w:hint="eastAsia" w:hAnsi="宋体" w:cs="宋体"/>
          <w:highlight w:val="none"/>
        </w:rPr>
        <w:t>（签字）</w:t>
      </w:r>
    </w:p>
    <w:p w14:paraId="182A77A4">
      <w:pPr>
        <w:spacing w:line="360" w:lineRule="auto"/>
        <w:rPr>
          <w:highlight w:val="none"/>
          <w:u w:val="single"/>
        </w:rPr>
      </w:pPr>
    </w:p>
    <w:p w14:paraId="191EF987">
      <w:pPr>
        <w:tabs>
          <w:tab w:val="left" w:pos="4410"/>
        </w:tabs>
        <w:spacing w:line="360" w:lineRule="auto"/>
        <w:rPr>
          <w:highlight w:val="none"/>
        </w:rPr>
      </w:pPr>
      <w:r>
        <w:rPr>
          <w:rFonts w:hint="eastAsia" w:hAnsi="宋体" w:cs="宋体"/>
          <w:highlight w:val="none"/>
        </w:rPr>
        <w:t>统一社会信用代码：</w:t>
      </w:r>
      <w:r>
        <w:rPr>
          <w:highlight w:val="none"/>
          <w:u w:val="single"/>
        </w:rPr>
        <w:t xml:space="preserve">       </w:t>
      </w:r>
      <w:r>
        <w:rPr>
          <w:rFonts w:hint="eastAsia"/>
          <w:highlight w:val="none"/>
          <w:u w:val="single"/>
        </w:rPr>
        <w:t xml:space="preserve">    </w:t>
      </w:r>
      <w:r>
        <w:rPr>
          <w:highlight w:val="none"/>
        </w:rPr>
        <w:t xml:space="preserve">                  </w:t>
      </w:r>
      <w:r>
        <w:rPr>
          <w:rFonts w:hint="eastAsia" w:cs="宋体"/>
          <w:highlight w:val="none"/>
        </w:rPr>
        <w:t>统一</w:t>
      </w:r>
      <w:r>
        <w:rPr>
          <w:rFonts w:hint="eastAsia" w:hAnsi="宋体" w:cs="宋体"/>
          <w:highlight w:val="none"/>
        </w:rPr>
        <w:t>社会信用代码：</w:t>
      </w:r>
      <w:r>
        <w:rPr>
          <w:highlight w:val="none"/>
          <w:u w:val="single"/>
        </w:rPr>
        <w:t xml:space="preserve">          </w:t>
      </w:r>
      <w:r>
        <w:rPr>
          <w:rFonts w:hint="eastAsia"/>
          <w:highlight w:val="none"/>
          <w:u w:val="single"/>
        </w:rPr>
        <w:t xml:space="preserve">        </w:t>
      </w:r>
      <w:r>
        <w:rPr>
          <w:highlight w:val="none"/>
        </w:rPr>
        <w:t xml:space="preserve"> </w:t>
      </w:r>
    </w:p>
    <w:p w14:paraId="6F0E8906">
      <w:pPr>
        <w:spacing w:line="360" w:lineRule="auto"/>
        <w:rPr>
          <w:highlight w:val="none"/>
        </w:rPr>
      </w:pPr>
      <w:r>
        <w:rPr>
          <w:rFonts w:hint="eastAsia" w:hAnsi="宋体" w:cs="宋体"/>
          <w:highlight w:val="none"/>
        </w:rPr>
        <w:t>地</w:t>
      </w:r>
      <w:r>
        <w:rPr>
          <w:highlight w:val="none"/>
        </w:rPr>
        <w:t xml:space="preserve">  </w:t>
      </w:r>
      <w:r>
        <w:rPr>
          <w:rFonts w:hint="eastAsia" w:hAnsi="宋体" w:cs="宋体"/>
          <w:highlight w:val="none"/>
        </w:rPr>
        <w:t>址：</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地</w:t>
      </w:r>
      <w:r>
        <w:rPr>
          <w:highlight w:val="none"/>
        </w:rPr>
        <w:t xml:space="preserve">  </w:t>
      </w:r>
      <w:r>
        <w:rPr>
          <w:rFonts w:hint="eastAsia" w:hAnsi="宋体" w:cs="宋体"/>
          <w:highlight w:val="none"/>
        </w:rPr>
        <w:t>址：</w:t>
      </w:r>
      <w:r>
        <w:rPr>
          <w:highlight w:val="none"/>
          <w:u w:val="single"/>
        </w:rPr>
        <w:t xml:space="preserve">        </w:t>
      </w:r>
      <w:r>
        <w:rPr>
          <w:rFonts w:hint="eastAsia"/>
          <w:highlight w:val="none"/>
          <w:u w:val="single"/>
        </w:rPr>
        <w:t xml:space="preserve">                    </w:t>
      </w:r>
    </w:p>
    <w:p w14:paraId="4EF4A93B">
      <w:pPr>
        <w:spacing w:line="360" w:lineRule="auto"/>
        <w:rPr>
          <w:highlight w:val="none"/>
        </w:rPr>
      </w:pPr>
      <w:r>
        <w:rPr>
          <w:rFonts w:hint="eastAsia" w:hAnsi="宋体" w:cs="宋体"/>
          <w:highlight w:val="none"/>
        </w:rPr>
        <w:t>邮政编码：</w:t>
      </w:r>
      <w:r>
        <w:rPr>
          <w:highlight w:val="none"/>
          <w:u w:val="single"/>
        </w:rPr>
        <w:t xml:space="preserve">      </w:t>
      </w:r>
      <w:r>
        <w:rPr>
          <w:rFonts w:hint="eastAsia"/>
          <w:highlight w:val="none"/>
          <w:u w:val="single"/>
        </w:rPr>
        <w:t xml:space="preserve">             </w:t>
      </w:r>
      <w:r>
        <w:rPr>
          <w:highlight w:val="none"/>
        </w:rPr>
        <w:t xml:space="preserve">                 </w:t>
      </w:r>
      <w:r>
        <w:rPr>
          <w:rFonts w:hint="eastAsia"/>
          <w:highlight w:val="none"/>
        </w:rPr>
        <w:t xml:space="preserve"> </w:t>
      </w:r>
      <w:r>
        <w:rPr>
          <w:rFonts w:hint="eastAsia" w:hAnsi="宋体" w:cs="宋体"/>
          <w:highlight w:val="none"/>
        </w:rPr>
        <w:t>邮政编码：</w:t>
      </w:r>
      <w:r>
        <w:rPr>
          <w:highlight w:val="none"/>
          <w:u w:val="single"/>
        </w:rPr>
        <w:t xml:space="preserve">  </w:t>
      </w:r>
      <w:r>
        <w:rPr>
          <w:rFonts w:hint="eastAsia"/>
          <w:highlight w:val="none"/>
          <w:u w:val="single"/>
        </w:rPr>
        <w:t xml:space="preserve">                       </w:t>
      </w:r>
      <w:r>
        <w:rPr>
          <w:highlight w:val="none"/>
          <w:u w:val="single"/>
        </w:rPr>
        <w:t xml:space="preserve"> </w:t>
      </w:r>
    </w:p>
    <w:p w14:paraId="310014A6">
      <w:pPr>
        <w:spacing w:line="360" w:lineRule="auto"/>
        <w:rPr>
          <w:highlight w:val="none"/>
        </w:rPr>
      </w:pPr>
      <w:r>
        <w:rPr>
          <w:rFonts w:hint="eastAsia" w:hAnsi="宋体" w:cs="宋体"/>
          <w:highlight w:val="none"/>
        </w:rPr>
        <w:t>法定代表人：</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法定代表人：</w:t>
      </w:r>
      <w:r>
        <w:rPr>
          <w:highlight w:val="none"/>
          <w:u w:val="single"/>
        </w:rPr>
        <w:t xml:space="preserve">            </w:t>
      </w:r>
      <w:r>
        <w:rPr>
          <w:rFonts w:hint="eastAsia"/>
          <w:highlight w:val="none"/>
          <w:u w:val="single"/>
        </w:rPr>
        <w:t xml:space="preserve">           </w:t>
      </w:r>
      <w:r>
        <w:rPr>
          <w:highlight w:val="none"/>
          <w:u w:val="single"/>
        </w:rPr>
        <w:t xml:space="preserve"> </w:t>
      </w:r>
    </w:p>
    <w:p w14:paraId="1AA52C37">
      <w:pPr>
        <w:spacing w:line="360" w:lineRule="auto"/>
        <w:rPr>
          <w:highlight w:val="none"/>
        </w:rPr>
      </w:pPr>
      <w:r>
        <w:rPr>
          <w:rFonts w:hint="eastAsia" w:hAnsi="宋体" w:cs="宋体"/>
          <w:highlight w:val="none"/>
        </w:rPr>
        <w:t>委托代理人：</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委托代理人：</w:t>
      </w:r>
      <w:r>
        <w:rPr>
          <w:highlight w:val="none"/>
          <w:u w:val="single"/>
        </w:rPr>
        <w:t xml:space="preserve">           </w:t>
      </w:r>
      <w:r>
        <w:rPr>
          <w:rFonts w:hint="eastAsia"/>
          <w:highlight w:val="none"/>
          <w:u w:val="single"/>
        </w:rPr>
        <w:t xml:space="preserve">            </w:t>
      </w:r>
      <w:r>
        <w:rPr>
          <w:highlight w:val="none"/>
          <w:u w:val="single"/>
        </w:rPr>
        <w:t xml:space="preserve">  </w:t>
      </w:r>
    </w:p>
    <w:p w14:paraId="1B396AA3">
      <w:pPr>
        <w:spacing w:line="360" w:lineRule="auto"/>
        <w:rPr>
          <w:highlight w:val="none"/>
        </w:rPr>
      </w:pPr>
      <w:r>
        <w:rPr>
          <w:rFonts w:hint="eastAsia" w:hAnsi="宋体" w:cs="宋体"/>
          <w:highlight w:val="none"/>
        </w:rPr>
        <w:t>电</w:t>
      </w:r>
      <w:r>
        <w:rPr>
          <w:highlight w:val="none"/>
        </w:rPr>
        <w:t xml:space="preserve">  </w:t>
      </w:r>
      <w:r>
        <w:rPr>
          <w:rFonts w:hint="eastAsia" w:hAnsi="宋体" w:cs="宋体"/>
          <w:highlight w:val="none"/>
        </w:rPr>
        <w:t>话：</w:t>
      </w:r>
      <w:r>
        <w:rPr>
          <w:highlight w:val="none"/>
          <w:u w:val="single"/>
        </w:rPr>
        <w:t xml:space="preserve">  </w:t>
      </w:r>
      <w:r>
        <w:rPr>
          <w:rFonts w:hint="eastAsia"/>
          <w:highlight w:val="none"/>
          <w:u w:val="single"/>
        </w:rPr>
        <w:t xml:space="preserve">                  </w:t>
      </w:r>
      <w:r>
        <w:rPr>
          <w:highlight w:val="none"/>
          <w:u w:val="single"/>
        </w:rPr>
        <w:t xml:space="preserve"> </w:t>
      </w:r>
      <w:r>
        <w:rPr>
          <w:highlight w:val="none"/>
        </w:rPr>
        <w:t xml:space="preserve">                  </w:t>
      </w:r>
      <w:r>
        <w:rPr>
          <w:rFonts w:hint="eastAsia" w:hAnsi="宋体" w:cs="宋体"/>
          <w:highlight w:val="none"/>
        </w:rPr>
        <w:t>电</w:t>
      </w:r>
      <w:r>
        <w:rPr>
          <w:highlight w:val="none"/>
        </w:rPr>
        <w:t xml:space="preserve">  </w:t>
      </w:r>
      <w:r>
        <w:rPr>
          <w:rFonts w:hint="eastAsia" w:hAnsi="宋体" w:cs="宋体"/>
          <w:highlight w:val="none"/>
        </w:rPr>
        <w:t>话：</w:t>
      </w:r>
      <w:r>
        <w:rPr>
          <w:highlight w:val="none"/>
          <w:u w:val="single"/>
        </w:rPr>
        <w:t xml:space="preserve">    </w:t>
      </w:r>
      <w:r>
        <w:rPr>
          <w:rFonts w:hint="eastAsia"/>
          <w:highlight w:val="none"/>
          <w:u w:val="single"/>
        </w:rPr>
        <w:t xml:space="preserve">                       </w:t>
      </w:r>
      <w:r>
        <w:rPr>
          <w:highlight w:val="none"/>
          <w:u w:val="single"/>
        </w:rPr>
        <w:t xml:space="preserve"> </w:t>
      </w:r>
    </w:p>
    <w:p w14:paraId="1D0866A6">
      <w:pPr>
        <w:spacing w:line="360" w:lineRule="auto"/>
        <w:rPr>
          <w:highlight w:val="none"/>
        </w:rPr>
      </w:pPr>
      <w:r>
        <w:rPr>
          <w:rFonts w:hint="eastAsia" w:hAnsi="宋体" w:cs="宋体"/>
          <w:highlight w:val="none"/>
        </w:rPr>
        <w:t>传</w:t>
      </w:r>
      <w:r>
        <w:rPr>
          <w:highlight w:val="none"/>
        </w:rPr>
        <w:t xml:space="preserve">  </w:t>
      </w:r>
      <w:r>
        <w:rPr>
          <w:rFonts w:hint="eastAsia" w:hAnsi="宋体" w:cs="宋体"/>
          <w:highlight w:val="none"/>
        </w:rPr>
        <w:t>真：</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传</w:t>
      </w:r>
      <w:r>
        <w:rPr>
          <w:highlight w:val="none"/>
        </w:rPr>
        <w:t xml:space="preserve">  </w:t>
      </w:r>
      <w:r>
        <w:rPr>
          <w:rFonts w:hint="eastAsia" w:hAnsi="宋体" w:cs="宋体"/>
          <w:highlight w:val="none"/>
        </w:rPr>
        <w:t>真：</w:t>
      </w:r>
      <w:r>
        <w:rPr>
          <w:highlight w:val="none"/>
          <w:u w:val="single"/>
        </w:rPr>
        <w:t xml:space="preserve">    </w:t>
      </w:r>
      <w:r>
        <w:rPr>
          <w:rFonts w:hint="eastAsia"/>
          <w:highlight w:val="none"/>
          <w:u w:val="single"/>
        </w:rPr>
        <w:t xml:space="preserve">                        </w:t>
      </w:r>
      <w:r>
        <w:rPr>
          <w:highlight w:val="none"/>
          <w:u w:val="single"/>
        </w:rPr>
        <w:t xml:space="preserve"> </w:t>
      </w:r>
    </w:p>
    <w:p w14:paraId="28F1AE69">
      <w:pPr>
        <w:spacing w:line="360" w:lineRule="auto"/>
        <w:rPr>
          <w:highlight w:val="none"/>
        </w:rPr>
      </w:pPr>
      <w:r>
        <w:rPr>
          <w:rFonts w:hint="eastAsia" w:hAnsi="宋体" w:cs="宋体"/>
          <w:highlight w:val="none"/>
        </w:rPr>
        <w:t>电子信箱：</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电子信箱：</w:t>
      </w:r>
      <w:r>
        <w:rPr>
          <w:highlight w:val="none"/>
          <w:u w:val="single"/>
        </w:rPr>
        <w:t xml:space="preserve">   </w:t>
      </w:r>
      <w:r>
        <w:rPr>
          <w:rFonts w:hint="eastAsia"/>
          <w:highlight w:val="none"/>
          <w:u w:val="single"/>
        </w:rPr>
        <w:t xml:space="preserve">                      </w:t>
      </w:r>
    </w:p>
    <w:p w14:paraId="677F6B38">
      <w:pPr>
        <w:spacing w:line="360" w:lineRule="auto"/>
        <w:rPr>
          <w:highlight w:val="none"/>
        </w:rPr>
      </w:pPr>
      <w:r>
        <w:rPr>
          <w:rFonts w:hint="eastAsia" w:hAnsi="宋体" w:cs="宋体"/>
          <w:highlight w:val="none"/>
        </w:rPr>
        <w:t>开户银行：</w:t>
      </w: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开户银行：</w:t>
      </w:r>
      <w:r>
        <w:rPr>
          <w:highlight w:val="none"/>
          <w:u w:val="single"/>
        </w:rPr>
        <w:t xml:space="preserve">  </w:t>
      </w:r>
      <w:r>
        <w:rPr>
          <w:rFonts w:hint="eastAsia"/>
          <w:highlight w:val="none"/>
          <w:u w:val="single"/>
        </w:rPr>
        <w:t xml:space="preserve">                      </w:t>
      </w:r>
      <w:r>
        <w:rPr>
          <w:highlight w:val="none"/>
          <w:u w:val="single"/>
        </w:rPr>
        <w:t xml:space="preserve"> </w:t>
      </w:r>
    </w:p>
    <w:p w14:paraId="545B86D6">
      <w:pPr>
        <w:rPr>
          <w:highlight w:val="none"/>
          <w:u w:val="single"/>
        </w:rPr>
      </w:pPr>
      <w:r>
        <w:rPr>
          <w:rFonts w:hint="eastAsia" w:hAnsi="宋体" w:cs="宋体"/>
          <w:highlight w:val="none"/>
        </w:rPr>
        <w:t>账</w:t>
      </w:r>
      <w:r>
        <w:rPr>
          <w:highlight w:val="none"/>
        </w:rPr>
        <w:t xml:space="preserve">  </w:t>
      </w:r>
      <w:r>
        <w:rPr>
          <w:rFonts w:hint="eastAsia" w:hAnsi="宋体" w:cs="宋体"/>
          <w:highlight w:val="none"/>
        </w:rPr>
        <w:t>号：</w:t>
      </w:r>
      <w:r>
        <w:rPr>
          <w:highlight w:val="none"/>
          <w:u w:val="single"/>
        </w:rPr>
        <w:t xml:space="preserve">       </w:t>
      </w:r>
      <w:r>
        <w:rPr>
          <w:rFonts w:hint="eastAsia"/>
          <w:highlight w:val="none"/>
          <w:u w:val="single"/>
        </w:rPr>
        <w:t xml:space="preserve">              </w:t>
      </w:r>
      <w:r>
        <w:rPr>
          <w:highlight w:val="none"/>
        </w:rPr>
        <w:t xml:space="preserve">                  </w:t>
      </w:r>
      <w:r>
        <w:rPr>
          <w:rFonts w:hint="eastAsia" w:hAnsi="宋体" w:cs="宋体"/>
          <w:highlight w:val="none"/>
        </w:rPr>
        <w:t>账</w:t>
      </w:r>
      <w:r>
        <w:rPr>
          <w:highlight w:val="none"/>
        </w:rPr>
        <w:t xml:space="preserve">  </w:t>
      </w:r>
      <w:r>
        <w:rPr>
          <w:rFonts w:hint="eastAsia" w:hAnsi="宋体" w:cs="宋体"/>
          <w:highlight w:val="none"/>
        </w:rPr>
        <w:t>号：</w:t>
      </w:r>
      <w:r>
        <w:rPr>
          <w:highlight w:val="none"/>
          <w:u w:val="single"/>
        </w:rPr>
        <w:t xml:space="preserve">    </w:t>
      </w:r>
      <w:r>
        <w:rPr>
          <w:rFonts w:hint="eastAsia"/>
          <w:highlight w:val="none"/>
          <w:u w:val="single"/>
        </w:rPr>
        <w:t xml:space="preserve">                      </w:t>
      </w:r>
      <w:r>
        <w:rPr>
          <w:highlight w:val="none"/>
          <w:u w:val="single"/>
        </w:rPr>
        <w:t xml:space="preserve"> </w:t>
      </w:r>
    </w:p>
    <w:p w14:paraId="25CABBA0">
      <w:pPr>
        <w:widowControl/>
        <w:jc w:val="left"/>
        <w:rPr>
          <w:color w:val="000000"/>
          <w:highlight w:val="none"/>
          <w:u w:val="single"/>
        </w:rPr>
      </w:pPr>
      <w:r>
        <w:rPr>
          <w:highlight w:val="none"/>
        </w:rPr>
        <w:br w:type="page"/>
      </w:r>
    </w:p>
    <w:p w14:paraId="357E8E21">
      <w:pPr>
        <w:pStyle w:val="3"/>
        <w:jc w:val="center"/>
        <w:rPr>
          <w:b w:val="0"/>
          <w:sz w:val="28"/>
          <w:szCs w:val="28"/>
          <w:highlight w:val="none"/>
        </w:rPr>
      </w:pPr>
      <w:bookmarkStart w:id="106" w:name="_Toc407135192"/>
      <w:bookmarkStart w:id="107" w:name="_Toc12609347"/>
      <w:bookmarkStart w:id="108" w:name="_Toc389065256"/>
      <w:bookmarkStart w:id="109" w:name="_Toc351203632"/>
      <w:bookmarkStart w:id="110" w:name="_Toc373227691"/>
      <w:bookmarkStart w:id="111" w:name="_Toc373478338"/>
      <w:r>
        <w:rPr>
          <w:rFonts w:hint="eastAsia"/>
          <w:b w:val="0"/>
          <w:sz w:val="28"/>
          <w:szCs w:val="28"/>
          <w:highlight w:val="none"/>
        </w:rPr>
        <w:t>第二部分</w:t>
      </w:r>
      <w:r>
        <w:rPr>
          <w:b w:val="0"/>
          <w:sz w:val="28"/>
          <w:szCs w:val="28"/>
          <w:highlight w:val="none"/>
        </w:rPr>
        <w:t xml:space="preserve"> </w:t>
      </w:r>
      <w:r>
        <w:rPr>
          <w:rFonts w:hint="eastAsia"/>
          <w:b w:val="0"/>
          <w:sz w:val="28"/>
          <w:szCs w:val="28"/>
          <w:highlight w:val="none"/>
        </w:rPr>
        <w:t>通用合同条款</w:t>
      </w:r>
      <w:bookmarkEnd w:id="106"/>
      <w:bookmarkEnd w:id="107"/>
      <w:bookmarkEnd w:id="108"/>
    </w:p>
    <w:p w14:paraId="76AF4A51">
      <w:pPr>
        <w:jc w:val="center"/>
        <w:rPr>
          <w:b/>
          <w:sz w:val="28"/>
          <w:szCs w:val="28"/>
          <w:highlight w:val="none"/>
        </w:rPr>
      </w:pPr>
      <w:bookmarkStart w:id="112" w:name="_Toc389065257"/>
      <w:bookmarkStart w:id="113" w:name="_Toc12609348"/>
      <w:bookmarkStart w:id="114" w:name="_Toc407135193"/>
    </w:p>
    <w:p w14:paraId="76A19BEA">
      <w:pPr>
        <w:jc w:val="center"/>
        <w:rPr>
          <w:b/>
          <w:sz w:val="28"/>
          <w:szCs w:val="28"/>
          <w:highlight w:val="none"/>
        </w:rPr>
      </w:pPr>
      <w:r>
        <w:rPr>
          <w:rFonts w:hint="eastAsia"/>
          <w:b/>
          <w:sz w:val="28"/>
          <w:szCs w:val="28"/>
          <w:highlight w:val="none"/>
        </w:rPr>
        <w:t>采用《建设工程施工合同（示范文本）》（GF—2017—0201）。</w:t>
      </w:r>
    </w:p>
    <w:p w14:paraId="7994F674">
      <w:pPr>
        <w:pStyle w:val="3"/>
        <w:ind w:firstLine="420"/>
        <w:jc w:val="center"/>
        <w:rPr>
          <w:rFonts w:hint="eastAsia" w:hAnsi="宋体"/>
          <w:sz w:val="30"/>
          <w:szCs w:val="30"/>
          <w:highlight w:val="none"/>
        </w:rPr>
      </w:pPr>
      <w:r>
        <w:rPr>
          <w:rFonts w:hAnsi="宋体" w:cs="黑体"/>
          <w:color w:val="000000"/>
          <w:sz w:val="30"/>
          <w:szCs w:val="30"/>
          <w:highlight w:val="none"/>
        </w:rPr>
        <w:br w:type="page"/>
      </w:r>
      <w:bookmarkEnd w:id="82"/>
      <w:bookmarkEnd w:id="109"/>
      <w:bookmarkEnd w:id="110"/>
      <w:bookmarkEnd w:id="111"/>
      <w:bookmarkEnd w:id="112"/>
      <w:bookmarkEnd w:id="113"/>
      <w:bookmarkEnd w:id="114"/>
      <w:bookmarkStart w:id="115" w:name="_Toc78449779"/>
      <w:bookmarkStart w:id="116" w:name="_Toc704444909"/>
      <w:bookmarkStart w:id="117" w:name="_Toc1204138598"/>
      <w:bookmarkStart w:id="118" w:name="_Toc78449780"/>
      <w:bookmarkStart w:id="119" w:name="_Toc407135194"/>
      <w:bookmarkStart w:id="120" w:name="_Toc351203633"/>
      <w:bookmarkStart w:id="121" w:name="_Toc389065258"/>
      <w:bookmarkStart w:id="122" w:name="_Toc373478339"/>
      <w:bookmarkStart w:id="123" w:name="_Toc1013968286"/>
      <w:bookmarkStart w:id="124" w:name="_Toc373227692"/>
      <w:bookmarkStart w:id="125" w:name="_Toc1516097295"/>
      <w:bookmarkStart w:id="126" w:name="_Toc89186354"/>
      <w:r>
        <w:rPr>
          <w:rFonts w:hint="eastAsia"/>
          <w:b w:val="0"/>
          <w:sz w:val="28"/>
          <w:szCs w:val="28"/>
          <w:highlight w:val="none"/>
        </w:rPr>
        <w:t>第三部分</w:t>
      </w:r>
      <w:r>
        <w:rPr>
          <w:b w:val="0"/>
          <w:sz w:val="28"/>
          <w:szCs w:val="28"/>
          <w:highlight w:val="none"/>
        </w:rPr>
        <w:t xml:space="preserve"> </w:t>
      </w:r>
      <w:r>
        <w:rPr>
          <w:rFonts w:hint="eastAsia"/>
          <w:b w:val="0"/>
          <w:sz w:val="28"/>
          <w:szCs w:val="28"/>
          <w:highlight w:val="none"/>
        </w:rPr>
        <w:t>专用合同条款</w:t>
      </w:r>
      <w:bookmarkEnd w:id="115"/>
      <w:bookmarkEnd w:id="116"/>
      <w:bookmarkEnd w:id="117"/>
    </w:p>
    <w:p w14:paraId="3B0384D7">
      <w:pPr>
        <w:pStyle w:val="4"/>
        <w:rPr>
          <w:highlight w:val="none"/>
        </w:rPr>
      </w:pPr>
      <w:r>
        <w:rPr>
          <w:highlight w:val="none"/>
        </w:rPr>
        <w:t>1</w:t>
      </w:r>
      <w:bookmarkStart w:id="127" w:name="_Toc296890984"/>
      <w:bookmarkStart w:id="128" w:name="_Toc296503156"/>
      <w:bookmarkStart w:id="129" w:name="_Toc296347155"/>
      <w:bookmarkStart w:id="130" w:name="_Toc297120456"/>
      <w:bookmarkStart w:id="131" w:name="_Toc296944495"/>
      <w:bookmarkStart w:id="132" w:name="_Toc297048342"/>
      <w:bookmarkStart w:id="133" w:name="_Toc292559866"/>
      <w:bookmarkStart w:id="134" w:name="_Toc292559361"/>
      <w:bookmarkStart w:id="135" w:name="_Toc296346657"/>
      <w:bookmarkStart w:id="136" w:name="_Toc296891196"/>
      <w:r>
        <w:rPr>
          <w:highlight w:val="none"/>
        </w:rPr>
        <w:t xml:space="preserve">. </w:t>
      </w:r>
      <w:r>
        <w:rPr>
          <w:rFonts w:hint="eastAsia" w:hAnsi="宋体" w:cs="黑体"/>
          <w:highlight w:val="none"/>
        </w:rPr>
        <w:t>一般约定</w:t>
      </w:r>
      <w:bookmarkEnd w:id="118"/>
      <w:bookmarkEnd w:id="119"/>
      <w:bookmarkEnd w:id="120"/>
      <w:bookmarkEnd w:id="121"/>
      <w:bookmarkEnd w:id="122"/>
      <w:bookmarkEnd w:id="123"/>
      <w:bookmarkEnd w:id="124"/>
      <w:bookmarkEnd w:id="125"/>
    </w:p>
    <w:bookmarkEnd w:id="127"/>
    <w:bookmarkEnd w:id="128"/>
    <w:bookmarkEnd w:id="129"/>
    <w:bookmarkEnd w:id="130"/>
    <w:bookmarkEnd w:id="131"/>
    <w:bookmarkEnd w:id="132"/>
    <w:bookmarkEnd w:id="133"/>
    <w:bookmarkEnd w:id="134"/>
    <w:bookmarkEnd w:id="135"/>
    <w:bookmarkEnd w:id="136"/>
    <w:p w14:paraId="00BD8D89">
      <w:pPr>
        <w:pStyle w:val="5"/>
        <w:jc w:val="left"/>
        <w:rPr>
          <w:highlight w:val="none"/>
        </w:rPr>
      </w:pPr>
      <w:bookmarkStart w:id="137" w:name="_Toc78449781"/>
      <w:bookmarkStart w:id="138" w:name="_Toc407135195"/>
      <w:bookmarkStart w:id="139" w:name="_Toc1618220701"/>
      <w:bookmarkStart w:id="140" w:name="_Toc373227693"/>
      <w:bookmarkStart w:id="141" w:name="_Toc389065259"/>
      <w:bookmarkStart w:id="142" w:name="_Toc155697041"/>
      <w:bookmarkStart w:id="143" w:name="_Toc373478340"/>
      <w:r>
        <w:rPr>
          <w:highlight w:val="none"/>
        </w:rPr>
        <w:t xml:space="preserve">1.1 </w:t>
      </w:r>
      <w:r>
        <w:rPr>
          <w:rFonts w:hint="eastAsia" w:hAnsi="宋体" w:cs="黑体"/>
          <w:highlight w:val="none"/>
        </w:rPr>
        <w:t>词语定义</w:t>
      </w:r>
      <w:bookmarkEnd w:id="137"/>
      <w:bookmarkEnd w:id="138"/>
      <w:bookmarkEnd w:id="139"/>
      <w:bookmarkEnd w:id="140"/>
      <w:bookmarkEnd w:id="141"/>
      <w:bookmarkEnd w:id="142"/>
      <w:bookmarkEnd w:id="143"/>
    </w:p>
    <w:p w14:paraId="1D6AEFD4">
      <w:pPr>
        <w:spacing w:line="360" w:lineRule="auto"/>
        <w:ind w:firstLine="420" w:firstLineChars="200"/>
        <w:rPr>
          <w:kern w:val="0"/>
          <w:highlight w:val="none"/>
        </w:rPr>
      </w:pPr>
      <w:r>
        <w:rPr>
          <w:kern w:val="0"/>
          <w:highlight w:val="none"/>
        </w:rPr>
        <w:t xml:space="preserve">1.1.1 </w:t>
      </w:r>
      <w:r>
        <w:rPr>
          <w:rFonts w:hint="eastAsia" w:hAnsi="宋体" w:cs="宋体"/>
          <w:kern w:val="0"/>
          <w:highlight w:val="none"/>
        </w:rPr>
        <w:t>合同</w:t>
      </w:r>
    </w:p>
    <w:p w14:paraId="0AAAB013">
      <w:pPr>
        <w:spacing w:line="360" w:lineRule="auto"/>
        <w:rPr>
          <w:kern w:val="0"/>
          <w:highlight w:val="none"/>
        </w:rPr>
      </w:pPr>
      <w:r>
        <w:rPr>
          <w:kern w:val="0"/>
          <w:highlight w:val="none"/>
        </w:rPr>
        <w:t xml:space="preserve">1.1.1.10 </w:t>
      </w:r>
      <w:r>
        <w:rPr>
          <w:rFonts w:hint="eastAsia" w:hAnsi="宋体" w:cs="宋体"/>
          <w:kern w:val="0"/>
          <w:highlight w:val="none"/>
        </w:rPr>
        <w:t>其他合同文件包括：</w:t>
      </w:r>
      <w:r>
        <w:rPr>
          <w:rFonts w:hint="eastAsia" w:hAnsi="宋体" w:cs="宋体"/>
          <w:color w:val="auto"/>
          <w:kern w:val="0"/>
          <w:highlight w:val="none"/>
          <w:u w:val="single"/>
        </w:rPr>
        <w:t>自治区建设行政主管部门颁布的建设工程全过程计价规范及多层级工程量清单计算规范，</w:t>
      </w:r>
      <w:r>
        <w:rPr>
          <w:rFonts w:hint="eastAsia" w:hAnsi="宋体" w:cs="宋体"/>
          <w:color w:val="auto"/>
          <w:kern w:val="0"/>
          <w:highlight w:val="none"/>
          <w:u w:val="single"/>
          <w:lang w:eastAsia="zh-CN"/>
        </w:rPr>
        <w:t>响应</w:t>
      </w:r>
      <w:r>
        <w:rPr>
          <w:rFonts w:hint="eastAsia" w:hAnsi="宋体" w:cs="宋体"/>
          <w:color w:val="auto"/>
          <w:kern w:val="0"/>
          <w:highlight w:val="none"/>
          <w:u w:val="single"/>
        </w:rPr>
        <w:t>文件澄清或说明的文件和回复文件，</w:t>
      </w:r>
      <w:r>
        <w:rPr>
          <w:rFonts w:hint="eastAsia" w:ascii="仿宋" w:hAnsi="仿宋" w:eastAsia="仿宋" w:cs="仿宋"/>
          <w:color w:val="auto"/>
          <w:sz w:val="24"/>
          <w:szCs w:val="24"/>
          <w:highlight w:val="none"/>
          <w:u w:val="single"/>
          <w:lang w:eastAsia="zh-CN"/>
        </w:rPr>
        <w:t>成交通知书，磋商书及磋商书附录，技术标准和要求，已标价工程量清单，竞争性磋商文件及其附件（含所有澄清或说明、补充通知；履行合同过程中双方总经理以上管理者（或双方工地代表人）书面确认的对合同内容有实质性影响的会议纪要、签证、设计变更等资料</w:t>
      </w:r>
      <w:r>
        <w:rPr>
          <w:highlight w:val="none"/>
          <w:u w:val="single"/>
        </w:rPr>
        <w:t xml:space="preserve">   </w:t>
      </w:r>
      <w:r>
        <w:rPr>
          <w:rFonts w:hint="eastAsia" w:hAnsi="宋体" w:cs="宋体"/>
          <w:highlight w:val="none"/>
        </w:rPr>
        <w:t>。</w:t>
      </w:r>
    </w:p>
    <w:p w14:paraId="2B17A03F">
      <w:pPr>
        <w:spacing w:line="360" w:lineRule="auto"/>
        <w:ind w:firstLine="420" w:firstLineChars="200"/>
        <w:rPr>
          <w:highlight w:val="none"/>
        </w:rPr>
      </w:pPr>
      <w:r>
        <w:rPr>
          <w:highlight w:val="none"/>
        </w:rPr>
        <w:t xml:space="preserve">1.1.2 </w:t>
      </w:r>
      <w:r>
        <w:rPr>
          <w:rFonts w:hint="eastAsia" w:hAnsi="宋体" w:cs="宋体"/>
          <w:highlight w:val="none"/>
        </w:rPr>
        <w:t>合同当事人及其他相关方</w:t>
      </w:r>
    </w:p>
    <w:p w14:paraId="14B1BBFA">
      <w:pPr>
        <w:rPr>
          <w:highlight w:val="none"/>
        </w:rPr>
      </w:pPr>
      <w:r>
        <w:rPr>
          <w:highlight w:val="none"/>
        </w:rPr>
        <w:t xml:space="preserve">1.1.2.4 </w:t>
      </w:r>
      <w:r>
        <w:rPr>
          <w:rFonts w:hint="eastAsia" w:hAnsi="宋体" w:cs="宋体"/>
          <w:highlight w:val="none"/>
        </w:rPr>
        <w:t>监理人：</w:t>
      </w:r>
    </w:p>
    <w:p w14:paraId="45FC529A">
      <w:pPr>
        <w:spacing w:line="360" w:lineRule="auto"/>
        <w:ind w:firstLine="420" w:firstLineChars="200"/>
        <w:rPr>
          <w:highlight w:val="none"/>
        </w:rPr>
      </w:pPr>
      <w:r>
        <w:rPr>
          <w:rFonts w:hint="eastAsia" w:hAnsi="宋体" w:cs="宋体"/>
          <w:highlight w:val="none"/>
        </w:rPr>
        <w:t>名</w:t>
      </w:r>
      <w:r>
        <w:rPr>
          <w:highlight w:val="none"/>
        </w:rPr>
        <w:t xml:space="preserve">    </w:t>
      </w:r>
      <w:r>
        <w:rPr>
          <w:rFonts w:hint="eastAsia" w:hAnsi="宋体" w:cs="宋体"/>
          <w:highlight w:val="none"/>
        </w:rPr>
        <w:t>称：</w:t>
      </w:r>
      <w:r>
        <w:rPr>
          <w:highlight w:val="none"/>
          <w:u w:val="single"/>
        </w:rPr>
        <w:t xml:space="preserve">                </w:t>
      </w:r>
      <w:r>
        <w:rPr>
          <w:rFonts w:hint="eastAsia" w:hAnsi="宋体" w:cs="宋体"/>
          <w:highlight w:val="none"/>
        </w:rPr>
        <w:t>；</w:t>
      </w:r>
    </w:p>
    <w:p w14:paraId="30504183">
      <w:pPr>
        <w:spacing w:line="360" w:lineRule="auto"/>
        <w:ind w:firstLine="420" w:firstLineChars="200"/>
        <w:rPr>
          <w:highlight w:val="none"/>
        </w:rPr>
      </w:pPr>
      <w:r>
        <w:rPr>
          <w:rFonts w:hint="eastAsia" w:hAnsi="宋体" w:cs="宋体"/>
          <w:highlight w:val="none"/>
        </w:rPr>
        <w:t>资质类别和等级：</w:t>
      </w:r>
      <w:r>
        <w:rPr>
          <w:highlight w:val="none"/>
          <w:u w:val="single"/>
        </w:rPr>
        <w:t xml:space="preserve">               </w:t>
      </w:r>
      <w:r>
        <w:rPr>
          <w:rFonts w:hint="eastAsia" w:hAnsi="宋体" w:cs="宋体"/>
          <w:highlight w:val="none"/>
        </w:rPr>
        <w:t>；</w:t>
      </w:r>
    </w:p>
    <w:p w14:paraId="2BED519C">
      <w:pPr>
        <w:spacing w:line="360" w:lineRule="auto"/>
        <w:ind w:firstLine="420" w:firstLineChars="200"/>
        <w:rPr>
          <w:highlight w:val="none"/>
        </w:rPr>
      </w:pPr>
      <w:r>
        <w:rPr>
          <w:rFonts w:hint="eastAsia" w:hAnsi="宋体" w:cs="宋体"/>
          <w:highlight w:val="none"/>
        </w:rPr>
        <w:t>联系电话：</w:t>
      </w:r>
      <w:r>
        <w:rPr>
          <w:highlight w:val="none"/>
          <w:u w:val="single"/>
        </w:rPr>
        <w:t xml:space="preserve">                </w:t>
      </w:r>
      <w:r>
        <w:rPr>
          <w:rFonts w:hint="eastAsia" w:hAnsi="宋体" w:cs="宋体"/>
          <w:highlight w:val="none"/>
        </w:rPr>
        <w:t>；</w:t>
      </w:r>
    </w:p>
    <w:p w14:paraId="5E993B98">
      <w:pPr>
        <w:spacing w:line="360" w:lineRule="auto"/>
        <w:ind w:firstLine="420" w:firstLineChars="200"/>
        <w:rPr>
          <w:highlight w:val="none"/>
        </w:rPr>
      </w:pPr>
      <w:r>
        <w:rPr>
          <w:rFonts w:hint="eastAsia" w:hAnsi="宋体" w:cs="宋体"/>
          <w:highlight w:val="none"/>
        </w:rPr>
        <w:t>电子信箱：</w:t>
      </w:r>
      <w:r>
        <w:rPr>
          <w:highlight w:val="none"/>
          <w:u w:val="single"/>
        </w:rPr>
        <w:t xml:space="preserve">                </w:t>
      </w:r>
      <w:r>
        <w:rPr>
          <w:rFonts w:hint="eastAsia" w:hAnsi="宋体" w:cs="宋体"/>
          <w:highlight w:val="none"/>
        </w:rPr>
        <w:t>；</w:t>
      </w:r>
    </w:p>
    <w:p w14:paraId="38AC9A12">
      <w:pPr>
        <w:spacing w:line="360" w:lineRule="auto"/>
        <w:ind w:firstLine="420" w:firstLineChars="200"/>
        <w:rPr>
          <w:highlight w:val="none"/>
        </w:rPr>
      </w:pPr>
      <w:r>
        <w:rPr>
          <w:rFonts w:hint="eastAsia" w:hAnsi="宋体" w:cs="宋体"/>
          <w:highlight w:val="none"/>
        </w:rPr>
        <w:t>通信地址：</w:t>
      </w:r>
      <w:r>
        <w:rPr>
          <w:highlight w:val="none"/>
          <w:u w:val="single"/>
        </w:rPr>
        <w:t xml:space="preserve">                </w:t>
      </w:r>
      <w:r>
        <w:rPr>
          <w:rFonts w:hint="eastAsia" w:hAnsi="宋体" w:cs="宋体"/>
          <w:highlight w:val="none"/>
        </w:rPr>
        <w:t>。</w:t>
      </w:r>
    </w:p>
    <w:p w14:paraId="41BFD1CD">
      <w:pPr>
        <w:rPr>
          <w:highlight w:val="none"/>
        </w:rPr>
      </w:pPr>
      <w:r>
        <w:rPr>
          <w:highlight w:val="none"/>
        </w:rPr>
        <w:t xml:space="preserve">1.1.2.5 </w:t>
      </w:r>
      <w:r>
        <w:rPr>
          <w:rFonts w:hint="eastAsia" w:hAnsi="宋体" w:cs="宋体"/>
          <w:highlight w:val="none"/>
        </w:rPr>
        <w:t>设计人：</w:t>
      </w:r>
    </w:p>
    <w:p w14:paraId="7F68F19F">
      <w:pPr>
        <w:spacing w:line="360" w:lineRule="auto"/>
        <w:ind w:firstLine="420" w:firstLineChars="200"/>
        <w:rPr>
          <w:highlight w:val="none"/>
        </w:rPr>
      </w:pPr>
      <w:r>
        <w:rPr>
          <w:rFonts w:hint="eastAsia" w:hAnsi="宋体" w:cs="宋体"/>
          <w:highlight w:val="none"/>
        </w:rPr>
        <w:t>名</w:t>
      </w:r>
      <w:r>
        <w:rPr>
          <w:highlight w:val="none"/>
        </w:rPr>
        <w:t xml:space="preserve">    </w:t>
      </w:r>
      <w:r>
        <w:rPr>
          <w:rFonts w:hint="eastAsia" w:hAnsi="宋体" w:cs="宋体"/>
          <w:highlight w:val="none"/>
        </w:rPr>
        <w:t>称：</w:t>
      </w:r>
      <w:r>
        <w:rPr>
          <w:highlight w:val="none"/>
          <w:u w:val="single"/>
        </w:rPr>
        <w:t xml:space="preserve">                 </w:t>
      </w:r>
      <w:r>
        <w:rPr>
          <w:rFonts w:hint="eastAsia" w:hAnsi="宋体" w:cs="宋体"/>
          <w:highlight w:val="none"/>
        </w:rPr>
        <w:t>；</w:t>
      </w:r>
    </w:p>
    <w:p w14:paraId="285A5FCC">
      <w:pPr>
        <w:spacing w:line="360" w:lineRule="auto"/>
        <w:ind w:firstLine="420" w:firstLineChars="200"/>
        <w:rPr>
          <w:highlight w:val="none"/>
        </w:rPr>
      </w:pPr>
      <w:r>
        <w:rPr>
          <w:rFonts w:hint="eastAsia" w:hAnsi="宋体" w:cs="宋体"/>
          <w:highlight w:val="none"/>
        </w:rPr>
        <w:t>资质类别和等级：</w:t>
      </w:r>
      <w:r>
        <w:rPr>
          <w:highlight w:val="none"/>
          <w:u w:val="single"/>
        </w:rPr>
        <w:t xml:space="preserve">               </w:t>
      </w:r>
      <w:r>
        <w:rPr>
          <w:rFonts w:hint="eastAsia" w:hAnsi="宋体" w:cs="宋体"/>
          <w:highlight w:val="none"/>
        </w:rPr>
        <w:t>；</w:t>
      </w:r>
    </w:p>
    <w:p w14:paraId="575A379F">
      <w:pPr>
        <w:spacing w:line="360" w:lineRule="auto"/>
        <w:ind w:firstLine="420" w:firstLineChars="200"/>
        <w:rPr>
          <w:highlight w:val="none"/>
        </w:rPr>
      </w:pPr>
      <w:r>
        <w:rPr>
          <w:rFonts w:hint="eastAsia" w:hAnsi="宋体" w:cs="宋体"/>
          <w:highlight w:val="none"/>
        </w:rPr>
        <w:t>联系电话：</w:t>
      </w:r>
      <w:r>
        <w:rPr>
          <w:highlight w:val="none"/>
          <w:u w:val="single"/>
        </w:rPr>
        <w:t xml:space="preserve">                 </w:t>
      </w:r>
      <w:r>
        <w:rPr>
          <w:rFonts w:hint="eastAsia" w:hAnsi="宋体" w:cs="宋体"/>
          <w:highlight w:val="none"/>
        </w:rPr>
        <w:t>；</w:t>
      </w:r>
    </w:p>
    <w:p w14:paraId="5594697E">
      <w:pPr>
        <w:spacing w:line="360" w:lineRule="auto"/>
        <w:ind w:firstLine="420" w:firstLineChars="200"/>
        <w:rPr>
          <w:highlight w:val="none"/>
        </w:rPr>
      </w:pPr>
      <w:r>
        <w:rPr>
          <w:rFonts w:hint="eastAsia" w:hAnsi="宋体" w:cs="宋体"/>
          <w:highlight w:val="none"/>
        </w:rPr>
        <w:t>电子信箱：</w:t>
      </w:r>
      <w:r>
        <w:rPr>
          <w:highlight w:val="none"/>
          <w:u w:val="single"/>
        </w:rPr>
        <w:t xml:space="preserve">                    </w:t>
      </w:r>
      <w:r>
        <w:rPr>
          <w:rFonts w:hint="eastAsia" w:hAnsi="宋体" w:cs="宋体"/>
          <w:highlight w:val="none"/>
        </w:rPr>
        <w:t>；</w:t>
      </w:r>
    </w:p>
    <w:p w14:paraId="179CC989">
      <w:pPr>
        <w:spacing w:line="360" w:lineRule="auto"/>
        <w:ind w:firstLine="420" w:firstLineChars="200"/>
        <w:rPr>
          <w:highlight w:val="none"/>
        </w:rPr>
      </w:pPr>
      <w:r>
        <w:rPr>
          <w:rFonts w:hint="eastAsia" w:hAnsi="宋体" w:cs="宋体"/>
          <w:highlight w:val="none"/>
        </w:rPr>
        <w:t>通信地址：</w:t>
      </w:r>
      <w:r>
        <w:rPr>
          <w:highlight w:val="none"/>
          <w:u w:val="single"/>
        </w:rPr>
        <w:t xml:space="preserve">                </w:t>
      </w:r>
      <w:r>
        <w:rPr>
          <w:rFonts w:hint="eastAsia" w:hAnsi="宋体" w:cs="宋体"/>
          <w:highlight w:val="none"/>
        </w:rPr>
        <w:t>。</w:t>
      </w:r>
    </w:p>
    <w:p w14:paraId="05A0AA5D">
      <w:pPr>
        <w:spacing w:line="360" w:lineRule="auto"/>
        <w:ind w:firstLine="420" w:firstLineChars="200"/>
        <w:rPr>
          <w:highlight w:val="none"/>
        </w:rPr>
      </w:pPr>
      <w:r>
        <w:rPr>
          <w:highlight w:val="none"/>
        </w:rPr>
        <w:t xml:space="preserve">1.1.3 </w:t>
      </w:r>
      <w:r>
        <w:rPr>
          <w:rFonts w:hint="eastAsia" w:hAnsi="宋体" w:cs="宋体"/>
          <w:highlight w:val="none"/>
        </w:rPr>
        <w:t>工程和设备</w:t>
      </w:r>
    </w:p>
    <w:p w14:paraId="4F0800B3">
      <w:pPr>
        <w:rPr>
          <w:rFonts w:hAnsi="宋体"/>
          <w:highlight w:val="none"/>
        </w:rPr>
      </w:pPr>
      <w:r>
        <w:rPr>
          <w:highlight w:val="none"/>
        </w:rPr>
        <w:t xml:space="preserve">1.1.3.7 </w:t>
      </w:r>
      <w:r>
        <w:rPr>
          <w:rFonts w:hint="eastAsia" w:hAnsi="宋体" w:cs="宋体"/>
          <w:highlight w:val="none"/>
        </w:rPr>
        <w:t>作为施工现场组成部分的其他场所包括：</w:t>
      </w:r>
    </w:p>
    <w:p w14:paraId="531DF8BA">
      <w:pPr>
        <w:spacing w:line="360" w:lineRule="auto"/>
        <w:ind w:firstLine="420" w:firstLineChars="200"/>
        <w:rPr>
          <w:highlight w:val="none"/>
        </w:rPr>
      </w:pPr>
      <w:r>
        <w:rPr>
          <w:highlight w:val="none"/>
          <w:u w:val="single"/>
        </w:rPr>
        <w:t xml:space="preserve">           </w:t>
      </w:r>
      <w:r>
        <w:rPr>
          <w:rFonts w:hAnsi="宋体"/>
          <w:highlight w:val="none"/>
          <w:u w:val="single"/>
        </w:rPr>
        <w:t xml:space="preserve">                             </w:t>
      </w:r>
      <w:r>
        <w:rPr>
          <w:rFonts w:hint="eastAsia" w:hAnsi="宋体" w:cs="宋体"/>
          <w:highlight w:val="none"/>
        </w:rPr>
        <w:t>。</w:t>
      </w:r>
    </w:p>
    <w:p w14:paraId="6F246375">
      <w:pPr>
        <w:spacing w:line="360" w:lineRule="auto"/>
        <w:ind w:firstLine="420" w:firstLineChars="200"/>
        <w:jc w:val="left"/>
        <w:rPr>
          <w:kern w:val="0"/>
          <w:highlight w:val="none"/>
        </w:rPr>
      </w:pPr>
      <w:r>
        <w:rPr>
          <w:kern w:val="0"/>
          <w:highlight w:val="none"/>
        </w:rPr>
        <w:t xml:space="preserve">1.1.3.9 </w:t>
      </w:r>
      <w:r>
        <w:rPr>
          <w:rFonts w:hint="eastAsia" w:hAnsi="宋体" w:cs="宋体"/>
          <w:kern w:val="0"/>
          <w:highlight w:val="none"/>
        </w:rPr>
        <w:t>永久占地包括：</w:t>
      </w:r>
      <w:r>
        <w:rPr>
          <w:highlight w:val="none"/>
          <w:u w:val="single"/>
        </w:rPr>
        <w:t xml:space="preserve">                        </w:t>
      </w:r>
      <w:r>
        <w:rPr>
          <w:rFonts w:hint="eastAsia" w:hAnsi="宋体" w:cs="宋体"/>
          <w:kern w:val="0"/>
          <w:highlight w:val="none"/>
        </w:rPr>
        <w:t>。</w:t>
      </w:r>
    </w:p>
    <w:p w14:paraId="0ECC9590">
      <w:pPr>
        <w:spacing w:line="360" w:lineRule="auto"/>
        <w:ind w:firstLine="420" w:firstLineChars="200"/>
        <w:jc w:val="left"/>
        <w:rPr>
          <w:rFonts w:hAnsi="宋体" w:cs="宋体"/>
          <w:kern w:val="0"/>
          <w:highlight w:val="none"/>
        </w:rPr>
      </w:pPr>
      <w:r>
        <w:rPr>
          <w:kern w:val="0"/>
          <w:highlight w:val="none"/>
        </w:rPr>
        <w:t xml:space="preserve">1.1.3.10 </w:t>
      </w:r>
      <w:r>
        <w:rPr>
          <w:rFonts w:hint="eastAsia" w:hAnsi="宋体" w:cs="宋体"/>
          <w:kern w:val="0"/>
          <w:highlight w:val="none"/>
        </w:rPr>
        <w:t>临时占地包括：</w:t>
      </w:r>
      <w:r>
        <w:rPr>
          <w:highlight w:val="none"/>
          <w:u w:val="single"/>
        </w:rPr>
        <w:t xml:space="preserve">                       </w:t>
      </w:r>
      <w:r>
        <w:rPr>
          <w:rFonts w:hint="eastAsia" w:hAnsi="宋体" w:cs="宋体"/>
          <w:kern w:val="0"/>
          <w:highlight w:val="none"/>
        </w:rPr>
        <w:t>。</w:t>
      </w:r>
    </w:p>
    <w:p w14:paraId="6830E967">
      <w:pPr>
        <w:spacing w:line="360" w:lineRule="auto"/>
        <w:ind w:firstLine="420" w:firstLineChars="200"/>
        <w:jc w:val="left"/>
        <w:rPr>
          <w:color w:val="000000"/>
          <w:highlight w:val="none"/>
        </w:rPr>
      </w:pPr>
      <w:r>
        <w:rPr>
          <w:rFonts w:hint="eastAsia"/>
          <w:color w:val="000000"/>
          <w:highlight w:val="none"/>
        </w:rPr>
        <w:t>1.1.6 其他</w:t>
      </w:r>
    </w:p>
    <w:p w14:paraId="7BC7C78B">
      <w:pPr>
        <w:spacing w:line="360" w:lineRule="auto"/>
        <w:ind w:firstLine="420" w:firstLineChars="200"/>
        <w:jc w:val="left"/>
        <w:rPr>
          <w:color w:val="000000"/>
          <w:highlight w:val="none"/>
        </w:rPr>
      </w:pPr>
      <w:r>
        <w:rPr>
          <w:rFonts w:hint="eastAsia"/>
          <w:color w:val="000000"/>
          <w:highlight w:val="none"/>
        </w:rPr>
        <w:t>1.1.6.</w:t>
      </w:r>
      <w:r>
        <w:rPr>
          <w:color w:val="000000"/>
          <w:highlight w:val="none"/>
        </w:rPr>
        <w:t>2</w:t>
      </w:r>
      <w:r>
        <w:rPr>
          <w:rFonts w:hint="eastAsia"/>
          <w:color w:val="000000"/>
          <w:highlight w:val="none"/>
        </w:rPr>
        <w:t>合同中如有以下词语，其相互之间具有等同定义：</w:t>
      </w:r>
    </w:p>
    <w:p w14:paraId="013C1E1B">
      <w:pPr>
        <w:spacing w:line="360" w:lineRule="auto"/>
        <w:ind w:firstLine="420" w:firstLineChars="200"/>
        <w:jc w:val="left"/>
        <w:rPr>
          <w:rFonts w:hint="eastAsia"/>
          <w:color w:val="000000"/>
          <w:highlight w:val="none"/>
        </w:rPr>
      </w:pPr>
      <w:r>
        <w:rPr>
          <w:rFonts w:hint="eastAsia"/>
          <w:color w:val="000000"/>
          <w:highlight w:val="none"/>
        </w:rPr>
        <w:t>招标文件——采购文件，投标文件——响应文件，中标——成交，投标人——供应商，投标——响应</w:t>
      </w:r>
    </w:p>
    <w:p w14:paraId="7516A84E">
      <w:pPr>
        <w:pStyle w:val="5"/>
        <w:jc w:val="left"/>
        <w:rPr>
          <w:highlight w:val="none"/>
        </w:rPr>
      </w:pPr>
      <w:bookmarkStart w:id="144" w:name="_Toc373478341"/>
      <w:bookmarkStart w:id="145" w:name="_Toc1182598796"/>
      <w:bookmarkStart w:id="146" w:name="_Toc78449782"/>
      <w:bookmarkStart w:id="147" w:name="_Toc389065260"/>
      <w:bookmarkStart w:id="148" w:name="_Toc373227694"/>
      <w:bookmarkStart w:id="149" w:name="_Toc1162259329"/>
      <w:bookmarkStart w:id="150" w:name="_Toc407135196"/>
      <w:r>
        <w:rPr>
          <w:highlight w:val="none"/>
        </w:rPr>
        <w:t xml:space="preserve">1.3 </w:t>
      </w:r>
      <w:r>
        <w:rPr>
          <w:rFonts w:hint="eastAsia" w:hAnsi="宋体" w:cs="黑体"/>
          <w:highlight w:val="none"/>
        </w:rPr>
        <w:t>法律</w:t>
      </w:r>
      <w:bookmarkEnd w:id="144"/>
      <w:bookmarkEnd w:id="145"/>
      <w:bookmarkEnd w:id="146"/>
      <w:bookmarkEnd w:id="147"/>
      <w:bookmarkEnd w:id="148"/>
      <w:bookmarkEnd w:id="149"/>
      <w:bookmarkEnd w:id="150"/>
    </w:p>
    <w:p w14:paraId="688928F2">
      <w:pPr>
        <w:autoSpaceDE w:val="0"/>
        <w:autoSpaceDN w:val="0"/>
        <w:adjustRightInd w:val="0"/>
        <w:spacing w:line="360" w:lineRule="auto"/>
        <w:jc w:val="left"/>
        <w:rPr>
          <w:highlight w:val="none"/>
        </w:rPr>
      </w:pPr>
      <w:r>
        <w:rPr>
          <w:rFonts w:hint="eastAsia" w:hAnsi="宋体" w:cs="宋体"/>
          <w:highlight w:val="none"/>
        </w:rPr>
        <w:t>适用于合同的其他规范性文件：</w:t>
      </w:r>
      <w:r>
        <w:rPr>
          <w:rFonts w:hAnsi="宋体"/>
          <w:highlight w:val="none"/>
          <w:u w:val="single"/>
        </w:rPr>
        <w:t xml:space="preserve">   </w:t>
      </w:r>
      <w:r>
        <w:rPr>
          <w:rFonts w:hint="eastAsia" w:hAnsi="宋体"/>
          <w:highlight w:val="none"/>
          <w:u w:val="single"/>
          <w:lang w:eastAsia="zh-CN"/>
        </w:rPr>
        <w:t>合同签订时国家现行法律、行政法规及工程所在地政府的有关法规和规章</w:t>
      </w:r>
      <w:r>
        <w:rPr>
          <w:highlight w:val="none"/>
          <w:u w:val="single"/>
        </w:rPr>
        <w:t xml:space="preserve"> </w:t>
      </w:r>
      <w:r>
        <w:rPr>
          <w:rFonts w:hint="eastAsia" w:hAnsi="宋体" w:cs="宋体"/>
          <w:highlight w:val="none"/>
        </w:rPr>
        <w:t>。</w:t>
      </w:r>
    </w:p>
    <w:p w14:paraId="456D7C03">
      <w:pPr>
        <w:pStyle w:val="5"/>
        <w:jc w:val="left"/>
        <w:rPr>
          <w:highlight w:val="none"/>
        </w:rPr>
      </w:pPr>
      <w:bookmarkStart w:id="151" w:name="_Toc373478342"/>
      <w:bookmarkStart w:id="152" w:name="_Toc78449783"/>
      <w:bookmarkStart w:id="153" w:name="_Toc373227695"/>
      <w:bookmarkStart w:id="154" w:name="_Toc1569433547"/>
      <w:bookmarkStart w:id="155" w:name="_Toc389065261"/>
      <w:bookmarkStart w:id="156" w:name="_Toc1694357896"/>
      <w:bookmarkStart w:id="157" w:name="_Toc407135197"/>
      <w:r>
        <w:rPr>
          <w:highlight w:val="none"/>
        </w:rPr>
        <w:t xml:space="preserve">1.4 </w:t>
      </w:r>
      <w:r>
        <w:rPr>
          <w:rFonts w:hint="eastAsia" w:hAnsi="宋体" w:cs="黑体"/>
          <w:highlight w:val="none"/>
        </w:rPr>
        <w:t>标准和规范</w:t>
      </w:r>
      <w:bookmarkEnd w:id="151"/>
      <w:bookmarkEnd w:id="152"/>
      <w:bookmarkEnd w:id="153"/>
      <w:bookmarkEnd w:id="154"/>
      <w:bookmarkEnd w:id="155"/>
      <w:bookmarkEnd w:id="156"/>
      <w:bookmarkEnd w:id="157"/>
    </w:p>
    <w:p w14:paraId="625D3DA8">
      <w:pPr>
        <w:spacing w:line="360" w:lineRule="auto"/>
        <w:rPr>
          <w:highlight w:val="none"/>
        </w:rPr>
      </w:pPr>
      <w:r>
        <w:rPr>
          <w:highlight w:val="none"/>
        </w:rPr>
        <w:t xml:space="preserve">1.4.1 </w:t>
      </w:r>
      <w:r>
        <w:rPr>
          <w:rFonts w:hint="eastAsia" w:hAnsi="宋体" w:cs="宋体"/>
          <w:highlight w:val="none"/>
        </w:rPr>
        <w:t>适用于工程的标准规范包括：</w:t>
      </w:r>
      <w:r>
        <w:rPr>
          <w:rFonts w:hAnsi="宋体"/>
          <w:highlight w:val="none"/>
          <w:u w:val="single"/>
        </w:rPr>
        <w:t xml:space="preserve"> </w:t>
      </w:r>
      <w:r>
        <w:rPr>
          <w:rFonts w:hint="eastAsia" w:ascii="仿宋" w:hAnsi="仿宋" w:eastAsia="仿宋" w:cs="仿宋"/>
          <w:color w:val="auto"/>
          <w:sz w:val="24"/>
          <w:szCs w:val="24"/>
          <w:highlight w:val="none"/>
          <w:u w:val="single"/>
          <w:lang w:eastAsia="zh-CN"/>
        </w:rPr>
        <w:t>按签订本合同时现行的国家建筑安装工程施工验收标准、规定、行业规范等</w:t>
      </w:r>
      <w:r>
        <w:rPr>
          <w:highlight w:val="none"/>
          <w:u w:val="single"/>
        </w:rPr>
        <w:t xml:space="preserve"> </w:t>
      </w:r>
      <w:r>
        <w:rPr>
          <w:rFonts w:hint="eastAsia" w:hAnsi="宋体" w:cs="宋体"/>
          <w:highlight w:val="none"/>
        </w:rPr>
        <w:t>。</w:t>
      </w:r>
    </w:p>
    <w:p w14:paraId="2E0D220E">
      <w:pPr>
        <w:spacing w:line="360" w:lineRule="auto"/>
        <w:rPr>
          <w:kern w:val="0"/>
          <w:highlight w:val="none"/>
        </w:rPr>
      </w:pPr>
      <w:r>
        <w:rPr>
          <w:kern w:val="0"/>
          <w:highlight w:val="none"/>
        </w:rPr>
        <w:t xml:space="preserve">1.4.2 </w:t>
      </w:r>
      <w:r>
        <w:rPr>
          <w:rFonts w:hint="eastAsia" w:hAnsi="宋体" w:cs="宋体"/>
          <w:kern w:val="0"/>
          <w:highlight w:val="none"/>
        </w:rPr>
        <w:t>发包人提供国外标准、规范的名称：</w:t>
      </w:r>
      <w:r>
        <w:rPr>
          <w:rFonts w:hAnsi="宋体"/>
          <w:highlight w:val="none"/>
          <w:u w:val="single"/>
        </w:rPr>
        <w:t xml:space="preserve"> </w:t>
      </w:r>
      <w:r>
        <w:rPr>
          <w:rFonts w:hint="eastAsia" w:hAnsi="宋体"/>
          <w:highlight w:val="none"/>
          <w:u w:val="single"/>
          <w:lang w:eastAsia="zh-CN"/>
        </w:rPr>
        <w:t>无</w:t>
      </w:r>
      <w:r>
        <w:rPr>
          <w:highlight w:val="none"/>
          <w:u w:val="single"/>
        </w:rPr>
        <w:t xml:space="preserve">    </w:t>
      </w:r>
      <w:r>
        <w:rPr>
          <w:rFonts w:hint="eastAsia" w:hAnsi="宋体" w:cs="宋体"/>
          <w:highlight w:val="none"/>
        </w:rPr>
        <w:t>；</w:t>
      </w:r>
    </w:p>
    <w:p w14:paraId="6613658F">
      <w:pPr>
        <w:spacing w:line="360" w:lineRule="auto"/>
        <w:ind w:firstLine="420" w:firstLineChars="200"/>
        <w:rPr>
          <w:kern w:val="0"/>
          <w:highlight w:val="none"/>
        </w:rPr>
      </w:pPr>
      <w:r>
        <w:rPr>
          <w:rFonts w:hint="eastAsia" w:hAnsi="宋体" w:cs="宋体"/>
          <w:kern w:val="0"/>
          <w:highlight w:val="none"/>
        </w:rPr>
        <w:t>发包人提供国外标准、规范的份数：</w:t>
      </w:r>
      <w:r>
        <w:rPr>
          <w:kern w:val="0"/>
          <w:highlight w:val="none"/>
          <w:u w:val="single"/>
        </w:rPr>
        <w:t xml:space="preserve">  </w:t>
      </w:r>
      <w:r>
        <w:rPr>
          <w:rFonts w:hint="eastAsia"/>
          <w:kern w:val="0"/>
          <w:highlight w:val="none"/>
          <w:u w:val="single"/>
          <w:lang w:eastAsia="zh-CN"/>
        </w:rPr>
        <w:t>无</w:t>
      </w:r>
      <w:r>
        <w:rPr>
          <w:kern w:val="0"/>
          <w:highlight w:val="none"/>
          <w:u w:val="single"/>
        </w:rPr>
        <w:t xml:space="preserve">    </w:t>
      </w:r>
      <w:r>
        <w:rPr>
          <w:rFonts w:hint="eastAsia" w:hAnsi="宋体" w:cs="宋体"/>
          <w:kern w:val="0"/>
          <w:highlight w:val="none"/>
        </w:rPr>
        <w:t>；</w:t>
      </w:r>
    </w:p>
    <w:p w14:paraId="1FEA00E5">
      <w:pPr>
        <w:spacing w:line="360" w:lineRule="auto"/>
        <w:ind w:firstLine="420" w:firstLineChars="200"/>
        <w:rPr>
          <w:highlight w:val="none"/>
        </w:rPr>
      </w:pPr>
      <w:r>
        <w:rPr>
          <w:rFonts w:hint="eastAsia" w:hAnsi="宋体" w:cs="宋体"/>
          <w:kern w:val="0"/>
          <w:highlight w:val="none"/>
        </w:rPr>
        <w:t>发包人提供国外标准、规范的名称：</w:t>
      </w:r>
      <w:r>
        <w:rPr>
          <w:kern w:val="0"/>
          <w:highlight w:val="none"/>
          <w:u w:val="single"/>
        </w:rPr>
        <w:t xml:space="preserve">  </w:t>
      </w:r>
      <w:r>
        <w:rPr>
          <w:rFonts w:hint="eastAsia"/>
          <w:kern w:val="0"/>
          <w:highlight w:val="none"/>
          <w:u w:val="single"/>
          <w:lang w:eastAsia="zh-CN"/>
        </w:rPr>
        <w:t>无</w:t>
      </w:r>
      <w:r>
        <w:rPr>
          <w:kern w:val="0"/>
          <w:highlight w:val="none"/>
          <w:u w:val="single"/>
        </w:rPr>
        <w:t xml:space="preserve">    </w:t>
      </w:r>
      <w:r>
        <w:rPr>
          <w:rFonts w:hint="eastAsia" w:hAnsi="宋体" w:cs="宋体"/>
          <w:kern w:val="0"/>
          <w:highlight w:val="none"/>
        </w:rPr>
        <w:t>。</w:t>
      </w:r>
    </w:p>
    <w:p w14:paraId="537B58EF">
      <w:pPr>
        <w:spacing w:line="360" w:lineRule="auto"/>
        <w:ind w:firstLine="420" w:firstLineChars="200"/>
        <w:rPr>
          <w:highlight w:val="none"/>
        </w:rPr>
      </w:pPr>
      <w:r>
        <w:rPr>
          <w:highlight w:val="none"/>
        </w:rPr>
        <w:t xml:space="preserve">1.4.3 </w:t>
      </w:r>
      <w:r>
        <w:rPr>
          <w:rFonts w:hint="eastAsia" w:hAnsi="宋体" w:cs="宋体"/>
          <w:highlight w:val="none"/>
        </w:rPr>
        <w:t>发包人对工程的技术标准和功能要求的特殊要求：</w:t>
      </w:r>
      <w:r>
        <w:rPr>
          <w:rFonts w:hAnsi="宋体"/>
          <w:highlight w:val="none"/>
          <w:u w:val="single"/>
        </w:rPr>
        <w:t xml:space="preserve">    </w:t>
      </w:r>
      <w:r>
        <w:rPr>
          <w:rFonts w:hint="eastAsia" w:hAnsi="宋体"/>
          <w:highlight w:val="none"/>
          <w:u w:val="single"/>
          <w:lang w:eastAsia="zh-CN"/>
        </w:rPr>
        <w:t>无</w:t>
      </w:r>
      <w:r>
        <w:rPr>
          <w:rFonts w:hAnsi="宋体"/>
          <w:highlight w:val="none"/>
          <w:u w:val="single"/>
        </w:rPr>
        <w:t xml:space="preserve"> </w:t>
      </w:r>
      <w:r>
        <w:rPr>
          <w:rFonts w:hint="eastAsia" w:hAnsi="宋体" w:cs="宋体"/>
          <w:highlight w:val="none"/>
        </w:rPr>
        <w:t>。</w:t>
      </w:r>
    </w:p>
    <w:p w14:paraId="0885A6C6">
      <w:pPr>
        <w:pStyle w:val="5"/>
        <w:jc w:val="left"/>
        <w:rPr>
          <w:highlight w:val="none"/>
        </w:rPr>
      </w:pPr>
      <w:bookmarkStart w:id="158" w:name="_Toc373227696"/>
      <w:bookmarkStart w:id="159" w:name="_Toc78449784"/>
      <w:bookmarkStart w:id="160" w:name="_Toc188277238"/>
      <w:bookmarkStart w:id="161" w:name="_Toc389065262"/>
      <w:bookmarkStart w:id="162" w:name="_Toc407135198"/>
      <w:bookmarkStart w:id="163" w:name="_Toc373478343"/>
      <w:bookmarkStart w:id="164" w:name="_Toc24431861"/>
      <w:r>
        <w:rPr>
          <w:highlight w:val="none"/>
        </w:rPr>
        <w:t xml:space="preserve">1.5 </w:t>
      </w:r>
      <w:r>
        <w:rPr>
          <w:rFonts w:hint="eastAsia" w:cs="黑体"/>
          <w:highlight w:val="none"/>
        </w:rPr>
        <w:t>合同文件的优先顺序</w:t>
      </w:r>
      <w:bookmarkEnd w:id="158"/>
      <w:bookmarkEnd w:id="159"/>
      <w:bookmarkEnd w:id="160"/>
      <w:bookmarkEnd w:id="161"/>
      <w:bookmarkEnd w:id="162"/>
      <w:bookmarkEnd w:id="163"/>
      <w:bookmarkEnd w:id="164"/>
    </w:p>
    <w:p w14:paraId="7FA8FB46">
      <w:pPr>
        <w:spacing w:line="360" w:lineRule="auto"/>
        <w:ind w:firstLine="420" w:firstLineChars="200"/>
        <w:rPr>
          <w:rFonts w:hint="eastAsia" w:hAnsi="宋体" w:cs="宋体"/>
          <w:kern w:val="0"/>
          <w:highlight w:val="none"/>
        </w:rPr>
      </w:pPr>
      <w:r>
        <w:rPr>
          <w:rFonts w:hint="eastAsia" w:hAnsi="宋体" w:cs="宋体"/>
          <w:highlight w:val="none"/>
        </w:rPr>
        <w:t>合同文件组成及优先顺序为：</w:t>
      </w:r>
    </w:p>
    <w:p w14:paraId="678F6A04">
      <w:pPr>
        <w:spacing w:line="360" w:lineRule="auto"/>
        <w:ind w:firstLine="420" w:firstLineChars="200"/>
        <w:rPr>
          <w:rFonts w:hint="eastAsia" w:hAnsi="宋体" w:cs="宋体"/>
          <w:kern w:val="0"/>
          <w:highlight w:val="none"/>
        </w:rPr>
      </w:pPr>
      <w:r>
        <w:rPr>
          <w:rFonts w:hint="eastAsia" w:hAnsi="宋体" w:cs="宋体"/>
          <w:kern w:val="0"/>
          <w:highlight w:val="none"/>
        </w:rPr>
        <w:t>（1）合同协议书；</w:t>
      </w:r>
    </w:p>
    <w:p w14:paraId="4AF5B143">
      <w:pPr>
        <w:spacing w:line="360" w:lineRule="auto"/>
        <w:ind w:firstLine="420" w:firstLineChars="200"/>
        <w:rPr>
          <w:rFonts w:hint="eastAsia" w:hAnsi="宋体" w:cs="宋体"/>
          <w:kern w:val="0"/>
          <w:highlight w:val="none"/>
        </w:rPr>
      </w:pPr>
      <w:bookmarkStart w:id="165" w:name="bookmark916"/>
      <w:bookmarkEnd w:id="165"/>
      <w:r>
        <w:rPr>
          <w:rFonts w:hint="eastAsia" w:hAnsi="宋体" w:cs="宋体"/>
          <w:kern w:val="0"/>
          <w:highlight w:val="none"/>
        </w:rPr>
        <w:t>（2）中标通知书；</w:t>
      </w:r>
    </w:p>
    <w:p w14:paraId="218F9149">
      <w:pPr>
        <w:spacing w:line="360" w:lineRule="auto"/>
        <w:ind w:firstLine="420" w:firstLineChars="200"/>
        <w:rPr>
          <w:rFonts w:hint="eastAsia" w:hAnsi="宋体" w:cs="宋体"/>
          <w:kern w:val="0"/>
          <w:highlight w:val="none"/>
        </w:rPr>
      </w:pPr>
      <w:bookmarkStart w:id="166" w:name="bookmark917"/>
      <w:bookmarkEnd w:id="166"/>
      <w:r>
        <w:rPr>
          <w:rFonts w:hint="eastAsia" w:hAnsi="宋体" w:cs="宋体"/>
          <w:kern w:val="0"/>
          <w:highlight w:val="none"/>
        </w:rPr>
        <w:t>（3）</w:t>
      </w:r>
      <w:r>
        <w:rPr>
          <w:rFonts w:hint="eastAsia" w:hAnsi="宋体" w:cs="宋体"/>
          <w:kern w:val="0"/>
          <w:highlight w:val="none"/>
          <w:lang w:val="en-US" w:eastAsia="zh-CN"/>
        </w:rPr>
        <w:t>响应</w:t>
      </w:r>
      <w:r>
        <w:rPr>
          <w:rFonts w:hint="eastAsia" w:hAnsi="宋体" w:cs="宋体"/>
          <w:kern w:val="0"/>
          <w:highlight w:val="none"/>
        </w:rPr>
        <w:t>函及</w:t>
      </w:r>
      <w:r>
        <w:rPr>
          <w:rFonts w:hint="eastAsia" w:hAnsi="宋体" w:cs="宋体"/>
          <w:kern w:val="0"/>
          <w:highlight w:val="none"/>
          <w:lang w:val="en-US" w:eastAsia="zh-CN"/>
        </w:rPr>
        <w:t>响应</w:t>
      </w:r>
      <w:r>
        <w:rPr>
          <w:rFonts w:hint="eastAsia" w:hAnsi="宋体" w:cs="宋体"/>
          <w:kern w:val="0"/>
          <w:highlight w:val="none"/>
        </w:rPr>
        <w:t>函附录；</w:t>
      </w:r>
    </w:p>
    <w:p w14:paraId="191E604C">
      <w:pPr>
        <w:spacing w:line="360" w:lineRule="auto"/>
        <w:ind w:firstLine="420" w:firstLineChars="200"/>
        <w:rPr>
          <w:rFonts w:hint="eastAsia" w:hAnsi="宋体" w:cs="宋体"/>
          <w:kern w:val="0"/>
          <w:highlight w:val="none"/>
        </w:rPr>
      </w:pPr>
      <w:bookmarkStart w:id="167" w:name="bookmark918"/>
      <w:bookmarkEnd w:id="167"/>
      <w:r>
        <w:rPr>
          <w:rFonts w:hint="eastAsia" w:hAnsi="宋体" w:cs="宋体"/>
          <w:kern w:val="0"/>
          <w:highlight w:val="none"/>
        </w:rPr>
        <w:t>（4）专用合同条款；</w:t>
      </w:r>
    </w:p>
    <w:p w14:paraId="784F944B">
      <w:pPr>
        <w:spacing w:line="360" w:lineRule="auto"/>
        <w:ind w:firstLine="420" w:firstLineChars="200"/>
        <w:rPr>
          <w:rFonts w:hint="eastAsia" w:hAnsi="宋体" w:cs="宋体"/>
          <w:kern w:val="0"/>
          <w:highlight w:val="none"/>
        </w:rPr>
      </w:pPr>
      <w:bookmarkStart w:id="168" w:name="bookmark919"/>
      <w:bookmarkEnd w:id="168"/>
      <w:r>
        <w:rPr>
          <w:rFonts w:hint="eastAsia" w:hAnsi="宋体" w:cs="宋体"/>
          <w:kern w:val="0"/>
          <w:highlight w:val="none"/>
        </w:rPr>
        <w:t>（5）通用合同条款；</w:t>
      </w:r>
    </w:p>
    <w:p w14:paraId="05B56393">
      <w:pPr>
        <w:spacing w:line="360" w:lineRule="auto"/>
        <w:ind w:firstLine="420" w:firstLineChars="200"/>
        <w:rPr>
          <w:rFonts w:hint="eastAsia" w:hAnsi="宋体" w:cs="宋体"/>
          <w:kern w:val="0"/>
          <w:highlight w:val="none"/>
        </w:rPr>
      </w:pPr>
      <w:bookmarkStart w:id="169" w:name="bookmark920"/>
      <w:bookmarkEnd w:id="169"/>
      <w:r>
        <w:rPr>
          <w:rFonts w:hint="eastAsia" w:hAnsi="宋体" w:cs="宋体"/>
          <w:kern w:val="0"/>
          <w:highlight w:val="none"/>
        </w:rPr>
        <w:t>（6）技术标准和要求；</w:t>
      </w:r>
    </w:p>
    <w:p w14:paraId="1F935D81">
      <w:pPr>
        <w:spacing w:line="360" w:lineRule="auto"/>
        <w:ind w:firstLine="420" w:firstLineChars="200"/>
        <w:rPr>
          <w:rFonts w:hint="eastAsia" w:hAnsi="宋体" w:cs="宋体"/>
          <w:kern w:val="0"/>
          <w:highlight w:val="none"/>
        </w:rPr>
      </w:pPr>
      <w:bookmarkStart w:id="170" w:name="bookmark921"/>
      <w:bookmarkEnd w:id="170"/>
      <w:r>
        <w:rPr>
          <w:rFonts w:hint="eastAsia" w:hAnsi="宋体" w:cs="宋体"/>
          <w:kern w:val="0"/>
          <w:highlight w:val="none"/>
        </w:rPr>
        <w:t>（7）图纸；</w:t>
      </w:r>
    </w:p>
    <w:p w14:paraId="73F4C0C7">
      <w:pPr>
        <w:spacing w:line="360" w:lineRule="auto"/>
        <w:ind w:firstLine="420" w:firstLineChars="200"/>
        <w:rPr>
          <w:rFonts w:hint="eastAsia" w:hAnsi="宋体" w:cs="宋体"/>
          <w:kern w:val="0"/>
          <w:highlight w:val="none"/>
        </w:rPr>
      </w:pPr>
      <w:bookmarkStart w:id="171" w:name="bookmark922"/>
      <w:bookmarkEnd w:id="171"/>
      <w:r>
        <w:rPr>
          <w:rFonts w:hint="eastAsia" w:hAnsi="宋体" w:cs="宋体"/>
          <w:kern w:val="0"/>
          <w:highlight w:val="none"/>
        </w:rPr>
        <w:t>（8）已标价工程量清单；</w:t>
      </w:r>
    </w:p>
    <w:p w14:paraId="5A5CF695">
      <w:pPr>
        <w:spacing w:line="360" w:lineRule="auto"/>
        <w:ind w:firstLine="420" w:firstLineChars="200"/>
        <w:jc w:val="left"/>
        <w:rPr>
          <w:rFonts w:hint="eastAsia" w:hAnsi="宋体" w:cs="宋体"/>
          <w:kern w:val="0"/>
          <w:highlight w:val="none"/>
        </w:rPr>
      </w:pPr>
      <w:r>
        <w:rPr>
          <w:rFonts w:hint="eastAsia" w:hAnsi="宋体" w:cs="宋体"/>
          <w:kern w:val="0"/>
          <w:highlight w:val="none"/>
        </w:rPr>
        <w:t>（9）其他合同文件：</w:t>
      </w:r>
    </w:p>
    <w:p w14:paraId="378D933B">
      <w:pPr>
        <w:spacing w:line="360" w:lineRule="auto"/>
        <w:ind w:firstLine="420" w:firstLineChars="200"/>
        <w:rPr>
          <w:rFonts w:hAnsi="宋体" w:cs="宋体"/>
          <w:kern w:val="0"/>
          <w:highlight w:val="none"/>
        </w:rPr>
      </w:pPr>
      <w:r>
        <w:rPr>
          <w:rFonts w:hint="eastAsia" w:hAnsi="宋体" w:cs="宋体"/>
          <w:kern w:val="0"/>
          <w:highlight w:val="none"/>
        </w:rPr>
        <w:t>上述各项合同文件包括合同当事人就该项合同文件所作出的补充和修改，属于同一类内容的文件，应以最新签署的为准（违反招标文件</w:t>
      </w:r>
      <w:r>
        <w:rPr>
          <w:rFonts w:hAnsi="宋体" w:cs="宋体"/>
          <w:kern w:val="0"/>
          <w:highlight w:val="none"/>
        </w:rPr>
        <w:t>实质性内容的约定除外</w:t>
      </w:r>
      <w:r>
        <w:rPr>
          <w:rFonts w:hint="eastAsia" w:hAnsi="宋体" w:cs="宋体"/>
          <w:kern w:val="0"/>
          <w:highlight w:val="none"/>
        </w:rPr>
        <w:t>）。专用合同条款及其附件须经合同当事人签字或盖章。</w:t>
      </w:r>
    </w:p>
    <w:p w14:paraId="0DF4DD8D">
      <w:pPr>
        <w:pStyle w:val="5"/>
        <w:jc w:val="left"/>
        <w:rPr>
          <w:highlight w:val="none"/>
        </w:rPr>
      </w:pPr>
      <w:bookmarkStart w:id="172" w:name="_Toc373478344"/>
      <w:bookmarkStart w:id="173" w:name="_Toc373227697"/>
      <w:bookmarkStart w:id="174" w:name="_Toc1537247101"/>
      <w:bookmarkStart w:id="175" w:name="_Toc389065263"/>
      <w:bookmarkStart w:id="176" w:name="_Toc78449785"/>
      <w:bookmarkStart w:id="177" w:name="_Toc1531480704"/>
      <w:bookmarkStart w:id="178" w:name="_Toc407135199"/>
      <w:r>
        <w:rPr>
          <w:highlight w:val="none"/>
        </w:rPr>
        <w:t xml:space="preserve">1.6 </w:t>
      </w:r>
      <w:r>
        <w:rPr>
          <w:rFonts w:hint="eastAsia" w:cs="黑体"/>
          <w:highlight w:val="none"/>
        </w:rPr>
        <w:t>图纸和承包人文件</w:t>
      </w:r>
      <w:bookmarkEnd w:id="172"/>
      <w:bookmarkEnd w:id="173"/>
      <w:bookmarkEnd w:id="174"/>
      <w:bookmarkEnd w:id="175"/>
      <w:bookmarkEnd w:id="176"/>
      <w:bookmarkEnd w:id="177"/>
      <w:bookmarkEnd w:id="178"/>
      <w:r>
        <w:rPr>
          <w:highlight w:val="none"/>
        </w:rPr>
        <w:tab/>
      </w:r>
    </w:p>
    <w:p w14:paraId="17FA9291">
      <w:pPr>
        <w:spacing w:line="360" w:lineRule="auto"/>
        <w:ind w:firstLine="420" w:firstLineChars="200"/>
        <w:rPr>
          <w:highlight w:val="none"/>
        </w:rPr>
      </w:pPr>
      <w:r>
        <w:rPr>
          <w:highlight w:val="none"/>
        </w:rPr>
        <w:t xml:space="preserve">1.6.1 </w:t>
      </w:r>
      <w:r>
        <w:rPr>
          <w:rFonts w:hint="eastAsia" w:hAnsi="宋体" w:cs="宋体"/>
          <w:highlight w:val="none"/>
        </w:rPr>
        <w:t>图纸的提供</w:t>
      </w:r>
    </w:p>
    <w:p w14:paraId="7B16BAF5">
      <w:pPr>
        <w:spacing w:line="360" w:lineRule="auto"/>
        <w:ind w:firstLine="420" w:firstLineChars="200"/>
        <w:rPr>
          <w:highlight w:val="none"/>
        </w:rPr>
      </w:pPr>
      <w:r>
        <w:rPr>
          <w:rFonts w:hint="eastAsia" w:hAnsi="宋体" w:cs="宋体"/>
          <w:highlight w:val="none"/>
        </w:rPr>
        <w:t>发包人向承包人提供图纸的期限：</w:t>
      </w:r>
      <w:r>
        <w:rPr>
          <w:highlight w:val="none"/>
          <w:u w:val="single"/>
        </w:rPr>
        <w:t xml:space="preserve"> </w:t>
      </w:r>
      <w:r>
        <w:rPr>
          <w:rFonts w:hint="eastAsia" w:ascii="仿宋" w:hAnsi="仿宋" w:eastAsia="仿宋" w:cs="仿宋"/>
          <w:color w:val="auto"/>
          <w:sz w:val="24"/>
          <w:szCs w:val="24"/>
          <w:highlight w:val="none"/>
          <w:u w:val="single"/>
          <w:lang w:eastAsia="zh-CN"/>
        </w:rPr>
        <w:t>合同签定后七天内</w:t>
      </w:r>
      <w:r>
        <w:rPr>
          <w:rFonts w:hint="eastAsia"/>
          <w:highlight w:val="none"/>
          <w:u w:val="single"/>
        </w:rPr>
        <w:t xml:space="preserve">   </w:t>
      </w:r>
      <w:r>
        <w:rPr>
          <w:highlight w:val="none"/>
          <w:u w:val="single"/>
        </w:rPr>
        <w:t xml:space="preserve"> </w:t>
      </w:r>
      <w:r>
        <w:rPr>
          <w:rFonts w:hint="eastAsia" w:hAnsi="宋体" w:cs="宋体"/>
          <w:highlight w:val="none"/>
        </w:rPr>
        <w:t>；</w:t>
      </w:r>
    </w:p>
    <w:p w14:paraId="181983FE">
      <w:pPr>
        <w:spacing w:line="360" w:lineRule="auto"/>
        <w:ind w:firstLine="420" w:firstLineChars="200"/>
        <w:rPr>
          <w:highlight w:val="none"/>
        </w:rPr>
      </w:pPr>
      <w:r>
        <w:rPr>
          <w:rFonts w:hint="eastAsia" w:hAnsi="宋体" w:cs="宋体"/>
          <w:highlight w:val="none"/>
        </w:rPr>
        <w:t>发包人向承包人提供图纸的数量：</w:t>
      </w:r>
      <w:r>
        <w:rPr>
          <w:rFonts w:hint="eastAsia" w:hAnsi="宋体" w:cs="宋体"/>
          <w:highlight w:val="none"/>
          <w:u w:val="single"/>
        </w:rPr>
        <w:t xml:space="preserve"> </w:t>
      </w:r>
      <w:r>
        <w:rPr>
          <w:rFonts w:hint="eastAsia" w:ascii="MingLiU_HKSCS" w:cs="MingLiU_HKSCS"/>
          <w:highlight w:val="none"/>
          <w:u w:val="single"/>
        </w:rPr>
        <w:t xml:space="preserve"> </w:t>
      </w:r>
      <w:bookmarkStart w:id="179" w:name="EB35c1c07943a84cd68c95cea5e86d5663"/>
      <w:r>
        <w:rPr>
          <w:rFonts w:hint="eastAsia" w:ascii="仿宋" w:hAnsi="仿宋" w:eastAsia="仿宋" w:cs="仿宋"/>
          <w:color w:val="auto"/>
          <w:sz w:val="24"/>
          <w:szCs w:val="24"/>
          <w:highlight w:val="none"/>
          <w:u w:val="single"/>
          <w:lang w:eastAsia="zh-CN"/>
        </w:rPr>
        <w:t>肆</w:t>
      </w:r>
      <w:bookmarkEnd w:id="179"/>
      <w:r>
        <w:rPr>
          <w:rFonts w:hint="eastAsia" w:ascii="MingLiU_HKSCS" w:cs="MingLiU_HKSCS"/>
          <w:highlight w:val="none"/>
          <w:u w:val="single"/>
        </w:rPr>
        <w:t xml:space="preserve">  </w:t>
      </w:r>
      <w:r>
        <w:rPr>
          <w:rFonts w:hint="eastAsia" w:hAnsi="宋体" w:cs="宋体"/>
          <w:highlight w:val="none"/>
        </w:rPr>
        <w:t>套（承包人需要增加图纸套数的，发包人应代为复制，复制费用由承包人承担）；</w:t>
      </w:r>
    </w:p>
    <w:p w14:paraId="1F872A88">
      <w:pPr>
        <w:spacing w:line="360" w:lineRule="auto"/>
        <w:ind w:firstLine="420" w:firstLineChars="200"/>
        <w:rPr>
          <w:highlight w:val="none"/>
        </w:rPr>
      </w:pPr>
      <w:r>
        <w:rPr>
          <w:rFonts w:hint="eastAsia" w:hAnsi="宋体" w:cs="宋体"/>
          <w:highlight w:val="none"/>
        </w:rPr>
        <w:t>发包人向承包人提供图纸的内容：</w:t>
      </w:r>
      <w:r>
        <w:rPr>
          <w:highlight w:val="none"/>
          <w:u w:val="single"/>
        </w:rPr>
        <w:t xml:space="preserve"> </w:t>
      </w:r>
      <w:r>
        <w:rPr>
          <w:rFonts w:hint="eastAsia"/>
          <w:highlight w:val="none"/>
          <w:u w:val="single"/>
          <w:lang w:eastAsia="zh-CN"/>
        </w:rPr>
        <w:t>竞标范围内的全套图纸</w:t>
      </w:r>
      <w:r>
        <w:rPr>
          <w:rFonts w:hint="eastAsia"/>
          <w:highlight w:val="none"/>
          <w:u w:val="single"/>
        </w:rPr>
        <w:t xml:space="preserve">  </w:t>
      </w:r>
      <w:r>
        <w:rPr>
          <w:highlight w:val="none"/>
          <w:u w:val="single"/>
        </w:rPr>
        <w:t xml:space="preserve"> </w:t>
      </w:r>
      <w:r>
        <w:rPr>
          <w:rFonts w:hint="eastAsia" w:hAnsi="宋体" w:cs="宋体"/>
          <w:highlight w:val="none"/>
        </w:rPr>
        <w:t>。</w:t>
      </w:r>
    </w:p>
    <w:p w14:paraId="65B95919">
      <w:pPr>
        <w:spacing w:line="360" w:lineRule="auto"/>
        <w:ind w:firstLine="420" w:firstLineChars="200"/>
        <w:rPr>
          <w:highlight w:val="none"/>
        </w:rPr>
      </w:pPr>
      <w:r>
        <w:rPr>
          <w:highlight w:val="none"/>
        </w:rPr>
        <w:t xml:space="preserve">1.6.4 </w:t>
      </w:r>
      <w:r>
        <w:rPr>
          <w:rFonts w:hint="eastAsia" w:hAnsi="宋体" w:cs="宋体"/>
          <w:highlight w:val="none"/>
        </w:rPr>
        <w:t>承包人文件</w:t>
      </w:r>
    </w:p>
    <w:p w14:paraId="75BDED97">
      <w:pPr>
        <w:spacing w:line="360" w:lineRule="auto"/>
        <w:ind w:firstLine="420" w:firstLineChars="200"/>
        <w:jc w:val="left"/>
        <w:rPr>
          <w:highlight w:val="none"/>
          <w:u w:val="single"/>
        </w:rPr>
      </w:pPr>
      <w:r>
        <w:rPr>
          <w:rFonts w:hint="eastAsia" w:hAnsi="宋体" w:cs="宋体"/>
          <w:highlight w:val="none"/>
        </w:rPr>
        <w:t>需要由承包人提供的文件，包括：</w:t>
      </w:r>
      <w:r>
        <w:rPr>
          <w:highlight w:val="none"/>
          <w:u w:val="single"/>
        </w:rPr>
        <w:t xml:space="preserve">  </w:t>
      </w:r>
      <w:bookmarkStart w:id="180" w:name="EB35a780007b0846318b5a647fd8538850"/>
      <w:r>
        <w:rPr>
          <w:rFonts w:hint="eastAsia"/>
          <w:highlight w:val="none"/>
          <w:u w:val="single"/>
          <w:lang w:eastAsia="zh-CN"/>
        </w:rPr>
        <w:t>合同签订7天内向监理工程师和发包人提交以下材料：1、施工组织设计；2、工程进度计划；3、管理人员名单、职称、职务、上岗证等；4、安全文明施工措施；5、质量保证体系。每月25日前提供当月施工统计报表和下月进度计划各一份交监理工程师及发包人</w:t>
      </w:r>
      <w:bookmarkEnd w:id="180"/>
      <w:r>
        <w:rPr>
          <w:highlight w:val="none"/>
          <w:u w:val="single"/>
        </w:rPr>
        <w:t xml:space="preserve">  </w:t>
      </w:r>
      <w:r>
        <w:rPr>
          <w:rFonts w:hint="eastAsia" w:hAnsi="宋体" w:cs="宋体"/>
          <w:highlight w:val="none"/>
        </w:rPr>
        <w:t>；</w:t>
      </w:r>
    </w:p>
    <w:p w14:paraId="0260F48E">
      <w:pPr>
        <w:spacing w:line="360" w:lineRule="auto"/>
        <w:ind w:firstLine="420" w:firstLineChars="200"/>
        <w:rPr>
          <w:highlight w:val="none"/>
        </w:rPr>
      </w:pPr>
      <w:r>
        <w:rPr>
          <w:rFonts w:hint="eastAsia" w:hAnsi="宋体" w:cs="宋体"/>
          <w:highlight w:val="none"/>
        </w:rPr>
        <w:t>承包人提供的文件的期限为：</w:t>
      </w:r>
      <w:r>
        <w:rPr>
          <w:highlight w:val="none"/>
          <w:u w:val="single"/>
        </w:rPr>
        <w:t xml:space="preserve">   </w:t>
      </w:r>
      <w:r>
        <w:rPr>
          <w:rFonts w:hint="eastAsia"/>
          <w:highlight w:val="none"/>
          <w:u w:val="single"/>
          <w:lang w:eastAsia="zh-CN"/>
        </w:rPr>
        <w:t>开始施工前7天内</w:t>
      </w:r>
      <w:r>
        <w:rPr>
          <w:highlight w:val="none"/>
          <w:u w:val="single"/>
        </w:rPr>
        <w:t xml:space="preserve">   </w:t>
      </w:r>
      <w:r>
        <w:rPr>
          <w:rFonts w:hAnsi="宋体"/>
          <w:highlight w:val="none"/>
          <w:u w:val="single"/>
        </w:rPr>
        <w:t xml:space="preserve">  </w:t>
      </w:r>
      <w:r>
        <w:rPr>
          <w:rFonts w:hint="eastAsia" w:hAnsi="宋体" w:cs="宋体"/>
          <w:highlight w:val="none"/>
        </w:rPr>
        <w:t>；</w:t>
      </w:r>
    </w:p>
    <w:p w14:paraId="2D9D41D3">
      <w:pPr>
        <w:spacing w:line="360" w:lineRule="auto"/>
        <w:ind w:firstLine="420" w:firstLineChars="200"/>
        <w:rPr>
          <w:highlight w:val="none"/>
        </w:rPr>
      </w:pPr>
      <w:r>
        <w:rPr>
          <w:rFonts w:hint="eastAsia" w:hAnsi="宋体" w:cs="宋体"/>
          <w:highlight w:val="none"/>
        </w:rPr>
        <w:t>承包人提供的文件的数量为：</w:t>
      </w:r>
      <w:r>
        <w:rPr>
          <w:highlight w:val="none"/>
          <w:u w:val="single"/>
        </w:rPr>
        <w:t xml:space="preserve">    </w:t>
      </w:r>
      <w:r>
        <w:rPr>
          <w:rFonts w:hint="eastAsia"/>
          <w:highlight w:val="none"/>
          <w:u w:val="single"/>
          <w:lang w:eastAsia="zh-CN"/>
        </w:rPr>
        <w:t>一式捌份</w:t>
      </w:r>
      <w:r>
        <w:rPr>
          <w:highlight w:val="none"/>
          <w:u w:val="single"/>
        </w:rPr>
        <w:t xml:space="preserve">    </w:t>
      </w:r>
      <w:r>
        <w:rPr>
          <w:rFonts w:hint="eastAsia" w:hAnsi="宋体" w:cs="宋体"/>
          <w:highlight w:val="none"/>
        </w:rPr>
        <w:t>；</w:t>
      </w:r>
    </w:p>
    <w:p w14:paraId="7C216C93">
      <w:pPr>
        <w:spacing w:line="360" w:lineRule="auto"/>
        <w:ind w:firstLine="420" w:firstLineChars="200"/>
        <w:rPr>
          <w:highlight w:val="none"/>
        </w:rPr>
      </w:pPr>
      <w:r>
        <w:rPr>
          <w:rFonts w:hint="eastAsia" w:hAnsi="宋体" w:cs="宋体"/>
          <w:highlight w:val="none"/>
        </w:rPr>
        <w:t>承包人提供的文件的形式为：</w:t>
      </w:r>
      <w:r>
        <w:rPr>
          <w:highlight w:val="none"/>
          <w:u w:val="single"/>
        </w:rPr>
        <w:t xml:space="preserve"> </w:t>
      </w:r>
      <w:r>
        <w:rPr>
          <w:rFonts w:hAnsi="宋体"/>
          <w:highlight w:val="none"/>
          <w:u w:val="single"/>
        </w:rPr>
        <w:t xml:space="preserve">    </w:t>
      </w:r>
      <w:r>
        <w:rPr>
          <w:rFonts w:hint="eastAsia" w:ascii="仿宋" w:hAnsi="仿宋" w:eastAsia="仿宋" w:cs="仿宋"/>
          <w:color w:val="auto"/>
          <w:sz w:val="24"/>
          <w:szCs w:val="24"/>
          <w:highlight w:val="none"/>
          <w:u w:val="single"/>
          <w:lang w:eastAsia="zh-CN"/>
        </w:rPr>
        <w:t>纸质</w:t>
      </w:r>
      <w:r>
        <w:rPr>
          <w:highlight w:val="none"/>
          <w:u w:val="single"/>
        </w:rPr>
        <w:t xml:space="preserve">  </w:t>
      </w:r>
      <w:r>
        <w:rPr>
          <w:rFonts w:hAnsi="宋体"/>
          <w:highlight w:val="none"/>
          <w:u w:val="single"/>
        </w:rPr>
        <w:t xml:space="preserve">  </w:t>
      </w:r>
      <w:r>
        <w:rPr>
          <w:rFonts w:hint="eastAsia" w:hAnsi="宋体" w:cs="宋体"/>
          <w:highlight w:val="none"/>
        </w:rPr>
        <w:t>；</w:t>
      </w:r>
    </w:p>
    <w:p w14:paraId="01FBF2A8">
      <w:pPr>
        <w:spacing w:line="360" w:lineRule="auto"/>
        <w:ind w:firstLine="420" w:firstLineChars="200"/>
        <w:rPr>
          <w:highlight w:val="none"/>
        </w:rPr>
      </w:pPr>
      <w:r>
        <w:rPr>
          <w:rFonts w:hint="eastAsia" w:hAnsi="宋体" w:cs="宋体"/>
          <w:highlight w:val="none"/>
        </w:rPr>
        <w:t>发包人审批承包人文件的期限：</w:t>
      </w:r>
      <w:r>
        <w:rPr>
          <w:highlight w:val="none"/>
          <w:u w:val="single"/>
        </w:rPr>
        <w:t xml:space="preserve">   </w:t>
      </w:r>
      <w:r>
        <w:rPr>
          <w:rFonts w:hint="eastAsia"/>
          <w:highlight w:val="none"/>
          <w:u w:val="single"/>
          <w:lang w:eastAsia="zh-CN"/>
        </w:rPr>
        <w:t>提交文件后七天内</w:t>
      </w:r>
      <w:r>
        <w:rPr>
          <w:rFonts w:hAnsi="宋体"/>
          <w:highlight w:val="none"/>
          <w:u w:val="single"/>
        </w:rPr>
        <w:t xml:space="preserve">     </w:t>
      </w:r>
      <w:r>
        <w:rPr>
          <w:rFonts w:hint="eastAsia" w:hAnsi="宋体" w:cs="宋体"/>
          <w:highlight w:val="none"/>
        </w:rPr>
        <w:t>。</w:t>
      </w:r>
    </w:p>
    <w:p w14:paraId="259B6BDC">
      <w:pPr>
        <w:spacing w:line="360" w:lineRule="auto"/>
        <w:ind w:firstLine="420" w:firstLineChars="200"/>
        <w:rPr>
          <w:highlight w:val="none"/>
        </w:rPr>
      </w:pPr>
      <w:r>
        <w:rPr>
          <w:highlight w:val="none"/>
        </w:rPr>
        <w:t xml:space="preserve">1.6.5 </w:t>
      </w:r>
      <w:r>
        <w:rPr>
          <w:rFonts w:hint="eastAsia" w:hAnsi="宋体" w:cs="宋体"/>
          <w:highlight w:val="none"/>
        </w:rPr>
        <w:t>现场图纸准备</w:t>
      </w:r>
    </w:p>
    <w:p w14:paraId="7A941489">
      <w:pPr>
        <w:spacing w:line="360" w:lineRule="auto"/>
        <w:ind w:firstLine="420" w:firstLineChars="200"/>
        <w:rPr>
          <w:highlight w:val="none"/>
        </w:rPr>
      </w:pPr>
      <w:r>
        <w:rPr>
          <w:rFonts w:hint="eastAsia" w:hAnsi="宋体" w:cs="宋体"/>
          <w:highlight w:val="none"/>
        </w:rPr>
        <w:t>关于现场图纸准备的约定：</w:t>
      </w:r>
      <w:r>
        <w:rPr>
          <w:highlight w:val="none"/>
          <w:u w:val="single"/>
        </w:rPr>
        <w:t xml:space="preserve">    </w:t>
      </w:r>
      <w:r>
        <w:rPr>
          <w:rFonts w:hint="eastAsia"/>
          <w:highlight w:val="none"/>
          <w:u w:val="single"/>
          <w:lang w:eastAsia="zh-CN"/>
        </w:rPr>
        <w:t>无</w:t>
      </w:r>
      <w:r>
        <w:rPr>
          <w:rFonts w:hint="eastAsia" w:hAnsi="宋体"/>
          <w:highlight w:val="none"/>
          <w:u w:val="single"/>
        </w:rPr>
        <w:t xml:space="preserve">     </w:t>
      </w:r>
      <w:r>
        <w:rPr>
          <w:rFonts w:hAnsi="宋体"/>
          <w:highlight w:val="none"/>
          <w:u w:val="single"/>
        </w:rPr>
        <w:t xml:space="preserve">  </w:t>
      </w:r>
      <w:r>
        <w:rPr>
          <w:rFonts w:hint="eastAsia" w:hAnsi="宋体" w:cs="宋体"/>
          <w:highlight w:val="none"/>
        </w:rPr>
        <w:t>。</w:t>
      </w:r>
    </w:p>
    <w:p w14:paraId="038C9790">
      <w:pPr>
        <w:pStyle w:val="5"/>
        <w:jc w:val="left"/>
        <w:rPr>
          <w:highlight w:val="none"/>
        </w:rPr>
      </w:pPr>
      <w:bookmarkStart w:id="181" w:name="_Toc373478345"/>
      <w:bookmarkStart w:id="182" w:name="_Toc1944260835"/>
      <w:bookmarkStart w:id="183" w:name="_Toc389065264"/>
      <w:bookmarkStart w:id="184" w:name="_Toc373227698"/>
      <w:bookmarkStart w:id="185" w:name="_Toc78449786"/>
      <w:bookmarkStart w:id="186" w:name="_Toc110523719"/>
      <w:bookmarkStart w:id="187" w:name="_Toc407135200"/>
      <w:r>
        <w:rPr>
          <w:highlight w:val="none"/>
        </w:rPr>
        <w:t xml:space="preserve">1.7 </w:t>
      </w:r>
      <w:r>
        <w:rPr>
          <w:rFonts w:hint="eastAsia" w:hAnsi="宋体" w:cs="黑体"/>
          <w:highlight w:val="none"/>
        </w:rPr>
        <w:t>联络</w:t>
      </w:r>
      <w:bookmarkEnd w:id="181"/>
      <w:bookmarkEnd w:id="182"/>
      <w:bookmarkEnd w:id="183"/>
      <w:bookmarkEnd w:id="184"/>
      <w:bookmarkEnd w:id="185"/>
      <w:bookmarkEnd w:id="186"/>
      <w:bookmarkEnd w:id="187"/>
    </w:p>
    <w:p w14:paraId="4228F29C">
      <w:pPr>
        <w:spacing w:line="360" w:lineRule="auto"/>
        <w:ind w:firstLine="420" w:firstLineChars="200"/>
        <w:rPr>
          <w:kern w:val="0"/>
          <w:highlight w:val="none"/>
        </w:rPr>
      </w:pPr>
      <w:r>
        <w:rPr>
          <w:kern w:val="0"/>
          <w:highlight w:val="none"/>
        </w:rPr>
        <w:t>1.7.1</w:t>
      </w:r>
      <w:r>
        <w:rPr>
          <w:rFonts w:hint="eastAsia" w:hAnsi="宋体" w:cs="宋体"/>
          <w:kern w:val="0"/>
          <w:highlight w:val="none"/>
        </w:rPr>
        <w:t>发包人和承包人应当在</w:t>
      </w:r>
      <w:r>
        <w:rPr>
          <w:highlight w:val="none"/>
          <w:u w:val="single"/>
        </w:rPr>
        <w:t xml:space="preserve">  </w:t>
      </w:r>
      <w:r>
        <w:rPr>
          <w:rFonts w:hint="eastAsia"/>
          <w:highlight w:val="none"/>
          <w:u w:val="single"/>
          <w:lang w:val="en-US" w:eastAsia="zh-CN"/>
        </w:rPr>
        <w:t>7</w:t>
      </w:r>
      <w:r>
        <w:rPr>
          <w:highlight w:val="none"/>
          <w:u w:val="single"/>
        </w:rPr>
        <w:t xml:space="preserve">  </w:t>
      </w:r>
      <w:r>
        <w:rPr>
          <w:rFonts w:hint="eastAsia" w:hAnsi="宋体" w:cs="宋体"/>
          <w:kern w:val="0"/>
          <w:highlight w:val="none"/>
        </w:rPr>
        <w:t>天内将与合同有关的通知、批准、证明、证书、指示、指令、要求、请求、同意、意见、确定和决定等书面函件送达对方当事人。</w:t>
      </w:r>
    </w:p>
    <w:p w14:paraId="4166AC28">
      <w:pPr>
        <w:spacing w:line="360" w:lineRule="auto"/>
        <w:ind w:firstLine="420" w:firstLineChars="200"/>
        <w:rPr>
          <w:kern w:val="0"/>
          <w:highlight w:val="none"/>
        </w:rPr>
      </w:pPr>
      <w:r>
        <w:rPr>
          <w:kern w:val="0"/>
          <w:highlight w:val="none"/>
        </w:rPr>
        <w:t xml:space="preserve">1.7.2 </w:t>
      </w:r>
      <w:r>
        <w:rPr>
          <w:rFonts w:hint="eastAsia" w:hAnsi="宋体" w:cs="宋体"/>
          <w:kern w:val="0"/>
          <w:highlight w:val="none"/>
        </w:rPr>
        <w:t>发包人接收文件的地点：</w:t>
      </w:r>
      <w:r>
        <w:rPr>
          <w:highlight w:val="none"/>
          <w:u w:val="single"/>
        </w:rPr>
        <w:t xml:space="preserve">    发包人指定地点</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41DA836B">
      <w:pPr>
        <w:spacing w:line="360" w:lineRule="auto"/>
        <w:ind w:firstLine="420" w:firstLineChars="200"/>
        <w:rPr>
          <w:kern w:val="0"/>
          <w:highlight w:val="none"/>
        </w:rPr>
      </w:pPr>
      <w:r>
        <w:rPr>
          <w:rFonts w:hint="eastAsia" w:hAnsi="宋体" w:cs="宋体"/>
          <w:kern w:val="0"/>
          <w:highlight w:val="none"/>
        </w:rPr>
        <w:t>发包人指定的接收人为：</w:t>
      </w:r>
      <w:r>
        <w:rPr>
          <w:highlight w:val="none"/>
          <w:u w:val="single"/>
        </w:rPr>
        <w:t xml:space="preserve">    </w:t>
      </w:r>
      <w:r>
        <w:rPr>
          <w:rFonts w:ascii="Arial" w:hAnsi="Arial" w:cs="Arial"/>
          <w:color w:val="000000"/>
          <w:highlight w:val="none"/>
          <w:u w:val="single"/>
        </w:rPr>
        <w:t>发包人项目现场代表</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204E1B19">
      <w:pPr>
        <w:spacing w:line="360" w:lineRule="auto"/>
        <w:ind w:firstLine="420" w:firstLineChars="200"/>
        <w:rPr>
          <w:kern w:val="0"/>
          <w:highlight w:val="none"/>
        </w:rPr>
      </w:pPr>
      <w:r>
        <w:rPr>
          <w:rFonts w:hint="eastAsia" w:hAnsi="宋体" w:cs="宋体"/>
          <w:kern w:val="0"/>
          <w:highlight w:val="none"/>
        </w:rPr>
        <w:t>承包人接收文件的地点：</w:t>
      </w:r>
      <w:r>
        <w:rPr>
          <w:highlight w:val="none"/>
          <w:u w:val="single"/>
        </w:rPr>
        <w:t xml:space="preserve">    </w:t>
      </w:r>
      <w:r>
        <w:rPr>
          <w:rFonts w:ascii="Arial" w:hAnsi="Arial" w:cs="Arial"/>
          <w:color w:val="000000"/>
          <w:highlight w:val="none"/>
          <w:u w:val="single"/>
        </w:rPr>
        <w:t>项目部现场</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26E3A47B">
      <w:pPr>
        <w:spacing w:line="360" w:lineRule="auto"/>
        <w:ind w:firstLine="420" w:firstLineChars="200"/>
        <w:rPr>
          <w:kern w:val="0"/>
          <w:highlight w:val="none"/>
        </w:rPr>
      </w:pPr>
      <w:r>
        <w:rPr>
          <w:rFonts w:hint="eastAsia" w:hAnsi="宋体" w:cs="宋体"/>
          <w:kern w:val="0"/>
          <w:highlight w:val="none"/>
        </w:rPr>
        <w:t>承包人指定的接收人为：</w:t>
      </w:r>
      <w:r>
        <w:rPr>
          <w:highlight w:val="none"/>
          <w:u w:val="single"/>
        </w:rPr>
        <w:t xml:space="preserve">   </w:t>
      </w:r>
      <w:r>
        <w:rPr>
          <w:rFonts w:ascii="Arial" w:hAnsi="Arial" w:cs="Arial"/>
          <w:color w:val="000000"/>
          <w:highlight w:val="none"/>
          <w:u w:val="single"/>
        </w:rPr>
        <w:t>承包人项目代表</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0952D6A9">
      <w:pPr>
        <w:spacing w:line="360" w:lineRule="auto"/>
        <w:ind w:firstLine="420" w:firstLineChars="200"/>
        <w:rPr>
          <w:kern w:val="0"/>
          <w:highlight w:val="none"/>
        </w:rPr>
      </w:pPr>
      <w:r>
        <w:rPr>
          <w:rFonts w:hint="eastAsia" w:hAnsi="宋体" w:cs="宋体"/>
          <w:kern w:val="0"/>
          <w:highlight w:val="none"/>
        </w:rPr>
        <w:t>监理人接收文件的地点：</w:t>
      </w:r>
      <w:r>
        <w:rPr>
          <w:highlight w:val="none"/>
          <w:u w:val="single"/>
        </w:rPr>
        <w:t xml:space="preserve">    </w:t>
      </w:r>
      <w:r>
        <w:rPr>
          <w:rFonts w:ascii="Arial" w:hAnsi="Arial" w:cs="Arial"/>
          <w:color w:val="000000"/>
          <w:highlight w:val="none"/>
          <w:u w:val="single"/>
        </w:rPr>
        <w:t>项目部现场</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480545B3">
      <w:pPr>
        <w:spacing w:line="360" w:lineRule="auto"/>
        <w:ind w:firstLine="420" w:firstLineChars="200"/>
        <w:rPr>
          <w:kern w:val="0"/>
          <w:highlight w:val="none"/>
        </w:rPr>
      </w:pPr>
      <w:r>
        <w:rPr>
          <w:rFonts w:hint="eastAsia" w:hAnsi="宋体" w:cs="宋体"/>
          <w:kern w:val="0"/>
          <w:highlight w:val="none"/>
        </w:rPr>
        <w:t>监理人指定的接收人为：</w:t>
      </w:r>
      <w:r>
        <w:rPr>
          <w:highlight w:val="none"/>
          <w:u w:val="single"/>
        </w:rPr>
        <w:t xml:space="preserve">   </w:t>
      </w:r>
      <w:r>
        <w:rPr>
          <w:rFonts w:ascii="Arial" w:hAnsi="Arial" w:cs="Arial"/>
          <w:color w:val="000000"/>
          <w:highlight w:val="none"/>
          <w:u w:val="single"/>
        </w:rPr>
        <w:t>监理人项目代表</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5EEF5318">
      <w:pPr>
        <w:pStyle w:val="5"/>
        <w:jc w:val="left"/>
        <w:rPr>
          <w:highlight w:val="none"/>
        </w:rPr>
      </w:pPr>
      <w:bookmarkStart w:id="188" w:name="_Toc389065265"/>
      <w:bookmarkStart w:id="189" w:name="_Toc1387231545"/>
      <w:bookmarkStart w:id="190" w:name="_Toc78449787"/>
      <w:bookmarkStart w:id="191" w:name="_Toc373227699"/>
      <w:bookmarkStart w:id="192" w:name="_Toc224348539"/>
      <w:bookmarkStart w:id="193" w:name="_Toc407135201"/>
      <w:bookmarkStart w:id="194" w:name="_Toc373478346"/>
      <w:r>
        <w:rPr>
          <w:highlight w:val="none"/>
        </w:rPr>
        <w:t xml:space="preserve">1.10 </w:t>
      </w:r>
      <w:r>
        <w:rPr>
          <w:rFonts w:hint="eastAsia" w:hAnsi="宋体" w:cs="黑体"/>
          <w:highlight w:val="none"/>
        </w:rPr>
        <w:t>交通运输</w:t>
      </w:r>
      <w:bookmarkEnd w:id="188"/>
      <w:bookmarkEnd w:id="189"/>
      <w:bookmarkEnd w:id="190"/>
      <w:bookmarkEnd w:id="191"/>
      <w:bookmarkEnd w:id="192"/>
      <w:bookmarkEnd w:id="193"/>
      <w:bookmarkEnd w:id="194"/>
    </w:p>
    <w:p w14:paraId="4E8BBCB1">
      <w:pPr>
        <w:spacing w:line="360" w:lineRule="auto"/>
        <w:ind w:firstLine="420" w:firstLineChars="200"/>
        <w:rPr>
          <w:highlight w:val="none"/>
        </w:rPr>
      </w:pPr>
      <w:r>
        <w:rPr>
          <w:highlight w:val="none"/>
        </w:rPr>
        <w:t>1</w:t>
      </w:r>
      <w:bookmarkStart w:id="195" w:name="_Toc303539100"/>
      <w:bookmarkStart w:id="196" w:name="_Toc300934943"/>
      <w:bookmarkStart w:id="197" w:name="_Toc304295521"/>
      <w:bookmarkStart w:id="198" w:name="_Toc312677986"/>
      <w:bookmarkStart w:id="199" w:name="_Toc318581155"/>
      <w:r>
        <w:rPr>
          <w:highlight w:val="none"/>
        </w:rPr>
        <w:t xml:space="preserve">.10.1 </w:t>
      </w:r>
      <w:r>
        <w:rPr>
          <w:rFonts w:hint="eastAsia" w:hAnsi="宋体" w:cs="宋体"/>
          <w:highlight w:val="none"/>
        </w:rPr>
        <w:t>出入现场的权利</w:t>
      </w:r>
    </w:p>
    <w:p w14:paraId="5ABF7D01">
      <w:pPr>
        <w:spacing w:line="360" w:lineRule="auto"/>
        <w:ind w:firstLine="420" w:firstLineChars="200"/>
        <w:rPr>
          <w:highlight w:val="none"/>
          <w:u w:val="single"/>
        </w:rPr>
      </w:pPr>
      <w:r>
        <w:rPr>
          <w:rFonts w:hint="eastAsia" w:hAnsi="宋体" w:cs="宋体"/>
          <w:highlight w:val="none"/>
        </w:rPr>
        <w:t>关于出入现场的权利的约定：</w:t>
      </w:r>
      <w:r>
        <w:rPr>
          <w:highlight w:val="none"/>
          <w:u w:val="single"/>
        </w:rPr>
        <w:t xml:space="preserve"> </w:t>
      </w:r>
      <w:r>
        <w:rPr>
          <w:rFonts w:hint="eastAsia"/>
          <w:highlight w:val="none"/>
          <w:u w:val="single"/>
          <w:lang w:eastAsia="zh-CN"/>
        </w:rPr>
        <w:t>在发包人指定的时间内出入并遵守有关安全管理规定</w:t>
      </w:r>
      <w:r>
        <w:rPr>
          <w:highlight w:val="none"/>
          <w:u w:val="single"/>
        </w:rPr>
        <w:t xml:space="preserve">   </w:t>
      </w:r>
      <w:r>
        <w:rPr>
          <w:rFonts w:hint="eastAsia" w:hAnsi="宋体" w:cs="宋体"/>
          <w:highlight w:val="none"/>
        </w:rPr>
        <w:t>。</w:t>
      </w:r>
    </w:p>
    <w:bookmarkEnd w:id="195"/>
    <w:bookmarkEnd w:id="196"/>
    <w:bookmarkEnd w:id="197"/>
    <w:bookmarkEnd w:id="198"/>
    <w:bookmarkEnd w:id="199"/>
    <w:p w14:paraId="5A40BDB9">
      <w:pPr>
        <w:spacing w:line="360" w:lineRule="auto"/>
        <w:ind w:firstLine="420" w:firstLineChars="200"/>
        <w:jc w:val="left"/>
        <w:rPr>
          <w:highlight w:val="none"/>
        </w:rPr>
      </w:pPr>
      <w:r>
        <w:rPr>
          <w:highlight w:val="none"/>
        </w:rPr>
        <w:t>1</w:t>
      </w:r>
      <w:bookmarkStart w:id="200" w:name="_Toc318581156"/>
      <w:bookmarkStart w:id="201" w:name="_Toc300934944"/>
      <w:bookmarkStart w:id="202" w:name="_Toc303539101"/>
      <w:bookmarkStart w:id="203" w:name="_Toc312677987"/>
      <w:bookmarkStart w:id="204" w:name="_Toc304295522"/>
      <w:r>
        <w:rPr>
          <w:highlight w:val="none"/>
        </w:rPr>
        <w:t xml:space="preserve">.10.3 </w:t>
      </w:r>
      <w:r>
        <w:rPr>
          <w:rFonts w:hint="eastAsia" w:hAnsi="宋体" w:cs="宋体"/>
          <w:highlight w:val="none"/>
        </w:rPr>
        <w:t>场内交通</w:t>
      </w:r>
    </w:p>
    <w:p w14:paraId="19FB4E9F">
      <w:pPr>
        <w:spacing w:line="360" w:lineRule="auto"/>
        <w:ind w:firstLine="420" w:firstLineChars="200"/>
        <w:jc w:val="left"/>
        <w:rPr>
          <w:kern w:val="0"/>
          <w:highlight w:val="none"/>
        </w:rPr>
      </w:pPr>
      <w:r>
        <w:rPr>
          <w:rFonts w:hint="eastAsia" w:hAnsi="宋体" w:cs="宋体"/>
          <w:kern w:val="0"/>
          <w:highlight w:val="none"/>
        </w:rPr>
        <w:t>关于场外交通和场内交通的边界的约定：</w:t>
      </w:r>
      <w:r>
        <w:rPr>
          <w:highlight w:val="none"/>
          <w:u w:val="single"/>
        </w:rPr>
        <w:t xml:space="preserve"> 以本合同施工图纸为准  </w:t>
      </w:r>
      <w:r>
        <w:rPr>
          <w:rFonts w:hint="eastAsia" w:hAnsi="宋体" w:cs="宋体"/>
          <w:highlight w:val="none"/>
        </w:rPr>
        <w:t>。</w:t>
      </w:r>
    </w:p>
    <w:p w14:paraId="2D28E1B1">
      <w:pPr>
        <w:spacing w:line="360" w:lineRule="auto"/>
        <w:ind w:firstLine="420" w:firstLineChars="200"/>
        <w:jc w:val="left"/>
        <w:rPr>
          <w:highlight w:val="none"/>
        </w:rPr>
      </w:pPr>
      <w:r>
        <w:rPr>
          <w:rFonts w:hAnsi="宋体"/>
          <w:highlight w:val="none"/>
        </w:rPr>
        <w:t>关于发包人向承包人免费提供满足工程施工需要的场内道路和交通设施的约定：</w:t>
      </w:r>
      <w:r>
        <w:rPr>
          <w:highlight w:val="none"/>
          <w:u w:val="single"/>
        </w:rPr>
        <w:t xml:space="preserve">由承包人自行解决 </w:t>
      </w:r>
      <w:r>
        <w:rPr>
          <w:rFonts w:hAnsi="宋体"/>
          <w:highlight w:val="none"/>
        </w:rPr>
        <w:t>。</w:t>
      </w:r>
      <w:bookmarkEnd w:id="200"/>
      <w:bookmarkEnd w:id="201"/>
      <w:bookmarkEnd w:id="202"/>
      <w:bookmarkEnd w:id="203"/>
      <w:bookmarkEnd w:id="204"/>
      <w:bookmarkStart w:id="205" w:name="_Toc318581157"/>
    </w:p>
    <w:p w14:paraId="3C456287">
      <w:pPr>
        <w:spacing w:line="360" w:lineRule="auto"/>
        <w:ind w:firstLine="420" w:firstLineChars="200"/>
        <w:jc w:val="left"/>
        <w:rPr>
          <w:highlight w:val="none"/>
        </w:rPr>
      </w:pPr>
      <w:r>
        <w:rPr>
          <w:highlight w:val="none"/>
        </w:rPr>
        <w:t xml:space="preserve">1.10.4 </w:t>
      </w:r>
      <w:r>
        <w:rPr>
          <w:rFonts w:hint="eastAsia" w:hAnsi="宋体" w:cs="宋体"/>
          <w:highlight w:val="none"/>
        </w:rPr>
        <w:t>超大件和超重件的运输</w:t>
      </w:r>
    </w:p>
    <w:p w14:paraId="2EDE7F20">
      <w:pPr>
        <w:spacing w:line="360" w:lineRule="auto"/>
        <w:ind w:firstLine="420" w:firstLineChars="200"/>
        <w:jc w:val="left"/>
        <w:rPr>
          <w:highlight w:val="none"/>
          <w:u w:val="single"/>
        </w:rPr>
      </w:pPr>
      <w:r>
        <w:rPr>
          <w:rFonts w:hint="eastAsia" w:hAnsi="宋体" w:cs="宋体"/>
          <w:highlight w:val="none"/>
        </w:rPr>
        <w:t>运输超大件或超重件所需的道路和桥梁临时加固改造费用和其他有关费用由</w:t>
      </w:r>
      <w:r>
        <w:rPr>
          <w:highlight w:val="none"/>
          <w:u w:val="single"/>
        </w:rPr>
        <w:t xml:space="preserve">  </w:t>
      </w:r>
      <w:r>
        <w:rPr>
          <w:rFonts w:hint="eastAsia"/>
          <w:highlight w:val="none"/>
          <w:u w:val="single"/>
          <w:lang w:eastAsia="zh-CN"/>
        </w:rPr>
        <w:t>承包人</w:t>
      </w:r>
      <w:r>
        <w:rPr>
          <w:highlight w:val="none"/>
          <w:u w:val="single"/>
        </w:rPr>
        <w:t xml:space="preserve">  </w:t>
      </w:r>
      <w:r>
        <w:rPr>
          <w:rFonts w:hint="eastAsia" w:hAnsi="宋体" w:cs="宋体"/>
          <w:highlight w:val="none"/>
        </w:rPr>
        <w:t>承担。</w:t>
      </w:r>
    </w:p>
    <w:bookmarkEnd w:id="205"/>
    <w:p w14:paraId="263BAE56">
      <w:pPr>
        <w:pStyle w:val="5"/>
        <w:jc w:val="left"/>
        <w:rPr>
          <w:highlight w:val="none"/>
        </w:rPr>
      </w:pPr>
      <w:bookmarkStart w:id="206" w:name="_Toc389065266"/>
      <w:bookmarkStart w:id="207" w:name="_Toc1495098807"/>
      <w:bookmarkStart w:id="208" w:name="_Toc512841653"/>
      <w:bookmarkStart w:id="209" w:name="_Toc407135202"/>
      <w:bookmarkStart w:id="210" w:name="_Toc78449788"/>
      <w:bookmarkStart w:id="211" w:name="_Toc373227700"/>
      <w:bookmarkStart w:id="212" w:name="_Toc373478347"/>
      <w:r>
        <w:rPr>
          <w:highlight w:val="none"/>
        </w:rPr>
        <w:t xml:space="preserve">1.11 </w:t>
      </w:r>
      <w:r>
        <w:rPr>
          <w:rFonts w:hint="eastAsia" w:hAnsi="宋体" w:cs="黑体"/>
          <w:highlight w:val="none"/>
        </w:rPr>
        <w:t>知识产权</w:t>
      </w:r>
      <w:bookmarkEnd w:id="206"/>
      <w:bookmarkEnd w:id="207"/>
      <w:bookmarkEnd w:id="208"/>
      <w:bookmarkEnd w:id="209"/>
      <w:bookmarkEnd w:id="210"/>
      <w:bookmarkEnd w:id="211"/>
      <w:bookmarkEnd w:id="212"/>
    </w:p>
    <w:p w14:paraId="39D9107F">
      <w:pPr>
        <w:spacing w:line="360" w:lineRule="auto"/>
        <w:ind w:firstLine="420" w:firstLineChars="200"/>
        <w:rPr>
          <w:highlight w:val="none"/>
        </w:rPr>
      </w:pPr>
      <w:r>
        <w:rPr>
          <w:highlight w:val="none"/>
        </w:rPr>
        <w:t xml:space="preserve">1.11.1 </w:t>
      </w:r>
      <w:r>
        <w:rPr>
          <w:rFonts w:hint="eastAsia" w:hAnsi="宋体" w:cs="宋体"/>
          <w:highlight w:val="none"/>
        </w:rPr>
        <w:t>关于发包人提供给承包人的图纸、发包人为实施工程自行编制或委托编制的技术规范以及反映发包人关于合同要求或其他类似性质的文件的著作权的归属：</w:t>
      </w:r>
      <w:r>
        <w:rPr>
          <w:highlight w:val="none"/>
          <w:u w:val="single"/>
        </w:rPr>
        <w:t xml:space="preserve">      </w:t>
      </w:r>
      <w:r>
        <w:rPr>
          <w:rFonts w:hint="eastAsia"/>
          <w:highlight w:val="none"/>
          <w:u w:val="single"/>
          <w:lang w:eastAsia="zh-CN"/>
        </w:rPr>
        <w:t>发包人</w:t>
      </w:r>
      <w:r>
        <w:rPr>
          <w:highlight w:val="none"/>
          <w:u w:val="single"/>
        </w:rPr>
        <w:t xml:space="preserve">     </w:t>
      </w:r>
      <w:r>
        <w:rPr>
          <w:rFonts w:hint="eastAsia"/>
          <w:highlight w:val="none"/>
          <w:u w:val="single"/>
        </w:rPr>
        <w:t xml:space="preserve">       </w:t>
      </w:r>
      <w:r>
        <w:rPr>
          <w:highlight w:val="none"/>
          <w:u w:val="single"/>
        </w:rPr>
        <w:t xml:space="preserve"> </w:t>
      </w:r>
      <w:r>
        <w:rPr>
          <w:rFonts w:hint="eastAsia" w:hAnsi="宋体" w:cs="宋体"/>
          <w:highlight w:val="none"/>
        </w:rPr>
        <w:t>。</w:t>
      </w:r>
    </w:p>
    <w:p w14:paraId="544F2125">
      <w:pPr>
        <w:spacing w:line="360" w:lineRule="auto"/>
        <w:ind w:firstLine="420" w:firstLineChars="200"/>
        <w:rPr>
          <w:highlight w:val="none"/>
        </w:rPr>
      </w:pPr>
      <w:r>
        <w:rPr>
          <w:rFonts w:hint="eastAsia" w:hAnsi="宋体" w:cs="宋体"/>
          <w:highlight w:val="none"/>
        </w:rPr>
        <w:t>关于发包人提供的上述文件的使用限制的要求：</w:t>
      </w:r>
      <w:r>
        <w:rPr>
          <w:highlight w:val="none"/>
          <w:u w:val="single"/>
        </w:rPr>
        <w:t xml:space="preserve">      </w:t>
      </w:r>
      <w:r>
        <w:rPr>
          <w:rFonts w:hint="eastAsia"/>
          <w:highlight w:val="none"/>
          <w:u w:val="single"/>
          <w:lang w:eastAsia="zh-CN"/>
        </w:rPr>
        <w:t>无</w:t>
      </w:r>
      <w:r>
        <w:rPr>
          <w:highlight w:val="none"/>
          <w:u w:val="single"/>
        </w:rPr>
        <w:t xml:space="preserve">          </w:t>
      </w:r>
      <w:r>
        <w:rPr>
          <w:rFonts w:hint="eastAsia" w:hAnsi="宋体" w:cs="宋体"/>
          <w:highlight w:val="none"/>
        </w:rPr>
        <w:t>。</w:t>
      </w:r>
    </w:p>
    <w:p w14:paraId="2665CBC3">
      <w:pPr>
        <w:spacing w:line="360" w:lineRule="auto"/>
        <w:ind w:firstLine="420" w:firstLineChars="200"/>
        <w:rPr>
          <w:highlight w:val="none"/>
        </w:rPr>
      </w:pPr>
      <w:r>
        <w:rPr>
          <w:highlight w:val="none"/>
        </w:rPr>
        <w:t xml:space="preserve">1.11.2 </w:t>
      </w:r>
      <w:r>
        <w:rPr>
          <w:rFonts w:hint="eastAsia" w:hAnsi="宋体" w:cs="宋体"/>
          <w:highlight w:val="none"/>
        </w:rPr>
        <w:t>关于承包人为实施工程所编制文件的著作权的归属：</w:t>
      </w:r>
      <w:r>
        <w:rPr>
          <w:highlight w:val="none"/>
          <w:u w:val="single"/>
        </w:rPr>
        <w:t xml:space="preserve">    </w:t>
      </w:r>
      <w:r>
        <w:rPr>
          <w:rFonts w:hint="eastAsia" w:ascii="仿宋" w:hAnsi="仿宋" w:eastAsia="仿宋" w:cs="仿宋"/>
          <w:color w:val="auto"/>
          <w:sz w:val="24"/>
          <w:szCs w:val="24"/>
          <w:highlight w:val="none"/>
          <w:u w:val="single"/>
          <w:lang w:eastAsia="zh-CN"/>
        </w:rPr>
        <w:t>承包人</w:t>
      </w:r>
      <w:r>
        <w:rPr>
          <w:highlight w:val="none"/>
          <w:u w:val="single"/>
        </w:rPr>
        <w:t xml:space="preserve">      </w:t>
      </w:r>
      <w:r>
        <w:rPr>
          <w:rFonts w:hint="eastAsia" w:hAnsi="宋体" w:cs="宋体"/>
          <w:highlight w:val="none"/>
        </w:rPr>
        <w:t>。</w:t>
      </w:r>
    </w:p>
    <w:p w14:paraId="315A87D7">
      <w:pPr>
        <w:spacing w:line="360" w:lineRule="auto"/>
        <w:ind w:firstLine="420" w:firstLineChars="200"/>
        <w:rPr>
          <w:highlight w:val="none"/>
          <w:u w:val="single"/>
        </w:rPr>
      </w:pPr>
      <w:r>
        <w:rPr>
          <w:rFonts w:hint="eastAsia" w:hAnsi="宋体" w:cs="宋体"/>
          <w:highlight w:val="none"/>
        </w:rPr>
        <w:t>关于承包人提供的上述文件的使用限制的要求：</w:t>
      </w:r>
      <w:r>
        <w:rPr>
          <w:highlight w:val="none"/>
          <w:u w:val="single"/>
        </w:rPr>
        <w:t xml:space="preserve">      </w:t>
      </w:r>
      <w:r>
        <w:rPr>
          <w:rFonts w:hint="eastAsia"/>
          <w:highlight w:val="none"/>
          <w:u w:val="single"/>
          <w:lang w:eastAsia="zh-CN"/>
        </w:rPr>
        <w:t>无</w:t>
      </w:r>
      <w:r>
        <w:rPr>
          <w:rFonts w:hint="eastAsia"/>
          <w:highlight w:val="none"/>
          <w:u w:val="single"/>
        </w:rPr>
        <w:t xml:space="preserve">     </w:t>
      </w:r>
      <w:r>
        <w:rPr>
          <w:highlight w:val="none"/>
          <w:u w:val="single"/>
        </w:rPr>
        <w:t xml:space="preserve"> </w:t>
      </w:r>
      <w:r>
        <w:rPr>
          <w:rFonts w:hint="eastAsia" w:hAnsi="宋体" w:cs="宋体"/>
          <w:highlight w:val="none"/>
        </w:rPr>
        <w:t>。</w:t>
      </w:r>
    </w:p>
    <w:p w14:paraId="23107204">
      <w:pPr>
        <w:spacing w:line="360" w:lineRule="auto"/>
        <w:ind w:firstLine="420" w:firstLineChars="200"/>
        <w:rPr>
          <w:kern w:val="0"/>
          <w:highlight w:val="none"/>
        </w:rPr>
      </w:pPr>
      <w:r>
        <w:rPr>
          <w:highlight w:val="none"/>
        </w:rPr>
        <w:t xml:space="preserve">1.11.4 </w:t>
      </w:r>
      <w:r>
        <w:rPr>
          <w:rFonts w:hint="eastAsia" w:hAnsi="宋体" w:cs="宋体"/>
          <w:highlight w:val="none"/>
        </w:rPr>
        <w:t>承包人在施工过程中所采用的专利、专有技术、技术秘密的使用费的承担方式：</w:t>
      </w:r>
      <w:r>
        <w:rPr>
          <w:highlight w:val="none"/>
          <w:u w:val="single"/>
        </w:rPr>
        <w:t xml:space="preserve">  </w:t>
      </w:r>
      <w:r>
        <w:rPr>
          <w:rFonts w:hint="eastAsia"/>
          <w:highlight w:val="none"/>
          <w:u w:val="single"/>
          <w:lang w:eastAsia="zh-CN"/>
        </w:rPr>
        <w:t>无</w:t>
      </w:r>
      <w:r>
        <w:rPr>
          <w:rFonts w:hint="eastAsia"/>
          <w:highlight w:val="none"/>
          <w:u w:val="single"/>
        </w:rPr>
        <w:t xml:space="preserve">  </w:t>
      </w:r>
      <w:r>
        <w:rPr>
          <w:highlight w:val="none"/>
          <w:u w:val="single"/>
        </w:rPr>
        <w:t xml:space="preserve"> </w:t>
      </w:r>
      <w:r>
        <w:rPr>
          <w:rFonts w:hint="eastAsia" w:hAnsi="宋体" w:cs="宋体"/>
          <w:kern w:val="0"/>
          <w:highlight w:val="none"/>
        </w:rPr>
        <w:t>。</w:t>
      </w:r>
    </w:p>
    <w:p w14:paraId="58AA6F89">
      <w:pPr>
        <w:pStyle w:val="5"/>
        <w:jc w:val="left"/>
        <w:rPr>
          <w:highlight w:val="none"/>
        </w:rPr>
      </w:pPr>
      <w:bookmarkStart w:id="213" w:name="_Toc373478348"/>
      <w:bookmarkStart w:id="214" w:name="_Toc373227701"/>
      <w:bookmarkStart w:id="215" w:name="_Toc267680563"/>
      <w:bookmarkStart w:id="216" w:name="_Toc407135203"/>
      <w:bookmarkStart w:id="217" w:name="_Toc78449789"/>
      <w:bookmarkStart w:id="218" w:name="_Toc1194977599"/>
      <w:bookmarkStart w:id="219" w:name="_Toc389065267"/>
      <w:r>
        <w:rPr>
          <w:highlight w:val="none"/>
        </w:rPr>
        <w:t>1.13</w:t>
      </w:r>
      <w:r>
        <w:rPr>
          <w:rFonts w:hint="eastAsia" w:cs="黑体"/>
          <w:highlight w:val="none"/>
        </w:rPr>
        <w:t>工程量清单错误的修正</w:t>
      </w:r>
      <w:bookmarkEnd w:id="213"/>
      <w:bookmarkEnd w:id="214"/>
      <w:bookmarkEnd w:id="215"/>
      <w:bookmarkEnd w:id="216"/>
      <w:bookmarkEnd w:id="217"/>
      <w:bookmarkEnd w:id="218"/>
      <w:bookmarkEnd w:id="219"/>
    </w:p>
    <w:p w14:paraId="29F9E227">
      <w:pPr>
        <w:spacing w:line="360" w:lineRule="auto"/>
        <w:ind w:firstLine="420" w:firstLineChars="200"/>
        <w:rPr>
          <w:rFonts w:hint="eastAsia" w:ascii="Times New Roman" w:hAnsi="宋体" w:eastAsia="宋体" w:cs="宋体"/>
          <w:kern w:val="0"/>
          <w:highlight w:val="none"/>
          <w:u w:val="none"/>
        </w:rPr>
      </w:pPr>
      <w:r>
        <w:rPr>
          <w:rFonts w:hint="eastAsia" w:hAnsi="宋体" w:cs="宋体"/>
          <w:highlight w:val="none"/>
        </w:rPr>
        <w:t>出现工程量清单工程量偏差时，是否调整合同价格：</w:t>
      </w:r>
      <w:r>
        <w:rPr>
          <w:rFonts w:hint="eastAsia" w:ascii="Times New Roman" w:hAnsi="Times New Roman" w:eastAsia="宋体" w:cs="Times New Roman"/>
          <w:highlight w:val="none"/>
          <w:u w:val="single"/>
          <w:lang w:eastAsia="zh-CN"/>
        </w:rPr>
        <w:t>按</w:t>
      </w:r>
      <w:r>
        <w:rPr>
          <w:rFonts w:hint="eastAsia" w:ascii="Times New Roman" w:hAnsi="Times New Roman" w:eastAsia="宋体" w:cs="Times New Roman"/>
          <w:highlight w:val="none"/>
          <w:u w:val="single"/>
          <w:lang w:val="en-US" w:eastAsia="zh-CN"/>
        </w:rPr>
        <w:t>10.4.1（9）约定执行</w:t>
      </w:r>
      <w:r>
        <w:rPr>
          <w:rFonts w:hint="eastAsia" w:ascii="Times New Roman" w:hAnsi="宋体" w:eastAsia="宋体" w:cs="宋体"/>
          <w:kern w:val="0"/>
          <w:highlight w:val="none"/>
          <w:u w:val="none"/>
        </w:rPr>
        <w:t>。</w:t>
      </w:r>
    </w:p>
    <w:p w14:paraId="43F6DBA6">
      <w:pPr>
        <w:pStyle w:val="4"/>
        <w:rPr>
          <w:highlight w:val="none"/>
        </w:rPr>
      </w:pPr>
      <w:bookmarkStart w:id="220" w:name="_Toc78449790"/>
      <w:bookmarkStart w:id="221" w:name="_Toc373478349"/>
      <w:bookmarkStart w:id="222" w:name="_Toc1415467590"/>
      <w:bookmarkStart w:id="223" w:name="_Toc143780453"/>
      <w:bookmarkStart w:id="224" w:name="_Toc351203634"/>
      <w:bookmarkStart w:id="225" w:name="_Toc389065268"/>
      <w:bookmarkStart w:id="226" w:name="_Toc407135204"/>
      <w:bookmarkStart w:id="227" w:name="_Toc373227702"/>
      <w:r>
        <w:rPr>
          <w:highlight w:val="none"/>
        </w:rPr>
        <w:t>2</w:t>
      </w:r>
      <w:bookmarkStart w:id="228" w:name="_Toc296347156"/>
      <w:bookmarkStart w:id="229" w:name="_Toc296891197"/>
      <w:bookmarkStart w:id="230" w:name="_Toc296944496"/>
      <w:bookmarkStart w:id="231" w:name="_Toc296346658"/>
      <w:bookmarkStart w:id="232" w:name="_Toc296890985"/>
      <w:bookmarkStart w:id="233" w:name="_Toc297048343"/>
      <w:bookmarkStart w:id="234" w:name="_Toc292559362"/>
      <w:bookmarkStart w:id="235" w:name="_Toc297120457"/>
      <w:bookmarkStart w:id="236" w:name="_Toc292559867"/>
      <w:bookmarkStart w:id="237" w:name="_Toc296503157"/>
      <w:r>
        <w:rPr>
          <w:highlight w:val="none"/>
        </w:rPr>
        <w:t xml:space="preserve">. </w:t>
      </w:r>
      <w:r>
        <w:rPr>
          <w:rFonts w:hint="eastAsia" w:hAnsi="宋体" w:cs="黑体"/>
          <w:highlight w:val="none"/>
        </w:rPr>
        <w:t>发包人</w:t>
      </w:r>
      <w:bookmarkEnd w:id="220"/>
      <w:bookmarkEnd w:id="221"/>
      <w:bookmarkEnd w:id="222"/>
      <w:bookmarkEnd w:id="223"/>
      <w:bookmarkEnd w:id="224"/>
      <w:bookmarkEnd w:id="225"/>
      <w:bookmarkEnd w:id="226"/>
      <w:bookmarkEnd w:id="227"/>
    </w:p>
    <w:bookmarkEnd w:id="228"/>
    <w:bookmarkEnd w:id="229"/>
    <w:bookmarkEnd w:id="230"/>
    <w:bookmarkEnd w:id="231"/>
    <w:bookmarkEnd w:id="232"/>
    <w:bookmarkEnd w:id="233"/>
    <w:bookmarkEnd w:id="234"/>
    <w:bookmarkEnd w:id="235"/>
    <w:bookmarkEnd w:id="236"/>
    <w:bookmarkEnd w:id="237"/>
    <w:p w14:paraId="4A78BC1F">
      <w:pPr>
        <w:pStyle w:val="5"/>
        <w:jc w:val="left"/>
        <w:rPr>
          <w:highlight w:val="none"/>
        </w:rPr>
      </w:pPr>
      <w:bookmarkStart w:id="238" w:name="_Toc78449791"/>
      <w:bookmarkStart w:id="239" w:name="_Toc971240048"/>
      <w:bookmarkStart w:id="240" w:name="_Toc373227703"/>
      <w:bookmarkStart w:id="241" w:name="_Toc389065269"/>
      <w:bookmarkStart w:id="242" w:name="_Toc407135205"/>
      <w:bookmarkStart w:id="243" w:name="_Toc547644210"/>
      <w:bookmarkStart w:id="244" w:name="_Toc373478350"/>
      <w:r>
        <w:rPr>
          <w:highlight w:val="none"/>
        </w:rPr>
        <w:t xml:space="preserve">2.2 </w:t>
      </w:r>
      <w:r>
        <w:rPr>
          <w:rFonts w:hint="eastAsia" w:hAnsi="宋体" w:cs="黑体"/>
          <w:highlight w:val="none"/>
        </w:rPr>
        <w:t>发包人代表</w:t>
      </w:r>
      <w:bookmarkEnd w:id="238"/>
      <w:bookmarkEnd w:id="239"/>
      <w:bookmarkEnd w:id="240"/>
      <w:bookmarkEnd w:id="241"/>
      <w:bookmarkEnd w:id="242"/>
      <w:bookmarkEnd w:id="243"/>
      <w:bookmarkEnd w:id="244"/>
    </w:p>
    <w:p w14:paraId="2BAFD688">
      <w:pPr>
        <w:spacing w:line="360" w:lineRule="auto"/>
        <w:ind w:firstLine="420" w:firstLineChars="200"/>
        <w:rPr>
          <w:highlight w:val="none"/>
        </w:rPr>
      </w:pPr>
      <w:r>
        <w:rPr>
          <w:rFonts w:hint="eastAsia" w:hAnsi="宋体" w:cs="宋体"/>
          <w:highlight w:val="none"/>
        </w:rPr>
        <w:t>发包人代表：</w:t>
      </w:r>
    </w:p>
    <w:p w14:paraId="1C63101D">
      <w:pPr>
        <w:spacing w:line="360" w:lineRule="auto"/>
        <w:ind w:firstLine="420" w:firstLineChars="200"/>
        <w:rPr>
          <w:highlight w:val="none"/>
        </w:rPr>
      </w:pPr>
      <w:r>
        <w:rPr>
          <w:rFonts w:hAnsi="宋体"/>
          <w:highlight w:val="none"/>
        </w:rPr>
        <w:t>姓</w:t>
      </w:r>
      <w:r>
        <w:rPr>
          <w:highlight w:val="none"/>
        </w:rPr>
        <w:t xml:space="preserve">    </w:t>
      </w:r>
      <w:r>
        <w:rPr>
          <w:rFonts w:hAnsi="宋体"/>
          <w:highlight w:val="none"/>
        </w:rPr>
        <w:t>名：</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2DD6CCA2">
      <w:pPr>
        <w:spacing w:line="360" w:lineRule="auto"/>
        <w:ind w:firstLine="420" w:firstLineChars="200"/>
        <w:rPr>
          <w:highlight w:val="none"/>
        </w:rPr>
      </w:pPr>
      <w:r>
        <w:rPr>
          <w:rFonts w:hAnsi="宋体"/>
          <w:highlight w:val="none"/>
        </w:rPr>
        <w:t>身份证号：</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213B3A3D">
      <w:pPr>
        <w:spacing w:line="360" w:lineRule="auto"/>
        <w:ind w:firstLine="420" w:firstLineChars="200"/>
        <w:rPr>
          <w:highlight w:val="none"/>
        </w:rPr>
      </w:pPr>
      <w:r>
        <w:rPr>
          <w:rFonts w:hAnsi="宋体"/>
          <w:highlight w:val="none"/>
        </w:rPr>
        <w:t>职</w:t>
      </w:r>
      <w:r>
        <w:rPr>
          <w:highlight w:val="none"/>
        </w:rPr>
        <w:t xml:space="preserve">    </w:t>
      </w:r>
      <w:r>
        <w:rPr>
          <w:rFonts w:hAnsi="宋体"/>
          <w:highlight w:val="none"/>
        </w:rPr>
        <w:t>务：</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70E889FB">
      <w:pPr>
        <w:spacing w:line="360" w:lineRule="auto"/>
        <w:ind w:firstLine="420" w:firstLineChars="200"/>
        <w:rPr>
          <w:highlight w:val="none"/>
        </w:rPr>
      </w:pPr>
      <w:r>
        <w:rPr>
          <w:rFonts w:hAnsi="宋体"/>
          <w:highlight w:val="none"/>
        </w:rPr>
        <w:t>联系电话：</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40F58FD4">
      <w:pPr>
        <w:spacing w:line="360" w:lineRule="auto"/>
        <w:ind w:firstLine="420" w:firstLineChars="200"/>
        <w:rPr>
          <w:highlight w:val="none"/>
        </w:rPr>
      </w:pPr>
      <w:r>
        <w:rPr>
          <w:rFonts w:hAnsi="宋体"/>
          <w:highlight w:val="none"/>
        </w:rPr>
        <w:t>电子信箱：</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28398CB0">
      <w:pPr>
        <w:spacing w:line="360" w:lineRule="auto"/>
        <w:ind w:firstLine="420" w:firstLineChars="200"/>
        <w:rPr>
          <w:highlight w:val="none"/>
        </w:rPr>
      </w:pPr>
      <w:r>
        <w:rPr>
          <w:rFonts w:hAnsi="宋体"/>
          <w:highlight w:val="none"/>
        </w:rPr>
        <w:t>通信地址：</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72F18B20">
      <w:pPr>
        <w:spacing w:line="360" w:lineRule="auto"/>
        <w:ind w:firstLine="420" w:firstLineChars="200"/>
        <w:rPr>
          <w:rFonts w:hint="eastAsia" w:hAnsi="宋体" w:cs="宋体"/>
          <w:highlight w:val="none"/>
        </w:rPr>
      </w:pPr>
      <w:r>
        <w:rPr>
          <w:rFonts w:hint="eastAsia" w:hAnsi="宋体" w:cs="宋体"/>
          <w:highlight w:val="none"/>
        </w:rPr>
        <w:t>发包人对发包人代表的授权范围如下：</w:t>
      </w:r>
      <w:r>
        <w:rPr>
          <w:highlight w:val="none"/>
          <w:u w:val="single"/>
        </w:rPr>
        <w:t xml:space="preserve"> 负责根据主管部门和学校的有关文件要求开展工程项目建设施工的全过程管理，统筹本工程项目的质量、进度、投资、安全、信息等事宜；协调与施工、监理、检测等有关单位的关系；监督承包人履行合同中的职责和义务；统筹项目三通一平、办理相关许可、批准或备案，包括但不限于建设工程施工许可证、临时占用土地等许可和批准 </w:t>
      </w:r>
      <w:r>
        <w:rPr>
          <w:rFonts w:hint="eastAsia" w:hAnsi="宋体" w:cs="宋体"/>
          <w:highlight w:val="none"/>
        </w:rPr>
        <w:t>。</w:t>
      </w:r>
    </w:p>
    <w:p w14:paraId="7072FE4F">
      <w:pPr>
        <w:spacing w:line="360" w:lineRule="auto"/>
        <w:ind w:firstLine="420" w:firstLineChars="200"/>
        <w:rPr>
          <w:rFonts w:hint="eastAsia" w:hAnsi="宋体" w:cs="宋体"/>
          <w:highlight w:val="none"/>
        </w:rPr>
      </w:pPr>
      <w:r>
        <w:rPr>
          <w:rFonts w:hint="eastAsia" w:hAnsi="宋体" w:cs="宋体"/>
          <w:highlight w:val="none"/>
        </w:rPr>
        <w:t>现场代表：</w:t>
      </w:r>
      <w:r>
        <w:rPr>
          <w:rFonts w:hint="eastAsia" w:hAnsi="宋体" w:cs="宋体"/>
          <w:highlight w:val="none"/>
          <w:u w:val="single"/>
        </w:rPr>
        <w:t>服从发包人代表的统筹安排，根据专业分工协助发包人代表开展工程项目建设施工的全过程管理。</w:t>
      </w:r>
    </w:p>
    <w:p w14:paraId="232E7CB4">
      <w:pPr>
        <w:pStyle w:val="5"/>
        <w:jc w:val="left"/>
        <w:rPr>
          <w:highlight w:val="none"/>
        </w:rPr>
      </w:pPr>
      <w:bookmarkStart w:id="245" w:name="_Toc389065270"/>
      <w:bookmarkStart w:id="246" w:name="_Toc2077499244"/>
      <w:bookmarkStart w:id="247" w:name="_Toc407135206"/>
      <w:bookmarkStart w:id="248" w:name="_Toc2066513957"/>
      <w:bookmarkStart w:id="249" w:name="_Toc78449792"/>
      <w:bookmarkStart w:id="250" w:name="_Toc373227704"/>
      <w:bookmarkStart w:id="251" w:name="_Toc373478351"/>
      <w:r>
        <w:rPr>
          <w:highlight w:val="none"/>
        </w:rPr>
        <w:t xml:space="preserve">2.4 </w:t>
      </w:r>
      <w:r>
        <w:rPr>
          <w:rFonts w:hint="eastAsia" w:cs="黑体"/>
          <w:highlight w:val="none"/>
        </w:rPr>
        <w:t>施工现场、</w:t>
      </w:r>
      <w:r>
        <w:rPr>
          <w:rFonts w:hint="eastAsia" w:hAnsi="宋体" w:cs="黑体"/>
          <w:highlight w:val="none"/>
        </w:rPr>
        <w:t>施工</w:t>
      </w:r>
      <w:r>
        <w:rPr>
          <w:rFonts w:hint="eastAsia" w:cs="黑体"/>
          <w:highlight w:val="none"/>
        </w:rPr>
        <w:t>条件和基础资料的提供</w:t>
      </w:r>
      <w:bookmarkEnd w:id="245"/>
      <w:bookmarkEnd w:id="246"/>
      <w:bookmarkEnd w:id="247"/>
      <w:bookmarkEnd w:id="248"/>
      <w:bookmarkEnd w:id="249"/>
      <w:bookmarkEnd w:id="250"/>
      <w:bookmarkEnd w:id="251"/>
    </w:p>
    <w:p w14:paraId="4C16D4BD">
      <w:pPr>
        <w:spacing w:line="360" w:lineRule="auto"/>
        <w:ind w:firstLine="420" w:firstLineChars="200"/>
        <w:rPr>
          <w:highlight w:val="none"/>
        </w:rPr>
      </w:pPr>
      <w:r>
        <w:rPr>
          <w:highlight w:val="none"/>
        </w:rPr>
        <w:t xml:space="preserve">2.4.1 </w:t>
      </w:r>
      <w:r>
        <w:rPr>
          <w:rFonts w:hint="eastAsia" w:hAnsi="宋体" w:cs="宋体"/>
          <w:highlight w:val="none"/>
        </w:rPr>
        <w:t>提供施工现场</w:t>
      </w:r>
    </w:p>
    <w:p w14:paraId="675A06B7">
      <w:pPr>
        <w:spacing w:line="360" w:lineRule="auto"/>
        <w:ind w:firstLine="420" w:firstLineChars="200"/>
        <w:jc w:val="left"/>
        <w:rPr>
          <w:highlight w:val="none"/>
        </w:rPr>
      </w:pPr>
      <w:r>
        <w:rPr>
          <w:rFonts w:hint="eastAsia" w:hAnsi="宋体" w:cs="宋体"/>
          <w:highlight w:val="none"/>
        </w:rPr>
        <w:t>关于发包人移交施工现场的期限要求：</w:t>
      </w:r>
      <w:r>
        <w:rPr>
          <w:highlight w:val="none"/>
          <w:u w:val="single"/>
        </w:rPr>
        <w:t xml:space="preserve">  </w:t>
      </w:r>
      <w:r>
        <w:rPr>
          <w:rFonts w:hint="eastAsia"/>
          <w:highlight w:val="none"/>
          <w:u w:val="single"/>
          <w:lang w:eastAsia="zh-CN"/>
        </w:rPr>
        <w:t>施工场地应当在监理人发出的开工通知中载明的开工日期前 七 天具备施工条件并移交给承包人。发包人最迟应当在移交施工场地的同时向承包人提供施工场地内地下管线和地下设施等有关资料，并保证资料的真实、准确和完整</w:t>
      </w:r>
      <w:r>
        <w:rPr>
          <w:rFonts w:hint="eastAsia"/>
          <w:highlight w:val="none"/>
          <w:u w:val="single"/>
        </w:rPr>
        <w:t xml:space="preserve">    </w:t>
      </w:r>
      <w:r>
        <w:rPr>
          <w:highlight w:val="none"/>
          <w:u w:val="single"/>
        </w:rPr>
        <w:t xml:space="preserve"> </w:t>
      </w:r>
      <w:r>
        <w:rPr>
          <w:rFonts w:hint="eastAsia" w:hAnsi="宋体" w:cs="宋体"/>
          <w:highlight w:val="none"/>
        </w:rPr>
        <w:t>。</w:t>
      </w:r>
    </w:p>
    <w:p w14:paraId="4196814B">
      <w:pPr>
        <w:spacing w:line="360" w:lineRule="auto"/>
        <w:ind w:firstLine="420" w:firstLineChars="200"/>
        <w:rPr>
          <w:highlight w:val="none"/>
        </w:rPr>
      </w:pPr>
      <w:r>
        <w:rPr>
          <w:highlight w:val="none"/>
        </w:rPr>
        <w:t xml:space="preserve">2.4.2 </w:t>
      </w:r>
      <w:r>
        <w:rPr>
          <w:rFonts w:hint="eastAsia" w:hAnsi="宋体" w:cs="宋体"/>
          <w:highlight w:val="none"/>
        </w:rPr>
        <w:t>提供施工条件</w:t>
      </w:r>
    </w:p>
    <w:p w14:paraId="0AF1640D">
      <w:pPr>
        <w:spacing w:line="360" w:lineRule="auto"/>
        <w:ind w:firstLine="420" w:firstLineChars="200"/>
        <w:rPr>
          <w:rFonts w:hint="eastAsia" w:hAnsi="宋体" w:cs="宋体"/>
          <w:highlight w:val="none"/>
        </w:rPr>
      </w:pPr>
      <w:r>
        <w:rPr>
          <w:rFonts w:hint="eastAsia" w:hAnsi="宋体" w:cs="宋体"/>
          <w:highlight w:val="none"/>
        </w:rPr>
        <w:t>关于发包人应负责提供施工所需要的条件，包括：</w:t>
      </w:r>
    </w:p>
    <w:p w14:paraId="68D97EA7">
      <w:pPr>
        <w:spacing w:line="360" w:lineRule="auto"/>
        <w:ind w:firstLine="420" w:firstLineChars="200"/>
        <w:rPr>
          <w:rFonts w:hint="eastAsia" w:hAnsi="宋体" w:cs="宋体"/>
          <w:highlight w:val="none"/>
          <w:lang w:eastAsia="zh-CN"/>
        </w:rPr>
      </w:pPr>
      <w:r>
        <w:rPr>
          <w:rFonts w:hint="eastAsia" w:hAnsi="宋体" w:cs="宋体"/>
          <w:highlight w:val="none"/>
          <w:lang w:eastAsia="zh-CN"/>
        </w:rPr>
        <w:t>将施工所需的水、电、电讯线路接至施工场地的时间、地点和供应要求：</w:t>
      </w:r>
      <w:r>
        <w:rPr>
          <w:rFonts w:hint="eastAsia" w:hAnsi="宋体" w:cs="宋体"/>
          <w:highlight w:val="none"/>
          <w:u w:val="single"/>
          <w:lang w:eastAsia="zh-CN"/>
        </w:rPr>
        <w:t>发包人于开工前7日将施工所需的水、电外端接口接至发包人用地红线内，并保证水、电供应满足施工期间的需要。若供电部门的原因造成停电，承包人必须自行解决施工用电，费用自理。</w:t>
      </w:r>
    </w:p>
    <w:p w14:paraId="0700B0B4">
      <w:pPr>
        <w:spacing w:line="360" w:lineRule="auto"/>
        <w:ind w:firstLine="420" w:firstLineChars="200"/>
        <w:rPr>
          <w:rFonts w:hint="eastAsia" w:hAnsi="宋体" w:cs="宋体"/>
          <w:highlight w:val="none"/>
          <w:lang w:eastAsia="zh-CN"/>
        </w:rPr>
      </w:pPr>
      <w:r>
        <w:rPr>
          <w:rFonts w:hint="eastAsia" w:hAnsi="宋体" w:cs="宋体"/>
          <w:highlight w:val="none"/>
          <w:lang w:eastAsia="zh-CN"/>
        </w:rPr>
        <w:t>施工场地与公共道路的通道开通时间和要求：</w:t>
      </w:r>
      <w:r>
        <w:rPr>
          <w:rFonts w:hint="eastAsia" w:hAnsi="宋体" w:cs="宋体"/>
          <w:highlight w:val="none"/>
          <w:u w:val="single"/>
          <w:lang w:eastAsia="zh-CN"/>
        </w:rPr>
        <w:t>开工前七天将施工场地与公共道路的通道开通至施工场地内，满足施工运输的需要，并保证施工期间的畅通，且不受其他因素的干扰。</w:t>
      </w:r>
    </w:p>
    <w:p w14:paraId="6B7059A3">
      <w:pPr>
        <w:spacing w:line="360" w:lineRule="auto"/>
        <w:ind w:firstLine="420" w:firstLineChars="200"/>
        <w:rPr>
          <w:rFonts w:hint="eastAsia" w:hAnsi="宋体" w:cs="宋体"/>
          <w:highlight w:val="none"/>
          <w:lang w:eastAsia="zh-CN"/>
        </w:rPr>
      </w:pPr>
      <w:r>
        <w:rPr>
          <w:rFonts w:hint="eastAsia" w:hAnsi="宋体" w:cs="宋体"/>
          <w:highlight w:val="none"/>
          <w:lang w:eastAsia="zh-CN"/>
        </w:rPr>
        <w:t>工程地质和地下管线资料的提供时间：</w:t>
      </w:r>
      <w:r>
        <w:rPr>
          <w:rFonts w:hint="eastAsia" w:hAnsi="宋体" w:cs="宋体"/>
          <w:highlight w:val="none"/>
          <w:u w:val="single"/>
          <w:lang w:eastAsia="zh-CN"/>
        </w:rPr>
        <w:t>开工前3天。</w:t>
      </w:r>
    </w:p>
    <w:p w14:paraId="04E3076F">
      <w:pPr>
        <w:spacing w:line="360" w:lineRule="auto"/>
        <w:ind w:firstLine="420" w:firstLineChars="200"/>
        <w:rPr>
          <w:rFonts w:hint="eastAsia" w:hAnsi="宋体" w:cs="宋体"/>
          <w:highlight w:val="none"/>
          <w:lang w:eastAsia="zh-CN"/>
        </w:rPr>
      </w:pPr>
      <w:r>
        <w:rPr>
          <w:rFonts w:hint="eastAsia" w:hAnsi="宋体" w:cs="宋体"/>
          <w:highlight w:val="none"/>
          <w:lang w:eastAsia="zh-CN"/>
        </w:rPr>
        <w:t>水准点与座标控制点交验要求：                       。</w:t>
      </w:r>
    </w:p>
    <w:p w14:paraId="79569120">
      <w:pPr>
        <w:spacing w:line="360" w:lineRule="auto"/>
        <w:ind w:firstLine="420" w:firstLineChars="200"/>
        <w:rPr>
          <w:rFonts w:hint="eastAsia" w:hAnsi="宋体" w:cs="宋体"/>
          <w:highlight w:val="none"/>
        </w:rPr>
      </w:pPr>
      <w:r>
        <w:rPr>
          <w:rFonts w:hint="eastAsia" w:hAnsi="宋体" w:cs="宋体"/>
          <w:highlight w:val="none"/>
          <w:lang w:eastAsia="zh-CN"/>
        </w:rPr>
        <w:t>由发包人办理的施工所需证件、批件的名称和完成时间：</w:t>
      </w:r>
      <w:r>
        <w:rPr>
          <w:rFonts w:hint="eastAsia" w:hAnsi="宋体" w:cs="宋体"/>
          <w:highlight w:val="none"/>
          <w:u w:val="single"/>
          <w:lang w:eastAsia="zh-CN"/>
        </w:rPr>
        <w:t>开工前7天，正式办理各种施工所需证件、批件。工程建设施工许可证申请表、报建表、用地许可证、施工图审查意见表等。</w:t>
      </w:r>
    </w:p>
    <w:p w14:paraId="6CB18C39">
      <w:pPr>
        <w:pStyle w:val="5"/>
        <w:jc w:val="left"/>
        <w:rPr>
          <w:highlight w:val="none"/>
        </w:rPr>
      </w:pPr>
      <w:bookmarkStart w:id="252" w:name="_Toc389065271"/>
      <w:bookmarkStart w:id="253" w:name="_Toc373478352"/>
      <w:bookmarkStart w:id="254" w:name="_Toc407135207"/>
      <w:bookmarkStart w:id="255" w:name="_Toc78449793"/>
      <w:bookmarkStart w:id="256" w:name="_Toc373227705"/>
      <w:bookmarkStart w:id="257" w:name="_Toc672429943"/>
      <w:bookmarkStart w:id="258" w:name="_Toc1238195908"/>
      <w:r>
        <w:rPr>
          <w:highlight w:val="none"/>
        </w:rPr>
        <w:t xml:space="preserve">2.5 </w:t>
      </w:r>
      <w:r>
        <w:rPr>
          <w:rFonts w:hint="eastAsia" w:cs="黑体"/>
          <w:highlight w:val="none"/>
        </w:rPr>
        <w:t>资金来源证明及支付担保</w:t>
      </w:r>
      <w:bookmarkEnd w:id="252"/>
      <w:bookmarkEnd w:id="253"/>
      <w:bookmarkEnd w:id="254"/>
      <w:bookmarkEnd w:id="255"/>
      <w:bookmarkEnd w:id="256"/>
      <w:bookmarkEnd w:id="257"/>
      <w:bookmarkEnd w:id="258"/>
    </w:p>
    <w:p w14:paraId="5E422C8F">
      <w:pPr>
        <w:spacing w:line="360" w:lineRule="auto"/>
        <w:ind w:firstLine="420" w:firstLineChars="200"/>
        <w:rPr>
          <w:highlight w:val="none"/>
        </w:rPr>
      </w:pPr>
      <w:r>
        <w:rPr>
          <w:rFonts w:hint="eastAsia" w:hAnsi="宋体" w:cs="宋体"/>
          <w:highlight w:val="none"/>
        </w:rPr>
        <w:t>发包人提供资金来源证明的期限要求：</w:t>
      </w:r>
      <w:r>
        <w:rPr>
          <w:highlight w:val="none"/>
          <w:u w:val="single"/>
        </w:rPr>
        <w:t xml:space="preserve">    </w:t>
      </w:r>
      <w:r>
        <w:rPr>
          <w:rFonts w:hint="eastAsia"/>
          <w:highlight w:val="none"/>
          <w:u w:val="single"/>
          <w:lang w:eastAsia="zh-CN"/>
        </w:rPr>
        <w:t>无</w:t>
      </w:r>
      <w:r>
        <w:rPr>
          <w:highlight w:val="none"/>
          <w:u w:val="single"/>
        </w:rPr>
        <w:t xml:space="preserve">  </w:t>
      </w:r>
      <w:r>
        <w:rPr>
          <w:rFonts w:hint="eastAsia" w:hAnsi="宋体" w:cs="宋体"/>
          <w:highlight w:val="none"/>
        </w:rPr>
        <w:t>。</w:t>
      </w:r>
    </w:p>
    <w:p w14:paraId="0CCBB16B">
      <w:pPr>
        <w:spacing w:line="360" w:lineRule="auto"/>
        <w:ind w:firstLine="420" w:firstLineChars="200"/>
        <w:rPr>
          <w:highlight w:val="none"/>
        </w:rPr>
      </w:pPr>
      <w:r>
        <w:rPr>
          <w:rFonts w:hint="eastAsia" w:hAnsi="宋体" w:cs="宋体"/>
          <w:highlight w:val="none"/>
        </w:rPr>
        <w:t>发包人是否提供支付担保：</w:t>
      </w:r>
      <w:r>
        <w:rPr>
          <w:highlight w:val="none"/>
          <w:u w:val="single"/>
        </w:rPr>
        <w:t xml:space="preserve">      </w:t>
      </w:r>
      <w:r>
        <w:rPr>
          <w:rFonts w:hint="eastAsia"/>
          <w:highlight w:val="none"/>
          <w:u w:val="single"/>
          <w:lang w:eastAsia="zh-CN"/>
        </w:rPr>
        <w:t>否</w:t>
      </w:r>
      <w:r>
        <w:rPr>
          <w:highlight w:val="none"/>
          <w:u w:val="single"/>
        </w:rPr>
        <w:t xml:space="preserve">    </w:t>
      </w:r>
      <w:r>
        <w:rPr>
          <w:rFonts w:hint="eastAsia" w:hAnsi="宋体" w:cs="宋体"/>
          <w:highlight w:val="none"/>
        </w:rPr>
        <w:t xml:space="preserve"> 。【</w:t>
      </w:r>
      <w:r>
        <w:rPr>
          <w:rFonts w:hint="eastAsia" w:hAnsi="宋体" w:cs="宋体"/>
          <w:szCs w:val="21"/>
          <w:highlight w:val="none"/>
        </w:rPr>
        <w:t>发包人要求承包人提供履约担保的，应当同时向承包人提供工程款支付担保。工程款支付担保可以全额担保，也可以分阶段担保。分阶段担保的，除保修金以外的全部款项，完成一个阶段清算后再进入下一阶段，有效期截至工程竣工结算款支付完毕。发包人未按合同约定及时支付工程款的，工程担保保证人需承担担保责任。对政府投资项目，由建设单位提供落实财政资金来源的证明文件。</w:t>
      </w:r>
      <w:r>
        <w:rPr>
          <w:rFonts w:hint="eastAsia" w:hAnsi="宋体" w:cs="宋体"/>
          <w:highlight w:val="none"/>
        </w:rPr>
        <w:t>】</w:t>
      </w:r>
    </w:p>
    <w:p w14:paraId="49BB6787">
      <w:pPr>
        <w:spacing w:line="360" w:lineRule="auto"/>
        <w:ind w:firstLine="420" w:firstLineChars="200"/>
        <w:rPr>
          <w:rFonts w:hint="eastAsia" w:hAnsi="宋体" w:cs="宋体"/>
          <w:highlight w:val="none"/>
          <w:lang w:val="en"/>
        </w:rPr>
      </w:pPr>
      <w:r>
        <w:rPr>
          <w:rFonts w:hint="eastAsia" w:hAnsi="宋体" w:cs="宋体"/>
          <w:highlight w:val="none"/>
        </w:rPr>
        <w:t>发包人提供支付担保的形式：</w:t>
      </w:r>
      <w:r>
        <w:rPr>
          <w:rFonts w:hint="eastAsia"/>
          <w:highlight w:val="none"/>
        </w:rPr>
        <w:t>可以是</w:t>
      </w:r>
      <w:r>
        <w:rPr>
          <w:rFonts w:hint="eastAsia" w:hAnsi="宋体" w:cs="宋体"/>
          <w:highlight w:val="none"/>
        </w:rPr>
        <w:t>银行转账、电汇或网上支付、保函（银行保函、电子</w:t>
      </w:r>
      <w:r>
        <w:rPr>
          <w:rFonts w:hAnsi="宋体" w:cs="宋体"/>
          <w:highlight w:val="none"/>
        </w:rPr>
        <w:t>保函</w:t>
      </w:r>
      <w:r>
        <w:rPr>
          <w:rFonts w:hint="eastAsia" w:hAnsi="宋体" w:cs="宋体"/>
          <w:highlight w:val="none"/>
        </w:rPr>
        <w:t>、保证保险保函、工程担保保函）</w:t>
      </w:r>
      <w:r>
        <w:rPr>
          <w:rFonts w:hint="eastAsia" w:hAnsi="宋体"/>
          <w:highlight w:val="none"/>
        </w:rPr>
        <w:t>等</w:t>
      </w:r>
      <w:r>
        <w:rPr>
          <w:rFonts w:hint="eastAsia" w:hAnsi="宋体" w:cs="宋体"/>
          <w:highlight w:val="none"/>
        </w:rPr>
        <w:t>形</w:t>
      </w:r>
      <w:r>
        <w:rPr>
          <w:rFonts w:hint="eastAsia" w:hAnsi="宋体"/>
          <w:highlight w:val="none"/>
        </w:rPr>
        <w:t>式</w:t>
      </w:r>
      <w:r>
        <w:rPr>
          <w:rFonts w:hint="eastAsia" w:hAnsi="宋体" w:cs="宋体"/>
          <w:highlight w:val="none"/>
        </w:rPr>
        <w:t>。</w:t>
      </w:r>
    </w:p>
    <w:p w14:paraId="383A3725">
      <w:pPr>
        <w:spacing w:line="360" w:lineRule="auto"/>
        <w:ind w:firstLine="420" w:firstLineChars="200"/>
        <w:rPr>
          <w:highlight w:val="none"/>
          <w:u w:val="single"/>
        </w:rPr>
      </w:pPr>
      <w:r>
        <w:rPr>
          <w:rFonts w:hint="eastAsia" w:hAnsi="宋体" w:cs="宋体"/>
          <w:highlight w:val="none"/>
        </w:rPr>
        <w:t>发包人提供的支付担保格式见合同附件</w:t>
      </w:r>
      <w:r>
        <w:rPr>
          <w:rFonts w:hint="eastAsia" w:hAnsi="宋体"/>
          <w:highlight w:val="none"/>
        </w:rPr>
        <w:t>9</w:t>
      </w:r>
      <w:r>
        <w:rPr>
          <w:rFonts w:hint="eastAsia" w:hAnsi="宋体" w:cs="宋体"/>
          <w:highlight w:val="none"/>
        </w:rPr>
        <w:t>。</w:t>
      </w:r>
    </w:p>
    <w:p w14:paraId="65BFB855">
      <w:pPr>
        <w:pStyle w:val="4"/>
        <w:rPr>
          <w:highlight w:val="none"/>
        </w:rPr>
      </w:pPr>
      <w:bookmarkStart w:id="259" w:name="_Toc1181400362"/>
      <w:bookmarkStart w:id="260" w:name="_Toc351203635"/>
      <w:bookmarkStart w:id="261" w:name="_Toc407135208"/>
      <w:bookmarkStart w:id="262" w:name="_Toc373227706"/>
      <w:bookmarkStart w:id="263" w:name="_Toc373478353"/>
      <w:bookmarkStart w:id="264" w:name="_Toc389065272"/>
      <w:bookmarkStart w:id="265" w:name="_Toc78449794"/>
      <w:bookmarkStart w:id="266" w:name="_Toc729657770"/>
      <w:r>
        <w:rPr>
          <w:highlight w:val="none"/>
        </w:rPr>
        <w:t>3</w:t>
      </w:r>
      <w:bookmarkStart w:id="267" w:name="_Toc296891198"/>
      <w:bookmarkStart w:id="268" w:name="_Toc296346659"/>
      <w:bookmarkStart w:id="269" w:name="_Toc297120458"/>
      <w:bookmarkStart w:id="270" w:name="_Toc292559868"/>
      <w:bookmarkStart w:id="271" w:name="_Toc296347157"/>
      <w:bookmarkStart w:id="272" w:name="_Toc297048344"/>
      <w:bookmarkStart w:id="273" w:name="_Toc292559363"/>
      <w:bookmarkStart w:id="274" w:name="_Toc296503158"/>
      <w:bookmarkStart w:id="275" w:name="_Toc296890986"/>
      <w:bookmarkStart w:id="276" w:name="_Toc296944497"/>
      <w:r>
        <w:rPr>
          <w:highlight w:val="none"/>
        </w:rPr>
        <w:t xml:space="preserve">. </w:t>
      </w:r>
      <w:r>
        <w:rPr>
          <w:rFonts w:hint="eastAsia" w:hAnsi="宋体" w:cs="黑体"/>
          <w:highlight w:val="none"/>
        </w:rPr>
        <w:t>承包人</w:t>
      </w:r>
      <w:bookmarkEnd w:id="259"/>
      <w:bookmarkEnd w:id="260"/>
      <w:bookmarkEnd w:id="261"/>
      <w:bookmarkEnd w:id="262"/>
      <w:bookmarkEnd w:id="263"/>
      <w:bookmarkEnd w:id="264"/>
      <w:bookmarkEnd w:id="265"/>
      <w:bookmarkEnd w:id="266"/>
    </w:p>
    <w:bookmarkEnd w:id="267"/>
    <w:bookmarkEnd w:id="268"/>
    <w:bookmarkEnd w:id="269"/>
    <w:bookmarkEnd w:id="270"/>
    <w:bookmarkEnd w:id="271"/>
    <w:bookmarkEnd w:id="272"/>
    <w:bookmarkEnd w:id="273"/>
    <w:bookmarkEnd w:id="274"/>
    <w:bookmarkEnd w:id="275"/>
    <w:bookmarkEnd w:id="276"/>
    <w:p w14:paraId="39A2A35A">
      <w:pPr>
        <w:pStyle w:val="5"/>
        <w:jc w:val="left"/>
        <w:rPr>
          <w:highlight w:val="none"/>
        </w:rPr>
      </w:pPr>
      <w:bookmarkStart w:id="277" w:name="_Toc407135209"/>
      <w:bookmarkStart w:id="278" w:name="_Toc389065273"/>
      <w:bookmarkStart w:id="279" w:name="_Toc1642190822"/>
      <w:bookmarkStart w:id="280" w:name="_Toc962678435"/>
      <w:bookmarkStart w:id="281" w:name="_Toc78449795"/>
      <w:bookmarkStart w:id="282" w:name="_Toc373227707"/>
      <w:bookmarkStart w:id="283" w:name="_Toc373478354"/>
      <w:r>
        <w:rPr>
          <w:highlight w:val="none"/>
        </w:rPr>
        <w:t xml:space="preserve">3.1 </w:t>
      </w:r>
      <w:r>
        <w:rPr>
          <w:rFonts w:hint="eastAsia" w:hAnsi="宋体" w:cs="黑体"/>
          <w:highlight w:val="none"/>
        </w:rPr>
        <w:t>承包人</w:t>
      </w:r>
      <w:r>
        <w:rPr>
          <w:rFonts w:hint="eastAsia" w:cs="黑体"/>
          <w:highlight w:val="none"/>
        </w:rPr>
        <w:t>的一般义务</w:t>
      </w:r>
      <w:bookmarkEnd w:id="277"/>
      <w:bookmarkEnd w:id="278"/>
      <w:bookmarkEnd w:id="279"/>
      <w:bookmarkEnd w:id="280"/>
      <w:bookmarkEnd w:id="281"/>
      <w:bookmarkEnd w:id="282"/>
      <w:bookmarkEnd w:id="283"/>
    </w:p>
    <w:p w14:paraId="511F24FA">
      <w:pPr>
        <w:spacing w:line="360" w:lineRule="auto"/>
        <w:ind w:firstLine="420" w:firstLineChars="200"/>
        <w:jc w:val="left"/>
        <w:rPr>
          <w:highlight w:val="none"/>
          <w:u w:val="single"/>
        </w:rPr>
      </w:pPr>
      <w:r>
        <w:rPr>
          <w:rFonts w:hint="eastAsia" w:hAnsi="宋体" w:cs="宋体"/>
          <w:kern w:val="0"/>
          <w:highlight w:val="none"/>
        </w:rPr>
        <w:t>（</w:t>
      </w:r>
      <w:r>
        <w:rPr>
          <w:kern w:val="0"/>
          <w:highlight w:val="none"/>
        </w:rPr>
        <w:t>9</w:t>
      </w:r>
      <w:r>
        <w:rPr>
          <w:rFonts w:hint="eastAsia" w:hAnsi="宋体" w:cs="宋体"/>
          <w:kern w:val="0"/>
          <w:highlight w:val="none"/>
        </w:rPr>
        <w:t>）</w:t>
      </w:r>
      <w:r>
        <w:rPr>
          <w:rFonts w:hint="eastAsia" w:hAnsi="宋体" w:cs="宋体"/>
          <w:highlight w:val="none"/>
        </w:rPr>
        <w:t>承包人提交的竣工资料的内容：</w:t>
      </w:r>
      <w:r>
        <w:rPr>
          <w:rFonts w:hint="eastAsia"/>
          <w:highlight w:val="none"/>
          <w:u w:val="single"/>
          <w:lang w:eastAsia="zh-CN"/>
        </w:rPr>
        <w:t>竣工报告、工程质量竣工验收意见书或单位（子单位）工程质量竣工验收记录、竣工验收存在问题整改通知书、竣工验收存在问题整改验收意见书、工程的具备竣工验收条件的通知及重新组织竣工验收通知书、工程质量保修合同（书）、竣工图等</w:t>
      </w:r>
      <w:r>
        <w:rPr>
          <w:highlight w:val="none"/>
          <w:u w:val="single"/>
        </w:rPr>
        <w:t xml:space="preserve"> </w:t>
      </w:r>
      <w:r>
        <w:rPr>
          <w:rFonts w:hint="eastAsia" w:hAnsi="宋体" w:cs="宋体"/>
          <w:highlight w:val="none"/>
        </w:rPr>
        <w:t>。</w:t>
      </w:r>
    </w:p>
    <w:p w14:paraId="4C58AFE8">
      <w:pPr>
        <w:spacing w:line="360" w:lineRule="auto"/>
        <w:ind w:firstLine="420" w:firstLineChars="200"/>
        <w:jc w:val="left"/>
        <w:rPr>
          <w:highlight w:val="none"/>
        </w:rPr>
      </w:pPr>
      <w:r>
        <w:rPr>
          <w:rFonts w:hint="eastAsia" w:hAnsi="宋体" w:cs="宋体"/>
          <w:highlight w:val="none"/>
        </w:rPr>
        <w:t>承包人需要提交的竣工资料套数：</w:t>
      </w:r>
      <w:r>
        <w:rPr>
          <w:highlight w:val="none"/>
          <w:u w:val="single"/>
        </w:rPr>
        <w:t xml:space="preserve">   一式捌套    </w:t>
      </w:r>
      <w:r>
        <w:rPr>
          <w:rFonts w:hint="eastAsia" w:hAnsi="宋体" w:cs="宋体"/>
          <w:highlight w:val="none"/>
        </w:rPr>
        <w:t>。</w:t>
      </w:r>
    </w:p>
    <w:p w14:paraId="21004BC7">
      <w:pPr>
        <w:spacing w:line="360" w:lineRule="auto"/>
        <w:ind w:left="424" w:leftChars="202"/>
        <w:jc w:val="left"/>
        <w:rPr>
          <w:highlight w:val="none"/>
        </w:rPr>
      </w:pPr>
      <w:r>
        <w:rPr>
          <w:rFonts w:hint="eastAsia" w:hAnsi="宋体" w:cs="宋体"/>
          <w:highlight w:val="none"/>
        </w:rPr>
        <w:t>承包人提交的竣工资料的费用承担：</w:t>
      </w:r>
      <w:r>
        <w:rPr>
          <w:highlight w:val="none"/>
          <w:u w:val="single"/>
        </w:rPr>
        <w:t xml:space="preserve"> </w:t>
      </w:r>
      <w:r>
        <w:rPr>
          <w:rFonts w:hint="eastAsia"/>
          <w:highlight w:val="none"/>
          <w:u w:val="single"/>
          <w:lang w:eastAsia="zh-CN"/>
        </w:rPr>
        <w:t>承包人承担</w:t>
      </w:r>
      <w:r>
        <w:rPr>
          <w:highlight w:val="none"/>
          <w:u w:val="single"/>
        </w:rPr>
        <w:t xml:space="preserve">     </w:t>
      </w:r>
      <w:r>
        <w:rPr>
          <w:rFonts w:hint="eastAsia" w:hAnsi="宋体" w:cs="宋体"/>
          <w:highlight w:val="none"/>
        </w:rPr>
        <w:t>。</w:t>
      </w:r>
    </w:p>
    <w:p w14:paraId="4C0D70BF">
      <w:pPr>
        <w:spacing w:line="360" w:lineRule="auto"/>
        <w:ind w:left="424" w:leftChars="202"/>
        <w:jc w:val="left"/>
        <w:rPr>
          <w:highlight w:val="none"/>
        </w:rPr>
      </w:pPr>
      <w:r>
        <w:rPr>
          <w:rFonts w:hint="eastAsia" w:hAnsi="宋体" w:cs="宋体"/>
          <w:highlight w:val="none"/>
        </w:rPr>
        <w:t>承包人提交的竣工资料移交时间：</w:t>
      </w:r>
      <w:r>
        <w:rPr>
          <w:highlight w:val="none"/>
          <w:u w:val="single"/>
        </w:rPr>
        <w:t xml:space="preserve">  </w:t>
      </w:r>
      <w:bookmarkStart w:id="284" w:name="EBe785c96d1d9c4afa8730fecf0f8636e3"/>
      <w:r>
        <w:rPr>
          <w:rFonts w:hint="eastAsia"/>
          <w:highlight w:val="none"/>
          <w:u w:val="single"/>
          <w:lang w:eastAsia="zh-CN"/>
        </w:rPr>
        <w:t>竣工验收合格后30天内</w:t>
      </w:r>
      <w:bookmarkEnd w:id="284"/>
      <w:r>
        <w:rPr>
          <w:highlight w:val="none"/>
          <w:u w:val="single"/>
        </w:rPr>
        <w:t xml:space="preserve">    </w:t>
      </w:r>
      <w:r>
        <w:rPr>
          <w:rFonts w:hint="eastAsia" w:hAnsi="宋体" w:cs="宋体"/>
          <w:highlight w:val="none"/>
        </w:rPr>
        <w:t>。</w:t>
      </w:r>
    </w:p>
    <w:p w14:paraId="4D7FC4B2">
      <w:pPr>
        <w:spacing w:line="360" w:lineRule="auto"/>
        <w:ind w:firstLine="420" w:firstLineChars="200"/>
        <w:jc w:val="left"/>
        <w:rPr>
          <w:highlight w:val="none"/>
        </w:rPr>
      </w:pPr>
      <w:r>
        <w:rPr>
          <w:rFonts w:hint="eastAsia" w:hAnsi="宋体" w:cs="宋体"/>
          <w:highlight w:val="none"/>
        </w:rPr>
        <w:t>承包人提交的竣工资料形式要求：</w:t>
      </w:r>
      <w:r>
        <w:rPr>
          <w:highlight w:val="none"/>
          <w:u w:val="single"/>
        </w:rPr>
        <w:t xml:space="preserve">  </w:t>
      </w:r>
      <w:r>
        <w:rPr>
          <w:rFonts w:ascii="Arial" w:hAnsi="Arial" w:cs="Arial"/>
          <w:color w:val="000000"/>
          <w:highlight w:val="none"/>
          <w:u w:val="single"/>
        </w:rPr>
        <w:t>纸质文件和电子文件</w:t>
      </w:r>
      <w:r>
        <w:rPr>
          <w:highlight w:val="none"/>
          <w:u w:val="single"/>
        </w:rPr>
        <w:t xml:space="preserve">  </w:t>
      </w:r>
      <w:r>
        <w:rPr>
          <w:rFonts w:hint="eastAsia" w:hAnsi="宋体" w:cs="宋体"/>
          <w:highlight w:val="none"/>
        </w:rPr>
        <w:t>。</w:t>
      </w:r>
    </w:p>
    <w:p w14:paraId="0C6C9607">
      <w:pPr>
        <w:spacing w:line="360" w:lineRule="auto"/>
        <w:ind w:firstLine="420" w:firstLineChars="200"/>
        <w:rPr>
          <w:rFonts w:hint="eastAsia" w:ascii="Times New Roman" w:hAnsi="Times New Roman" w:eastAsia="宋体" w:cs="Times New Roman"/>
          <w:highlight w:val="none"/>
          <w:u w:val="single"/>
          <w:lang w:val="en-US" w:eastAsia="zh-CN"/>
        </w:rPr>
      </w:pPr>
      <w:r>
        <w:rPr>
          <w:rFonts w:hint="eastAsia" w:hAnsi="宋体" w:cs="宋体"/>
          <w:kern w:val="0"/>
          <w:highlight w:val="none"/>
        </w:rPr>
        <w:t>（</w:t>
      </w:r>
      <w:r>
        <w:rPr>
          <w:kern w:val="0"/>
          <w:highlight w:val="none"/>
        </w:rPr>
        <w:t>10</w:t>
      </w:r>
      <w:r>
        <w:rPr>
          <w:rFonts w:hint="eastAsia" w:hAnsi="宋体" w:cs="宋体"/>
          <w:kern w:val="0"/>
          <w:highlight w:val="none"/>
        </w:rPr>
        <w:t>）承包人应履行的其他义务：</w:t>
      </w:r>
      <w:r>
        <w:rPr>
          <w:rFonts w:hint="eastAsia" w:ascii="Times New Roman" w:hAnsi="Times New Roman" w:eastAsia="宋体" w:cs="Times New Roman"/>
          <w:highlight w:val="none"/>
          <w:u w:val="single"/>
          <w:lang w:val="en-US" w:eastAsia="zh-CN"/>
        </w:rPr>
        <w:t>施工现场建筑工人持证率应达到15%。（建议≥15%）</w:t>
      </w:r>
    </w:p>
    <w:p w14:paraId="7DF85BED">
      <w:pPr>
        <w:spacing w:line="360" w:lineRule="auto"/>
        <w:ind w:firstLine="420" w:firstLineChars="200"/>
        <w:rPr>
          <w:rFonts w:hint="eastAsia" w:hAnsi="宋体" w:cs="宋体"/>
          <w:kern w:val="0"/>
          <w:highlight w:val="none"/>
        </w:rPr>
      </w:pPr>
      <w:r>
        <w:rPr>
          <w:rFonts w:hint="eastAsia" w:ascii="Times New Roman" w:hAnsi="Times New Roman" w:eastAsia="宋体" w:cs="Times New Roman"/>
          <w:highlight w:val="none"/>
          <w:u w:val="single"/>
          <w:lang w:val="en-US" w:eastAsia="zh-CN"/>
        </w:rPr>
        <w:t>持证人员是指持有国家、行业或地方主管部门颁发或认可的职业资格证书或技能等级证书的作业人员。建筑工人持证率=有考勤记录的工人中持有技能证书的人数÷有考勤记录的工人总人数×100%</w:t>
      </w:r>
      <w:r>
        <w:rPr>
          <w:rFonts w:hint="eastAsia" w:hAnsi="宋体" w:cs="宋体"/>
          <w:kern w:val="0"/>
          <w:highlight w:val="none"/>
        </w:rPr>
        <w:t>。</w:t>
      </w:r>
    </w:p>
    <w:p w14:paraId="0075A403">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①应提供计划、报表的名称及完成时问：每月25日提供当月完成工程量报表、次月计划完成工程量报表各叁份。</w:t>
      </w:r>
    </w:p>
    <w:p w14:paraId="7CB8B71E">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②承担施工安全保卫工作及非夜间施工照明的责任和要求：承包人应采取一切合理的预防措施，防止人员伤亡、财产损失事故，费用由承包人承担。提供和维修非夜间施工使用的照明、围栏设施，并负责安全保卫，费用由承包人承担。</w:t>
      </w:r>
    </w:p>
    <w:p w14:paraId="4E05BF94">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③向发包人提供的办公和生活房屋及设施的要求：按实际需要，由承包人负责承担。</w:t>
      </w:r>
    </w:p>
    <w:p w14:paraId="1F4CB6C3">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④需承包人办理的有关施工场地交通、环卫和施工噪音管理等手续：1. 需要办理交通特别通行证时，由发包人协助承包人办证，费用由承包人承担；2. 施工现场需要排放有害污水时，由承包人办理有关手续并承担费用；3. 施工噪音超过工程所在地主管部门的规定时，由承包人提出措施，并承担相关费用。</w:t>
      </w:r>
    </w:p>
    <w:p w14:paraId="1B4AEDB5">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⑤已完工程成品保护的特殊要求及费用承担：在竣工验收移交全部工程前，由承包人负责采取保护措施，并承担相关费用，发包方不要求移交时，由施工单位代为保管，保管费用由承包方负责。</w:t>
      </w:r>
    </w:p>
    <w:p w14:paraId="3D4ABD18">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⑥施工场地周围地下管线和邻近建筑物、构筑物(含文物保护建筑)、古树名木的保护要求及费用承担：承包人施工时应探明并负责保护且承担费用，施工时如损坏地下管线、邻近建筑物、构筑物，所发生费用由承包人承担。</w:t>
      </w:r>
    </w:p>
    <w:p w14:paraId="44573438">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⑦施工场地清洁卫生的要求：保证施工场地清洁符合环境卫生管理的有关规定，交工前清理现场做到工完场清，承担因自身原因违反有关规定造成的损失和罚款。</w:t>
      </w:r>
    </w:p>
    <w:p w14:paraId="52A5245E">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⑧双方约定承包人应做的其他工作：</w:t>
      </w:r>
    </w:p>
    <w:p w14:paraId="2CA2DA9D">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1)配合发包人做好安全文明宣传、领导检查宣传等工作，相关费用由承包人承担。</w:t>
      </w:r>
    </w:p>
    <w:p w14:paraId="3B222C6A">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2)承包人生活设施及施工场地，应自费配备消防设备，防止火灾发生。</w:t>
      </w:r>
    </w:p>
    <w:p w14:paraId="65B69782">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3)承包人的临时用地（含项目部驻地等）租用费（含拆迁补偿）、临时用地的环保、恢复、临时用地的青苗补偿及地面附着物拆除等费用均由承包人负责，以上费用在投标报价中综合考虑。</w:t>
      </w:r>
    </w:p>
    <w:p w14:paraId="73D7EF95">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4)取土场及弃土场由承包人自行解决，但不得违反相关管理规定，并承担相关费用。</w:t>
      </w:r>
    </w:p>
    <w:p w14:paraId="3E05E229">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5）经过城市道路的施工车辆，必须按交警、城管、运输等部门相关规定执行。由于施工车辆造成的道路、环境等污染，其责任和费用均由承包人承担。</w:t>
      </w:r>
    </w:p>
    <w:p w14:paraId="54986280">
      <w:pPr>
        <w:spacing w:line="360" w:lineRule="auto"/>
        <w:ind w:firstLine="420" w:firstLineChars="200"/>
        <w:rPr>
          <w:rFonts w:hint="eastAsia" w:hAnsi="宋体" w:cs="宋体"/>
          <w:kern w:val="0"/>
          <w:highlight w:val="none"/>
          <w:lang w:eastAsia="zh-CN"/>
        </w:rPr>
      </w:pPr>
      <w:r>
        <w:rPr>
          <w:rFonts w:hint="eastAsia" w:hAnsi="宋体" w:cs="宋体"/>
          <w:kern w:val="0"/>
          <w:highlight w:val="none"/>
          <w:lang w:eastAsia="zh-CN"/>
        </w:rPr>
        <w:t>6）承包人负责合同实施期间其合同段内临时交通道路（含场内外连接公共交通道路）和交通设施的修建、维修、养护和交通管理工作，并承担一切费用。</w:t>
      </w:r>
    </w:p>
    <w:p w14:paraId="0D7896C3">
      <w:pPr>
        <w:spacing w:line="360" w:lineRule="auto"/>
        <w:ind w:firstLine="420" w:firstLineChars="200"/>
        <w:rPr>
          <w:rFonts w:hint="eastAsia" w:hAnsi="宋体" w:cs="宋体"/>
          <w:kern w:val="0"/>
          <w:highlight w:val="none"/>
        </w:rPr>
      </w:pPr>
      <w:r>
        <w:rPr>
          <w:rFonts w:hint="eastAsia" w:hAnsi="宋体" w:cs="宋体"/>
          <w:kern w:val="0"/>
          <w:highlight w:val="none"/>
          <w:lang w:eastAsia="zh-CN"/>
        </w:rPr>
        <w:t>7）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p>
    <w:p w14:paraId="03D7CBB9">
      <w:pPr>
        <w:pStyle w:val="5"/>
        <w:jc w:val="left"/>
        <w:rPr>
          <w:highlight w:val="none"/>
        </w:rPr>
      </w:pPr>
      <w:bookmarkStart w:id="285" w:name="_Toc1659520837"/>
      <w:bookmarkStart w:id="286" w:name="_Toc407135210"/>
      <w:bookmarkStart w:id="287" w:name="_Toc78449796"/>
      <w:bookmarkStart w:id="288" w:name="_Toc389065274"/>
      <w:bookmarkStart w:id="289" w:name="_Toc501741485"/>
      <w:bookmarkStart w:id="290" w:name="_Toc373478355"/>
      <w:bookmarkStart w:id="291" w:name="_Toc373227708"/>
      <w:r>
        <w:rPr>
          <w:highlight w:val="none"/>
        </w:rPr>
        <w:t xml:space="preserve">3.2 </w:t>
      </w:r>
      <w:r>
        <w:rPr>
          <w:rFonts w:hint="eastAsia" w:hAnsi="宋体" w:cs="黑体"/>
          <w:highlight w:val="none"/>
        </w:rPr>
        <w:t>项目经理</w:t>
      </w:r>
      <w:bookmarkEnd w:id="285"/>
      <w:bookmarkEnd w:id="286"/>
      <w:bookmarkEnd w:id="287"/>
      <w:bookmarkEnd w:id="288"/>
      <w:bookmarkEnd w:id="289"/>
      <w:bookmarkEnd w:id="290"/>
      <w:bookmarkEnd w:id="291"/>
    </w:p>
    <w:p w14:paraId="7D04603B">
      <w:pPr>
        <w:spacing w:line="360" w:lineRule="auto"/>
        <w:ind w:firstLine="420" w:firstLineChars="200"/>
        <w:rPr>
          <w:highlight w:val="none"/>
        </w:rPr>
      </w:pPr>
      <w:r>
        <w:rPr>
          <w:kern w:val="0"/>
          <w:highlight w:val="none"/>
        </w:rPr>
        <w:t xml:space="preserve">3.2.1 </w:t>
      </w:r>
      <w:r>
        <w:rPr>
          <w:rFonts w:hint="eastAsia" w:hAnsi="宋体" w:cs="宋体"/>
          <w:highlight w:val="none"/>
        </w:rPr>
        <w:t>项目经理：</w:t>
      </w:r>
    </w:p>
    <w:p w14:paraId="4690CEEA">
      <w:pPr>
        <w:spacing w:line="360" w:lineRule="auto"/>
        <w:ind w:firstLine="420" w:firstLineChars="200"/>
        <w:rPr>
          <w:highlight w:val="none"/>
        </w:rPr>
      </w:pPr>
      <w:r>
        <w:rPr>
          <w:rFonts w:hAnsi="宋体"/>
          <w:highlight w:val="none"/>
        </w:rPr>
        <w:t>姓</w:t>
      </w:r>
      <w:r>
        <w:rPr>
          <w:highlight w:val="none"/>
        </w:rPr>
        <w:t xml:space="preserve">    </w:t>
      </w:r>
      <w:r>
        <w:rPr>
          <w:rFonts w:hAnsi="宋体"/>
          <w:highlight w:val="none"/>
        </w:rPr>
        <w:t>名：</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42726CF7">
      <w:pPr>
        <w:spacing w:line="360" w:lineRule="auto"/>
        <w:ind w:firstLine="420" w:firstLineChars="200"/>
        <w:rPr>
          <w:highlight w:val="none"/>
        </w:rPr>
      </w:pPr>
      <w:r>
        <w:rPr>
          <w:rFonts w:hAnsi="宋体"/>
          <w:highlight w:val="none"/>
        </w:rPr>
        <w:t>身份证号：</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4C06FBF5">
      <w:pPr>
        <w:spacing w:line="360" w:lineRule="auto"/>
        <w:ind w:firstLine="420" w:firstLineChars="200"/>
        <w:rPr>
          <w:highlight w:val="none"/>
        </w:rPr>
      </w:pPr>
      <w:r>
        <w:rPr>
          <w:rFonts w:hAnsi="宋体"/>
          <w:highlight w:val="none"/>
        </w:rPr>
        <w:t>建造师执业资格等级：</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3A5144C1">
      <w:pPr>
        <w:spacing w:line="360" w:lineRule="auto"/>
        <w:ind w:firstLine="420" w:firstLineChars="200"/>
        <w:rPr>
          <w:highlight w:val="none"/>
        </w:rPr>
      </w:pPr>
      <w:r>
        <w:rPr>
          <w:rFonts w:hAnsi="宋体"/>
          <w:highlight w:val="none"/>
        </w:rPr>
        <w:t>建造师注册证书号：</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41F48BFA">
      <w:pPr>
        <w:spacing w:line="360" w:lineRule="auto"/>
        <w:ind w:firstLine="420" w:firstLineChars="200"/>
        <w:rPr>
          <w:rFonts w:hAnsi="宋体"/>
          <w:highlight w:val="none"/>
        </w:rPr>
      </w:pPr>
      <w:r>
        <w:rPr>
          <w:rFonts w:hAnsi="宋体"/>
          <w:highlight w:val="none"/>
        </w:rPr>
        <w:t>安全生产考核合格证书号：</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29B0BE1F">
      <w:pPr>
        <w:spacing w:line="360" w:lineRule="auto"/>
        <w:ind w:firstLine="420" w:firstLineChars="200"/>
        <w:rPr>
          <w:highlight w:val="none"/>
        </w:rPr>
      </w:pPr>
      <w:r>
        <w:rPr>
          <w:rFonts w:hAnsi="宋体"/>
          <w:highlight w:val="none"/>
        </w:rPr>
        <w:t>联系电话：</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1AC0C839">
      <w:pPr>
        <w:spacing w:line="360" w:lineRule="auto"/>
        <w:ind w:firstLine="420" w:firstLineChars="200"/>
        <w:rPr>
          <w:highlight w:val="none"/>
        </w:rPr>
      </w:pPr>
      <w:r>
        <w:rPr>
          <w:rFonts w:hAnsi="宋体"/>
          <w:highlight w:val="none"/>
        </w:rPr>
        <w:t>电子信箱：</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5E55EEE5">
      <w:pPr>
        <w:spacing w:line="360" w:lineRule="auto"/>
        <w:ind w:firstLine="420" w:firstLineChars="200"/>
        <w:rPr>
          <w:rFonts w:hint="eastAsia" w:hAnsi="宋体"/>
          <w:highlight w:val="none"/>
        </w:rPr>
      </w:pPr>
      <w:r>
        <w:rPr>
          <w:rFonts w:hAnsi="宋体"/>
          <w:highlight w:val="none"/>
        </w:rPr>
        <w:t>通信地址：</w:t>
      </w:r>
      <w:r>
        <w:rPr>
          <w:rFonts w:hAnsi="宋体"/>
          <w:highlight w:val="none"/>
          <w:u w:val="single"/>
        </w:rPr>
        <w:t></w:t>
      </w:r>
      <w:r>
        <w:rPr>
          <w:highlight w:val="none"/>
          <w:u w:val="single"/>
        </w:rPr>
        <w:t xml:space="preserve">        </w:t>
      </w:r>
      <w:r>
        <w:rPr>
          <w:rFonts w:hAnsi="宋体"/>
          <w:highlight w:val="none"/>
          <w:u w:val="single"/>
        </w:rPr>
        <w:t></w:t>
      </w:r>
      <w:r>
        <w:rPr>
          <w:highlight w:val="none"/>
          <w:u w:val="single"/>
        </w:rPr>
        <w:t xml:space="preserve"> </w:t>
      </w:r>
      <w:r>
        <w:rPr>
          <w:rFonts w:hAnsi="宋体"/>
          <w:highlight w:val="none"/>
          <w:u w:val="single"/>
        </w:rPr>
        <w:t></w:t>
      </w:r>
      <w:r>
        <w:rPr>
          <w:rFonts w:hAnsi="宋体"/>
          <w:highlight w:val="none"/>
        </w:rPr>
        <w:t>；</w:t>
      </w:r>
    </w:p>
    <w:p w14:paraId="55D6AB68">
      <w:pPr>
        <w:spacing w:line="360" w:lineRule="auto"/>
        <w:ind w:firstLine="420" w:firstLineChars="200"/>
        <w:rPr>
          <w:highlight w:val="none"/>
        </w:rPr>
      </w:pPr>
      <w:r>
        <w:rPr>
          <w:rFonts w:hint="eastAsia" w:hAnsi="宋体" w:cs="宋体"/>
          <w:highlight w:val="none"/>
        </w:rPr>
        <w:t>承包人对项目经理的授权范围如下：</w:t>
      </w:r>
      <w:r>
        <w:rPr>
          <w:highlight w:val="none"/>
          <w:u w:val="single"/>
        </w:rPr>
        <w:t xml:space="preserve"> </w:t>
      </w:r>
      <w:r>
        <w:rPr>
          <w:rFonts w:hint="eastAsia"/>
          <w:highlight w:val="none"/>
          <w:u w:val="single"/>
          <w:lang w:eastAsia="zh-CN"/>
        </w:rPr>
        <w:t>负责本项目施工的一切事务（含签署文件和处理相关事务），如签订本项目的合同、施工、竣工验收、竣工资料等的签署文件和处理相关事务</w:t>
      </w:r>
      <w:r>
        <w:rPr>
          <w:highlight w:val="none"/>
          <w:u w:val="single"/>
        </w:rPr>
        <w:t xml:space="preserve"> </w:t>
      </w:r>
      <w:r>
        <w:rPr>
          <w:rFonts w:hint="eastAsia" w:hAnsi="宋体" w:cs="宋体"/>
          <w:highlight w:val="none"/>
        </w:rPr>
        <w:t>。</w:t>
      </w:r>
    </w:p>
    <w:p w14:paraId="5F61B9C3">
      <w:pPr>
        <w:spacing w:line="360" w:lineRule="auto"/>
        <w:ind w:firstLine="420" w:firstLineChars="200"/>
        <w:rPr>
          <w:rFonts w:hint="eastAsia" w:ascii="Times New Roman" w:hAnsi="Times New Roman" w:eastAsia="宋体" w:cs="Times New Roman"/>
          <w:highlight w:val="none"/>
          <w:u w:val="single"/>
          <w:lang w:val="en-US" w:eastAsia="zh-CN"/>
        </w:rPr>
      </w:pPr>
      <w:r>
        <w:rPr>
          <w:rFonts w:hint="eastAsia" w:hAnsi="宋体" w:cs="宋体"/>
          <w:kern w:val="0"/>
          <w:highlight w:val="none"/>
        </w:rPr>
        <w:t>关于项目经理每月在施工现场的时间要求：</w:t>
      </w:r>
      <w:r>
        <w:rPr>
          <w:rFonts w:hint="eastAsia" w:ascii="Times New Roman" w:hAnsi="Times New Roman" w:eastAsia="宋体" w:cs="Times New Roman"/>
          <w:highlight w:val="none"/>
          <w:u w:val="single"/>
          <w:lang w:val="en-US" w:eastAsia="zh-CN"/>
        </w:rPr>
        <w:t>项目经理应常驻施工现场，且每月在岗带班时间不得少于当月施工时间的80%。（住房城乡建设部《建筑施工企业、工程项目安全生产管理机构设置及安全生产管理人员配备办法》（建质规〔2025〕3号）规定：项目负责人每月带班生产时间不得少于本月施工时间的80%）</w:t>
      </w:r>
    </w:p>
    <w:p w14:paraId="6777267E">
      <w:pPr>
        <w:spacing w:line="360" w:lineRule="auto"/>
        <w:ind w:firstLine="420" w:firstLineChars="200"/>
        <w:rPr>
          <w:rFonts w:hint="eastAsia" w:ascii="Times New Roman" w:hAnsi="Times New Roman" w:eastAsia="宋体" w:cs="Times New Roman"/>
          <w:highlight w:val="none"/>
          <w:u w:val="single"/>
          <w:lang w:val="en-US" w:eastAsia="zh-CN"/>
        </w:rPr>
      </w:pPr>
      <w:r>
        <w:rPr>
          <w:rFonts w:hint="eastAsia" w:ascii="Times New Roman" w:hAnsi="Times New Roman" w:eastAsia="宋体" w:cs="Times New Roman"/>
          <w:highlight w:val="none"/>
          <w:u w:val="single"/>
          <w:lang w:val="en-US" w:eastAsia="zh-CN"/>
        </w:rPr>
        <w:t>项目经理未达到到岗时间要求违约责任：项目经理每月到岗时间达不到合同约定时，每少1天，承包人须承担违约金10000元/天（人民币）。（项目经理到岗时间以广西建筑工人管理服务信息平台考勤记录为准）</w:t>
      </w:r>
    </w:p>
    <w:p w14:paraId="7778BA95">
      <w:pPr>
        <w:spacing w:line="360" w:lineRule="auto"/>
        <w:ind w:firstLine="420" w:firstLineChars="200"/>
        <w:rPr>
          <w:color w:val="auto"/>
          <w:kern w:val="0"/>
          <w:highlight w:val="none"/>
        </w:rPr>
      </w:pPr>
      <w:r>
        <w:rPr>
          <w:rFonts w:hint="eastAsia" w:ascii="Times New Roman" w:hAnsi="Times New Roman" w:eastAsia="宋体" w:cs="Times New Roman"/>
          <w:highlight w:val="none"/>
          <w:u w:val="single"/>
          <w:lang w:val="en-US" w:eastAsia="zh-CN"/>
        </w:rPr>
        <w:t>项目经理未经批准，擅自离开施工现场的违约责任：承包人须承担违约金2000元/天（人民币），并由承包人承担因上述违约行为给发包人造成的一切损失。</w:t>
      </w:r>
    </w:p>
    <w:p w14:paraId="2711C76E">
      <w:pPr>
        <w:spacing w:line="360" w:lineRule="auto"/>
        <w:ind w:firstLine="420" w:firstLineChars="200"/>
        <w:rPr>
          <w:color w:val="auto"/>
          <w:highlight w:val="none"/>
          <w:u w:val="single"/>
        </w:rPr>
      </w:pPr>
      <w:r>
        <w:rPr>
          <w:rFonts w:hint="eastAsia" w:hAnsi="宋体" w:cs="宋体"/>
          <w:color w:val="auto"/>
          <w:kern w:val="0"/>
          <w:highlight w:val="none"/>
        </w:rPr>
        <w:t>承包人未提交劳动合同，以及没有为项目经理缴纳社会保险证明的违约责任：</w:t>
      </w:r>
    </w:p>
    <w:p w14:paraId="0BFA2572">
      <w:pPr>
        <w:spacing w:line="360" w:lineRule="auto"/>
        <w:ind w:firstLine="420" w:firstLineChars="200"/>
        <w:rPr>
          <w:highlight w:val="none"/>
          <w:u w:val="single"/>
        </w:rPr>
      </w:pPr>
      <w:r>
        <w:rPr>
          <w:color w:val="auto"/>
          <w:highlight w:val="none"/>
          <w:u w:val="single"/>
        </w:rPr>
        <w:t xml:space="preserve">      </w:t>
      </w:r>
      <w:r>
        <w:rPr>
          <w:rFonts w:hAnsi="宋体"/>
          <w:color w:val="auto"/>
          <w:highlight w:val="none"/>
          <w:u w:val="single"/>
        </w:rPr>
        <w:t xml:space="preserve">                                                             </w:t>
      </w:r>
      <w:r>
        <w:rPr>
          <w:rFonts w:hint="eastAsia" w:hAnsi="宋体"/>
          <w:color w:val="auto"/>
          <w:highlight w:val="none"/>
          <w:u w:val="single"/>
        </w:rPr>
        <w:t xml:space="preserve">          </w:t>
      </w:r>
      <w:r>
        <w:rPr>
          <w:rFonts w:hint="eastAsia" w:hAnsi="宋体" w:cs="宋体"/>
          <w:highlight w:val="none"/>
        </w:rPr>
        <w:t>。</w:t>
      </w:r>
    </w:p>
    <w:p w14:paraId="65A77F58">
      <w:pPr>
        <w:adjustRightInd w:val="0"/>
        <w:snapToGrid w:val="0"/>
        <w:spacing w:line="460" w:lineRule="exact"/>
        <w:ind w:firstLine="420" w:firstLineChars="200"/>
        <w:jc w:val="left"/>
        <w:rPr>
          <w:highlight w:val="none"/>
        </w:rPr>
      </w:pPr>
      <w:r>
        <w:rPr>
          <w:highlight w:val="none"/>
        </w:rPr>
        <w:t xml:space="preserve">3.2.3 </w:t>
      </w:r>
      <w:r>
        <w:rPr>
          <w:rFonts w:hint="eastAsia" w:hAnsi="宋体" w:cs="宋体"/>
          <w:highlight w:val="none"/>
        </w:rPr>
        <w:t>承包人擅自更换项目经理的违约责任：</w:t>
      </w:r>
      <w:r>
        <w:rPr>
          <w:rFonts w:hint="eastAsia" w:hAnsi="宋体" w:cs="宋体"/>
          <w:highlight w:val="none"/>
          <w:u w:val="single"/>
        </w:rPr>
        <w:t>承包人项目经理必须与承包人投标时所承诺的人员一致，并在</w:t>
      </w:r>
      <w:r>
        <w:rPr>
          <w:highlight w:val="none"/>
          <w:u w:val="single"/>
        </w:rPr>
        <w:t xml:space="preserve">  </w:t>
      </w:r>
      <w:r>
        <w:rPr>
          <w:rFonts w:hint="eastAsia" w:hAnsi="宋体" w:cs="宋体"/>
          <w:highlight w:val="none"/>
          <w:u w:val="single"/>
        </w:rPr>
        <w:t>（开工日期）</w:t>
      </w:r>
      <w:r>
        <w:rPr>
          <w:highlight w:val="none"/>
          <w:u w:val="single"/>
        </w:rPr>
        <w:t xml:space="preserve">  </w:t>
      </w:r>
      <w:r>
        <w:rPr>
          <w:rFonts w:hint="eastAsia" w:hAnsi="宋体" w:cs="宋体"/>
          <w:highlight w:val="none"/>
          <w:u w:val="single"/>
        </w:rPr>
        <w:t>前到</w:t>
      </w:r>
      <w:r>
        <w:rPr>
          <w:highlight w:val="none"/>
        </w:rPr>
        <w:t xml:space="preserve">任。在监理人向承包人颁发 </w:t>
      </w:r>
      <w:r>
        <w:rPr>
          <w:highlight w:val="none"/>
          <w:u w:val="single"/>
        </w:rPr>
        <w:t xml:space="preserve">   （竣工证明材料名称）   </w:t>
      </w:r>
      <w:r>
        <w:rPr>
          <w:highlight w:val="none"/>
        </w:rPr>
        <w:t xml:space="preserve"> 前，项目经理不得同时兼任其他任何项目的项目经理（符合《广西壮族自治区建筑市场诚信卡管理暂行办法》第十六条第一款及桂建管﹝2016﹞70号、</w:t>
      </w:r>
      <w:r>
        <w:rPr>
          <w:szCs w:val="21"/>
          <w:highlight w:val="none"/>
        </w:rPr>
        <w:t>桂建管〔2020〕11号</w:t>
      </w:r>
      <w:r>
        <w:rPr>
          <w:highlight w:val="none"/>
        </w:rPr>
        <w:t>文除外）。未经发包人书面同意，承包人擅自更换项目经理的视为违约，违约金处</w:t>
      </w:r>
      <w:r>
        <w:rPr>
          <w:highlight w:val="none"/>
          <w:u w:val="single"/>
        </w:rPr>
        <w:t xml:space="preserve"> </w:t>
      </w:r>
      <w:r>
        <w:rPr>
          <w:rFonts w:hint="eastAsia"/>
          <w:highlight w:val="none"/>
          <w:u w:val="single"/>
          <w:lang w:val="en-US" w:eastAsia="zh-CN"/>
        </w:rPr>
        <w:t>10万</w:t>
      </w:r>
      <w:r>
        <w:rPr>
          <w:highlight w:val="none"/>
          <w:u w:val="single"/>
        </w:rPr>
        <w:t xml:space="preserve"> </w:t>
      </w:r>
      <w:r>
        <w:rPr>
          <w:highlight w:val="none"/>
        </w:rPr>
        <w:t>元/人•次（人民币）。</w:t>
      </w:r>
    </w:p>
    <w:p w14:paraId="1EA6B53B">
      <w:pPr>
        <w:spacing w:line="360" w:lineRule="auto"/>
        <w:ind w:firstLine="420" w:firstLineChars="200"/>
        <w:rPr>
          <w:highlight w:val="none"/>
        </w:rPr>
      </w:pPr>
      <w:r>
        <w:rPr>
          <w:highlight w:val="none"/>
        </w:rPr>
        <w:t xml:space="preserve">3.2.4 </w:t>
      </w:r>
      <w:r>
        <w:rPr>
          <w:rFonts w:hint="eastAsia" w:hAnsi="宋体" w:cs="宋体"/>
          <w:highlight w:val="none"/>
        </w:rPr>
        <w:t>承包人无正当理由拒绝更换项目经理的违约责任：</w:t>
      </w:r>
      <w:r>
        <w:rPr>
          <w:rFonts w:hint="eastAsia" w:hAnsi="宋体" w:cs="宋体"/>
          <w:highlight w:val="none"/>
          <w:u w:val="single"/>
        </w:rPr>
        <w:t>因承包人项目经理不称职，发包人要求调换而未及时调换的，视为承包人违约，必须向发包人交纳处罚金</w:t>
      </w:r>
      <w:r>
        <w:rPr>
          <w:rFonts w:hint="eastAsia"/>
          <w:highlight w:val="none"/>
          <w:u w:val="single"/>
          <w:lang w:val="en-US" w:eastAsia="zh-CN"/>
        </w:rPr>
        <w:t>20000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rPr>
        <w:t>。</w:t>
      </w:r>
    </w:p>
    <w:p w14:paraId="7099B2C5">
      <w:pPr>
        <w:pStyle w:val="5"/>
        <w:jc w:val="left"/>
        <w:rPr>
          <w:highlight w:val="none"/>
        </w:rPr>
      </w:pPr>
      <w:bookmarkStart w:id="292" w:name="_Toc747710271"/>
      <w:bookmarkStart w:id="293" w:name="_Toc1443830486"/>
      <w:bookmarkStart w:id="294" w:name="_Toc78449797"/>
      <w:bookmarkStart w:id="295" w:name="_Toc373227709"/>
      <w:bookmarkStart w:id="296" w:name="_Toc407135211"/>
      <w:bookmarkStart w:id="297" w:name="_Toc373478356"/>
      <w:bookmarkStart w:id="298" w:name="_Toc389065275"/>
      <w:r>
        <w:rPr>
          <w:highlight w:val="none"/>
        </w:rPr>
        <w:t xml:space="preserve">3.3 </w:t>
      </w:r>
      <w:r>
        <w:rPr>
          <w:rFonts w:hint="eastAsia" w:hAnsi="宋体" w:cs="黑体"/>
          <w:highlight w:val="none"/>
        </w:rPr>
        <w:t>承包人人员</w:t>
      </w:r>
      <w:bookmarkEnd w:id="292"/>
      <w:bookmarkEnd w:id="293"/>
      <w:bookmarkEnd w:id="294"/>
      <w:bookmarkEnd w:id="295"/>
      <w:bookmarkEnd w:id="296"/>
      <w:bookmarkEnd w:id="297"/>
      <w:bookmarkEnd w:id="298"/>
    </w:p>
    <w:p w14:paraId="68717648">
      <w:pPr>
        <w:spacing w:line="360" w:lineRule="auto"/>
        <w:ind w:firstLine="420" w:firstLineChars="200"/>
        <w:rPr>
          <w:rFonts w:hAnsi="宋体"/>
          <w:highlight w:val="none"/>
        </w:rPr>
      </w:pPr>
      <w:r>
        <w:rPr>
          <w:highlight w:val="none"/>
        </w:rPr>
        <w:t xml:space="preserve">3.3.1 </w:t>
      </w:r>
      <w:r>
        <w:rPr>
          <w:rFonts w:hint="eastAsia" w:hAnsi="宋体" w:cs="宋体"/>
          <w:highlight w:val="none"/>
        </w:rPr>
        <w:t>承包人提交项目管理机构及施工现场管理人员安排报告（格式见合同附件</w:t>
      </w:r>
      <w:r>
        <w:rPr>
          <w:rFonts w:hint="eastAsia" w:hAnsi="宋体"/>
          <w:highlight w:val="none"/>
        </w:rPr>
        <w:t>5</w:t>
      </w:r>
      <w:r>
        <w:rPr>
          <w:rFonts w:hint="eastAsia" w:hAnsi="宋体" w:cs="宋体"/>
          <w:highlight w:val="none"/>
        </w:rPr>
        <w:t>）的期限：</w:t>
      </w:r>
    </w:p>
    <w:p w14:paraId="275365FC">
      <w:pPr>
        <w:spacing w:line="360" w:lineRule="auto"/>
        <w:rPr>
          <w:highlight w:val="none"/>
        </w:rPr>
      </w:pPr>
      <w:r>
        <w:rPr>
          <w:highlight w:val="none"/>
          <w:u w:val="single"/>
        </w:rPr>
        <w:t xml:space="preserve"> </w:t>
      </w:r>
      <w:r>
        <w:rPr>
          <w:rFonts w:hint="eastAsia"/>
          <w:highlight w:val="none"/>
          <w:u w:val="single"/>
          <w:lang w:eastAsia="zh-CN"/>
        </w:rPr>
        <w:t>开工前七天</w:t>
      </w:r>
      <w:r>
        <w:rPr>
          <w:highlight w:val="none"/>
          <w:u w:val="single"/>
        </w:rPr>
        <w:t xml:space="preserve"> </w:t>
      </w:r>
      <w:r>
        <w:rPr>
          <w:rFonts w:hint="eastAsia" w:hAnsi="宋体" w:cs="宋体"/>
          <w:highlight w:val="none"/>
        </w:rPr>
        <w:t>。</w:t>
      </w:r>
    </w:p>
    <w:p w14:paraId="185BDB09">
      <w:pPr>
        <w:spacing w:line="360" w:lineRule="auto"/>
        <w:ind w:firstLine="420" w:firstLineChars="200"/>
        <w:rPr>
          <w:highlight w:val="none"/>
        </w:rPr>
      </w:pPr>
      <w:r>
        <w:rPr>
          <w:highlight w:val="none"/>
        </w:rPr>
        <w:t xml:space="preserve">3.3.3 </w:t>
      </w:r>
      <w:r>
        <w:rPr>
          <w:rFonts w:hint="eastAsia" w:hAnsi="宋体" w:cs="宋体"/>
          <w:highlight w:val="none"/>
        </w:rPr>
        <w:t>承包人无正当理由拒绝撤换主要施工管理人员的违约责任：</w:t>
      </w:r>
      <w:r>
        <w:rPr>
          <w:rFonts w:hint="eastAsia" w:hAnsi="宋体" w:cs="宋体"/>
          <w:highlight w:val="none"/>
          <w:u w:val="single"/>
        </w:rPr>
        <w:t>因承包人主要施工管理人员不称职，发包人要求调换而无正当理由拒绝撤换或未及时调换的，视为承包人违约，必须向发包人交纳处罚金，处罚标准：技术负责人</w:t>
      </w:r>
      <w:r>
        <w:rPr>
          <w:rFonts w:hint="eastAsia"/>
          <w:highlight w:val="none"/>
          <w:u w:val="single"/>
          <w:lang w:val="en-US" w:eastAsia="zh-CN"/>
        </w:rPr>
        <w:t>2000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u w:val="single"/>
        </w:rPr>
        <w:t>；专业工程师</w:t>
      </w:r>
      <w:r>
        <w:rPr>
          <w:rFonts w:hint="eastAsia"/>
          <w:highlight w:val="none"/>
          <w:u w:val="single"/>
          <w:lang w:val="en-US" w:eastAsia="zh-CN"/>
        </w:rPr>
        <w:t>2000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rPr>
        <w:t>。</w:t>
      </w:r>
    </w:p>
    <w:p w14:paraId="14728260">
      <w:pPr>
        <w:spacing w:line="360" w:lineRule="auto"/>
        <w:ind w:firstLine="420" w:firstLineChars="200"/>
        <w:rPr>
          <w:highlight w:val="none"/>
          <w:u w:val="single"/>
        </w:rPr>
      </w:pPr>
      <w:r>
        <w:rPr>
          <w:highlight w:val="none"/>
        </w:rPr>
        <w:t xml:space="preserve">3.3.4 </w:t>
      </w:r>
      <w:r>
        <w:rPr>
          <w:rFonts w:hint="eastAsia" w:hAnsi="宋体" w:cs="宋体"/>
          <w:highlight w:val="none"/>
        </w:rPr>
        <w:t>承包人主要施工管理人员离开施工现场的批准要求：</w:t>
      </w:r>
      <w:r>
        <w:rPr>
          <w:highlight w:val="none"/>
          <w:u w:val="single"/>
        </w:rPr>
        <w:t xml:space="preserve">   </w:t>
      </w:r>
      <w:r>
        <w:rPr>
          <w:rFonts w:hint="eastAsia"/>
          <w:highlight w:val="none"/>
          <w:u w:val="single"/>
          <w:lang w:eastAsia="zh-CN"/>
        </w:rPr>
        <w:t>无</w:t>
      </w:r>
      <w:r>
        <w:rPr>
          <w:highlight w:val="none"/>
          <w:u w:val="single"/>
        </w:rPr>
        <w:t xml:space="preserve">     </w:t>
      </w:r>
      <w:r>
        <w:rPr>
          <w:rFonts w:hint="eastAsia" w:hAnsi="宋体" w:cs="宋体"/>
          <w:highlight w:val="none"/>
        </w:rPr>
        <w:t>。</w:t>
      </w:r>
    </w:p>
    <w:p w14:paraId="78640564">
      <w:pPr>
        <w:spacing w:line="360" w:lineRule="auto"/>
        <w:ind w:firstLine="420" w:firstLineChars="200"/>
        <w:rPr>
          <w:highlight w:val="none"/>
        </w:rPr>
      </w:pPr>
      <w:r>
        <w:rPr>
          <w:highlight w:val="none"/>
        </w:rPr>
        <w:t xml:space="preserve">3.3.5 </w:t>
      </w:r>
      <w:r>
        <w:rPr>
          <w:rFonts w:hint="eastAsia" w:hAnsi="宋体" w:cs="宋体"/>
          <w:highlight w:val="none"/>
        </w:rPr>
        <w:t>承包人擅自更换主要施工管理人员的违约责任：</w:t>
      </w:r>
      <w:r>
        <w:rPr>
          <w:rFonts w:hint="eastAsia" w:hAnsi="宋体" w:cs="宋体"/>
          <w:highlight w:val="none"/>
          <w:u w:val="single"/>
        </w:rPr>
        <w:t>项目技术负责人、专职安全生产管理人员及其承诺的其它在场管理人员未经发包人书面同意不准擅自更换，擅自更换项目技术负责人处</w:t>
      </w:r>
      <w:r>
        <w:rPr>
          <w:highlight w:val="none"/>
          <w:u w:val="single"/>
        </w:rPr>
        <w:t xml:space="preserve">    </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u w:val="single"/>
        </w:rPr>
        <w:t>违约金；擅自更换专职安全生产管理人员处</w:t>
      </w:r>
      <w:r>
        <w:rPr>
          <w:rFonts w:hint="eastAsia"/>
          <w:highlight w:val="none"/>
          <w:u w:val="single"/>
          <w:lang w:val="en-US" w:eastAsia="zh-CN"/>
        </w:rPr>
        <w:t>2000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u w:val="single"/>
        </w:rPr>
        <w:t>违约金；擅自更换其它在场管理人员处</w:t>
      </w:r>
      <w:r>
        <w:rPr>
          <w:rFonts w:hint="eastAsia"/>
          <w:highlight w:val="none"/>
          <w:u w:val="single"/>
          <w:lang w:val="en-US" w:eastAsia="zh-CN"/>
        </w:rPr>
        <w:t>2000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u w:val="single"/>
        </w:rPr>
        <w:t>违约金</w:t>
      </w:r>
      <w:r>
        <w:rPr>
          <w:rFonts w:hint="eastAsia" w:hAnsi="宋体" w:cs="宋体"/>
          <w:highlight w:val="none"/>
        </w:rPr>
        <w:t>。</w:t>
      </w:r>
    </w:p>
    <w:p w14:paraId="472B7E41">
      <w:pPr>
        <w:spacing w:line="360" w:lineRule="auto"/>
        <w:ind w:firstLine="420" w:firstLineChars="200"/>
        <w:rPr>
          <w:highlight w:val="none"/>
        </w:rPr>
      </w:pPr>
      <w:r>
        <w:rPr>
          <w:rFonts w:hint="eastAsia" w:hAnsi="宋体" w:cs="宋体"/>
          <w:highlight w:val="none"/>
        </w:rPr>
        <w:t>承包人主要施工管理人员擅自离开施工现场的违约责任：</w:t>
      </w:r>
      <w:r>
        <w:rPr>
          <w:rFonts w:hint="eastAsia" w:hAnsi="宋体" w:cs="宋体"/>
          <w:highlight w:val="none"/>
          <w:u w:val="single"/>
        </w:rPr>
        <w:t>未经发包人同意，项目技术负责人擅自离岗的，视为承包人违约，发包人有权处违约金</w:t>
      </w:r>
      <w:r>
        <w:rPr>
          <w:rFonts w:hint="eastAsia"/>
          <w:highlight w:val="none"/>
          <w:u w:val="single"/>
          <w:lang w:val="en-US" w:eastAsia="zh-CN"/>
        </w:rPr>
        <w:t>1000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u w:val="single"/>
        </w:rPr>
        <w:t>；未经发包人同意，专职安全生产管理人员擅自离岗的，视为承包人违约，发包人有权处违约金</w:t>
      </w:r>
      <w:r>
        <w:rPr>
          <w:rFonts w:hint="eastAsia"/>
          <w:highlight w:val="none"/>
          <w:u w:val="single"/>
          <w:lang w:val="en-US" w:eastAsia="zh-CN"/>
        </w:rPr>
        <w:t>1000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u w:val="single"/>
        </w:rPr>
        <w:t>；其它在场管理人员擅自离岗的，视为承包人违约，发包人有权处违约金</w:t>
      </w:r>
      <w:r>
        <w:rPr>
          <w:rFonts w:hint="eastAsia"/>
          <w:highlight w:val="none"/>
          <w:u w:val="single"/>
          <w:lang w:val="en-US" w:eastAsia="zh-CN"/>
        </w:rPr>
        <w:t>1000</w:t>
      </w:r>
      <w:r>
        <w:rPr>
          <w:rFonts w:hint="eastAsia" w:hAnsi="宋体" w:cs="宋体"/>
          <w:highlight w:val="none"/>
          <w:u w:val="single"/>
        </w:rPr>
        <w:t>元</w:t>
      </w:r>
      <w:r>
        <w:rPr>
          <w:highlight w:val="none"/>
          <w:u w:val="single"/>
        </w:rPr>
        <w:t>/</w:t>
      </w:r>
      <w:r>
        <w:rPr>
          <w:rFonts w:hint="eastAsia" w:hAnsi="宋体" w:cs="宋体"/>
          <w:highlight w:val="none"/>
          <w:u w:val="single"/>
        </w:rPr>
        <w:t>人</w:t>
      </w:r>
      <w:r>
        <w:rPr>
          <w:highlight w:val="none"/>
          <w:u w:val="single"/>
        </w:rPr>
        <w:t>•</w:t>
      </w:r>
      <w:r>
        <w:rPr>
          <w:rFonts w:hint="eastAsia" w:hAnsi="宋体" w:cs="宋体"/>
          <w:highlight w:val="none"/>
          <w:u w:val="single"/>
        </w:rPr>
        <w:t>次</w:t>
      </w:r>
      <w:r>
        <w:rPr>
          <w:rFonts w:hint="eastAsia" w:cs="宋体"/>
          <w:highlight w:val="none"/>
          <w:u w:val="single"/>
        </w:rPr>
        <w:t>（</w:t>
      </w:r>
      <w:r>
        <w:rPr>
          <w:rFonts w:hint="eastAsia" w:hAnsi="宋体" w:cs="宋体"/>
          <w:highlight w:val="none"/>
          <w:u w:val="single"/>
        </w:rPr>
        <w:t>人民币</w:t>
      </w:r>
      <w:r>
        <w:rPr>
          <w:rFonts w:hint="eastAsia" w:cs="宋体"/>
          <w:highlight w:val="none"/>
          <w:u w:val="single"/>
        </w:rPr>
        <w:t>）</w:t>
      </w:r>
      <w:r>
        <w:rPr>
          <w:rFonts w:hint="eastAsia" w:hAnsi="宋体" w:cs="宋体"/>
          <w:highlight w:val="none"/>
        </w:rPr>
        <w:t>。</w:t>
      </w:r>
    </w:p>
    <w:p w14:paraId="18708753">
      <w:pPr>
        <w:pStyle w:val="5"/>
        <w:jc w:val="left"/>
        <w:rPr>
          <w:color w:val="auto"/>
          <w:highlight w:val="none"/>
        </w:rPr>
      </w:pPr>
      <w:bookmarkStart w:id="299" w:name="_Toc10076"/>
      <w:bookmarkStart w:id="300" w:name="_Toc21361"/>
      <w:bookmarkStart w:id="301" w:name="_Toc407135212"/>
      <w:bookmarkStart w:id="302" w:name="_Toc2025600126"/>
      <w:bookmarkStart w:id="303" w:name="_Toc78449798"/>
      <w:bookmarkStart w:id="304" w:name="_Toc373478357"/>
      <w:bookmarkStart w:id="305" w:name="_Toc373227710"/>
      <w:bookmarkStart w:id="306" w:name="_Toc2066279184"/>
      <w:bookmarkStart w:id="307" w:name="_Toc389065276"/>
      <w:r>
        <w:rPr>
          <w:color w:val="auto"/>
          <w:highlight w:val="none"/>
        </w:rPr>
        <w:t xml:space="preserve">3.5 </w:t>
      </w:r>
      <w:r>
        <w:rPr>
          <w:rFonts w:hint="eastAsia" w:hAnsi="宋体" w:cs="黑体"/>
          <w:color w:val="auto"/>
          <w:highlight w:val="none"/>
        </w:rPr>
        <w:t>分包</w:t>
      </w:r>
      <w:bookmarkEnd w:id="299"/>
      <w:bookmarkEnd w:id="300"/>
    </w:p>
    <w:p w14:paraId="020FE005">
      <w:pPr>
        <w:spacing w:line="360" w:lineRule="auto"/>
        <w:ind w:firstLine="420" w:firstLineChars="200"/>
        <w:rPr>
          <w:color w:val="auto"/>
          <w:highlight w:val="none"/>
        </w:rPr>
      </w:pPr>
      <w:r>
        <w:rPr>
          <w:color w:val="auto"/>
          <w:highlight w:val="none"/>
        </w:rPr>
        <w:t xml:space="preserve">3.5.1 </w:t>
      </w:r>
      <w:r>
        <w:rPr>
          <w:rFonts w:hint="eastAsia" w:hAnsi="宋体" w:cs="宋体"/>
          <w:color w:val="auto"/>
          <w:highlight w:val="none"/>
        </w:rPr>
        <w:t>分包的一般约定</w:t>
      </w:r>
    </w:p>
    <w:p w14:paraId="3C3E0B23">
      <w:pPr>
        <w:spacing w:line="360" w:lineRule="auto"/>
        <w:ind w:firstLine="420" w:firstLineChars="200"/>
        <w:jc w:val="left"/>
        <w:rPr>
          <w:color w:val="auto"/>
          <w:highlight w:val="none"/>
        </w:rPr>
      </w:pPr>
      <w:r>
        <w:rPr>
          <w:rFonts w:hint="eastAsia" w:hAnsi="宋体" w:cs="宋体"/>
          <w:color w:val="auto"/>
          <w:highlight w:val="none"/>
        </w:rPr>
        <w:t>禁止分包的工程包括：</w:t>
      </w:r>
      <w:r>
        <w:rPr>
          <w:color w:val="auto"/>
          <w:highlight w:val="none"/>
          <w:u w:val="single"/>
        </w:rPr>
        <w:t xml:space="preserve"> 按通用条款执行 </w:t>
      </w:r>
      <w:r>
        <w:rPr>
          <w:rFonts w:hint="eastAsia" w:hAnsi="宋体" w:cs="宋体"/>
          <w:color w:val="auto"/>
          <w:highlight w:val="none"/>
        </w:rPr>
        <w:t>。</w:t>
      </w:r>
    </w:p>
    <w:p w14:paraId="5C0F7F99">
      <w:pPr>
        <w:spacing w:line="360" w:lineRule="auto"/>
        <w:ind w:firstLine="420" w:firstLineChars="200"/>
        <w:jc w:val="left"/>
        <w:rPr>
          <w:rFonts w:hAnsi="宋体"/>
          <w:color w:val="auto"/>
          <w:highlight w:val="none"/>
        </w:rPr>
      </w:pPr>
      <w:r>
        <w:rPr>
          <w:rFonts w:hint="eastAsia" w:hAnsi="宋体" w:cs="宋体"/>
          <w:color w:val="auto"/>
          <w:highlight w:val="none"/>
        </w:rPr>
        <w:t>主体结构、关键性工作的范围：</w:t>
      </w:r>
      <w:r>
        <w:rPr>
          <w:color w:val="auto"/>
          <w:highlight w:val="none"/>
          <w:u w:val="single"/>
        </w:rPr>
        <w:t xml:space="preserve"> 按法律、法规的规定 </w:t>
      </w:r>
      <w:r>
        <w:rPr>
          <w:rFonts w:hint="eastAsia" w:hAnsi="宋体" w:cs="宋体"/>
          <w:color w:val="auto"/>
          <w:highlight w:val="none"/>
        </w:rPr>
        <w:t>。</w:t>
      </w:r>
    </w:p>
    <w:p w14:paraId="2DCAACA4">
      <w:pPr>
        <w:spacing w:line="360" w:lineRule="auto"/>
        <w:ind w:firstLine="420" w:firstLineChars="200"/>
        <w:jc w:val="left"/>
        <w:rPr>
          <w:color w:val="auto"/>
          <w:highlight w:val="none"/>
        </w:rPr>
      </w:pPr>
      <w:r>
        <w:rPr>
          <w:color w:val="auto"/>
          <w:highlight w:val="none"/>
        </w:rPr>
        <w:t xml:space="preserve">3.5.2 </w:t>
      </w:r>
      <w:r>
        <w:rPr>
          <w:rFonts w:hint="eastAsia" w:hAnsi="宋体" w:cs="宋体"/>
          <w:color w:val="auto"/>
          <w:highlight w:val="none"/>
        </w:rPr>
        <w:t>分包的确定</w:t>
      </w:r>
    </w:p>
    <w:p w14:paraId="209F81AE">
      <w:pPr>
        <w:spacing w:line="360" w:lineRule="auto"/>
        <w:ind w:firstLine="420" w:firstLineChars="200"/>
        <w:rPr>
          <w:color w:val="auto"/>
          <w:highlight w:val="none"/>
          <w:u w:val="single"/>
        </w:rPr>
      </w:pPr>
      <w:r>
        <w:rPr>
          <w:rFonts w:hint="eastAsia" w:hAnsi="宋体" w:cs="宋体"/>
          <w:color w:val="auto"/>
          <w:highlight w:val="none"/>
        </w:rPr>
        <w:t>允许分包的专业工程包括：</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7AB29E4C">
      <w:pPr>
        <w:spacing w:line="360" w:lineRule="auto"/>
        <w:ind w:firstLine="420" w:firstLineChars="200"/>
        <w:rPr>
          <w:color w:val="auto"/>
          <w:highlight w:val="none"/>
        </w:rPr>
      </w:pPr>
      <w:r>
        <w:rPr>
          <w:rFonts w:hint="eastAsia" w:hAnsi="宋体" w:cs="宋体"/>
          <w:color w:val="auto"/>
          <w:highlight w:val="none"/>
        </w:rPr>
        <w:t>其他关于分包的约定：</w:t>
      </w:r>
    </w:p>
    <w:p w14:paraId="4A907A08">
      <w:pPr>
        <w:spacing w:line="360" w:lineRule="auto"/>
        <w:ind w:firstLine="420" w:firstLineChars="200"/>
        <w:rPr>
          <w:color w:val="auto"/>
          <w:highlight w:val="none"/>
        </w:rPr>
      </w:pPr>
      <w:r>
        <w:rPr>
          <w:rFonts w:hint="eastAsia" w:cs="宋体"/>
          <w:color w:val="auto"/>
          <w:highlight w:val="none"/>
        </w:rPr>
        <w:t>（</w:t>
      </w:r>
      <w:r>
        <w:rPr>
          <w:color w:val="auto"/>
          <w:highlight w:val="none"/>
        </w:rPr>
        <w:t>1</w:t>
      </w:r>
      <w:r>
        <w:rPr>
          <w:rFonts w:hint="eastAsia" w:cs="宋体"/>
          <w:color w:val="auto"/>
          <w:highlight w:val="none"/>
        </w:rPr>
        <w:t>）</w:t>
      </w:r>
      <w:r>
        <w:rPr>
          <w:rFonts w:hint="eastAsia" w:hAnsi="宋体" w:cs="宋体"/>
          <w:color w:val="auto"/>
          <w:highlight w:val="none"/>
        </w:rPr>
        <w:t>除前款约定的分包内容外，经过发包人和监理人同意，承包人可以将其他非主体、非关键性工作分包给第三人，但分包人应当经过发包人和监理人审批。发包人和监理人有权拒绝承包人的分包请求和承包人选择的分包人。本项目分包人主要施工管理人员名单详见合同附件</w:t>
      </w:r>
      <w:r>
        <w:rPr>
          <w:rFonts w:hint="eastAsia" w:hAnsi="宋体"/>
          <w:color w:val="auto"/>
          <w:highlight w:val="none"/>
        </w:rPr>
        <w:t>6</w:t>
      </w:r>
      <w:r>
        <w:rPr>
          <w:rFonts w:hint="eastAsia" w:hAnsi="宋体" w:cs="宋体"/>
          <w:color w:val="auto"/>
          <w:highlight w:val="none"/>
        </w:rPr>
        <w:t>。</w:t>
      </w:r>
    </w:p>
    <w:p w14:paraId="269B3A23">
      <w:pPr>
        <w:spacing w:line="360" w:lineRule="auto"/>
        <w:ind w:firstLine="420" w:firstLineChars="200"/>
        <w:rPr>
          <w:color w:val="auto"/>
          <w:highlight w:val="none"/>
          <w:u w:val="single"/>
        </w:rPr>
      </w:pPr>
      <w:r>
        <w:rPr>
          <w:rFonts w:hint="eastAsia" w:cs="宋体"/>
          <w:color w:val="auto"/>
          <w:highlight w:val="none"/>
        </w:rPr>
        <w:t>（</w:t>
      </w:r>
      <w:r>
        <w:rPr>
          <w:color w:val="auto"/>
          <w:highlight w:val="none"/>
        </w:rPr>
        <w:t>2</w:t>
      </w:r>
      <w:r>
        <w:rPr>
          <w:rFonts w:hint="eastAsia" w:cs="宋体"/>
          <w:color w:val="auto"/>
          <w:highlight w:val="none"/>
        </w:rPr>
        <w:t>）</w:t>
      </w:r>
      <w:r>
        <w:rPr>
          <w:rFonts w:hint="eastAsia" w:hAnsi="宋体" w:cs="宋体"/>
          <w:color w:val="auto"/>
          <w:highlight w:val="none"/>
        </w:rPr>
        <w:t>在相关分包合同签订并报送有关建设行政主管部门备案后</w:t>
      </w:r>
      <w:r>
        <w:rPr>
          <w:color w:val="auto"/>
          <w:highlight w:val="none"/>
        </w:rPr>
        <w:t>7</w:t>
      </w:r>
      <w:r>
        <w:rPr>
          <w:rFonts w:hint="eastAsia" w:hAnsi="宋体" w:cs="宋体"/>
          <w:color w:val="auto"/>
          <w:highlight w:val="none"/>
        </w:rPr>
        <w:t>天内，承包人应当将一份副本提交给监理人，承包人应保障分包工作不得再次分包。</w:t>
      </w:r>
    </w:p>
    <w:p w14:paraId="343B30AB">
      <w:pPr>
        <w:spacing w:line="360" w:lineRule="auto"/>
        <w:ind w:firstLine="420" w:firstLineChars="200"/>
        <w:rPr>
          <w:color w:val="auto"/>
          <w:highlight w:val="none"/>
        </w:rPr>
      </w:pPr>
      <w:r>
        <w:rPr>
          <w:rFonts w:hint="eastAsia" w:cs="宋体"/>
          <w:color w:val="auto"/>
          <w:highlight w:val="none"/>
        </w:rPr>
        <w:t>（</w:t>
      </w:r>
      <w:r>
        <w:rPr>
          <w:color w:val="auto"/>
          <w:highlight w:val="none"/>
        </w:rPr>
        <w:t>3</w:t>
      </w:r>
      <w:r>
        <w:rPr>
          <w:rFonts w:hint="eastAsia" w:cs="宋体"/>
          <w:color w:val="auto"/>
          <w:highlight w:val="none"/>
        </w:rPr>
        <w:t>）</w:t>
      </w:r>
      <w:r>
        <w:rPr>
          <w:rFonts w:hint="eastAsia" w:hAnsi="宋体" w:cs="宋体"/>
          <w:color w:val="auto"/>
          <w:highlight w:val="none"/>
        </w:rPr>
        <w:t>未经承包人和监理人审批同意的分包工程和分包人，承包人有权拒绝验收分包工程和支付相应款项，由此引起的发包人费用增加和</w:t>
      </w:r>
      <w:r>
        <w:rPr>
          <w:rFonts w:hint="eastAsia" w:hAnsi="宋体" w:cs="宋体"/>
          <w:color w:val="auto"/>
          <w:highlight w:val="none"/>
          <w:lang w:eastAsia="zh-CN"/>
        </w:rPr>
        <w:t>（</w:t>
      </w:r>
      <w:r>
        <w:rPr>
          <w:rFonts w:hint="eastAsia" w:hAnsi="宋体" w:cs="宋体"/>
          <w:color w:val="auto"/>
          <w:highlight w:val="none"/>
        </w:rPr>
        <w:t>或</w:t>
      </w:r>
      <w:r>
        <w:rPr>
          <w:rFonts w:hint="eastAsia" w:hAnsi="宋体" w:cs="宋体"/>
          <w:color w:val="auto"/>
          <w:highlight w:val="none"/>
          <w:lang w:eastAsia="zh-CN"/>
        </w:rPr>
        <w:t>）</w:t>
      </w:r>
      <w:r>
        <w:rPr>
          <w:rFonts w:hint="eastAsia" w:hAnsi="宋体" w:cs="宋体"/>
          <w:color w:val="auto"/>
          <w:highlight w:val="none"/>
        </w:rPr>
        <w:t>延误的工期由发包人承担。</w:t>
      </w:r>
    </w:p>
    <w:p w14:paraId="7F0723A1">
      <w:pPr>
        <w:pStyle w:val="27"/>
        <w:spacing w:line="360" w:lineRule="auto"/>
        <w:ind w:firstLine="420" w:firstLineChars="200"/>
        <w:rPr>
          <w:rFonts w:ascii="Times New Roman" w:hAnsi="Times New Roman"/>
          <w:color w:val="auto"/>
          <w:sz w:val="21"/>
          <w:szCs w:val="21"/>
          <w:highlight w:val="none"/>
        </w:rPr>
      </w:pPr>
      <w:r>
        <w:rPr>
          <w:rFonts w:hint="eastAsia" w:ascii="Times New Roman" w:hAnsi="Times New Roman"/>
          <w:color w:val="auto"/>
          <w:sz w:val="21"/>
          <w:szCs w:val="21"/>
          <w:highlight w:val="none"/>
        </w:rPr>
        <w:t>（</w:t>
      </w:r>
      <w:r>
        <w:rPr>
          <w:rFonts w:ascii="Times New Roman" w:hAnsi="Times New Roman"/>
          <w:color w:val="auto"/>
          <w:sz w:val="21"/>
          <w:szCs w:val="21"/>
          <w:highlight w:val="none"/>
        </w:rPr>
        <w:t>4</w:t>
      </w:r>
      <w:r>
        <w:rPr>
          <w:rFonts w:hint="eastAsia" w:ascii="Times New Roman" w:hAnsi="Times New Roman"/>
          <w:color w:val="auto"/>
          <w:sz w:val="21"/>
          <w:szCs w:val="21"/>
          <w:highlight w:val="none"/>
        </w:rPr>
        <w:t>）</w:t>
      </w:r>
      <w:r>
        <w:rPr>
          <w:rFonts w:hint="eastAsia" w:ascii="Times New Roman" w:hAnsi="宋体"/>
          <w:color w:val="auto"/>
          <w:sz w:val="21"/>
          <w:szCs w:val="21"/>
          <w:highlight w:val="none"/>
        </w:rPr>
        <w:t>承包人有以下情况之一者，发包人有权解除合同，并视情况扣除其履约保证金：</w:t>
      </w:r>
    </w:p>
    <w:p w14:paraId="33C474D4">
      <w:pPr>
        <w:pStyle w:val="27"/>
        <w:spacing w:line="360" w:lineRule="auto"/>
        <w:ind w:firstLine="441" w:firstLineChars="210"/>
        <w:rPr>
          <w:rFonts w:ascii="Times New Roman" w:hAnsi="Times New Roman"/>
          <w:color w:val="auto"/>
          <w:sz w:val="21"/>
          <w:szCs w:val="21"/>
          <w:highlight w:val="none"/>
        </w:rPr>
      </w:pPr>
      <w:r>
        <w:rPr>
          <w:rFonts w:hint="eastAsia" w:ascii="Times New Roman" w:hAnsi="宋体"/>
          <w:color w:val="auto"/>
          <w:sz w:val="21"/>
          <w:szCs w:val="21"/>
          <w:highlight w:val="none"/>
        </w:rPr>
        <w:t>①个人承包工程，包括本人单位及外单位人员承包，发包人不承认其个人拥有任何资质等级及营业许可资格。没收全部履约保证金。</w:t>
      </w:r>
    </w:p>
    <w:p w14:paraId="1CDF2600">
      <w:pPr>
        <w:pStyle w:val="27"/>
        <w:spacing w:line="360" w:lineRule="auto"/>
        <w:ind w:firstLine="441" w:firstLineChars="210"/>
        <w:rPr>
          <w:rFonts w:ascii="Times New Roman" w:hAnsi="Times New Roman"/>
          <w:color w:val="auto"/>
          <w:sz w:val="21"/>
          <w:szCs w:val="21"/>
          <w:highlight w:val="none"/>
        </w:rPr>
      </w:pPr>
      <w:r>
        <w:rPr>
          <w:rFonts w:hint="eastAsia" w:ascii="Times New Roman" w:hAnsi="宋体"/>
          <w:color w:val="auto"/>
          <w:sz w:val="21"/>
          <w:szCs w:val="21"/>
          <w:highlight w:val="none"/>
        </w:rPr>
        <w:t>②几个人联合承包工程，就地组织暗分包队伍，不具备完成本工程的技术、机械能力，被发包人判定为没有能力履行的承包人。没收全部履约保证金。</w:t>
      </w:r>
    </w:p>
    <w:p w14:paraId="255A7754">
      <w:pPr>
        <w:pStyle w:val="27"/>
        <w:spacing w:line="360" w:lineRule="auto"/>
        <w:ind w:firstLine="441" w:firstLineChars="210"/>
        <w:rPr>
          <w:rFonts w:ascii="Times New Roman" w:hAnsi="Times New Roman"/>
          <w:color w:val="auto"/>
          <w:sz w:val="21"/>
          <w:szCs w:val="21"/>
          <w:highlight w:val="none"/>
        </w:rPr>
      </w:pPr>
      <w:r>
        <w:rPr>
          <w:rFonts w:hint="eastAsia" w:ascii="Times New Roman" w:hAnsi="宋体"/>
          <w:color w:val="auto"/>
          <w:sz w:val="21"/>
          <w:szCs w:val="21"/>
          <w:highlight w:val="none"/>
        </w:rPr>
        <w:t>③就地转包全部的工程，以谋取高额转让费、管理费的承包人。没收全部履约保证金。</w:t>
      </w:r>
    </w:p>
    <w:p w14:paraId="2E570CFF">
      <w:pPr>
        <w:spacing w:line="360" w:lineRule="auto"/>
        <w:ind w:firstLine="420" w:firstLineChars="200"/>
        <w:rPr>
          <w:color w:val="auto"/>
          <w:highlight w:val="none"/>
          <w:u w:val="single"/>
        </w:rPr>
      </w:pPr>
      <w:r>
        <w:rPr>
          <w:rFonts w:hint="eastAsia" w:hAnsi="宋体" w:cs="宋体"/>
          <w:color w:val="auto"/>
          <w:highlight w:val="none"/>
        </w:rPr>
        <w:t>④承包人有部分分包现象（其中包括冒充承包人下属单位的</w:t>
      </w:r>
      <w:r>
        <w:rPr>
          <w:rFonts w:hint="eastAsia" w:hAnsi="宋体" w:cs="宋体"/>
          <w:color w:val="auto"/>
          <w:highlight w:val="none"/>
          <w:lang w:eastAsia="zh-CN"/>
        </w:rPr>
        <w:t>挂钩</w:t>
      </w:r>
      <w:r>
        <w:rPr>
          <w:rFonts w:hint="eastAsia" w:hAnsi="宋体" w:cs="宋体"/>
          <w:color w:val="auto"/>
          <w:highlight w:val="none"/>
        </w:rPr>
        <w:t>单位，凭口头协议参与施工的分包人及其他暗分包个体户），一经发现核实，发包人将采取驱逐该暗分包人措施。没收全部履约保证金。</w:t>
      </w:r>
    </w:p>
    <w:p w14:paraId="60EF91E0">
      <w:pPr>
        <w:spacing w:line="360" w:lineRule="auto"/>
        <w:ind w:firstLine="420" w:firstLineChars="200"/>
        <w:rPr>
          <w:color w:val="auto"/>
          <w:highlight w:val="none"/>
        </w:rPr>
      </w:pPr>
      <w:r>
        <w:rPr>
          <w:color w:val="auto"/>
          <w:highlight w:val="none"/>
        </w:rPr>
        <w:t xml:space="preserve">3.5.4 </w:t>
      </w:r>
      <w:r>
        <w:rPr>
          <w:rFonts w:hint="eastAsia" w:hAnsi="宋体" w:cs="宋体"/>
          <w:color w:val="auto"/>
          <w:highlight w:val="none"/>
        </w:rPr>
        <w:t>分包合同价款</w:t>
      </w:r>
    </w:p>
    <w:p w14:paraId="7297D3D2">
      <w:pPr>
        <w:spacing w:line="360" w:lineRule="auto"/>
        <w:ind w:firstLine="420" w:firstLineChars="200"/>
        <w:rPr>
          <w:color w:val="auto"/>
          <w:highlight w:val="none"/>
        </w:rPr>
      </w:pPr>
      <w:r>
        <w:rPr>
          <w:rFonts w:hint="eastAsia" w:hAnsi="宋体" w:cs="宋体"/>
          <w:color w:val="auto"/>
          <w:highlight w:val="none"/>
        </w:rPr>
        <w:t>关于分包合同价款支付的约定：</w:t>
      </w:r>
      <w:r>
        <w:rPr>
          <w:rFonts w:hint="eastAsia" w:hAnsi="宋体" w:cs="宋体"/>
          <w:color w:val="auto"/>
          <w:highlight w:val="none"/>
          <w:u w:val="single"/>
        </w:rPr>
        <w:t>分包工程价款由承包人与分包人</w:t>
      </w:r>
      <w:r>
        <w:rPr>
          <w:rFonts w:hint="eastAsia" w:cs="宋体"/>
          <w:color w:val="auto"/>
          <w:highlight w:val="none"/>
          <w:u w:val="single"/>
        </w:rPr>
        <w:t>（</w:t>
      </w:r>
      <w:r>
        <w:rPr>
          <w:rFonts w:hint="eastAsia" w:hAnsi="宋体" w:cs="宋体"/>
          <w:color w:val="auto"/>
          <w:highlight w:val="none"/>
          <w:u w:val="single"/>
        </w:rPr>
        <w:t>包括专业分包人</w:t>
      </w:r>
      <w:r>
        <w:rPr>
          <w:rFonts w:hint="eastAsia" w:cs="宋体"/>
          <w:color w:val="auto"/>
          <w:highlight w:val="none"/>
          <w:u w:val="single"/>
        </w:rPr>
        <w:t>）</w:t>
      </w:r>
      <w:r>
        <w:rPr>
          <w:rFonts w:hint="eastAsia" w:hAnsi="宋体" w:cs="宋体"/>
          <w:color w:val="auto"/>
          <w:highlight w:val="none"/>
          <w:u w:val="single"/>
        </w:rPr>
        <w:t>结算。发包人未经承包人同意不得以任何形式向分包人</w:t>
      </w:r>
      <w:r>
        <w:rPr>
          <w:rFonts w:hint="eastAsia" w:cs="宋体"/>
          <w:color w:val="auto"/>
          <w:highlight w:val="none"/>
          <w:u w:val="single"/>
        </w:rPr>
        <w:t>（</w:t>
      </w:r>
      <w:r>
        <w:rPr>
          <w:rFonts w:hint="eastAsia" w:hAnsi="宋体" w:cs="宋体"/>
          <w:color w:val="auto"/>
          <w:highlight w:val="none"/>
          <w:u w:val="single"/>
        </w:rPr>
        <w:t>包括专业分包人</w:t>
      </w:r>
      <w:r>
        <w:rPr>
          <w:rFonts w:hint="eastAsia" w:cs="宋体"/>
          <w:color w:val="auto"/>
          <w:highlight w:val="none"/>
          <w:u w:val="single"/>
        </w:rPr>
        <w:t>）</w:t>
      </w:r>
      <w:r>
        <w:rPr>
          <w:rFonts w:hint="eastAsia" w:hAnsi="宋体" w:cs="宋体"/>
          <w:color w:val="auto"/>
          <w:highlight w:val="none"/>
          <w:u w:val="single"/>
        </w:rPr>
        <w:t>支付相关分包合同项下的任何工程款项。因发包人未经承包人同意直接向分包人</w:t>
      </w:r>
      <w:r>
        <w:rPr>
          <w:rFonts w:hint="eastAsia" w:cs="宋体"/>
          <w:color w:val="auto"/>
          <w:highlight w:val="none"/>
          <w:u w:val="single"/>
        </w:rPr>
        <w:t>（</w:t>
      </w:r>
      <w:r>
        <w:rPr>
          <w:rFonts w:hint="eastAsia" w:hAnsi="宋体" w:cs="宋体"/>
          <w:color w:val="auto"/>
          <w:highlight w:val="none"/>
          <w:u w:val="single"/>
        </w:rPr>
        <w:t>包括专业分包人</w:t>
      </w:r>
      <w:r>
        <w:rPr>
          <w:rFonts w:hint="eastAsia" w:cs="宋体"/>
          <w:color w:val="auto"/>
          <w:highlight w:val="none"/>
          <w:u w:val="single"/>
        </w:rPr>
        <w:t>）</w:t>
      </w:r>
      <w:r>
        <w:rPr>
          <w:rFonts w:hint="eastAsia" w:hAnsi="宋体" w:cs="宋体"/>
          <w:color w:val="auto"/>
          <w:highlight w:val="none"/>
          <w:u w:val="single"/>
        </w:rPr>
        <w:t>支付相关分包合同项下的任何工程款项而影响承包人工作的，所造成的承包人费用增加和</w:t>
      </w:r>
      <w:r>
        <w:rPr>
          <w:rFonts w:hint="eastAsia" w:cs="宋体"/>
          <w:color w:val="auto"/>
          <w:highlight w:val="none"/>
          <w:u w:val="single"/>
        </w:rPr>
        <w:t>（</w:t>
      </w:r>
      <w:r>
        <w:rPr>
          <w:rFonts w:hint="eastAsia" w:hAnsi="宋体" w:cs="宋体"/>
          <w:color w:val="auto"/>
          <w:highlight w:val="none"/>
          <w:u w:val="single"/>
        </w:rPr>
        <w:t>或</w:t>
      </w:r>
      <w:r>
        <w:rPr>
          <w:rFonts w:hint="eastAsia" w:cs="宋体"/>
          <w:color w:val="auto"/>
          <w:highlight w:val="none"/>
          <w:u w:val="single"/>
        </w:rPr>
        <w:t>）</w:t>
      </w:r>
      <w:r>
        <w:rPr>
          <w:rFonts w:hint="eastAsia" w:hAnsi="宋体" w:cs="宋体"/>
          <w:color w:val="auto"/>
          <w:highlight w:val="none"/>
          <w:u w:val="single"/>
        </w:rPr>
        <w:t>延误的工期由发包人承担。</w:t>
      </w:r>
    </w:p>
    <w:p w14:paraId="3755A13B">
      <w:pPr>
        <w:pStyle w:val="5"/>
        <w:jc w:val="left"/>
        <w:rPr>
          <w:color w:val="auto"/>
          <w:highlight w:val="none"/>
        </w:rPr>
      </w:pPr>
      <w:bookmarkStart w:id="308" w:name="_Toc11266"/>
      <w:bookmarkStart w:id="309" w:name="_Toc18329"/>
      <w:r>
        <w:rPr>
          <w:color w:val="auto"/>
          <w:highlight w:val="none"/>
        </w:rPr>
        <w:t xml:space="preserve">3.6 </w:t>
      </w:r>
      <w:r>
        <w:rPr>
          <w:rFonts w:hint="eastAsia" w:cs="黑体"/>
          <w:color w:val="auto"/>
          <w:highlight w:val="none"/>
        </w:rPr>
        <w:t>工程照管与成品、半成品保护</w:t>
      </w:r>
      <w:bookmarkEnd w:id="308"/>
      <w:bookmarkEnd w:id="309"/>
    </w:p>
    <w:p w14:paraId="0B4ABCBD">
      <w:pPr>
        <w:spacing w:line="360" w:lineRule="auto"/>
        <w:ind w:firstLine="420" w:firstLineChars="200"/>
        <w:rPr>
          <w:color w:val="auto"/>
          <w:kern w:val="0"/>
          <w:highlight w:val="none"/>
          <w:u w:val="single"/>
        </w:rPr>
      </w:pPr>
      <w:r>
        <w:rPr>
          <w:rFonts w:hint="eastAsia" w:hAnsi="宋体" w:cs="宋体"/>
          <w:color w:val="auto"/>
          <w:kern w:val="0"/>
          <w:highlight w:val="none"/>
        </w:rPr>
        <w:t>承包人负责照管工程及工程相关的材料、工程设备的起始时间：</w:t>
      </w:r>
      <w:r>
        <w:rPr>
          <w:color w:val="auto"/>
          <w:kern w:val="0"/>
          <w:highlight w:val="none"/>
          <w:u w:val="single"/>
        </w:rPr>
        <w:t xml:space="preserve"> 按通用条款执行  </w:t>
      </w:r>
      <w:r>
        <w:rPr>
          <w:rFonts w:hint="eastAsia" w:hAnsi="宋体" w:cs="宋体"/>
          <w:color w:val="auto"/>
          <w:kern w:val="0"/>
          <w:highlight w:val="none"/>
        </w:rPr>
        <w:t>。</w:t>
      </w:r>
    </w:p>
    <w:p w14:paraId="577F0A15">
      <w:pPr>
        <w:pStyle w:val="5"/>
        <w:jc w:val="left"/>
        <w:rPr>
          <w:color w:val="auto"/>
          <w:highlight w:val="none"/>
        </w:rPr>
      </w:pPr>
      <w:bookmarkStart w:id="310" w:name="_Toc32164"/>
      <w:bookmarkStart w:id="311" w:name="_Toc15964"/>
      <w:r>
        <w:rPr>
          <w:color w:val="auto"/>
          <w:highlight w:val="none"/>
        </w:rPr>
        <w:t xml:space="preserve">3.7 </w:t>
      </w:r>
      <w:r>
        <w:rPr>
          <w:rFonts w:hint="eastAsia" w:hAnsi="宋体" w:cs="黑体"/>
          <w:color w:val="auto"/>
          <w:highlight w:val="none"/>
        </w:rPr>
        <w:t>履约保证金</w:t>
      </w:r>
      <w:bookmarkEnd w:id="310"/>
      <w:bookmarkEnd w:id="311"/>
    </w:p>
    <w:p w14:paraId="42231099">
      <w:pPr>
        <w:spacing w:line="360" w:lineRule="auto"/>
        <w:ind w:firstLine="420" w:firstLineChars="200"/>
        <w:jc w:val="left"/>
        <w:rPr>
          <w:rFonts w:hint="eastAsia" w:hAnsi="宋体" w:cs="宋体"/>
          <w:color w:val="auto"/>
          <w:highlight w:val="none"/>
          <w:u w:val="single"/>
        </w:rPr>
      </w:pPr>
      <w:r>
        <w:rPr>
          <w:rFonts w:hint="eastAsia" w:hAnsi="宋体" w:cs="宋体"/>
          <w:color w:val="auto"/>
          <w:highlight w:val="none"/>
        </w:rPr>
        <w:t>承包人提供履约担保的形式、金额及期限的：</w:t>
      </w:r>
      <w:r>
        <w:rPr>
          <w:rFonts w:hint="eastAsia" w:hAnsi="宋体" w:cs="宋体"/>
          <w:color w:val="auto"/>
          <w:highlight w:val="none"/>
          <w:u w:val="single"/>
        </w:rPr>
        <w:t>承包人在收到中标通知书后，须在</w:t>
      </w:r>
      <w:r>
        <w:rPr>
          <w:color w:val="auto"/>
          <w:highlight w:val="none"/>
          <w:u w:val="single"/>
        </w:rPr>
        <w:t xml:space="preserve"> </w:t>
      </w:r>
      <w:r>
        <w:rPr>
          <w:rFonts w:hint="eastAsia"/>
          <w:color w:val="auto"/>
          <w:highlight w:val="none"/>
          <w:u w:val="single"/>
          <w:lang w:val="en-US" w:eastAsia="zh-CN"/>
        </w:rPr>
        <w:t>7</w:t>
      </w:r>
      <w:r>
        <w:rPr>
          <w:rFonts w:hint="eastAsia" w:hAnsi="宋体" w:cs="宋体"/>
          <w:color w:val="auto"/>
          <w:highlight w:val="none"/>
          <w:u w:val="single"/>
        </w:rPr>
        <w:t>日内向发包人提交合同价款扣除暂列金额、专业工程暂估价</w:t>
      </w:r>
      <w:r>
        <w:rPr>
          <w:rFonts w:hint="eastAsia" w:hAnsi="宋体" w:cs="宋体"/>
          <w:color w:val="auto"/>
          <w:highlight w:val="none"/>
          <w:u w:val="single"/>
          <w:lang w:val="en-US" w:eastAsia="zh-CN"/>
        </w:rPr>
        <w:t>后</w:t>
      </w:r>
      <w:r>
        <w:rPr>
          <w:rFonts w:hint="eastAsia" w:hAnsi="宋体" w:cs="宋体"/>
          <w:color w:val="auto"/>
          <w:highlight w:val="none"/>
          <w:u w:val="single"/>
        </w:rPr>
        <w:t>的</w:t>
      </w:r>
      <w:r>
        <w:rPr>
          <w:rFonts w:hint="eastAsia" w:hAnsi="宋体" w:cs="宋体"/>
          <w:color w:val="auto"/>
          <w:highlight w:val="none"/>
          <w:u w:val="single"/>
          <w:lang w:val="en-US" w:eastAsia="zh-CN"/>
        </w:rPr>
        <w:t xml:space="preserve"> </w:t>
      </w:r>
      <w:r>
        <w:rPr>
          <w:rFonts w:hint="eastAsia"/>
          <w:color w:val="auto"/>
          <w:highlight w:val="none"/>
          <w:u w:val="single"/>
          <w:lang w:val="en-US" w:eastAsia="zh-CN"/>
        </w:rPr>
        <w:t xml:space="preserve">/ </w:t>
      </w:r>
      <w:r>
        <w:rPr>
          <w:color w:val="auto"/>
          <w:highlight w:val="none"/>
          <w:u w:val="single"/>
        </w:rPr>
        <w:t>%</w:t>
      </w:r>
      <w:r>
        <w:rPr>
          <w:rFonts w:hint="eastAsia" w:hAnsi="宋体" w:cs="宋体"/>
          <w:color w:val="auto"/>
          <w:highlight w:val="none"/>
          <w:u w:val="single"/>
        </w:rPr>
        <w:t>的履约担保（格式见合同附件</w:t>
      </w:r>
      <w:r>
        <w:rPr>
          <w:rFonts w:hint="eastAsia" w:hAnsi="宋体"/>
          <w:color w:val="auto"/>
          <w:highlight w:val="none"/>
          <w:u w:val="single"/>
        </w:rPr>
        <w:t>7</w:t>
      </w:r>
      <w:r>
        <w:rPr>
          <w:rFonts w:hint="eastAsia" w:hAnsi="宋体" w:cs="宋体"/>
          <w:color w:val="auto"/>
          <w:highlight w:val="none"/>
          <w:u w:val="single"/>
        </w:rPr>
        <w:t>）。履约担保的有效期应当自本合同生效之日起至发包人签认并由监理人向承包人出具</w:t>
      </w:r>
      <w:r>
        <w:rPr>
          <w:color w:val="auto"/>
          <w:highlight w:val="none"/>
          <w:u w:val="single"/>
        </w:rPr>
        <w:t xml:space="preserve"> </w:t>
      </w:r>
      <w:r>
        <w:rPr>
          <w:rFonts w:hint="eastAsia" w:hAnsi="宋体" w:cs="宋体"/>
          <w:color w:val="auto"/>
          <w:highlight w:val="none"/>
          <w:u w:val="single"/>
        </w:rPr>
        <w:t>（竣工证明材料名称）之日止。如果承包人无法获得一份不带具体截止日期的担保，履约担保中应当有</w:t>
      </w:r>
      <w:r>
        <w:rPr>
          <w:rFonts w:hint="eastAsia"/>
          <w:color w:val="auto"/>
          <w:highlight w:val="none"/>
          <w:u w:val="single"/>
          <w:lang w:eastAsia="zh-CN"/>
        </w:rPr>
        <w:t>“</w:t>
      </w:r>
      <w:r>
        <w:rPr>
          <w:rFonts w:hint="eastAsia" w:hAnsi="宋体" w:cs="宋体"/>
          <w:color w:val="auto"/>
          <w:highlight w:val="none"/>
          <w:u w:val="single"/>
        </w:rPr>
        <w:t>变更工程竣工日期的，保证期间按照变更后的竣工日期做相应调整</w:t>
      </w:r>
      <w:r>
        <w:rPr>
          <w:rFonts w:hint="eastAsia"/>
          <w:color w:val="auto"/>
          <w:highlight w:val="none"/>
          <w:u w:val="single"/>
          <w:lang w:eastAsia="zh-CN"/>
        </w:rPr>
        <w:t>”</w:t>
      </w:r>
      <w:r>
        <w:rPr>
          <w:rFonts w:hint="eastAsia" w:hAnsi="宋体" w:cs="宋体"/>
          <w:color w:val="auto"/>
          <w:highlight w:val="none"/>
          <w:u w:val="single"/>
        </w:rPr>
        <w:t>或类似约定的条款。</w:t>
      </w:r>
    </w:p>
    <w:p w14:paraId="6408CBBA">
      <w:pPr>
        <w:spacing w:line="360" w:lineRule="auto"/>
        <w:ind w:firstLine="420" w:firstLineChars="200"/>
        <w:jc w:val="left"/>
        <w:rPr>
          <w:rFonts w:hint="eastAsia" w:hAnsi="宋体" w:eastAsia="宋体" w:cs="宋体"/>
          <w:color w:val="auto"/>
          <w:highlight w:val="none"/>
          <w:u w:val="single"/>
          <w:lang w:eastAsia="zh-CN"/>
        </w:rPr>
      </w:pPr>
      <w:r>
        <w:rPr>
          <w:rFonts w:hint="eastAsia" w:hAnsi="宋体" w:cs="宋体"/>
          <w:color w:val="auto"/>
          <w:highlight w:val="none"/>
          <w:lang w:eastAsia="zh-CN"/>
        </w:rPr>
        <w:t>承包人</w:t>
      </w:r>
      <w:r>
        <w:rPr>
          <w:rFonts w:hint="eastAsia" w:hAnsi="宋体" w:cs="宋体"/>
          <w:color w:val="auto"/>
          <w:highlight w:val="none"/>
        </w:rPr>
        <w:t>提供</w:t>
      </w:r>
      <w:r>
        <w:rPr>
          <w:rFonts w:hint="eastAsia" w:hAnsi="宋体" w:cs="宋体"/>
          <w:color w:val="auto"/>
          <w:highlight w:val="none"/>
          <w:lang w:eastAsia="zh-CN"/>
        </w:rPr>
        <w:t>履约</w:t>
      </w:r>
      <w:r>
        <w:rPr>
          <w:rFonts w:hint="eastAsia" w:hAnsi="宋体" w:cs="宋体"/>
          <w:color w:val="auto"/>
          <w:highlight w:val="none"/>
        </w:rPr>
        <w:t>担保的形式：</w:t>
      </w:r>
      <w:r>
        <w:rPr>
          <w:rFonts w:hint="eastAsia"/>
          <w:color w:val="auto"/>
          <w:highlight w:val="none"/>
          <w:u w:val="single"/>
          <w:lang w:eastAsia="zh-CN"/>
        </w:rPr>
        <w:t>可以是</w:t>
      </w:r>
      <w:r>
        <w:rPr>
          <w:rFonts w:hint="eastAsia" w:ascii="Calibri" w:hAnsi="Calibri" w:eastAsia="宋体" w:cs="宋体"/>
          <w:color w:val="auto"/>
          <w:highlight w:val="none"/>
        </w:rPr>
        <w:t>现金、银行保函、工程担保、</w:t>
      </w:r>
      <w:r>
        <w:rPr>
          <w:rFonts w:hint="default" w:ascii="Calibri" w:hAnsi="Calibri" w:eastAsia="宋体" w:cs="宋体"/>
          <w:color w:val="auto"/>
          <w:highlight w:val="none"/>
        </w:rPr>
        <w:t>电子保函</w:t>
      </w:r>
      <w:r>
        <w:rPr>
          <w:rFonts w:hint="eastAsia" w:ascii="Calibri" w:hAnsi="Calibri" w:eastAsia="宋体" w:cs="宋体"/>
          <w:color w:val="auto"/>
          <w:highlight w:val="none"/>
        </w:rPr>
        <w:t>或保证保险</w:t>
      </w:r>
      <w:r>
        <w:rPr>
          <w:rFonts w:hint="eastAsia" w:hAnsi="宋体"/>
          <w:color w:val="auto"/>
          <w:highlight w:val="none"/>
        </w:rPr>
        <w:t>等</w:t>
      </w:r>
      <w:r>
        <w:rPr>
          <w:rFonts w:hint="eastAsia" w:hAnsi="宋体" w:cs="宋体"/>
          <w:color w:val="auto"/>
          <w:highlight w:val="none"/>
        </w:rPr>
        <w:t>形</w:t>
      </w:r>
      <w:r>
        <w:rPr>
          <w:rFonts w:hint="eastAsia" w:hAnsi="宋体"/>
          <w:color w:val="auto"/>
          <w:highlight w:val="none"/>
        </w:rPr>
        <w:t>式</w:t>
      </w:r>
      <w:r>
        <w:rPr>
          <w:rFonts w:hint="eastAsia" w:hAnsi="宋体" w:cs="宋体"/>
          <w:color w:val="auto"/>
          <w:highlight w:val="none"/>
        </w:rPr>
        <w:t>。</w:t>
      </w:r>
      <w:r>
        <w:rPr>
          <w:rFonts w:hint="eastAsia" w:hAnsi="宋体" w:cs="宋体"/>
          <w:color w:val="auto"/>
          <w:highlight w:val="none"/>
          <w:u w:val="single"/>
        </w:rPr>
        <w:t>工程担保保证人应将出具的保函相关信息录入</w:t>
      </w:r>
      <w:r>
        <w:rPr>
          <w:rFonts w:hint="eastAsia" w:hAnsi="宋体" w:cs="宋体"/>
          <w:color w:val="auto"/>
          <w:highlight w:val="none"/>
          <w:u w:val="single"/>
          <w:lang w:eastAsia="zh-CN"/>
        </w:rPr>
        <w:t>“</w:t>
      </w:r>
      <w:r>
        <w:rPr>
          <w:rFonts w:hint="eastAsia" w:hAnsi="宋体" w:cs="宋体"/>
          <w:color w:val="auto"/>
          <w:highlight w:val="none"/>
          <w:u w:val="single"/>
        </w:rPr>
        <w:t>广西建筑市场监管云</w:t>
      </w:r>
      <w:r>
        <w:rPr>
          <w:rFonts w:hint="eastAsia" w:hAnsi="宋体" w:cs="宋体"/>
          <w:color w:val="auto"/>
          <w:highlight w:val="none"/>
          <w:u w:val="single"/>
          <w:lang w:eastAsia="zh-CN"/>
        </w:rPr>
        <w:t>”</w:t>
      </w:r>
      <w:r>
        <w:rPr>
          <w:rFonts w:hint="eastAsia" w:hAnsi="宋体" w:cs="宋体"/>
          <w:color w:val="auto"/>
          <w:highlight w:val="none"/>
          <w:u w:val="single"/>
        </w:rPr>
        <w:t>平台（</w:t>
      </w:r>
      <w:r>
        <w:rPr>
          <w:rFonts w:hint="eastAsia" w:hAnsi="宋体" w:cs="宋体"/>
          <w:color w:val="auto"/>
          <w:highlight w:val="none"/>
          <w:u w:val="single"/>
          <w:lang w:eastAsia="zh-CN"/>
        </w:rPr>
        <w:t>https://gxjzsc.gxcic.</w:t>
      </w:r>
      <w:r>
        <w:rPr>
          <w:rFonts w:hint="eastAsia" w:cs="宋体"/>
          <w:color w:val="auto"/>
          <w:highlight w:val="none"/>
          <w:lang w:val="en-US" w:eastAsia="zh-CN"/>
        </w:rPr>
        <w:t>cn</w:t>
      </w:r>
      <w:r>
        <w:rPr>
          <w:rFonts w:hint="eastAsia" w:hAnsi="宋体" w:cs="宋体"/>
          <w:color w:val="auto"/>
          <w:highlight w:val="none"/>
          <w:u w:val="single"/>
          <w:lang w:eastAsia="zh-CN"/>
        </w:rPr>
        <w:t>）</w:t>
      </w:r>
      <w:r>
        <w:rPr>
          <w:rFonts w:hint="eastAsia" w:hAnsi="宋体" w:cs="宋体"/>
          <w:color w:val="auto"/>
          <w:highlight w:val="none"/>
          <w:u w:val="single"/>
        </w:rPr>
        <w:t>，以实现保函查询及验真功能</w:t>
      </w:r>
      <w:r>
        <w:rPr>
          <w:rFonts w:hint="eastAsia" w:hAnsi="宋体" w:cs="宋体"/>
          <w:color w:val="auto"/>
          <w:highlight w:val="none"/>
          <w:u w:val="single"/>
          <w:lang w:eastAsia="zh-CN"/>
        </w:rPr>
        <w:t>。</w:t>
      </w:r>
    </w:p>
    <w:p w14:paraId="09690023">
      <w:pPr>
        <w:spacing w:line="360" w:lineRule="auto"/>
        <w:ind w:firstLine="420" w:firstLineChars="200"/>
        <w:rPr>
          <w:color w:val="auto"/>
          <w:highlight w:val="none"/>
          <w:u w:val="single"/>
        </w:rPr>
      </w:pPr>
      <w:r>
        <w:rPr>
          <w:rFonts w:hint="eastAsia" w:hAnsi="宋体" w:cs="宋体"/>
          <w:color w:val="auto"/>
          <w:highlight w:val="none"/>
          <w:u w:val="single"/>
        </w:rPr>
        <w:t>工程竣工验收合格并对验收发现的问题完成整改后的</w:t>
      </w:r>
      <w:r>
        <w:rPr>
          <w:color w:val="auto"/>
          <w:highlight w:val="none"/>
          <w:u w:val="single"/>
        </w:rPr>
        <w:t>7</w:t>
      </w:r>
      <w:r>
        <w:rPr>
          <w:rFonts w:hint="eastAsia" w:hAnsi="宋体" w:cs="宋体"/>
          <w:color w:val="auto"/>
          <w:highlight w:val="none"/>
          <w:u w:val="single"/>
        </w:rPr>
        <w:t>个日历天内，发包人支付履约保证金的</w:t>
      </w:r>
      <w:r>
        <w:rPr>
          <w:color w:val="auto"/>
          <w:highlight w:val="none"/>
          <w:u w:val="single"/>
        </w:rPr>
        <w:t>50%</w:t>
      </w:r>
      <w:r>
        <w:rPr>
          <w:rFonts w:hint="eastAsia" w:hAnsi="宋体" w:cs="宋体"/>
          <w:color w:val="auto"/>
          <w:highlight w:val="none"/>
          <w:u w:val="single"/>
        </w:rPr>
        <w:t>；承包人向发包人完成（施工）竣工资料移交手续后，可向发包人申请退还剩余履约保证金，发包人应在收到申请之日起</w:t>
      </w:r>
      <w:r>
        <w:rPr>
          <w:color w:val="auto"/>
          <w:highlight w:val="none"/>
          <w:u w:val="single"/>
        </w:rPr>
        <w:t>28</w:t>
      </w:r>
      <w:r>
        <w:rPr>
          <w:rFonts w:hint="eastAsia" w:hAnsi="宋体" w:cs="宋体"/>
          <w:color w:val="auto"/>
          <w:highlight w:val="none"/>
          <w:u w:val="single"/>
        </w:rPr>
        <w:t>个日历天内扣减承包人赔偿金和其他应从承包人扣回的款项后，将履约保证金的余额退还给承包人。</w:t>
      </w:r>
    </w:p>
    <w:p w14:paraId="3B58FAF6">
      <w:pPr>
        <w:pStyle w:val="4"/>
        <w:rPr>
          <w:color w:val="auto"/>
          <w:highlight w:val="none"/>
        </w:rPr>
      </w:pPr>
      <w:bookmarkStart w:id="312" w:name="_Toc17369"/>
      <w:r>
        <w:rPr>
          <w:color w:val="auto"/>
          <w:highlight w:val="none"/>
        </w:rPr>
        <w:t xml:space="preserve">4. </w:t>
      </w:r>
      <w:r>
        <w:rPr>
          <w:rFonts w:hint="eastAsia" w:ascii="Times New Roman" w:hAnsi="宋体" w:eastAsia="宋体" w:cs="黑体"/>
          <w:highlight w:val="none"/>
        </w:rPr>
        <w:t>监理</w:t>
      </w:r>
      <w:r>
        <w:rPr>
          <w:rFonts w:hint="eastAsia" w:hAnsi="宋体" w:cs="黑体"/>
          <w:color w:val="auto"/>
          <w:highlight w:val="none"/>
        </w:rPr>
        <w:t>人</w:t>
      </w:r>
      <w:bookmarkEnd w:id="312"/>
    </w:p>
    <w:p w14:paraId="172B6CEF">
      <w:pPr>
        <w:pStyle w:val="5"/>
        <w:jc w:val="left"/>
        <w:rPr>
          <w:color w:val="auto"/>
          <w:highlight w:val="none"/>
        </w:rPr>
      </w:pPr>
      <w:bookmarkStart w:id="313" w:name="_Toc2993"/>
      <w:bookmarkStart w:id="314" w:name="_Toc21437"/>
      <w:r>
        <w:rPr>
          <w:rFonts w:hint="eastAsia" w:ascii="Arial" w:hAnsi="Arial" w:cs="黑体"/>
          <w:highlight w:val="none"/>
        </w:rPr>
        <w:t>4.1 监理人的一般规定</w:t>
      </w:r>
      <w:bookmarkEnd w:id="313"/>
      <w:bookmarkEnd w:id="314"/>
    </w:p>
    <w:p w14:paraId="6C7A9FE6">
      <w:pPr>
        <w:spacing w:line="360" w:lineRule="auto"/>
        <w:ind w:firstLine="420" w:firstLineChars="200"/>
        <w:jc w:val="left"/>
        <w:rPr>
          <w:color w:val="auto"/>
          <w:highlight w:val="none"/>
        </w:rPr>
      </w:pPr>
      <w:r>
        <w:rPr>
          <w:rFonts w:hint="eastAsia" w:hAnsi="宋体" w:cs="宋体"/>
          <w:color w:val="auto"/>
          <w:highlight w:val="none"/>
        </w:rPr>
        <w:t>关于监理人的监理内容：</w:t>
      </w:r>
      <w:r>
        <w:rPr>
          <w:color w:val="auto"/>
          <w:highlight w:val="none"/>
          <w:u w:val="single"/>
        </w:rPr>
        <w:t xml:space="preserve"> 质量、进度、投资控制；合同管理、信息管理、安全管理；项目有关单位的协调。具体以监理合同约定为准  </w:t>
      </w:r>
      <w:r>
        <w:rPr>
          <w:rFonts w:hint="eastAsia" w:hAnsi="宋体" w:cs="宋体"/>
          <w:color w:val="auto"/>
          <w:highlight w:val="none"/>
        </w:rPr>
        <w:t>。</w:t>
      </w:r>
    </w:p>
    <w:p w14:paraId="4E32CF92">
      <w:pPr>
        <w:spacing w:line="360" w:lineRule="auto"/>
        <w:ind w:firstLine="420" w:firstLineChars="200"/>
        <w:jc w:val="left"/>
        <w:rPr>
          <w:color w:val="auto"/>
          <w:highlight w:val="none"/>
        </w:rPr>
      </w:pPr>
      <w:r>
        <w:rPr>
          <w:rFonts w:hint="eastAsia" w:hAnsi="宋体" w:cs="宋体"/>
          <w:color w:val="auto"/>
          <w:highlight w:val="none"/>
        </w:rPr>
        <w:t>关于监理人的监理权限：</w:t>
      </w:r>
      <w:r>
        <w:rPr>
          <w:color w:val="auto"/>
          <w:highlight w:val="none"/>
          <w:u w:val="single"/>
        </w:rPr>
        <w:t xml:space="preserve"> 对施工中的质量、进度、安全、投资进行监督控制，收集整理与施工有关的信息，协助发包人处理与施工相关的问题；对于涉及设计、工期、造价等变更文件的确认，须由发包人盖章及项目现场代表、总监理工程师签字后方能生效。  </w:t>
      </w:r>
      <w:r>
        <w:rPr>
          <w:rFonts w:hint="eastAsia" w:hAnsi="宋体" w:cs="宋体"/>
          <w:color w:val="auto"/>
          <w:highlight w:val="none"/>
        </w:rPr>
        <w:t>。</w:t>
      </w:r>
      <w:r>
        <w:rPr>
          <w:color w:val="auto"/>
          <w:highlight w:val="none"/>
        </w:rPr>
        <w:t xml:space="preserve"> </w:t>
      </w:r>
    </w:p>
    <w:p w14:paraId="3DA79828">
      <w:pPr>
        <w:spacing w:line="360" w:lineRule="auto"/>
        <w:rPr>
          <w:color w:val="auto"/>
          <w:highlight w:val="none"/>
        </w:rPr>
      </w:pPr>
      <w:r>
        <w:rPr>
          <w:rFonts w:hint="eastAsia" w:hAnsi="宋体" w:cs="宋体"/>
          <w:color w:val="auto"/>
          <w:highlight w:val="none"/>
        </w:rPr>
        <w:t>关于监理人在施工现场的办公场所、生活场所的提供和费用承担的约定：</w:t>
      </w:r>
      <w:r>
        <w:rPr>
          <w:rFonts w:hint="eastAsia"/>
          <w:color w:val="auto"/>
          <w:highlight w:val="none"/>
          <w:u w:val="single"/>
          <w:lang w:eastAsia="zh-CN"/>
        </w:rPr>
        <w:t>承包人向监理人免费提供办公室，并配备相应的桌、椅、空调、风扇、饮水机等设施，监理单位水电费用由承包人负责承担</w:t>
      </w:r>
      <w:r>
        <w:rPr>
          <w:rFonts w:hint="eastAsia" w:hAnsi="宋体" w:cs="宋体"/>
          <w:color w:val="auto"/>
          <w:highlight w:val="none"/>
        </w:rPr>
        <w:t>。</w:t>
      </w:r>
    </w:p>
    <w:p w14:paraId="62E4600D">
      <w:pPr>
        <w:pStyle w:val="5"/>
        <w:jc w:val="left"/>
        <w:rPr>
          <w:color w:val="auto"/>
          <w:highlight w:val="none"/>
        </w:rPr>
      </w:pPr>
      <w:bookmarkStart w:id="315" w:name="_Toc9467"/>
      <w:bookmarkStart w:id="316" w:name="_Toc16747"/>
      <w:r>
        <w:rPr>
          <w:color w:val="auto"/>
          <w:highlight w:val="none"/>
        </w:rPr>
        <w:t xml:space="preserve">4.2 </w:t>
      </w:r>
      <w:r>
        <w:rPr>
          <w:rFonts w:hint="eastAsia" w:ascii="Arial" w:hAnsi="Arial" w:cs="黑体"/>
          <w:highlight w:val="none"/>
        </w:rPr>
        <w:t>监理</w:t>
      </w:r>
      <w:r>
        <w:rPr>
          <w:rFonts w:hint="eastAsia" w:hAnsi="宋体" w:cs="黑体"/>
          <w:color w:val="auto"/>
          <w:highlight w:val="none"/>
        </w:rPr>
        <w:t>人员</w:t>
      </w:r>
      <w:bookmarkEnd w:id="315"/>
      <w:bookmarkEnd w:id="316"/>
    </w:p>
    <w:p w14:paraId="36A33834">
      <w:pPr>
        <w:spacing w:line="360" w:lineRule="auto"/>
        <w:ind w:firstLine="420" w:firstLineChars="200"/>
        <w:rPr>
          <w:color w:val="auto"/>
          <w:highlight w:val="none"/>
        </w:rPr>
      </w:pPr>
      <w:r>
        <w:rPr>
          <w:rFonts w:hint="eastAsia" w:hAnsi="宋体" w:cs="宋体"/>
          <w:color w:val="auto"/>
          <w:highlight w:val="none"/>
        </w:rPr>
        <w:t>总监理工程师：</w:t>
      </w:r>
    </w:p>
    <w:p w14:paraId="5BB15A5E">
      <w:pPr>
        <w:spacing w:line="360" w:lineRule="auto"/>
        <w:ind w:firstLine="420" w:firstLineChars="200"/>
        <w:rPr>
          <w:color w:val="auto"/>
          <w:highlight w:val="none"/>
        </w:rPr>
      </w:pPr>
      <w:r>
        <w:rPr>
          <w:rFonts w:hAnsi="宋体"/>
          <w:color w:val="auto"/>
          <w:highlight w:val="none"/>
        </w:rPr>
        <w:t>姓</w:t>
      </w:r>
      <w:r>
        <w:rPr>
          <w:color w:val="auto"/>
          <w:highlight w:val="none"/>
        </w:rPr>
        <w:t xml:space="preserve">    </w:t>
      </w:r>
      <w:r>
        <w:rPr>
          <w:rFonts w:hAnsi="宋体"/>
          <w:color w:val="auto"/>
          <w:highlight w:val="none"/>
        </w:rPr>
        <w:t>名：</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5038DB43">
      <w:pPr>
        <w:spacing w:line="360" w:lineRule="auto"/>
        <w:ind w:firstLine="420" w:firstLineChars="200"/>
        <w:rPr>
          <w:color w:val="auto"/>
          <w:highlight w:val="none"/>
        </w:rPr>
      </w:pPr>
      <w:r>
        <w:rPr>
          <w:rFonts w:hAnsi="宋体"/>
          <w:color w:val="auto"/>
          <w:highlight w:val="none"/>
        </w:rPr>
        <w:t>职</w:t>
      </w:r>
      <w:r>
        <w:rPr>
          <w:color w:val="auto"/>
          <w:highlight w:val="none"/>
        </w:rPr>
        <w:t xml:space="preserve">    </w:t>
      </w:r>
      <w:r>
        <w:rPr>
          <w:rFonts w:hAnsi="宋体"/>
          <w:color w:val="auto"/>
          <w:highlight w:val="none"/>
        </w:rPr>
        <w:t>务：</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6FBC3E49">
      <w:pPr>
        <w:spacing w:line="360" w:lineRule="auto"/>
        <w:ind w:firstLine="420" w:firstLineChars="200"/>
        <w:rPr>
          <w:rFonts w:hAnsi="宋体"/>
          <w:color w:val="auto"/>
          <w:highlight w:val="none"/>
        </w:rPr>
      </w:pPr>
      <w:r>
        <w:rPr>
          <w:rFonts w:hAnsi="宋体"/>
          <w:color w:val="auto"/>
          <w:highlight w:val="none"/>
        </w:rPr>
        <w:t>监理工程师注册证书号：</w:t>
      </w:r>
      <w:r>
        <w:rPr>
          <w:rFonts w:hint="eastAsia" w:hAnsi="宋体"/>
          <w:color w:val="auto"/>
          <w:highlight w:val="none"/>
          <w:u w:val="single"/>
          <w:lang w:eastAsia="zh-CN"/>
        </w:rPr>
        <w:t xml:space="preserve">    </w:t>
      </w:r>
      <w:r>
        <w:rPr>
          <w:rFonts w:hint="eastAsia" w:hAnsi="宋体"/>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0264C4A3">
      <w:pPr>
        <w:spacing w:line="360" w:lineRule="auto"/>
        <w:ind w:firstLine="420" w:firstLineChars="200"/>
        <w:rPr>
          <w:color w:val="auto"/>
          <w:highlight w:val="none"/>
        </w:rPr>
      </w:pPr>
      <w:r>
        <w:rPr>
          <w:rFonts w:hAnsi="宋体"/>
          <w:color w:val="auto"/>
          <w:highlight w:val="none"/>
        </w:rPr>
        <w:t>联系电话：</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1DAF01AA">
      <w:pPr>
        <w:spacing w:line="360" w:lineRule="auto"/>
        <w:ind w:firstLine="420" w:firstLineChars="200"/>
        <w:rPr>
          <w:color w:val="auto"/>
          <w:highlight w:val="none"/>
        </w:rPr>
      </w:pPr>
      <w:r>
        <w:rPr>
          <w:rFonts w:hAnsi="宋体"/>
          <w:color w:val="auto"/>
          <w:highlight w:val="none"/>
        </w:rPr>
        <w:t>电子信箱：</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014F7BA5">
      <w:pPr>
        <w:spacing w:line="360" w:lineRule="auto"/>
        <w:ind w:firstLine="420" w:firstLineChars="200"/>
        <w:rPr>
          <w:color w:val="auto"/>
          <w:highlight w:val="none"/>
        </w:rPr>
      </w:pPr>
      <w:r>
        <w:rPr>
          <w:rFonts w:hAnsi="宋体"/>
          <w:color w:val="auto"/>
          <w:highlight w:val="none"/>
        </w:rPr>
        <w:t>通信地址：</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5E78F9E6">
      <w:pPr>
        <w:spacing w:line="360" w:lineRule="auto"/>
        <w:ind w:firstLine="420" w:firstLineChars="200"/>
        <w:rPr>
          <w:color w:val="auto"/>
          <w:highlight w:val="none"/>
        </w:rPr>
      </w:pPr>
      <w:r>
        <w:rPr>
          <w:rFonts w:hAnsi="宋体"/>
          <w:color w:val="auto"/>
          <w:highlight w:val="none"/>
        </w:rPr>
        <w:t>关于监理人的其他约定：</w:t>
      </w:r>
      <w:r>
        <w:rPr>
          <w:rFonts w:hint="eastAsia" w:hAnsi="宋体"/>
          <w:color w:val="auto"/>
          <w:highlight w:val="none"/>
          <w:u w:val="single"/>
          <w:lang w:eastAsia="zh-CN"/>
        </w:rPr>
        <w:t xml:space="preserve">      无  </w:t>
      </w:r>
      <w:r>
        <w:rPr>
          <w:color w:val="auto"/>
          <w:highlight w:val="none"/>
          <w:u w:val="single"/>
        </w:rPr>
        <w:t xml:space="preserve"> </w:t>
      </w:r>
      <w:r>
        <w:rPr>
          <w:rFonts w:hint="eastAsia" w:hAnsi="宋体"/>
          <w:color w:val="auto"/>
          <w:highlight w:val="none"/>
          <w:u w:val="single"/>
          <w:lang w:eastAsia="zh-CN"/>
        </w:rPr>
        <w:t xml:space="preserve">  </w:t>
      </w:r>
      <w:r>
        <w:rPr>
          <w:rFonts w:hAnsi="宋体"/>
          <w:color w:val="auto"/>
          <w:highlight w:val="none"/>
        </w:rPr>
        <w:t>。</w:t>
      </w:r>
    </w:p>
    <w:p w14:paraId="6B3A933F">
      <w:pPr>
        <w:pStyle w:val="5"/>
        <w:jc w:val="left"/>
        <w:rPr>
          <w:color w:val="auto"/>
          <w:highlight w:val="none"/>
        </w:rPr>
      </w:pPr>
      <w:bookmarkStart w:id="317" w:name="_Toc29998"/>
      <w:bookmarkStart w:id="318" w:name="_Toc30189"/>
      <w:r>
        <w:rPr>
          <w:color w:val="auto"/>
          <w:highlight w:val="none"/>
        </w:rPr>
        <w:t xml:space="preserve">4.4 </w:t>
      </w:r>
      <w:r>
        <w:rPr>
          <w:rFonts w:hint="eastAsia" w:hAnsi="宋体" w:cs="黑体"/>
          <w:color w:val="auto"/>
          <w:highlight w:val="none"/>
        </w:rPr>
        <w:t>商定或确定</w:t>
      </w:r>
      <w:bookmarkEnd w:id="317"/>
      <w:bookmarkEnd w:id="318"/>
    </w:p>
    <w:p w14:paraId="6846B987">
      <w:pPr>
        <w:spacing w:line="360" w:lineRule="auto"/>
        <w:ind w:firstLine="420" w:firstLineChars="200"/>
        <w:rPr>
          <w:color w:val="auto"/>
          <w:highlight w:val="none"/>
        </w:rPr>
      </w:pPr>
      <w:r>
        <w:rPr>
          <w:rFonts w:hint="eastAsia" w:hAnsi="宋体" w:cs="宋体"/>
          <w:color w:val="auto"/>
          <w:highlight w:val="none"/>
        </w:rPr>
        <w:t>在发包人和承包人不能通过协商达成一致意见时，发包人授权监理人对以下事项进行确定：</w:t>
      </w:r>
    </w:p>
    <w:p w14:paraId="50D7F8BD">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lang w:eastAsia="zh-CN"/>
        </w:rPr>
        <w:t>(</w:t>
      </w:r>
      <w:r>
        <w:rPr>
          <w:color w:val="auto"/>
          <w:kern w:val="0"/>
          <w:highlight w:val="none"/>
        </w:rPr>
        <w:t>1</w:t>
      </w:r>
      <w:r>
        <w:rPr>
          <w:rFonts w:hint="eastAsia"/>
          <w:color w:val="auto"/>
          <w:kern w:val="0"/>
          <w:highlight w:val="none"/>
          <w:lang w:eastAsia="zh-CN"/>
        </w:rPr>
        <w:t>)</w:t>
      </w:r>
      <w:r>
        <w:rPr>
          <w:color w:val="auto"/>
          <w:highlight w:val="none"/>
          <w:u w:val="single"/>
        </w:rPr>
        <w:t xml:space="preserve">                                   </w:t>
      </w:r>
      <w:r>
        <w:rPr>
          <w:rFonts w:hint="eastAsia"/>
          <w:color w:val="auto"/>
          <w:highlight w:val="none"/>
          <w:u w:val="single"/>
          <w:lang w:eastAsia="zh-CN"/>
        </w:rPr>
        <w:t>;</w:t>
      </w:r>
    </w:p>
    <w:p w14:paraId="3F62AD8E">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lang w:eastAsia="zh-CN"/>
        </w:rPr>
        <w:t>(</w:t>
      </w:r>
      <w:r>
        <w:rPr>
          <w:color w:val="auto"/>
          <w:kern w:val="0"/>
          <w:highlight w:val="none"/>
        </w:rPr>
        <w:t>2</w:t>
      </w:r>
      <w:r>
        <w:rPr>
          <w:rFonts w:hint="eastAsia"/>
          <w:color w:val="auto"/>
          <w:kern w:val="0"/>
          <w:highlight w:val="none"/>
          <w:lang w:eastAsia="zh-CN"/>
        </w:rPr>
        <w:t>)</w:t>
      </w:r>
      <w:r>
        <w:rPr>
          <w:color w:val="auto"/>
          <w:highlight w:val="none"/>
          <w:u w:val="single"/>
        </w:rPr>
        <w:t xml:space="preserve">                                   </w:t>
      </w:r>
      <w:r>
        <w:rPr>
          <w:rFonts w:hint="eastAsia"/>
          <w:color w:val="auto"/>
          <w:highlight w:val="none"/>
          <w:u w:val="single"/>
          <w:lang w:eastAsia="zh-CN"/>
        </w:rPr>
        <w:t>;</w:t>
      </w:r>
    </w:p>
    <w:p w14:paraId="7D382376">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lang w:eastAsia="zh-CN"/>
        </w:rPr>
        <w:t>(</w:t>
      </w:r>
      <w:r>
        <w:rPr>
          <w:color w:val="auto"/>
          <w:kern w:val="0"/>
          <w:highlight w:val="none"/>
        </w:rPr>
        <w:t>3</w:t>
      </w:r>
      <w:r>
        <w:rPr>
          <w:rFonts w:hint="eastAsia"/>
          <w:color w:val="auto"/>
          <w:kern w:val="0"/>
          <w:highlight w:val="none"/>
          <w:lang w:eastAsia="zh-CN"/>
        </w:rPr>
        <w:t>)</w:t>
      </w:r>
      <w:r>
        <w:rPr>
          <w:color w:val="auto"/>
          <w:highlight w:val="none"/>
          <w:u w:val="single"/>
        </w:rPr>
        <w:t xml:space="preserve">                                   </w:t>
      </w:r>
      <w:r>
        <w:rPr>
          <w:rFonts w:hint="eastAsia"/>
          <w:color w:val="auto"/>
          <w:highlight w:val="none"/>
          <w:u w:val="single"/>
          <w:lang w:eastAsia="zh-CN"/>
        </w:rPr>
        <w:t>.</w:t>
      </w:r>
    </w:p>
    <w:p w14:paraId="7D44A82E">
      <w:pPr>
        <w:pStyle w:val="4"/>
        <w:outlineLvl w:val="2"/>
        <w:rPr>
          <w:color w:val="auto"/>
          <w:highlight w:val="none"/>
        </w:rPr>
      </w:pPr>
      <w:bookmarkStart w:id="319" w:name="_Toc7948"/>
      <w:r>
        <w:rPr>
          <w:color w:val="auto"/>
          <w:highlight w:val="none"/>
        </w:rPr>
        <w:t xml:space="preserve">5. </w:t>
      </w:r>
      <w:r>
        <w:rPr>
          <w:rFonts w:hint="eastAsia" w:hAnsi="宋体" w:cs="黑体"/>
          <w:color w:val="auto"/>
          <w:highlight w:val="none"/>
        </w:rPr>
        <w:t>工程质量</w:t>
      </w:r>
      <w:bookmarkEnd w:id="319"/>
    </w:p>
    <w:p w14:paraId="4B472338">
      <w:pPr>
        <w:pStyle w:val="5"/>
        <w:jc w:val="left"/>
        <w:rPr>
          <w:color w:val="auto"/>
          <w:highlight w:val="none"/>
        </w:rPr>
      </w:pPr>
      <w:bookmarkStart w:id="320" w:name="_Toc30160"/>
      <w:bookmarkStart w:id="321" w:name="_Toc14510"/>
      <w:r>
        <w:rPr>
          <w:color w:val="auto"/>
          <w:highlight w:val="none"/>
        </w:rPr>
        <w:t xml:space="preserve">5.1 </w:t>
      </w:r>
      <w:r>
        <w:rPr>
          <w:rFonts w:hint="eastAsia" w:hAnsi="宋体" w:cs="黑体"/>
          <w:color w:val="auto"/>
          <w:highlight w:val="none"/>
        </w:rPr>
        <w:t>质量要求</w:t>
      </w:r>
      <w:bookmarkEnd w:id="320"/>
      <w:bookmarkEnd w:id="321"/>
    </w:p>
    <w:p w14:paraId="0602E8FE">
      <w:pPr>
        <w:spacing w:line="360" w:lineRule="auto"/>
        <w:ind w:firstLine="420" w:firstLineChars="200"/>
        <w:jc w:val="left"/>
        <w:rPr>
          <w:color w:val="auto"/>
          <w:highlight w:val="none"/>
          <w:u w:val="single"/>
        </w:rPr>
      </w:pPr>
      <w:r>
        <w:rPr>
          <w:color w:val="auto"/>
          <w:highlight w:val="none"/>
        </w:rPr>
        <w:t xml:space="preserve">5.1.1 </w:t>
      </w:r>
      <w:r>
        <w:rPr>
          <w:rFonts w:hint="eastAsia" w:hAnsi="宋体" w:cs="宋体"/>
          <w:color w:val="auto"/>
          <w:highlight w:val="none"/>
        </w:rPr>
        <w:t>特殊质量标准和要求：</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590CF4EA">
      <w:pPr>
        <w:spacing w:line="360" w:lineRule="auto"/>
        <w:ind w:firstLine="420" w:firstLineChars="200"/>
        <w:jc w:val="left"/>
        <w:rPr>
          <w:color w:val="auto"/>
          <w:highlight w:val="none"/>
        </w:rPr>
      </w:pPr>
      <w:r>
        <w:rPr>
          <w:rFonts w:hint="eastAsia" w:hAnsi="宋体" w:cs="宋体"/>
          <w:color w:val="auto"/>
          <w:highlight w:val="none"/>
        </w:rPr>
        <w:t>关于工程奖项的约定：</w:t>
      </w:r>
      <w:r>
        <w:rPr>
          <w:color w:val="auto"/>
          <w:highlight w:val="none"/>
        </w:rPr>
        <w:t xml:space="preserve"> </w:t>
      </w:r>
      <w:r>
        <w:rPr>
          <w:rFonts w:hint="eastAsia"/>
          <w:color w:val="auto"/>
          <w:highlight w:val="none"/>
        </w:rPr>
        <w:t>如果</w:t>
      </w:r>
      <w:r>
        <w:rPr>
          <w:color w:val="auto"/>
          <w:highlight w:val="none"/>
        </w:rPr>
        <w:t>工程获得</w:t>
      </w:r>
      <w:r>
        <w:rPr>
          <w:rFonts w:hint="eastAsia"/>
          <w:color w:val="auto"/>
          <w:highlight w:val="none"/>
          <w:u w:val="single"/>
        </w:rPr>
        <w:t xml:space="preserve">    </w:t>
      </w:r>
      <w:r>
        <w:rPr>
          <w:rFonts w:hint="eastAsia"/>
          <w:color w:val="auto"/>
          <w:highlight w:val="none"/>
          <w:u w:val="single"/>
          <w:lang w:val="en-US" w:eastAsia="zh-CN"/>
        </w:rPr>
        <w:t>/</w:t>
      </w:r>
      <w:r>
        <w:rPr>
          <w:rFonts w:hint="eastAsia"/>
          <w:color w:val="auto"/>
          <w:highlight w:val="none"/>
          <w:u w:val="single"/>
        </w:rPr>
        <w:t xml:space="preserve">       （奖项名称）</w:t>
      </w:r>
      <w:r>
        <w:rPr>
          <w:rFonts w:hint="eastAsia"/>
          <w:color w:val="auto"/>
          <w:highlight w:val="none"/>
        </w:rPr>
        <w:t>，</w:t>
      </w:r>
      <w:r>
        <w:rPr>
          <w:rFonts w:hint="eastAsia"/>
          <w:color w:val="auto"/>
          <w:highlight w:val="none"/>
          <w:lang w:eastAsia="zh-CN"/>
        </w:rPr>
        <w:t>结算时按工程量清单</w:t>
      </w:r>
      <w:r>
        <w:rPr>
          <w:rFonts w:hint="eastAsia" w:hAnsi="宋体" w:cs="宋体"/>
          <w:color w:val="auto"/>
          <w:highlight w:val="none"/>
          <w:lang w:eastAsia="zh-CN"/>
        </w:rPr>
        <w:t>暂列金额表中的优良工程增加费计取</w:t>
      </w:r>
      <w:r>
        <w:rPr>
          <w:rFonts w:hint="eastAsia" w:hAnsi="宋体" w:cs="宋体"/>
          <w:color w:val="auto"/>
          <w:highlight w:val="none"/>
        </w:rPr>
        <w:t>。</w:t>
      </w:r>
    </w:p>
    <w:p w14:paraId="107545A6">
      <w:pPr>
        <w:spacing w:line="360" w:lineRule="auto"/>
        <w:ind w:firstLine="420" w:firstLineChars="200"/>
        <w:jc w:val="left"/>
        <w:rPr>
          <w:color w:val="auto"/>
          <w:highlight w:val="none"/>
        </w:rPr>
      </w:pPr>
      <w:r>
        <w:rPr>
          <w:color w:val="auto"/>
          <w:highlight w:val="none"/>
        </w:rPr>
        <w:t xml:space="preserve">5.3 </w:t>
      </w:r>
      <w:r>
        <w:rPr>
          <w:rFonts w:hint="eastAsia" w:hAnsi="宋体" w:cs="宋体"/>
          <w:color w:val="auto"/>
          <w:highlight w:val="none"/>
        </w:rPr>
        <w:t>隐蔽工程检查</w:t>
      </w:r>
    </w:p>
    <w:p w14:paraId="1222E823">
      <w:pPr>
        <w:spacing w:line="360" w:lineRule="auto"/>
        <w:ind w:firstLine="420" w:firstLineChars="200"/>
        <w:jc w:val="left"/>
        <w:rPr>
          <w:color w:val="auto"/>
          <w:highlight w:val="none"/>
          <w:u w:val="single"/>
        </w:rPr>
      </w:pPr>
      <w:r>
        <w:rPr>
          <w:color w:val="auto"/>
          <w:highlight w:val="none"/>
        </w:rPr>
        <w:t>5.3.2</w:t>
      </w:r>
      <w:r>
        <w:rPr>
          <w:rFonts w:hint="eastAsia" w:hAnsi="宋体" w:cs="宋体"/>
          <w:color w:val="auto"/>
          <w:highlight w:val="none"/>
        </w:rPr>
        <w:t>承包人提前通知监理人隐蔽工程检查的期限的约定：工程隐蔽或中间验收前</w:t>
      </w:r>
      <w:r>
        <w:rPr>
          <w:color w:val="auto"/>
          <w:highlight w:val="none"/>
        </w:rPr>
        <w:t>12</w:t>
      </w:r>
      <w:r>
        <w:rPr>
          <w:rFonts w:hint="eastAsia" w:hAnsi="宋体" w:cs="宋体"/>
          <w:color w:val="auto"/>
          <w:highlight w:val="none"/>
        </w:rPr>
        <w:t>小时以书面形式通知发包人和监理工程师验收的内容、时间、地点，承包人准备验收记录单（最好是印制的表格）由双方签证。验收合格，承包人可进行隐蔽和继续施工；验收不合格，双方</w:t>
      </w:r>
      <w:r>
        <w:rPr>
          <w:rFonts w:hint="eastAsia" w:hAnsi="宋体" w:cs="宋体"/>
          <w:color w:val="auto"/>
          <w:highlight w:val="none"/>
          <w:lang w:eastAsia="zh-CN"/>
        </w:rPr>
        <w:t>商定</w:t>
      </w:r>
      <w:r>
        <w:rPr>
          <w:rFonts w:hint="eastAsia" w:hAnsi="宋体" w:cs="宋体"/>
          <w:color w:val="auto"/>
          <w:highlight w:val="none"/>
        </w:rPr>
        <w:t>时限内修改后按上述</w:t>
      </w:r>
      <w:r>
        <w:rPr>
          <w:rFonts w:hint="eastAsia" w:hAnsi="宋体" w:cs="宋体"/>
          <w:color w:val="auto"/>
          <w:highlight w:val="none"/>
          <w:lang w:eastAsia="zh-CN"/>
        </w:rPr>
        <w:t>顺序</w:t>
      </w:r>
      <w:r>
        <w:rPr>
          <w:rFonts w:hint="eastAsia" w:hAnsi="宋体" w:cs="宋体"/>
          <w:color w:val="auto"/>
          <w:highlight w:val="none"/>
        </w:rPr>
        <w:t>重新验收。</w:t>
      </w:r>
    </w:p>
    <w:p w14:paraId="7AFC7E46">
      <w:pPr>
        <w:spacing w:line="360" w:lineRule="auto"/>
        <w:ind w:firstLine="420" w:firstLineChars="200"/>
        <w:jc w:val="left"/>
        <w:rPr>
          <w:color w:val="auto"/>
          <w:highlight w:val="none"/>
        </w:rPr>
      </w:pPr>
      <w:r>
        <w:rPr>
          <w:rFonts w:hint="eastAsia" w:hAnsi="宋体" w:cs="宋体"/>
          <w:color w:val="auto"/>
          <w:highlight w:val="none"/>
        </w:rPr>
        <w:t>监理人不能按时进行检查时，应提前</w:t>
      </w:r>
      <w:r>
        <w:rPr>
          <w:color w:val="auto"/>
          <w:highlight w:val="none"/>
          <w:u w:val="single"/>
        </w:rPr>
        <w:t xml:space="preserve">  </w:t>
      </w:r>
      <w:r>
        <w:rPr>
          <w:rFonts w:hint="eastAsia"/>
          <w:color w:val="auto"/>
          <w:highlight w:val="none"/>
          <w:u w:val="single"/>
          <w:lang w:val="en-US" w:eastAsia="zh-CN"/>
        </w:rPr>
        <w:t>12</w:t>
      </w:r>
      <w:r>
        <w:rPr>
          <w:color w:val="auto"/>
          <w:highlight w:val="none"/>
          <w:u w:val="single"/>
        </w:rPr>
        <w:t xml:space="preserve">  </w:t>
      </w:r>
      <w:r>
        <w:rPr>
          <w:rFonts w:hint="eastAsia" w:hAnsi="宋体" w:cs="宋体"/>
          <w:color w:val="auto"/>
          <w:highlight w:val="none"/>
        </w:rPr>
        <w:t>小时提交书面延期要求。</w:t>
      </w:r>
    </w:p>
    <w:p w14:paraId="2B290859">
      <w:pPr>
        <w:spacing w:line="360" w:lineRule="auto"/>
        <w:ind w:firstLine="420" w:firstLineChars="200"/>
        <w:jc w:val="left"/>
        <w:rPr>
          <w:color w:val="auto"/>
          <w:highlight w:val="none"/>
        </w:rPr>
      </w:pPr>
      <w:r>
        <w:rPr>
          <w:rFonts w:hint="eastAsia" w:hAnsi="宋体" w:cs="宋体"/>
          <w:color w:val="auto"/>
          <w:highlight w:val="none"/>
        </w:rPr>
        <w:t>关于延期最长不得超过：</w:t>
      </w:r>
      <w:r>
        <w:rPr>
          <w:color w:val="auto"/>
          <w:highlight w:val="none"/>
          <w:u w:val="single"/>
        </w:rPr>
        <w:t xml:space="preserve"> </w:t>
      </w:r>
      <w:r>
        <w:rPr>
          <w:rFonts w:hint="eastAsia"/>
          <w:color w:val="auto"/>
          <w:highlight w:val="none"/>
          <w:u w:val="single"/>
          <w:lang w:val="en-US" w:eastAsia="zh-CN"/>
        </w:rPr>
        <w:t>48</w:t>
      </w:r>
      <w:r>
        <w:rPr>
          <w:color w:val="auto"/>
          <w:highlight w:val="none"/>
          <w:u w:val="single"/>
        </w:rPr>
        <w:t xml:space="preserve">   </w:t>
      </w:r>
      <w:r>
        <w:rPr>
          <w:rFonts w:hint="eastAsia" w:hAnsi="宋体" w:cs="宋体"/>
          <w:color w:val="auto"/>
          <w:highlight w:val="none"/>
        </w:rPr>
        <w:t>小时。</w:t>
      </w:r>
    </w:p>
    <w:p w14:paraId="151C0228">
      <w:pPr>
        <w:pStyle w:val="4"/>
        <w:outlineLvl w:val="2"/>
        <w:rPr>
          <w:color w:val="auto"/>
          <w:highlight w:val="none"/>
        </w:rPr>
      </w:pPr>
      <w:bookmarkStart w:id="322" w:name="_Toc12794"/>
      <w:r>
        <w:rPr>
          <w:color w:val="auto"/>
          <w:highlight w:val="none"/>
        </w:rPr>
        <w:t xml:space="preserve">6. </w:t>
      </w:r>
      <w:r>
        <w:rPr>
          <w:rFonts w:hint="eastAsia" w:cs="黑体"/>
          <w:color w:val="auto"/>
          <w:highlight w:val="none"/>
        </w:rPr>
        <w:t>安全文明施工与环境保护</w:t>
      </w:r>
      <w:bookmarkEnd w:id="322"/>
    </w:p>
    <w:p w14:paraId="4D7D4FD6">
      <w:pPr>
        <w:pStyle w:val="5"/>
        <w:jc w:val="left"/>
        <w:rPr>
          <w:color w:val="auto"/>
          <w:highlight w:val="none"/>
        </w:rPr>
      </w:pPr>
      <w:bookmarkStart w:id="323" w:name="_Toc29946"/>
      <w:bookmarkStart w:id="324" w:name="_Toc9202"/>
      <w:r>
        <w:rPr>
          <w:color w:val="auto"/>
          <w:highlight w:val="none"/>
        </w:rPr>
        <w:t xml:space="preserve">6.1 </w:t>
      </w:r>
      <w:r>
        <w:rPr>
          <w:rFonts w:hint="eastAsia" w:cs="黑体"/>
          <w:color w:val="auto"/>
          <w:highlight w:val="none"/>
        </w:rPr>
        <w:t>安全文明施工</w:t>
      </w:r>
      <w:bookmarkEnd w:id="323"/>
      <w:bookmarkEnd w:id="324"/>
    </w:p>
    <w:p w14:paraId="083B4F18">
      <w:pPr>
        <w:spacing w:line="360" w:lineRule="auto"/>
        <w:ind w:firstLine="420" w:firstLineChars="200"/>
        <w:jc w:val="left"/>
        <w:rPr>
          <w:rFonts w:hAnsi="宋体"/>
          <w:color w:val="auto"/>
          <w:highlight w:val="none"/>
        </w:rPr>
      </w:pPr>
      <w:r>
        <w:rPr>
          <w:color w:val="auto"/>
          <w:highlight w:val="none"/>
        </w:rPr>
        <w:t xml:space="preserve">6.1.1 </w:t>
      </w:r>
      <w:r>
        <w:rPr>
          <w:rFonts w:hint="eastAsia" w:hAnsi="宋体" w:cs="宋体"/>
          <w:color w:val="auto"/>
          <w:highlight w:val="none"/>
        </w:rPr>
        <w:t>项目安全生产的达标目标及相应事项的约定：</w:t>
      </w:r>
      <w:r>
        <w:rPr>
          <w:color w:val="auto"/>
          <w:highlight w:val="none"/>
          <w:u w:val="single"/>
        </w:rPr>
        <w:t xml:space="preserve">  </w:t>
      </w:r>
      <w:r>
        <w:rPr>
          <w:rFonts w:hint="eastAsia"/>
          <w:color w:val="auto"/>
          <w:highlight w:val="none"/>
          <w:u w:val="single"/>
          <w:lang w:eastAsia="zh-CN"/>
        </w:rPr>
        <w:t>按当地行政主管部门规定</w:t>
      </w:r>
      <w:r>
        <w:rPr>
          <w:color w:val="auto"/>
          <w:highlight w:val="none"/>
          <w:u w:val="single"/>
        </w:rPr>
        <w:t xml:space="preserve"> </w:t>
      </w:r>
      <w:r>
        <w:rPr>
          <w:rFonts w:hint="eastAsia" w:hAnsi="宋体" w:cs="宋体"/>
          <w:color w:val="auto"/>
          <w:highlight w:val="none"/>
        </w:rPr>
        <w:t>。</w:t>
      </w:r>
    </w:p>
    <w:p w14:paraId="48FE84C5">
      <w:pPr>
        <w:spacing w:line="360" w:lineRule="auto"/>
        <w:ind w:firstLine="420" w:firstLineChars="200"/>
        <w:jc w:val="left"/>
        <w:rPr>
          <w:color w:val="auto"/>
          <w:highlight w:val="none"/>
        </w:rPr>
      </w:pPr>
      <w:r>
        <w:rPr>
          <w:rFonts w:hint="eastAsia" w:hAnsi="宋体" w:cs="宋体"/>
          <w:color w:val="auto"/>
          <w:highlight w:val="none"/>
        </w:rPr>
        <w:t>关于安全文明施工奖项的约定：</w:t>
      </w:r>
      <w:r>
        <w:rPr>
          <w:color w:val="auto"/>
          <w:highlight w:val="none"/>
          <w:u w:val="single"/>
        </w:rPr>
        <w:t xml:space="preserve"> </w:t>
      </w:r>
      <w:r>
        <w:rPr>
          <w:rFonts w:hint="eastAsia"/>
          <w:color w:val="auto"/>
          <w:highlight w:val="none"/>
          <w:u w:val="single"/>
          <w:lang w:eastAsia="zh-CN"/>
        </w:rPr>
        <w:t>无</w:t>
      </w:r>
      <w:r>
        <w:rPr>
          <w:b/>
          <w:bCs/>
          <w:color w:val="auto"/>
          <w:highlight w:val="none"/>
          <w:u w:val="single"/>
        </w:rPr>
        <w:t xml:space="preserve"> </w:t>
      </w:r>
      <w:r>
        <w:rPr>
          <w:rFonts w:hint="eastAsia" w:hAnsi="宋体" w:cs="宋体"/>
          <w:color w:val="auto"/>
          <w:highlight w:val="none"/>
        </w:rPr>
        <w:t>。</w:t>
      </w:r>
    </w:p>
    <w:p w14:paraId="3ABFC7D6">
      <w:pPr>
        <w:spacing w:line="360" w:lineRule="auto"/>
        <w:ind w:firstLine="420" w:firstLineChars="200"/>
        <w:jc w:val="left"/>
        <w:rPr>
          <w:color w:val="auto"/>
          <w:highlight w:val="none"/>
          <w:u w:val="single"/>
        </w:rPr>
      </w:pPr>
      <w:r>
        <w:rPr>
          <w:color w:val="auto"/>
          <w:highlight w:val="none"/>
        </w:rPr>
        <w:t xml:space="preserve">6.1.4 </w:t>
      </w:r>
      <w:r>
        <w:rPr>
          <w:rFonts w:hint="eastAsia" w:hAnsi="宋体" w:cs="宋体"/>
          <w:color w:val="auto"/>
          <w:highlight w:val="none"/>
        </w:rPr>
        <w:t>关于治安保卫的特别约定：</w:t>
      </w:r>
      <w:r>
        <w:rPr>
          <w:rFonts w:hint="eastAsia" w:hAnsi="宋体" w:cs="宋体"/>
          <w:color w:val="auto"/>
          <w:highlight w:val="none"/>
          <w:u w:val="single"/>
        </w:rPr>
        <w:t>承包人应承担施工安全保卫工作及非夜间施工照明的责任，承包人应采取一切合理的预防措施，防止人员伤亡、财产损失事故，费用由承包人承担。承包人生活设施及施</w:t>
      </w:r>
      <w:r>
        <w:rPr>
          <w:rFonts w:hint="eastAsia" w:hAnsi="宋体" w:cs="宋体"/>
          <w:color w:val="auto"/>
          <w:highlight w:val="none"/>
          <w:u w:val="single"/>
          <w:lang w:eastAsia="zh-CN"/>
        </w:rPr>
        <w:t>工现</w:t>
      </w:r>
      <w:r>
        <w:rPr>
          <w:rFonts w:hint="eastAsia" w:hAnsi="宋体" w:cs="宋体"/>
          <w:color w:val="auto"/>
          <w:highlight w:val="none"/>
          <w:u w:val="single"/>
        </w:rPr>
        <w:t>场应自费配备消防设备，防止火灾发生。</w:t>
      </w:r>
    </w:p>
    <w:p w14:paraId="7BDD0EDC">
      <w:pPr>
        <w:spacing w:line="360" w:lineRule="auto"/>
        <w:ind w:firstLine="420" w:firstLineChars="200"/>
        <w:jc w:val="left"/>
        <w:rPr>
          <w:color w:val="auto"/>
          <w:highlight w:val="none"/>
        </w:rPr>
      </w:pPr>
      <w:r>
        <w:rPr>
          <w:rFonts w:hint="eastAsia" w:hAnsi="宋体" w:cs="宋体"/>
          <w:color w:val="auto"/>
          <w:highlight w:val="none"/>
        </w:rPr>
        <w:t>关于编制施工场地治安管理计划的约定：</w:t>
      </w:r>
      <w:r>
        <w:rPr>
          <w:color w:val="auto"/>
          <w:highlight w:val="none"/>
          <w:u w:val="single"/>
        </w:rPr>
        <w:t xml:space="preserve">  必须严格按照《中华人民共和国治安管理法》及《广西壮族自治区社会治安综合治理条例》要求编制治安管理计划，开工前提供经发包人同意的施工场地治安管理计划  </w:t>
      </w:r>
      <w:r>
        <w:rPr>
          <w:rFonts w:hint="eastAsia" w:hAnsi="宋体" w:cs="宋体"/>
          <w:color w:val="auto"/>
          <w:highlight w:val="none"/>
        </w:rPr>
        <w:t>。</w:t>
      </w:r>
    </w:p>
    <w:p w14:paraId="7A3E174E">
      <w:pPr>
        <w:spacing w:line="360" w:lineRule="auto"/>
        <w:ind w:firstLine="420" w:firstLineChars="200"/>
        <w:jc w:val="left"/>
        <w:rPr>
          <w:color w:val="auto"/>
          <w:highlight w:val="none"/>
        </w:rPr>
      </w:pPr>
      <w:r>
        <w:rPr>
          <w:color w:val="auto"/>
          <w:highlight w:val="none"/>
        </w:rPr>
        <w:t xml:space="preserve">6.1.5 </w:t>
      </w:r>
      <w:r>
        <w:rPr>
          <w:rFonts w:hint="eastAsia" w:hAnsi="宋体" w:cs="宋体"/>
          <w:color w:val="auto"/>
          <w:highlight w:val="none"/>
        </w:rPr>
        <w:t>文明施工</w:t>
      </w:r>
    </w:p>
    <w:p w14:paraId="4A47D63E">
      <w:pPr>
        <w:spacing w:line="360" w:lineRule="auto"/>
        <w:jc w:val="left"/>
        <w:rPr>
          <w:color w:val="auto"/>
          <w:highlight w:val="none"/>
        </w:rPr>
      </w:pPr>
      <w:r>
        <w:rPr>
          <w:rFonts w:hint="eastAsia" w:hAnsi="宋体" w:cs="宋体"/>
          <w:color w:val="auto"/>
          <w:highlight w:val="none"/>
        </w:rPr>
        <w:t>合同当事人对文明施工的要求：</w:t>
      </w:r>
      <w:r>
        <w:rPr>
          <w:color w:val="auto"/>
          <w:highlight w:val="none"/>
          <w:u w:val="single"/>
        </w:rPr>
        <w:t xml:space="preserve"> 严格执行《大气污染防治法》（主席令第三十一号</w:t>
      </w:r>
      <w:r>
        <w:rPr>
          <w:rFonts w:hint="eastAsia"/>
          <w:color w:val="auto"/>
          <w:highlight w:val="none"/>
          <w:u w:val="single"/>
          <w:lang w:eastAsia="zh-CN"/>
        </w:rPr>
        <w:t>）</w:t>
      </w:r>
      <w:r>
        <w:rPr>
          <w:rFonts w:hint="eastAsia"/>
          <w:color w:val="auto"/>
          <w:highlight w:val="none"/>
          <w:u w:val="single"/>
          <w:lang w:val="en-US" w:eastAsia="zh-CN"/>
        </w:rPr>
        <w:t>等</w:t>
      </w:r>
      <w:r>
        <w:rPr>
          <w:color w:val="auto"/>
          <w:highlight w:val="none"/>
          <w:u w:val="single"/>
        </w:rPr>
        <w:t xml:space="preserve">有关规定，与辖区卫生防疫、环卫管理部门或有合法资质资格的企业签订病媒生物消杀协议、生活垃圾清运协议、渣土密闭运输协议、在线远程监控扬尘监测协议，遵守“一口两池三包四协议”的有关规定，施工前办理排水许可证，严格执行排水许可，做好工地泥浆水、临时生活污水的排放管理，现场设置三级沉淀池及化粪池，避免生活污水及施工废水直排市政排水管网及内河。采取道路硬化、裸土必盖（种草、绿网）、洗车出门、保洁路口、在线监测、抑尘喷淋等有效措施，确保建设工程各项安全防护、文明施工措施及其费用在工地一线按标准落实到位   </w:t>
      </w:r>
      <w:r>
        <w:rPr>
          <w:rFonts w:hint="eastAsia" w:cs="宋体"/>
          <w:color w:val="auto"/>
          <w:highlight w:val="none"/>
        </w:rPr>
        <w:t>。</w:t>
      </w:r>
    </w:p>
    <w:p w14:paraId="753482DF">
      <w:pPr>
        <w:spacing w:line="360" w:lineRule="auto"/>
        <w:ind w:firstLine="420" w:firstLineChars="200"/>
        <w:jc w:val="left"/>
        <w:rPr>
          <w:rFonts w:hAnsi="宋体"/>
          <w:color w:val="auto"/>
          <w:highlight w:val="none"/>
        </w:rPr>
      </w:pPr>
      <w:r>
        <w:rPr>
          <w:color w:val="auto"/>
          <w:highlight w:val="none"/>
        </w:rPr>
        <w:t>6.1.6</w:t>
      </w:r>
      <w:r>
        <w:rPr>
          <w:rFonts w:hAnsi="宋体" w:cs="宋体"/>
          <w:color w:val="auto"/>
          <w:kern w:val="0"/>
          <w:highlight w:val="none"/>
        </w:rPr>
        <w:t>关于安全</w:t>
      </w:r>
      <w:r>
        <w:rPr>
          <w:rFonts w:hint="eastAsia" w:hAnsi="宋体" w:cs="宋体"/>
          <w:color w:val="auto"/>
          <w:kern w:val="0"/>
          <w:highlight w:val="none"/>
        </w:rPr>
        <w:t>生产</w:t>
      </w:r>
      <w:r>
        <w:rPr>
          <w:rFonts w:hAnsi="宋体" w:cs="宋体"/>
          <w:color w:val="auto"/>
          <w:kern w:val="0"/>
          <w:highlight w:val="none"/>
        </w:rPr>
        <w:t>费</w:t>
      </w:r>
      <w:r>
        <w:rPr>
          <w:rFonts w:hint="eastAsia" w:hAnsi="宋体" w:cs="宋体"/>
          <w:color w:val="auto"/>
          <w:kern w:val="0"/>
          <w:highlight w:val="none"/>
        </w:rPr>
        <w:t>总额、</w:t>
      </w:r>
      <w:r>
        <w:rPr>
          <w:rFonts w:hAnsi="宋体" w:cs="宋体"/>
          <w:color w:val="auto"/>
          <w:kern w:val="0"/>
          <w:highlight w:val="none"/>
        </w:rPr>
        <w:t>支付比例</w:t>
      </w:r>
      <w:r>
        <w:rPr>
          <w:rFonts w:hint="eastAsia" w:hAnsi="宋体" w:cs="宋体"/>
          <w:color w:val="auto"/>
          <w:kern w:val="0"/>
          <w:highlight w:val="none"/>
        </w:rPr>
        <w:t>、</w:t>
      </w:r>
      <w:r>
        <w:rPr>
          <w:rFonts w:hAnsi="宋体" w:cs="宋体"/>
          <w:color w:val="auto"/>
          <w:kern w:val="0"/>
          <w:highlight w:val="none"/>
        </w:rPr>
        <w:t>支付期限</w:t>
      </w:r>
      <w:r>
        <w:rPr>
          <w:rFonts w:hint="eastAsia" w:hAnsi="宋体" w:cs="宋体"/>
          <w:color w:val="auto"/>
          <w:kern w:val="0"/>
          <w:highlight w:val="none"/>
        </w:rPr>
        <w:t>、转入和结余收回</w:t>
      </w:r>
      <w:r>
        <w:rPr>
          <w:rFonts w:hAnsi="宋体" w:cs="宋体"/>
          <w:color w:val="auto"/>
          <w:kern w:val="0"/>
          <w:highlight w:val="none"/>
        </w:rPr>
        <w:t>的约定：</w:t>
      </w:r>
    </w:p>
    <w:p w14:paraId="5504F025">
      <w:pPr>
        <w:autoSpaceDE w:val="0"/>
        <w:autoSpaceDN w:val="0"/>
        <w:adjustRightInd w:val="0"/>
        <w:spacing w:line="360" w:lineRule="auto"/>
        <w:ind w:firstLine="420" w:firstLineChars="200"/>
        <w:jc w:val="left"/>
        <w:rPr>
          <w:rFonts w:hAnsi="宋体"/>
          <w:color w:val="auto"/>
          <w:kern w:val="0"/>
          <w:highlight w:val="none"/>
        </w:rPr>
      </w:pPr>
      <w:r>
        <w:rPr>
          <w:rFonts w:hint="eastAsia" w:hAnsi="宋体" w:cs="宋体"/>
          <w:color w:val="auto"/>
          <w:kern w:val="0"/>
          <w:highlight w:val="none"/>
        </w:rPr>
        <w:t>（</w:t>
      </w:r>
      <w:r>
        <w:rPr>
          <w:rFonts w:hAnsi="宋体"/>
          <w:color w:val="auto"/>
          <w:kern w:val="0"/>
          <w:highlight w:val="none"/>
        </w:rPr>
        <w:t>1</w:t>
      </w:r>
      <w:r>
        <w:rPr>
          <w:rFonts w:hint="eastAsia" w:hAnsi="宋体" w:cs="宋体"/>
          <w:color w:val="auto"/>
          <w:kern w:val="0"/>
          <w:highlight w:val="none"/>
        </w:rPr>
        <w:t>）本合同价款已包含</w:t>
      </w:r>
      <w:r>
        <w:rPr>
          <w:rFonts w:hint="eastAsia" w:hAnsi="宋体" w:cs="宋体"/>
          <w:color w:val="auto"/>
          <w:kern w:val="0"/>
          <w:highlight w:val="none"/>
          <w:lang w:eastAsia="zh-CN"/>
        </w:rPr>
        <w:t>安全生产费</w:t>
      </w:r>
      <w:r>
        <w:rPr>
          <w:rFonts w:hAnsi="宋体"/>
          <w:color w:val="auto"/>
          <w:kern w:val="0"/>
          <w:highlight w:val="none"/>
          <w:u w:val="single"/>
        </w:rPr>
        <w:t xml:space="preserve">           </w:t>
      </w:r>
      <w:r>
        <w:rPr>
          <w:rFonts w:hint="eastAsia" w:hAnsi="宋体" w:cs="宋体"/>
          <w:color w:val="auto"/>
          <w:kern w:val="0"/>
          <w:highlight w:val="none"/>
        </w:rPr>
        <w:t>元。</w:t>
      </w:r>
      <w:r>
        <w:rPr>
          <w:rFonts w:hint="eastAsia" w:ascii="仿宋" w:hAnsi="仿宋" w:eastAsia="仿宋" w:cs="仿宋"/>
          <w:b/>
          <w:color w:val="auto"/>
          <w:sz w:val="24"/>
          <w:szCs w:val="24"/>
          <w:highlight w:val="none"/>
          <w:u w:val="single"/>
          <w:lang w:eastAsia="zh-CN"/>
        </w:rPr>
        <w:t>本合同价款已包含安全防护、文明施工措施费。</w:t>
      </w:r>
    </w:p>
    <w:p w14:paraId="121AE517">
      <w:pPr>
        <w:autoSpaceDE w:val="0"/>
        <w:autoSpaceDN w:val="0"/>
        <w:adjustRightInd w:val="0"/>
        <w:spacing w:line="360" w:lineRule="auto"/>
        <w:ind w:firstLine="420" w:firstLineChars="200"/>
        <w:jc w:val="left"/>
        <w:rPr>
          <w:rFonts w:hAnsi="宋体"/>
          <w:color w:val="auto"/>
          <w:kern w:val="0"/>
          <w:highlight w:val="none"/>
        </w:rPr>
      </w:pPr>
      <w:r>
        <w:rPr>
          <w:rFonts w:hint="eastAsia" w:hAnsi="宋体" w:cs="宋体"/>
          <w:color w:val="auto"/>
          <w:kern w:val="0"/>
          <w:highlight w:val="none"/>
        </w:rPr>
        <w:t>（</w:t>
      </w:r>
      <w:r>
        <w:rPr>
          <w:rFonts w:hAnsi="宋体"/>
          <w:color w:val="auto"/>
          <w:kern w:val="0"/>
          <w:highlight w:val="none"/>
        </w:rPr>
        <w:t>2</w:t>
      </w:r>
      <w:r>
        <w:rPr>
          <w:rFonts w:hint="eastAsia" w:hAnsi="宋体" w:cs="宋体"/>
          <w:color w:val="auto"/>
          <w:kern w:val="0"/>
          <w:highlight w:val="none"/>
        </w:rPr>
        <w:t>）使用要求：专款专用。具体按</w:t>
      </w:r>
      <w:r>
        <w:rPr>
          <w:rFonts w:hint="eastAsia" w:hAnsi="宋体" w:cs="宋体"/>
          <w:color w:val="auto"/>
          <w:kern w:val="0"/>
          <w:highlight w:val="none"/>
          <w:u w:val="single"/>
        </w:rPr>
        <w:t>《广西壮族自治区建设工程安全文明施工费使用管理细则》（桂建质〔</w:t>
      </w:r>
      <w:r>
        <w:rPr>
          <w:rFonts w:hAnsi="宋体"/>
          <w:color w:val="auto"/>
          <w:kern w:val="0"/>
          <w:highlight w:val="none"/>
          <w:u w:val="single"/>
        </w:rPr>
        <w:t>2015</w:t>
      </w:r>
      <w:r>
        <w:rPr>
          <w:rFonts w:hint="eastAsia" w:hAnsi="宋体" w:cs="宋体"/>
          <w:color w:val="auto"/>
          <w:kern w:val="0"/>
          <w:highlight w:val="none"/>
          <w:u w:val="single"/>
        </w:rPr>
        <w:t>〕</w:t>
      </w:r>
      <w:r>
        <w:rPr>
          <w:rFonts w:hAnsi="宋体"/>
          <w:color w:val="auto"/>
          <w:kern w:val="0"/>
          <w:highlight w:val="none"/>
          <w:u w:val="single"/>
        </w:rPr>
        <w:t>16</w:t>
      </w:r>
      <w:r>
        <w:rPr>
          <w:rFonts w:hint="eastAsia" w:hAnsi="宋体" w:cs="宋体"/>
          <w:color w:val="auto"/>
          <w:kern w:val="0"/>
          <w:highlight w:val="none"/>
          <w:u w:val="single"/>
        </w:rPr>
        <w:t>号）</w:t>
      </w:r>
      <w:r>
        <w:rPr>
          <w:rFonts w:hint="eastAsia" w:hAnsi="宋体" w:cs="宋体"/>
          <w:color w:val="auto"/>
          <w:kern w:val="0"/>
          <w:highlight w:val="none"/>
        </w:rPr>
        <w:t>和</w:t>
      </w:r>
      <w:r>
        <w:rPr>
          <w:rFonts w:hAnsi="宋体"/>
          <w:color w:val="auto"/>
          <w:kern w:val="0"/>
          <w:highlight w:val="none"/>
          <w:u w:val="single"/>
        </w:rPr>
        <w:t xml:space="preserve"> </w:t>
      </w:r>
      <w:r>
        <w:rPr>
          <w:rFonts w:hint="eastAsia" w:hAnsi="宋体"/>
          <w:color w:val="auto"/>
          <w:kern w:val="0"/>
          <w:highlight w:val="none"/>
          <w:u w:val="single"/>
          <w:lang w:eastAsia="zh-CN"/>
        </w:rPr>
        <w:t>来宾</w:t>
      </w:r>
      <w:r>
        <w:rPr>
          <w:rFonts w:hAnsi="宋体"/>
          <w:color w:val="auto"/>
          <w:kern w:val="0"/>
          <w:highlight w:val="none"/>
          <w:u w:val="single"/>
        </w:rPr>
        <w:t xml:space="preserve"> </w:t>
      </w:r>
      <w:r>
        <w:rPr>
          <w:rFonts w:hint="eastAsia" w:hAnsi="宋体" w:cs="宋体"/>
          <w:color w:val="auto"/>
          <w:kern w:val="0"/>
          <w:highlight w:val="none"/>
        </w:rPr>
        <w:t>市相关规定执行。</w:t>
      </w:r>
    </w:p>
    <w:p w14:paraId="111EFA9F">
      <w:pPr>
        <w:autoSpaceDE/>
        <w:autoSpaceDN/>
        <w:adjustRightInd/>
        <w:spacing w:line="400" w:lineRule="exact"/>
        <w:ind w:firstLine="420" w:firstLineChars="200"/>
        <w:jc w:val="left"/>
        <w:outlineLvl w:val="9"/>
        <w:rPr>
          <w:rFonts w:hAnsi="宋体" w:cs="宋体"/>
          <w:color w:val="auto"/>
          <w:kern w:val="0"/>
          <w:highlight w:val="none"/>
        </w:rPr>
      </w:pPr>
      <w:r>
        <w:rPr>
          <w:rFonts w:hint="eastAsia" w:hAnsi="宋体" w:cs="宋体"/>
          <w:color w:val="auto"/>
          <w:kern w:val="0"/>
          <w:highlight w:val="none"/>
        </w:rPr>
        <w:t>（</w:t>
      </w:r>
      <w:r>
        <w:rPr>
          <w:rFonts w:hAnsi="宋体"/>
          <w:color w:val="auto"/>
          <w:kern w:val="0"/>
          <w:highlight w:val="none"/>
        </w:rPr>
        <w:t>3</w:t>
      </w:r>
      <w:r>
        <w:rPr>
          <w:rFonts w:hint="eastAsia" w:hAnsi="宋体" w:cs="宋体"/>
          <w:color w:val="auto"/>
          <w:kern w:val="0"/>
          <w:highlight w:val="none"/>
        </w:rPr>
        <w:t>）支付约定：</w:t>
      </w:r>
      <w:r>
        <w:rPr>
          <w:rFonts w:hint="eastAsia" w:cs="宋体"/>
          <w:color w:val="auto"/>
          <w:kern w:val="0"/>
          <w:highlight w:val="none"/>
        </w:rPr>
        <w:t>在本合同签订后</w:t>
      </w:r>
      <w:r>
        <w:rPr>
          <w:color w:val="auto"/>
          <w:kern w:val="0"/>
          <w:highlight w:val="none"/>
          <w:u w:val="single"/>
        </w:rPr>
        <w:t xml:space="preserve">  </w:t>
      </w:r>
      <w:r>
        <w:rPr>
          <w:rFonts w:hint="eastAsia"/>
          <w:color w:val="auto"/>
          <w:kern w:val="0"/>
          <w:highlight w:val="none"/>
          <w:u w:val="single"/>
          <w:lang w:val="en-US" w:eastAsia="zh-CN"/>
        </w:rPr>
        <w:t>7</w:t>
      </w:r>
      <w:r>
        <w:rPr>
          <w:color w:val="auto"/>
          <w:kern w:val="0"/>
          <w:highlight w:val="none"/>
          <w:u w:val="single"/>
        </w:rPr>
        <w:t xml:space="preserve">  </w:t>
      </w:r>
      <w:r>
        <w:rPr>
          <w:rFonts w:hint="eastAsia" w:cs="宋体"/>
          <w:color w:val="auto"/>
          <w:kern w:val="0"/>
          <w:highlight w:val="none"/>
        </w:rPr>
        <w:t>个工作日内，预付安全</w:t>
      </w:r>
      <w:r>
        <w:rPr>
          <w:rFonts w:hint="default" w:cs="宋体"/>
          <w:color w:val="auto"/>
          <w:kern w:val="0"/>
          <w:highlight w:val="none"/>
          <w:lang w:val="en"/>
        </w:rPr>
        <w:t>生产费</w:t>
      </w:r>
      <w:r>
        <w:rPr>
          <w:rFonts w:hint="eastAsia" w:cs="宋体"/>
          <w:color w:val="auto"/>
          <w:kern w:val="0"/>
          <w:highlight w:val="none"/>
        </w:rPr>
        <w:t>总额的</w:t>
      </w:r>
      <w:r>
        <w:rPr>
          <w:rFonts w:hint="eastAsia" w:cs="宋体"/>
          <w:color w:val="auto"/>
          <w:kern w:val="0"/>
          <w:highlight w:val="none"/>
          <w:u w:val="single"/>
        </w:rPr>
        <w:t xml:space="preserve">   </w:t>
      </w:r>
      <w:r>
        <w:rPr>
          <w:rFonts w:hint="eastAsia" w:cs="宋体"/>
          <w:color w:val="auto"/>
          <w:kern w:val="0"/>
          <w:highlight w:val="none"/>
        </w:rPr>
        <w:t>%</w:t>
      </w:r>
      <w:r>
        <w:rPr>
          <w:rFonts w:hint="eastAsia" w:cs="宋体"/>
          <w:color w:val="auto"/>
          <w:kern w:val="0"/>
          <w:highlight w:val="none"/>
          <w:lang w:eastAsia="zh-CN"/>
        </w:rPr>
        <w:t>。实际投入安全生产费超过安全生产</w:t>
      </w:r>
      <w:r>
        <w:rPr>
          <w:rFonts w:hint="eastAsia" w:cs="宋体"/>
          <w:color w:val="auto"/>
          <w:kern w:val="0"/>
          <w:highlight w:val="none"/>
        </w:rPr>
        <w:t>费预付款</w:t>
      </w:r>
      <w:r>
        <w:rPr>
          <w:rFonts w:hint="eastAsia" w:cs="宋体"/>
          <w:color w:val="auto"/>
          <w:kern w:val="0"/>
          <w:highlight w:val="none"/>
          <w:lang w:eastAsia="zh-CN"/>
        </w:rPr>
        <w:t>后</w:t>
      </w:r>
      <w:r>
        <w:rPr>
          <w:rFonts w:hint="default" w:cs="宋体"/>
          <w:color w:val="auto"/>
          <w:kern w:val="0"/>
          <w:highlight w:val="none"/>
          <w:lang w:val="en" w:eastAsia="zh-CN"/>
        </w:rPr>
        <w:t>，</w:t>
      </w:r>
      <w:r>
        <w:rPr>
          <w:rFonts w:hint="eastAsia" w:cs="宋体"/>
          <w:color w:val="auto"/>
          <w:kern w:val="0"/>
          <w:highlight w:val="none"/>
          <w:lang w:eastAsia="zh-CN"/>
        </w:rPr>
        <w:t>承包人把实际发生的安全生产费（附相关凭证）报发包人和监理人审核，安全生产费与工程进度款同期支付。</w:t>
      </w:r>
      <w:r>
        <w:rPr>
          <w:rFonts w:hint="default" w:ascii="Times New Roman" w:hAnsi="Times New Roman" w:cs="Times New Roman"/>
          <w:color w:val="auto"/>
          <w:kern w:val="0"/>
          <w:szCs w:val="21"/>
          <w:highlight w:val="none"/>
          <w:shd w:val="clear" w:color="auto" w:fill="FFFFFF"/>
        </w:rPr>
        <w:t>工程施工完成后安全生产费尚有结余的，结余部分由建设单位收回。施工单位将安全生产费用使用情况定期报告建设单位和监理单位，并提供相应的材料接受建设行政主管部门对此事项监管。</w:t>
      </w:r>
      <w:r>
        <w:rPr>
          <w:rFonts w:hint="eastAsia" w:cs="宋体"/>
          <w:color w:val="auto"/>
          <w:kern w:val="0"/>
          <w:highlight w:val="none"/>
          <w:lang w:eastAsia="zh-CN"/>
        </w:rPr>
        <w:t>《安全生产费支付申请（核准）表》详见附件</w:t>
      </w:r>
      <w:r>
        <w:rPr>
          <w:rFonts w:hint="eastAsia" w:cs="宋体"/>
          <w:color w:val="auto"/>
          <w:kern w:val="0"/>
          <w:highlight w:val="none"/>
          <w:lang w:val="en-US" w:eastAsia="zh-CN"/>
        </w:rPr>
        <w:t>18</w:t>
      </w:r>
      <w:r>
        <w:rPr>
          <w:rFonts w:hint="eastAsia" w:hAnsi="宋体" w:cs="宋体"/>
          <w:color w:val="auto"/>
          <w:kern w:val="0"/>
          <w:highlight w:val="none"/>
        </w:rPr>
        <w:t>。</w:t>
      </w:r>
    </w:p>
    <w:p w14:paraId="24534F0A">
      <w:pPr>
        <w:autoSpaceDE w:val="0"/>
        <w:autoSpaceDN w:val="0"/>
        <w:adjustRightInd w:val="0"/>
        <w:spacing w:line="360" w:lineRule="auto"/>
        <w:ind w:firstLine="420" w:firstLineChars="200"/>
        <w:jc w:val="left"/>
        <w:rPr>
          <w:rFonts w:hAnsi="宋体" w:cs="宋体"/>
          <w:color w:val="auto"/>
          <w:kern w:val="0"/>
          <w:highlight w:val="none"/>
        </w:rPr>
      </w:pPr>
    </w:p>
    <w:p w14:paraId="1034711D">
      <w:pPr>
        <w:autoSpaceDE w:val="0"/>
        <w:autoSpaceDN w:val="0"/>
        <w:adjustRightInd w:val="0"/>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（4）建设单位按规定将安全生产费转入施工单位设立的安全生产费用专户。</w:t>
      </w:r>
    </w:p>
    <w:p w14:paraId="7C931656">
      <w:pPr>
        <w:autoSpaceDE w:val="0"/>
        <w:autoSpaceDN w:val="0"/>
        <w:adjustRightInd w:val="0"/>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（5）工程施工完成后安全生产费尚有结余的，结余部分由建设单位收回。</w:t>
      </w:r>
    </w:p>
    <w:p w14:paraId="2C3366F4">
      <w:pPr>
        <w:autoSpaceDE w:val="0"/>
        <w:autoSpaceDN w:val="0"/>
        <w:adjustRightInd w:val="0"/>
        <w:spacing w:line="360" w:lineRule="auto"/>
        <w:ind w:firstLine="420" w:firstLineChars="200"/>
        <w:jc w:val="left"/>
        <w:rPr>
          <w:rFonts w:hint="eastAsia" w:hAnsi="宋体"/>
          <w:color w:val="auto"/>
          <w:kern w:val="0"/>
          <w:highlight w:val="none"/>
        </w:rPr>
      </w:pPr>
      <w:r>
        <w:rPr>
          <w:rFonts w:hint="eastAsia" w:hAnsi="宋体" w:cs="宋体"/>
          <w:color w:val="auto"/>
          <w:kern w:val="0"/>
          <w:highlight w:val="none"/>
        </w:rPr>
        <w:t>（6）安全生产费用专户：</w:t>
      </w:r>
      <w:r>
        <w:rPr>
          <w:rFonts w:hint="eastAsia" w:hAnsi="宋体" w:cs="宋体"/>
          <w:color w:val="auto"/>
          <w:kern w:val="0"/>
          <w:highlight w:val="none"/>
          <w:u w:val="single"/>
          <w:lang w:eastAsia="zh-CN"/>
        </w:rPr>
        <w:t xml:space="preserve"> </w:t>
      </w:r>
      <w:r>
        <w:rPr>
          <w:rFonts w:hint="eastAsia" w:hAnsi="宋体" w:cs="宋体"/>
          <w:color w:val="auto"/>
          <w:kern w:val="0"/>
          <w:highlight w:val="none"/>
          <w:u w:val="single"/>
          <w:lang w:val="en-US" w:eastAsia="zh-CN"/>
        </w:rPr>
        <w:t xml:space="preserve">             </w:t>
      </w:r>
      <w:r>
        <w:rPr>
          <w:rFonts w:hint="eastAsia" w:hAnsi="宋体" w:cs="宋体"/>
          <w:color w:val="auto"/>
          <w:kern w:val="0"/>
          <w:highlight w:val="none"/>
        </w:rPr>
        <w:t>公司安全生产费用专户。账号：</w:t>
      </w:r>
      <w:r>
        <w:rPr>
          <w:rFonts w:hint="eastAsia" w:hAnsi="宋体" w:cs="宋体"/>
          <w:color w:val="auto"/>
          <w:kern w:val="0"/>
          <w:highlight w:val="none"/>
          <w:u w:val="single"/>
          <w:lang w:eastAsia="zh-CN"/>
        </w:rPr>
        <w:t xml:space="preserve"> </w:t>
      </w:r>
      <w:r>
        <w:rPr>
          <w:rFonts w:hint="eastAsia" w:hAnsi="宋体" w:cs="宋体"/>
          <w:color w:val="auto"/>
          <w:kern w:val="0"/>
          <w:highlight w:val="none"/>
          <w:u w:val="single"/>
          <w:lang w:val="en-US" w:eastAsia="zh-CN"/>
        </w:rPr>
        <w:t xml:space="preserve">             </w:t>
      </w:r>
      <w:r>
        <w:rPr>
          <w:rFonts w:hint="eastAsia" w:hAnsi="宋体" w:cs="宋体"/>
          <w:color w:val="auto"/>
          <w:kern w:val="0"/>
          <w:highlight w:val="none"/>
        </w:rPr>
        <w:t>。</w:t>
      </w:r>
    </w:p>
    <w:p w14:paraId="2DFA3F80">
      <w:pPr>
        <w:pStyle w:val="5"/>
        <w:jc w:val="left"/>
        <w:rPr>
          <w:color w:val="auto"/>
          <w:highlight w:val="none"/>
        </w:rPr>
      </w:pPr>
      <w:bookmarkStart w:id="325" w:name="_Toc25382"/>
      <w:bookmarkStart w:id="326" w:name="_Toc11917"/>
      <w:r>
        <w:rPr>
          <w:color w:val="auto"/>
          <w:highlight w:val="none"/>
        </w:rPr>
        <w:t xml:space="preserve">6.3 </w:t>
      </w:r>
      <w:r>
        <w:rPr>
          <w:rFonts w:hint="eastAsia" w:ascii="Arial" w:hAnsi="Arial" w:cs="黑体"/>
          <w:highlight w:val="none"/>
        </w:rPr>
        <w:t>环境</w:t>
      </w:r>
      <w:r>
        <w:rPr>
          <w:rFonts w:hint="eastAsia" w:hAnsi="宋体" w:cs="黑体"/>
          <w:color w:val="auto"/>
          <w:highlight w:val="none"/>
        </w:rPr>
        <w:t>保护</w:t>
      </w:r>
      <w:bookmarkEnd w:id="325"/>
      <w:bookmarkEnd w:id="326"/>
    </w:p>
    <w:p w14:paraId="301ADBA7">
      <w:pPr>
        <w:spacing w:line="360" w:lineRule="auto"/>
        <w:ind w:firstLine="420" w:firstLineChars="200"/>
        <w:jc w:val="left"/>
        <w:rPr>
          <w:color w:val="auto"/>
          <w:highlight w:val="none"/>
          <w:u w:val="single"/>
        </w:rPr>
      </w:pPr>
      <w:r>
        <w:rPr>
          <w:rFonts w:hint="eastAsia" w:hAnsi="宋体" w:cs="宋体"/>
          <w:color w:val="auto"/>
          <w:highlight w:val="none"/>
          <w:u w:val="single"/>
        </w:rPr>
        <w:t>因施工需要，经发包人批准，由承包人办理有关施工场地交通、环卫和施工噪音管理等手续，费用由承包人负责。</w:t>
      </w:r>
    </w:p>
    <w:p w14:paraId="3A1FD3F3">
      <w:pPr>
        <w:spacing w:line="360" w:lineRule="auto"/>
        <w:ind w:firstLine="420" w:firstLineChars="200"/>
        <w:jc w:val="left"/>
        <w:rPr>
          <w:color w:val="auto"/>
          <w:highlight w:val="none"/>
          <w:u w:val="single"/>
        </w:rPr>
      </w:pPr>
      <w:r>
        <w:rPr>
          <w:rFonts w:hint="eastAsia" w:hAnsi="宋体" w:cs="宋体"/>
          <w:color w:val="auto"/>
          <w:highlight w:val="none"/>
          <w:u w:val="single"/>
        </w:rPr>
        <w:t>经过城市道路的施工车辆，必须按交警、城管、运输等部门相关规定执行。由于施工车辆造成的道路、环境等污染，其责任和费用均由承包人承担。</w:t>
      </w:r>
    </w:p>
    <w:p w14:paraId="511D5E4F">
      <w:pPr>
        <w:pStyle w:val="4"/>
        <w:outlineLvl w:val="2"/>
        <w:rPr>
          <w:color w:val="auto"/>
          <w:highlight w:val="none"/>
        </w:rPr>
      </w:pPr>
      <w:bookmarkStart w:id="327" w:name="_Toc6691"/>
      <w:r>
        <w:rPr>
          <w:color w:val="auto"/>
          <w:highlight w:val="none"/>
        </w:rPr>
        <w:t xml:space="preserve">7. </w:t>
      </w:r>
      <w:r>
        <w:rPr>
          <w:rFonts w:hint="eastAsia" w:cs="黑体"/>
          <w:color w:val="auto"/>
          <w:highlight w:val="none"/>
        </w:rPr>
        <w:t>工期和进度</w:t>
      </w:r>
      <w:bookmarkEnd w:id="327"/>
    </w:p>
    <w:p w14:paraId="0CD6897D">
      <w:pPr>
        <w:pStyle w:val="5"/>
        <w:jc w:val="left"/>
        <w:rPr>
          <w:color w:val="auto"/>
          <w:highlight w:val="none"/>
        </w:rPr>
      </w:pPr>
      <w:bookmarkStart w:id="328" w:name="_Toc28686"/>
      <w:bookmarkStart w:id="329" w:name="_Toc15244"/>
      <w:r>
        <w:rPr>
          <w:color w:val="auto"/>
          <w:highlight w:val="none"/>
        </w:rPr>
        <w:t xml:space="preserve">7.1 </w:t>
      </w:r>
      <w:r>
        <w:rPr>
          <w:rFonts w:hint="eastAsia" w:cs="黑体"/>
          <w:color w:val="auto"/>
          <w:highlight w:val="none"/>
        </w:rPr>
        <w:t>施工组织设计</w:t>
      </w:r>
      <w:bookmarkEnd w:id="328"/>
      <w:bookmarkEnd w:id="329"/>
    </w:p>
    <w:p w14:paraId="0366BF96">
      <w:pPr>
        <w:autoSpaceDE w:val="0"/>
        <w:autoSpaceDN w:val="0"/>
        <w:adjustRightInd w:val="0"/>
        <w:spacing w:line="360" w:lineRule="auto"/>
        <w:ind w:firstLine="420" w:firstLineChars="200"/>
        <w:jc w:val="left"/>
        <w:rPr>
          <w:color w:val="auto"/>
          <w:highlight w:val="none"/>
          <w:u w:val="single"/>
        </w:rPr>
      </w:pPr>
      <w:r>
        <w:rPr>
          <w:color w:val="auto"/>
          <w:highlight w:val="none"/>
        </w:rPr>
        <w:t xml:space="preserve">7.1.1 </w:t>
      </w:r>
      <w:r>
        <w:rPr>
          <w:rFonts w:hint="eastAsia" w:hAnsi="宋体" w:cs="宋体"/>
          <w:color w:val="auto"/>
          <w:highlight w:val="none"/>
        </w:rPr>
        <w:t>合</w:t>
      </w:r>
      <w:r>
        <w:rPr>
          <w:rFonts w:hint="eastAsia" w:hAnsi="宋体" w:cs="宋体"/>
          <w:color w:val="auto"/>
          <w:kern w:val="0"/>
          <w:highlight w:val="none"/>
        </w:rPr>
        <w:t>同当事人约定的施工组织设计应包括的其他内容：</w:t>
      </w:r>
      <w:r>
        <w:rPr>
          <w:color w:val="auto"/>
          <w:highlight w:val="none"/>
          <w:u w:val="single"/>
        </w:rPr>
        <w:t xml:space="preserve"> </w:t>
      </w:r>
      <w:r>
        <w:rPr>
          <w:rFonts w:hint="eastAsia"/>
          <w:color w:val="auto"/>
          <w:highlight w:val="none"/>
          <w:u w:val="single"/>
          <w:lang w:eastAsia="zh-CN"/>
        </w:rPr>
        <w:t>详见竞争性磋商文件要求</w:t>
      </w:r>
      <w:r>
        <w:rPr>
          <w:color w:val="auto"/>
          <w:highlight w:val="none"/>
          <w:u w:val="single"/>
        </w:rPr>
        <w:t xml:space="preserve"> </w:t>
      </w:r>
      <w:r>
        <w:rPr>
          <w:rFonts w:hint="eastAsia" w:hAnsi="宋体" w:cs="宋体"/>
          <w:color w:val="auto"/>
          <w:highlight w:val="none"/>
        </w:rPr>
        <w:t>。</w:t>
      </w:r>
    </w:p>
    <w:p w14:paraId="6565E354">
      <w:pPr>
        <w:autoSpaceDE w:val="0"/>
        <w:autoSpaceDN w:val="0"/>
        <w:adjustRightInd w:val="0"/>
        <w:spacing w:line="360" w:lineRule="auto"/>
        <w:ind w:firstLine="420" w:firstLineChars="200"/>
        <w:jc w:val="left"/>
        <w:rPr>
          <w:color w:val="auto"/>
          <w:kern w:val="0"/>
          <w:highlight w:val="none"/>
        </w:rPr>
      </w:pPr>
      <w:r>
        <w:rPr>
          <w:color w:val="auto"/>
          <w:highlight w:val="none"/>
        </w:rPr>
        <w:t xml:space="preserve">7.1.2 </w:t>
      </w:r>
      <w:r>
        <w:rPr>
          <w:rFonts w:hint="eastAsia" w:hAnsi="宋体" w:cs="宋体"/>
          <w:color w:val="auto"/>
          <w:kern w:val="0"/>
          <w:highlight w:val="none"/>
        </w:rPr>
        <w:t>施工组织设计的提交和修改</w:t>
      </w:r>
    </w:p>
    <w:p w14:paraId="1EE95D59">
      <w:pPr>
        <w:autoSpaceDE w:val="0"/>
        <w:autoSpaceDN w:val="0"/>
        <w:adjustRightInd w:val="0"/>
        <w:spacing w:line="360" w:lineRule="auto"/>
        <w:ind w:firstLine="420" w:firstLineChars="200"/>
        <w:jc w:val="left"/>
        <w:rPr>
          <w:color w:val="auto"/>
          <w:highlight w:val="none"/>
          <w:u w:val="single"/>
        </w:rPr>
      </w:pPr>
      <w:r>
        <w:rPr>
          <w:rFonts w:hint="eastAsia" w:hAnsi="宋体" w:cs="宋体"/>
          <w:color w:val="auto"/>
          <w:kern w:val="0"/>
          <w:highlight w:val="none"/>
        </w:rPr>
        <w:t>承包人提交详细施工组织设计的期限的约定：</w:t>
      </w:r>
      <w:r>
        <w:rPr>
          <w:color w:val="auto"/>
          <w:highlight w:val="none"/>
          <w:u w:val="single"/>
        </w:rPr>
        <w:t xml:space="preserve"> </w:t>
      </w:r>
      <w:r>
        <w:rPr>
          <w:rFonts w:hint="eastAsia"/>
          <w:color w:val="auto"/>
          <w:highlight w:val="none"/>
          <w:u w:val="single"/>
          <w:lang w:eastAsia="zh-CN"/>
        </w:rPr>
        <w:t>合同签订后七天内</w:t>
      </w:r>
      <w:r>
        <w:rPr>
          <w:color w:val="auto"/>
          <w:highlight w:val="none"/>
          <w:u w:val="single"/>
        </w:rPr>
        <w:t xml:space="preserve">  </w:t>
      </w:r>
      <w:r>
        <w:rPr>
          <w:rFonts w:hint="eastAsia" w:hAnsi="宋体" w:cs="宋体"/>
          <w:color w:val="auto"/>
          <w:highlight w:val="none"/>
        </w:rPr>
        <w:t>。</w:t>
      </w:r>
    </w:p>
    <w:p w14:paraId="51313BB8">
      <w:pPr>
        <w:spacing w:line="360" w:lineRule="auto"/>
        <w:ind w:firstLine="420" w:firstLineChars="200"/>
        <w:jc w:val="left"/>
        <w:rPr>
          <w:color w:val="auto"/>
          <w:highlight w:val="none"/>
        </w:rPr>
      </w:pPr>
      <w:r>
        <w:rPr>
          <w:rFonts w:hint="eastAsia" w:hAnsi="宋体" w:cs="宋体"/>
          <w:color w:val="auto"/>
          <w:highlight w:val="none"/>
        </w:rPr>
        <w:t>发包人和监理人在收到详细的施工组织设计后确认或提出修改意见的期限：</w:t>
      </w:r>
      <w:r>
        <w:rPr>
          <w:color w:val="auto"/>
          <w:highlight w:val="none"/>
          <w:u w:val="single"/>
        </w:rPr>
        <w:t xml:space="preserve"> </w:t>
      </w:r>
      <w:r>
        <w:rPr>
          <w:rFonts w:hint="eastAsia"/>
          <w:color w:val="auto"/>
          <w:highlight w:val="none"/>
          <w:u w:val="single"/>
          <w:lang w:eastAsia="zh-CN"/>
        </w:rPr>
        <w:t>自收到之日起七天内</w:t>
      </w:r>
      <w:r>
        <w:rPr>
          <w:color w:val="auto"/>
          <w:highlight w:val="none"/>
          <w:u w:val="single"/>
        </w:rPr>
        <w:t xml:space="preserve"> </w:t>
      </w:r>
      <w:r>
        <w:rPr>
          <w:rFonts w:hint="eastAsia" w:hAnsi="宋体" w:cs="宋体"/>
          <w:color w:val="auto"/>
          <w:highlight w:val="none"/>
        </w:rPr>
        <w:t>。</w:t>
      </w:r>
    </w:p>
    <w:p w14:paraId="0ACD70E7">
      <w:pPr>
        <w:pStyle w:val="5"/>
        <w:jc w:val="left"/>
        <w:rPr>
          <w:color w:val="auto"/>
          <w:highlight w:val="none"/>
        </w:rPr>
      </w:pPr>
      <w:bookmarkStart w:id="330" w:name="_Toc10208"/>
      <w:bookmarkStart w:id="331" w:name="_Toc22439"/>
      <w:r>
        <w:rPr>
          <w:color w:val="auto"/>
          <w:highlight w:val="none"/>
        </w:rPr>
        <w:t xml:space="preserve">7.2 </w:t>
      </w:r>
      <w:r>
        <w:rPr>
          <w:rFonts w:hint="eastAsia" w:cs="黑体"/>
          <w:color w:val="auto"/>
          <w:highlight w:val="none"/>
        </w:rPr>
        <w:t>施工进度计划</w:t>
      </w:r>
      <w:bookmarkEnd w:id="330"/>
      <w:bookmarkEnd w:id="331"/>
    </w:p>
    <w:p w14:paraId="647FCC66">
      <w:pPr>
        <w:spacing w:line="360" w:lineRule="auto"/>
        <w:ind w:firstLine="420" w:firstLineChars="200"/>
        <w:jc w:val="left"/>
        <w:rPr>
          <w:color w:val="auto"/>
          <w:highlight w:val="none"/>
        </w:rPr>
      </w:pPr>
      <w:r>
        <w:rPr>
          <w:color w:val="auto"/>
          <w:highlight w:val="none"/>
        </w:rPr>
        <w:t xml:space="preserve">7.2.2 </w:t>
      </w:r>
      <w:r>
        <w:rPr>
          <w:rFonts w:hint="eastAsia" w:hAnsi="宋体" w:cs="宋体"/>
          <w:color w:val="auto"/>
          <w:highlight w:val="none"/>
        </w:rPr>
        <w:t>施工进度计划的修订</w:t>
      </w:r>
    </w:p>
    <w:p w14:paraId="45808318">
      <w:pPr>
        <w:spacing w:line="360" w:lineRule="auto"/>
        <w:ind w:firstLine="420" w:firstLineChars="200"/>
        <w:jc w:val="left"/>
        <w:rPr>
          <w:color w:val="auto"/>
          <w:highlight w:val="none"/>
        </w:rPr>
      </w:pPr>
      <w:r>
        <w:rPr>
          <w:rFonts w:hint="eastAsia" w:hAnsi="宋体" w:cs="宋体"/>
          <w:color w:val="auto"/>
          <w:highlight w:val="none"/>
        </w:rPr>
        <w:t>发包人和监理人在收到修订的施工进度计划后确认或提出修改意见的期限：</w:t>
      </w:r>
      <w:r>
        <w:rPr>
          <w:color w:val="auto"/>
          <w:highlight w:val="none"/>
          <w:u w:val="single"/>
        </w:rPr>
        <w:t xml:space="preserve"> </w:t>
      </w:r>
      <w:r>
        <w:rPr>
          <w:rFonts w:hint="eastAsia"/>
          <w:color w:val="auto"/>
          <w:highlight w:val="none"/>
          <w:u w:val="single"/>
          <w:lang w:eastAsia="zh-CN"/>
        </w:rPr>
        <w:t>自收到之日起七天内</w:t>
      </w:r>
      <w:r>
        <w:rPr>
          <w:color w:val="auto"/>
          <w:highlight w:val="none"/>
          <w:u w:val="single"/>
        </w:rPr>
        <w:t xml:space="preserve"> </w:t>
      </w:r>
      <w:r>
        <w:rPr>
          <w:rFonts w:hint="eastAsia" w:hAnsi="宋体" w:cs="宋体"/>
          <w:color w:val="auto"/>
          <w:highlight w:val="none"/>
        </w:rPr>
        <w:t>。</w:t>
      </w:r>
    </w:p>
    <w:p w14:paraId="405CACDA">
      <w:pPr>
        <w:pStyle w:val="5"/>
        <w:jc w:val="left"/>
        <w:rPr>
          <w:color w:val="auto"/>
          <w:highlight w:val="none"/>
        </w:rPr>
      </w:pPr>
      <w:bookmarkStart w:id="332" w:name="_Toc18437"/>
      <w:bookmarkStart w:id="333" w:name="_Toc2280"/>
      <w:r>
        <w:rPr>
          <w:color w:val="auto"/>
          <w:highlight w:val="none"/>
        </w:rPr>
        <w:t xml:space="preserve">7.3 </w:t>
      </w:r>
      <w:r>
        <w:rPr>
          <w:rFonts w:hint="eastAsia" w:ascii="Arial" w:hAnsi="Arial" w:cs="黑体"/>
          <w:highlight w:val="none"/>
        </w:rPr>
        <w:t>开工</w:t>
      </w:r>
      <w:bookmarkEnd w:id="332"/>
      <w:bookmarkEnd w:id="333"/>
    </w:p>
    <w:p w14:paraId="0A721463">
      <w:pPr>
        <w:spacing w:line="360" w:lineRule="auto"/>
        <w:ind w:firstLine="420" w:firstLineChars="200"/>
        <w:jc w:val="left"/>
        <w:rPr>
          <w:color w:val="auto"/>
          <w:highlight w:val="none"/>
        </w:rPr>
      </w:pPr>
      <w:r>
        <w:rPr>
          <w:color w:val="auto"/>
          <w:highlight w:val="none"/>
        </w:rPr>
        <w:t xml:space="preserve">7.3.1 </w:t>
      </w:r>
      <w:r>
        <w:rPr>
          <w:rFonts w:hint="eastAsia" w:hAnsi="宋体" w:cs="宋体"/>
          <w:color w:val="auto"/>
          <w:highlight w:val="none"/>
        </w:rPr>
        <w:t>开工准备</w:t>
      </w:r>
    </w:p>
    <w:p w14:paraId="39DCBD1D">
      <w:pPr>
        <w:spacing w:line="360" w:lineRule="auto"/>
        <w:ind w:firstLine="426"/>
        <w:jc w:val="left"/>
        <w:rPr>
          <w:rFonts w:hint="eastAsia" w:hAnsi="宋体" w:cs="宋体"/>
          <w:color w:val="auto"/>
          <w:highlight w:val="none"/>
        </w:rPr>
      </w:pPr>
      <w:r>
        <w:rPr>
          <w:rFonts w:hint="eastAsia" w:hAnsi="宋体" w:cs="宋体"/>
          <w:color w:val="auto"/>
          <w:highlight w:val="none"/>
        </w:rPr>
        <w:t>关于承包人提交</w:t>
      </w:r>
      <w:r>
        <w:rPr>
          <w:rFonts w:hint="eastAsia" w:hAnsi="宋体" w:cs="宋体"/>
          <w:color w:val="auto"/>
          <w:kern w:val="0"/>
          <w:highlight w:val="none"/>
        </w:rPr>
        <w:t>工程开工报审表的期限：</w:t>
      </w:r>
      <w:r>
        <w:rPr>
          <w:color w:val="auto"/>
          <w:highlight w:val="none"/>
          <w:u w:val="single"/>
        </w:rPr>
        <w:t xml:space="preserve"> 发包人应按照法律规定获得工程施工所需的许可  </w:t>
      </w:r>
      <w:r>
        <w:rPr>
          <w:rFonts w:hint="eastAsia" w:hAnsi="宋体" w:cs="宋体"/>
          <w:color w:val="auto"/>
          <w:highlight w:val="none"/>
        </w:rPr>
        <w:t>。</w:t>
      </w:r>
    </w:p>
    <w:p w14:paraId="49C58B2C">
      <w:pPr>
        <w:spacing w:line="360" w:lineRule="auto"/>
        <w:ind w:firstLine="426"/>
        <w:jc w:val="left"/>
        <w:rPr>
          <w:rFonts w:hint="eastAsia" w:hAnsi="宋体" w:cs="宋体"/>
          <w:color w:val="auto"/>
          <w:highlight w:val="none"/>
        </w:rPr>
      </w:pPr>
      <w:r>
        <w:rPr>
          <w:rFonts w:hint="eastAsia" w:hAnsi="宋体" w:cs="宋体"/>
          <w:color w:val="auto"/>
          <w:highlight w:val="none"/>
        </w:rPr>
        <w:t>经发包人同意后，监理人发出的开工通知应符合法律规定。监理人应在计划开工日期3天前向承包人发出开工通知，工期自开工通知中载明的开工日期起算。</w:t>
      </w:r>
    </w:p>
    <w:p w14:paraId="45DF3CF5">
      <w:pPr>
        <w:spacing w:line="360" w:lineRule="auto"/>
        <w:ind w:firstLine="426"/>
        <w:jc w:val="left"/>
        <w:rPr>
          <w:color w:val="auto"/>
          <w:highlight w:val="none"/>
          <w:u w:val="single"/>
        </w:rPr>
      </w:pPr>
      <w:r>
        <w:rPr>
          <w:rFonts w:hint="eastAsia" w:hAnsi="宋体" w:cs="宋体"/>
          <w:color w:val="auto"/>
          <w:highlight w:val="none"/>
        </w:rPr>
        <w:t>关于发包人应完成的其他开工准备工作及期限：</w:t>
      </w:r>
      <w:r>
        <w:rPr>
          <w:color w:val="auto"/>
          <w:highlight w:val="none"/>
          <w:u w:val="single"/>
        </w:rPr>
        <w:t xml:space="preserve">  开工通知发出前  </w:t>
      </w:r>
      <w:r>
        <w:rPr>
          <w:rFonts w:hint="eastAsia" w:hAnsi="宋体" w:cs="宋体"/>
          <w:color w:val="auto"/>
          <w:highlight w:val="none"/>
        </w:rPr>
        <w:t>。</w:t>
      </w:r>
    </w:p>
    <w:p w14:paraId="2655F22B">
      <w:pPr>
        <w:spacing w:line="360" w:lineRule="auto"/>
        <w:ind w:firstLine="420" w:firstLineChars="200"/>
        <w:jc w:val="left"/>
        <w:rPr>
          <w:color w:val="auto"/>
          <w:highlight w:val="none"/>
          <w:u w:val="single"/>
        </w:rPr>
      </w:pPr>
      <w:r>
        <w:rPr>
          <w:rFonts w:hint="eastAsia" w:hAnsi="宋体" w:cs="宋体"/>
          <w:color w:val="auto"/>
          <w:highlight w:val="none"/>
        </w:rPr>
        <w:t>关于承包人应完成的其他开工准备工作及期限：</w:t>
      </w:r>
      <w:r>
        <w:rPr>
          <w:color w:val="auto"/>
          <w:highlight w:val="none"/>
          <w:u w:val="single"/>
        </w:rPr>
        <w:t xml:space="preserve">  开工通知发出前  </w:t>
      </w:r>
      <w:r>
        <w:rPr>
          <w:rFonts w:hint="eastAsia" w:hAnsi="宋体" w:cs="宋体"/>
          <w:color w:val="auto"/>
          <w:highlight w:val="none"/>
        </w:rPr>
        <w:t>。</w:t>
      </w:r>
    </w:p>
    <w:p w14:paraId="6B46152F">
      <w:pPr>
        <w:spacing w:line="360" w:lineRule="auto"/>
        <w:ind w:firstLine="420" w:firstLineChars="200"/>
        <w:jc w:val="left"/>
        <w:rPr>
          <w:color w:val="auto"/>
          <w:highlight w:val="none"/>
        </w:rPr>
      </w:pPr>
      <w:r>
        <w:rPr>
          <w:color w:val="auto"/>
          <w:highlight w:val="none"/>
        </w:rPr>
        <w:t xml:space="preserve">7.3.2 </w:t>
      </w:r>
      <w:r>
        <w:rPr>
          <w:rFonts w:hint="eastAsia" w:hAnsi="宋体" w:cs="宋体"/>
          <w:color w:val="auto"/>
          <w:highlight w:val="none"/>
        </w:rPr>
        <w:t>开工通知</w:t>
      </w:r>
    </w:p>
    <w:p w14:paraId="10CBBA92">
      <w:pPr>
        <w:spacing w:line="360" w:lineRule="auto"/>
        <w:ind w:firstLine="420" w:firstLineChars="200"/>
        <w:jc w:val="left"/>
        <w:rPr>
          <w:color w:val="auto"/>
          <w:highlight w:val="none"/>
        </w:rPr>
      </w:pPr>
      <w:r>
        <w:rPr>
          <w:rFonts w:hint="eastAsia" w:hAnsi="宋体" w:cs="宋体"/>
          <w:color w:val="auto"/>
          <w:highlight w:val="none"/>
        </w:rPr>
        <w:t>因发包人原因造成监理人未能在计划开工日期之日起</w:t>
      </w:r>
      <w:r>
        <w:rPr>
          <w:color w:val="auto"/>
          <w:highlight w:val="none"/>
          <w:u w:val="single"/>
        </w:rPr>
        <w:t xml:space="preserve">  </w:t>
      </w:r>
      <w:r>
        <w:rPr>
          <w:rFonts w:hint="eastAsia"/>
          <w:color w:val="auto"/>
          <w:highlight w:val="none"/>
          <w:u w:val="single"/>
          <w:lang w:eastAsia="zh-CN"/>
        </w:rPr>
        <w:t>三十</w:t>
      </w:r>
      <w:r>
        <w:rPr>
          <w:color w:val="auto"/>
          <w:highlight w:val="none"/>
          <w:u w:val="single"/>
        </w:rPr>
        <w:t xml:space="preserve"> </w:t>
      </w:r>
      <w:r>
        <w:rPr>
          <w:rFonts w:hint="eastAsia" w:hAnsi="宋体" w:cs="宋体"/>
          <w:color w:val="auto"/>
          <w:highlight w:val="none"/>
        </w:rPr>
        <w:t>天内发出开工通知的，承包人有权提出价格调整要求，或者解除合同。</w:t>
      </w:r>
    </w:p>
    <w:p w14:paraId="5BB2F14D">
      <w:pPr>
        <w:pStyle w:val="5"/>
        <w:jc w:val="left"/>
        <w:rPr>
          <w:color w:val="auto"/>
          <w:highlight w:val="none"/>
        </w:rPr>
      </w:pPr>
      <w:bookmarkStart w:id="334" w:name="_Toc4105"/>
      <w:bookmarkStart w:id="335" w:name="_Toc6094"/>
      <w:r>
        <w:rPr>
          <w:color w:val="auto"/>
          <w:highlight w:val="none"/>
        </w:rPr>
        <w:t xml:space="preserve">7.4 </w:t>
      </w:r>
      <w:r>
        <w:rPr>
          <w:rFonts w:hint="eastAsia" w:hAnsi="宋体" w:cs="黑体"/>
          <w:color w:val="auto"/>
          <w:highlight w:val="none"/>
        </w:rPr>
        <w:t>测量放线</w:t>
      </w:r>
      <w:bookmarkEnd w:id="334"/>
      <w:bookmarkEnd w:id="335"/>
    </w:p>
    <w:p w14:paraId="4536CB74">
      <w:pPr>
        <w:spacing w:line="360" w:lineRule="auto"/>
        <w:ind w:firstLine="420" w:firstLineChars="200"/>
        <w:jc w:val="left"/>
        <w:rPr>
          <w:color w:val="auto"/>
          <w:highlight w:val="none"/>
          <w:u w:val="single"/>
        </w:rPr>
      </w:pPr>
      <w:r>
        <w:rPr>
          <w:color w:val="auto"/>
          <w:highlight w:val="none"/>
        </w:rPr>
        <w:t>7.4.1</w:t>
      </w:r>
      <w:r>
        <w:rPr>
          <w:rFonts w:hint="eastAsia" w:hAnsi="宋体" w:cs="宋体"/>
          <w:color w:val="auto"/>
          <w:highlight w:val="none"/>
        </w:rPr>
        <w:t>发包人通过监理人向承包人提供测量基准点、基准线和水准点及其书面资料的期限：</w:t>
      </w:r>
      <w:r>
        <w:rPr>
          <w:rFonts w:hint="eastAsia"/>
          <w:color w:val="auto"/>
          <w:highlight w:val="none"/>
          <w:u w:val="single"/>
          <w:lang w:eastAsia="zh-CN"/>
        </w:rPr>
        <w:t>开工前七天，以书面形式交给承包人，双方现场进行交验</w:t>
      </w:r>
      <w:r>
        <w:rPr>
          <w:color w:val="auto"/>
          <w:highlight w:val="none"/>
          <w:u w:val="single"/>
        </w:rPr>
        <w:t xml:space="preserve">  </w:t>
      </w:r>
      <w:r>
        <w:rPr>
          <w:rFonts w:hint="eastAsia" w:hAnsi="宋体" w:cs="宋体"/>
          <w:color w:val="auto"/>
          <w:highlight w:val="none"/>
        </w:rPr>
        <w:t>。</w:t>
      </w:r>
    </w:p>
    <w:p w14:paraId="7BC1B621">
      <w:pPr>
        <w:pStyle w:val="5"/>
        <w:jc w:val="left"/>
        <w:rPr>
          <w:color w:val="auto"/>
          <w:highlight w:val="none"/>
        </w:rPr>
      </w:pPr>
      <w:bookmarkStart w:id="336" w:name="_Toc28909"/>
      <w:bookmarkStart w:id="337" w:name="_Toc14585"/>
      <w:r>
        <w:rPr>
          <w:color w:val="auto"/>
          <w:highlight w:val="none"/>
        </w:rPr>
        <w:t xml:space="preserve">7.5 </w:t>
      </w:r>
      <w:r>
        <w:rPr>
          <w:rFonts w:hint="eastAsia" w:hAnsi="宋体" w:cs="黑体"/>
          <w:color w:val="auto"/>
          <w:highlight w:val="none"/>
        </w:rPr>
        <w:t>工期延误</w:t>
      </w:r>
      <w:bookmarkEnd w:id="336"/>
      <w:bookmarkEnd w:id="337"/>
    </w:p>
    <w:p w14:paraId="208E8E0B">
      <w:pPr>
        <w:spacing w:line="360" w:lineRule="auto"/>
        <w:ind w:firstLine="420" w:firstLineChars="200"/>
        <w:jc w:val="left"/>
        <w:rPr>
          <w:color w:val="auto"/>
          <w:highlight w:val="none"/>
        </w:rPr>
      </w:pPr>
      <w:r>
        <w:rPr>
          <w:color w:val="auto"/>
          <w:highlight w:val="none"/>
        </w:rPr>
        <w:t xml:space="preserve">7.5.1 </w:t>
      </w:r>
      <w:r>
        <w:rPr>
          <w:rFonts w:hint="eastAsia" w:hAnsi="宋体" w:cs="宋体"/>
          <w:color w:val="auto"/>
          <w:highlight w:val="none"/>
        </w:rPr>
        <w:t>因发包人原因导致工期延误</w:t>
      </w:r>
    </w:p>
    <w:p w14:paraId="5CD4BE17">
      <w:pPr>
        <w:spacing w:line="360" w:lineRule="auto"/>
        <w:ind w:firstLine="420" w:firstLineChars="200"/>
        <w:jc w:val="left"/>
        <w:rPr>
          <w:color w:val="auto"/>
          <w:highlight w:val="none"/>
          <w:u w:val="single"/>
        </w:rPr>
      </w:pPr>
      <w:r>
        <w:rPr>
          <w:rFonts w:hint="eastAsia" w:hAnsi="宋体" w:cs="宋体"/>
          <w:color w:val="auto"/>
          <w:highlight w:val="none"/>
        </w:rPr>
        <w:t>（</w:t>
      </w:r>
      <w:r>
        <w:rPr>
          <w:color w:val="auto"/>
          <w:highlight w:val="none"/>
        </w:rPr>
        <w:t>7</w:t>
      </w:r>
      <w:r>
        <w:rPr>
          <w:rFonts w:hint="eastAsia" w:hAnsi="宋体" w:cs="宋体"/>
          <w:color w:val="auto"/>
          <w:highlight w:val="none"/>
        </w:rPr>
        <w:t>）因发包人原因导致工期延误的其他情形：</w:t>
      </w:r>
      <w:r>
        <w:rPr>
          <w:rFonts w:hint="eastAsia" w:ascii="宋体" w:hAnsi="宋体" w:cs="宋体"/>
          <w:color w:val="auto"/>
          <w:highlight w:val="none"/>
          <w:u w:val="single"/>
          <w:lang w:eastAsia="zh-CN"/>
        </w:rPr>
        <w:t>见专用条款</w:t>
      </w:r>
      <w:r>
        <w:rPr>
          <w:rFonts w:hint="eastAsia" w:ascii="宋体" w:hAnsi="宋体" w:cs="宋体"/>
          <w:color w:val="auto"/>
          <w:highlight w:val="none"/>
          <w:u w:val="single"/>
          <w:lang w:val="en-US" w:eastAsia="zh-CN"/>
        </w:rPr>
        <w:t>19.6条</w:t>
      </w:r>
      <w:r>
        <w:rPr>
          <w:rFonts w:hAnsi="宋体"/>
          <w:color w:val="auto"/>
          <w:highlight w:val="none"/>
        </w:rPr>
        <w:t xml:space="preserve"> </w:t>
      </w:r>
      <w:r>
        <w:rPr>
          <w:rFonts w:hint="eastAsia" w:hAnsi="宋体" w:cs="宋体"/>
          <w:color w:val="auto"/>
          <w:highlight w:val="none"/>
        </w:rPr>
        <w:t>。</w:t>
      </w:r>
    </w:p>
    <w:p w14:paraId="56610861">
      <w:pPr>
        <w:spacing w:line="360" w:lineRule="auto"/>
        <w:ind w:firstLine="420" w:firstLineChars="200"/>
        <w:jc w:val="left"/>
        <w:rPr>
          <w:color w:val="auto"/>
          <w:highlight w:val="none"/>
        </w:rPr>
      </w:pPr>
      <w:r>
        <w:rPr>
          <w:color w:val="auto"/>
          <w:highlight w:val="none"/>
        </w:rPr>
        <w:t xml:space="preserve">7.5.2 </w:t>
      </w:r>
      <w:r>
        <w:rPr>
          <w:rFonts w:hint="eastAsia" w:hAnsi="宋体" w:cs="宋体"/>
          <w:color w:val="auto"/>
          <w:highlight w:val="none"/>
        </w:rPr>
        <w:t>因承包人原因导致工期延误</w:t>
      </w:r>
    </w:p>
    <w:p w14:paraId="280FB697">
      <w:pPr>
        <w:spacing w:line="360" w:lineRule="auto"/>
        <w:ind w:firstLine="420" w:firstLineChars="200"/>
        <w:jc w:val="left"/>
        <w:rPr>
          <w:color w:val="auto"/>
          <w:highlight w:val="none"/>
        </w:rPr>
      </w:pPr>
      <w:r>
        <w:rPr>
          <w:rFonts w:hint="eastAsia" w:hAnsi="宋体" w:cs="宋体"/>
          <w:color w:val="auto"/>
          <w:highlight w:val="none"/>
        </w:rPr>
        <w:t>因承包人原因造成工期延误，逾期竣工违约金的计算方法为：</w:t>
      </w:r>
      <w:r>
        <w:rPr>
          <w:rFonts w:hint="eastAsia" w:ascii="宋体" w:hAnsi="宋体" w:cs="宋体"/>
          <w:color w:val="auto"/>
          <w:highlight w:val="none"/>
          <w:u w:val="single"/>
        </w:rPr>
        <w:t>按逾期竣工的单项工程</w:t>
      </w:r>
      <w:r>
        <w:rPr>
          <w:rFonts w:hint="eastAsia" w:ascii="宋体" w:hAnsi="宋体" w:cs="宋体"/>
          <w:color w:val="auto"/>
          <w:highlight w:val="none"/>
          <w:u w:val="single"/>
          <w:lang w:val="en-US" w:eastAsia="zh-CN"/>
        </w:rPr>
        <w:t>处违约金</w:t>
      </w:r>
      <w:r>
        <w:rPr>
          <w:rFonts w:hint="eastAsia" w:ascii="宋体" w:hAnsi="宋体" w:cs="宋体"/>
          <w:color w:val="auto"/>
          <w:highlight w:val="none"/>
          <w:u w:val="single"/>
        </w:rPr>
        <w:t>，每延误一天</w:t>
      </w:r>
      <w:r>
        <w:rPr>
          <w:rFonts w:hint="eastAsia" w:ascii="宋体" w:hAnsi="宋体" w:cs="宋体"/>
          <w:color w:val="auto"/>
          <w:highlight w:val="none"/>
          <w:u w:val="single"/>
          <w:lang w:eastAsia="zh-CN"/>
        </w:rPr>
        <w:t>，</w:t>
      </w:r>
      <w:r>
        <w:rPr>
          <w:rFonts w:hint="eastAsia" w:ascii="宋体" w:hAnsi="宋体" w:cs="宋体"/>
          <w:color w:val="auto"/>
          <w:highlight w:val="none"/>
          <w:u w:val="single"/>
        </w:rPr>
        <w:t>按单项工程应支付给承包人的结算造价的万分之</w:t>
      </w:r>
      <w:r>
        <w:rPr>
          <w:rFonts w:hint="eastAsia" w:ascii="宋体" w:hAnsi="宋体" w:cs="宋体"/>
          <w:color w:val="auto"/>
          <w:highlight w:val="none"/>
          <w:u w:val="single"/>
          <w:lang w:eastAsia="zh-CN"/>
        </w:rPr>
        <w:t>四</w:t>
      </w:r>
      <w:r>
        <w:rPr>
          <w:rFonts w:hint="eastAsia" w:ascii="宋体" w:hAnsi="宋体" w:cs="宋体"/>
          <w:color w:val="auto"/>
          <w:highlight w:val="none"/>
          <w:u w:val="single"/>
        </w:rPr>
        <w:t>处</w:t>
      </w:r>
      <w:r>
        <w:rPr>
          <w:rFonts w:hint="eastAsia" w:ascii="宋体" w:hAnsi="宋体" w:cs="宋体"/>
          <w:color w:val="auto"/>
          <w:highlight w:val="none"/>
          <w:u w:val="single"/>
          <w:lang w:val="en-US" w:eastAsia="zh-CN"/>
        </w:rPr>
        <w:t>以违约金</w:t>
      </w:r>
      <w:r>
        <w:rPr>
          <w:rFonts w:hint="eastAsia" w:ascii="宋体" w:hAnsi="宋体" w:cs="宋体"/>
          <w:color w:val="auto"/>
          <w:highlight w:val="none"/>
          <w:u w:val="single"/>
          <w:lang w:eastAsia="zh-CN"/>
        </w:rPr>
        <w:t>，</w:t>
      </w:r>
      <w:r>
        <w:rPr>
          <w:rFonts w:hint="eastAsia" w:ascii="宋体" w:hAnsi="宋体" w:cs="宋体"/>
          <w:color w:val="auto"/>
          <w:highlight w:val="none"/>
          <w:u w:val="single"/>
          <w:lang w:val="en-US" w:eastAsia="zh-CN"/>
        </w:rPr>
        <w:t>违约金</w:t>
      </w:r>
      <w:r>
        <w:rPr>
          <w:rFonts w:hint="eastAsia" w:ascii="宋体" w:hAnsi="宋体" w:cs="宋体"/>
          <w:color w:val="auto"/>
          <w:highlight w:val="none"/>
          <w:u w:val="single"/>
        </w:rPr>
        <w:t>直接从结算款中扣除。</w:t>
      </w:r>
      <w:r>
        <w:rPr>
          <w:rFonts w:hint="eastAsia" w:hAnsi="宋体" w:cs="宋体"/>
          <w:color w:val="auto"/>
          <w:highlight w:val="none"/>
          <w:u w:val="single"/>
        </w:rPr>
        <w:t>误期时间</w:t>
      </w:r>
      <w:r>
        <w:rPr>
          <w:rFonts w:hint="eastAsia" w:hAnsi="宋体" w:cs="宋体"/>
          <w:color w:val="auto"/>
          <w:highlight w:val="none"/>
          <w:u w:val="single"/>
          <w:lang w:val="en-US" w:eastAsia="zh-CN"/>
        </w:rPr>
        <w:t>指</w:t>
      </w:r>
      <w:r>
        <w:rPr>
          <w:rFonts w:hint="eastAsia" w:hAnsi="宋体" w:cs="宋体"/>
          <w:color w:val="auto"/>
          <w:highlight w:val="none"/>
          <w:u w:val="single"/>
        </w:rPr>
        <w:t>从规定竣工日期起直到实际竣工日期</w:t>
      </w:r>
      <w:r>
        <w:rPr>
          <w:rFonts w:hint="eastAsia" w:hAnsi="宋体" w:cs="宋体"/>
          <w:color w:val="auto"/>
          <w:highlight w:val="none"/>
          <w:u w:val="single"/>
          <w:lang w:val="en-US" w:eastAsia="zh-CN"/>
        </w:rPr>
        <w:t>止</w:t>
      </w:r>
      <w:r>
        <w:rPr>
          <w:rFonts w:hint="eastAsia" w:hAnsi="宋体" w:cs="宋体"/>
          <w:color w:val="auto"/>
          <w:highlight w:val="none"/>
          <w:u w:val="single"/>
        </w:rPr>
        <w:t>的天数（扣除发包人批准顺延的工期）。</w:t>
      </w:r>
      <w:r>
        <w:rPr>
          <w:rFonts w:hint="eastAsia" w:hAnsi="宋体" w:cs="宋体"/>
          <w:color w:val="auto"/>
          <w:highlight w:val="none"/>
        </w:rPr>
        <w:t>因承包人原因造成工期延误，逾期竣工违约金的上限：</w:t>
      </w:r>
      <w:r>
        <w:rPr>
          <w:rFonts w:hint="eastAsia" w:ascii="宋体" w:hAnsi="宋体" w:cs="宋体"/>
          <w:color w:val="auto"/>
          <w:highlight w:val="none"/>
          <w:u w:val="single"/>
        </w:rPr>
        <w:t>逾期竣工的单项工程结算造价扣除发包人材料价款、暂估专业工程、暂列金额后</w:t>
      </w:r>
      <w:r>
        <w:rPr>
          <w:rFonts w:hint="eastAsia" w:hAnsi="宋体" w:cs="宋体"/>
          <w:color w:val="auto"/>
          <w:highlight w:val="none"/>
          <w:u w:val="single"/>
        </w:rPr>
        <w:t>的</w:t>
      </w:r>
      <w:r>
        <w:rPr>
          <w:rFonts w:hint="eastAsia"/>
          <w:color w:val="auto"/>
          <w:highlight w:val="none"/>
          <w:u w:val="single"/>
          <w:lang w:val="en-US" w:eastAsia="zh-CN"/>
        </w:rPr>
        <w:t>2</w:t>
      </w:r>
      <w:r>
        <w:rPr>
          <w:color w:val="auto"/>
          <w:highlight w:val="none"/>
          <w:u w:val="single"/>
        </w:rPr>
        <w:t>%</w:t>
      </w:r>
      <w:r>
        <w:rPr>
          <w:rFonts w:hint="eastAsia" w:hAnsi="宋体" w:cs="宋体"/>
          <w:color w:val="auto"/>
          <w:highlight w:val="none"/>
        </w:rPr>
        <w:t>。</w:t>
      </w:r>
    </w:p>
    <w:p w14:paraId="28E33752">
      <w:pPr>
        <w:pStyle w:val="5"/>
        <w:jc w:val="left"/>
        <w:rPr>
          <w:color w:val="auto"/>
          <w:highlight w:val="none"/>
        </w:rPr>
      </w:pPr>
      <w:bookmarkStart w:id="338" w:name="_Toc2644"/>
      <w:bookmarkStart w:id="339" w:name="_Toc19613"/>
      <w:r>
        <w:rPr>
          <w:color w:val="auto"/>
          <w:highlight w:val="none"/>
        </w:rPr>
        <w:t xml:space="preserve">7.6 </w:t>
      </w:r>
      <w:r>
        <w:rPr>
          <w:rFonts w:hint="eastAsia" w:cs="黑体"/>
          <w:color w:val="auto"/>
          <w:highlight w:val="none"/>
        </w:rPr>
        <w:t>不利</w:t>
      </w:r>
      <w:r>
        <w:rPr>
          <w:rFonts w:hint="eastAsia" w:ascii="Arial" w:hAnsi="Arial" w:cs="黑体"/>
          <w:highlight w:val="none"/>
        </w:rPr>
        <w:t>物质</w:t>
      </w:r>
      <w:r>
        <w:rPr>
          <w:rFonts w:hint="eastAsia" w:cs="黑体"/>
          <w:color w:val="auto"/>
          <w:highlight w:val="none"/>
        </w:rPr>
        <w:t>条件</w:t>
      </w:r>
      <w:bookmarkEnd w:id="338"/>
      <w:bookmarkEnd w:id="339"/>
    </w:p>
    <w:p w14:paraId="34CCE717">
      <w:pPr>
        <w:spacing w:line="360" w:lineRule="auto"/>
        <w:ind w:firstLine="420" w:firstLineChars="200"/>
        <w:jc w:val="left"/>
        <w:rPr>
          <w:color w:val="auto"/>
          <w:highlight w:val="none"/>
          <w:u w:val="single"/>
        </w:rPr>
      </w:pPr>
      <w:r>
        <w:rPr>
          <w:rFonts w:hint="eastAsia" w:hAnsi="宋体" w:cs="宋体"/>
          <w:color w:val="auto"/>
          <w:highlight w:val="none"/>
        </w:rPr>
        <w:t>不利物质条件的其他情形和有关约定：</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0007FAC2">
      <w:pPr>
        <w:pStyle w:val="5"/>
        <w:jc w:val="left"/>
        <w:rPr>
          <w:color w:val="auto"/>
          <w:highlight w:val="none"/>
        </w:rPr>
      </w:pPr>
      <w:bookmarkStart w:id="340" w:name="_Toc23270"/>
      <w:bookmarkStart w:id="341" w:name="_Toc1120"/>
      <w:r>
        <w:rPr>
          <w:color w:val="auto"/>
          <w:highlight w:val="none"/>
        </w:rPr>
        <w:t xml:space="preserve">7.7 </w:t>
      </w:r>
      <w:r>
        <w:rPr>
          <w:rFonts w:hint="eastAsia" w:cs="黑体"/>
          <w:color w:val="auto"/>
          <w:highlight w:val="none"/>
        </w:rPr>
        <w:t>异常</w:t>
      </w:r>
      <w:r>
        <w:rPr>
          <w:rFonts w:hint="eastAsia" w:ascii="Arial" w:hAnsi="Arial" w:cs="黑体"/>
          <w:highlight w:val="none"/>
        </w:rPr>
        <w:t>恶劣</w:t>
      </w:r>
      <w:r>
        <w:rPr>
          <w:rFonts w:hint="eastAsia" w:cs="黑体"/>
          <w:color w:val="auto"/>
          <w:highlight w:val="none"/>
        </w:rPr>
        <w:t>的气候条件</w:t>
      </w:r>
      <w:bookmarkEnd w:id="340"/>
      <w:bookmarkEnd w:id="341"/>
    </w:p>
    <w:p w14:paraId="4424AD0A">
      <w:pPr>
        <w:spacing w:line="360" w:lineRule="auto"/>
        <w:ind w:firstLine="420" w:firstLineChars="200"/>
        <w:jc w:val="left"/>
        <w:rPr>
          <w:color w:val="auto"/>
          <w:highlight w:val="none"/>
        </w:rPr>
      </w:pPr>
      <w:r>
        <w:rPr>
          <w:rFonts w:hint="eastAsia" w:hAnsi="宋体" w:cs="宋体"/>
          <w:color w:val="auto"/>
          <w:highlight w:val="none"/>
        </w:rPr>
        <w:t>发包人和承包人同意以下情形视为异常恶劣的气候条件：</w:t>
      </w:r>
    </w:p>
    <w:p w14:paraId="0E374D6D">
      <w:pPr>
        <w:spacing w:line="360" w:lineRule="auto"/>
        <w:ind w:firstLine="420" w:firstLineChars="200"/>
        <w:jc w:val="left"/>
        <w:rPr>
          <w:rFonts w:hint="eastAsia"/>
          <w:color w:val="auto"/>
          <w:highlight w:val="none"/>
          <w:u w:val="single"/>
          <w:lang w:eastAsia="zh-CN"/>
        </w:rPr>
      </w:pPr>
      <w:r>
        <w:rPr>
          <w:rFonts w:hint="eastAsia"/>
          <w:color w:val="auto"/>
          <w:highlight w:val="none"/>
          <w:u w:val="none"/>
          <w:lang w:eastAsia="zh-CN"/>
        </w:rPr>
        <w:t>（1）</w:t>
      </w:r>
      <w:r>
        <w:rPr>
          <w:rFonts w:hint="eastAsia"/>
          <w:b w:val="0"/>
          <w:bCs w:val="0"/>
          <w:color w:val="auto"/>
          <w:highlight w:val="none"/>
          <w:u w:val="single"/>
          <w:lang w:eastAsia="zh-CN"/>
        </w:rPr>
        <w:t xml:space="preserve"> </w:t>
      </w:r>
      <w:r>
        <w:rPr>
          <w:rFonts w:ascii="Arial" w:hAnsi="Arial" w:cs="Arial"/>
          <w:b w:val="0"/>
          <w:bCs w:val="0"/>
          <w:color w:val="000000"/>
          <w:highlight w:val="none"/>
          <w:u w:val="single"/>
        </w:rPr>
        <w:t>24小时降雨量达到50-99.9mm的暴雨</w:t>
      </w:r>
      <w:r>
        <w:rPr>
          <w:rFonts w:hint="eastAsia"/>
          <w:b w:val="0"/>
          <w:bCs w:val="0"/>
          <w:color w:val="auto"/>
          <w:highlight w:val="none"/>
          <w:u w:val="single"/>
          <w:lang w:eastAsia="zh-CN"/>
        </w:rPr>
        <w:t>；</w:t>
      </w:r>
    </w:p>
    <w:p w14:paraId="560EA4CD">
      <w:pPr>
        <w:spacing w:line="360" w:lineRule="auto"/>
        <w:ind w:firstLine="420" w:firstLineChars="200"/>
        <w:jc w:val="left"/>
        <w:rPr>
          <w:rFonts w:hint="eastAsia"/>
          <w:color w:val="auto"/>
          <w:highlight w:val="none"/>
          <w:u w:val="single"/>
          <w:lang w:eastAsia="zh-CN"/>
        </w:rPr>
      </w:pPr>
      <w:r>
        <w:rPr>
          <w:rFonts w:hint="eastAsia"/>
          <w:color w:val="auto"/>
          <w:highlight w:val="none"/>
          <w:u w:val="none"/>
          <w:lang w:eastAsia="zh-CN"/>
        </w:rPr>
        <w:t>（2）</w:t>
      </w:r>
      <w:r>
        <w:rPr>
          <w:rFonts w:hint="eastAsia"/>
          <w:color w:val="auto"/>
          <w:highlight w:val="none"/>
          <w:u w:val="single"/>
          <w:lang w:eastAsia="zh-CN"/>
        </w:rPr>
        <w:t xml:space="preserve"> 五十年一遇的洪水；</w:t>
      </w:r>
    </w:p>
    <w:p w14:paraId="679388D9">
      <w:pPr>
        <w:spacing w:line="360" w:lineRule="auto"/>
        <w:ind w:firstLine="420" w:firstLineChars="200"/>
        <w:jc w:val="left"/>
        <w:rPr>
          <w:color w:val="auto"/>
          <w:highlight w:val="none"/>
          <w:u w:val="single"/>
        </w:rPr>
      </w:pPr>
      <w:r>
        <w:rPr>
          <w:rFonts w:hint="eastAsia"/>
          <w:color w:val="auto"/>
          <w:highlight w:val="none"/>
          <w:u w:val="none"/>
          <w:lang w:eastAsia="zh-CN"/>
        </w:rPr>
        <w:t xml:space="preserve">（3） </w:t>
      </w:r>
      <w:r>
        <w:rPr>
          <w:rFonts w:ascii="Arial" w:hAnsi="Arial" w:cs="Arial"/>
          <w:color w:val="000000"/>
          <w:highlight w:val="none"/>
          <w:u w:val="single"/>
        </w:rPr>
        <w:t>日气温超过38℃大于3天的</w:t>
      </w:r>
      <w:r>
        <w:rPr>
          <w:rFonts w:hint="eastAsia" w:ascii="Arial" w:hAnsi="Arial" w:cs="Arial"/>
          <w:color w:val="000000"/>
          <w:highlight w:val="none"/>
          <w:u w:val="single"/>
          <w:lang w:eastAsia="zh-CN"/>
        </w:rPr>
        <w:t>；</w:t>
      </w:r>
      <w:r>
        <w:rPr>
          <w:color w:val="auto"/>
          <w:highlight w:val="none"/>
          <w:u w:val="single"/>
        </w:rPr>
        <w:t xml:space="preserve"> </w:t>
      </w:r>
    </w:p>
    <w:p w14:paraId="25AD82A5">
      <w:pPr>
        <w:pStyle w:val="348"/>
        <w:spacing w:line="360" w:lineRule="auto"/>
        <w:ind w:firstLine="420" w:firstLineChars="200"/>
        <w:rPr>
          <w:rFonts w:hint="eastAsia" w:eastAsia="宋体"/>
          <w:color w:val="auto"/>
          <w:highlight w:val="none"/>
          <w:u w:val="single"/>
          <w:lang w:eastAsia="zh-CN"/>
        </w:rPr>
      </w:pPr>
      <w:r>
        <w:rPr>
          <w:rFonts w:ascii="Arial" w:hAnsi="Arial" w:cs="Arial"/>
          <w:color w:val="000000"/>
          <w:highlight w:val="none"/>
        </w:rPr>
        <w:t>（</w:t>
      </w:r>
      <w:r>
        <w:rPr>
          <w:rFonts w:hint="eastAsia" w:ascii="Arial" w:hAnsi="Arial" w:cs="Arial"/>
          <w:color w:val="000000"/>
          <w:highlight w:val="none"/>
          <w:lang w:val="en-US" w:eastAsia="zh-CN"/>
        </w:rPr>
        <w:t>4</w:t>
      </w:r>
      <w:r>
        <w:rPr>
          <w:rFonts w:ascii="Arial" w:hAnsi="Arial" w:cs="Arial"/>
          <w:color w:val="000000"/>
          <w:highlight w:val="none"/>
        </w:rPr>
        <w:t>）</w:t>
      </w:r>
      <w:r>
        <w:rPr>
          <w:rFonts w:ascii="Arial" w:hAnsi="Arial" w:cs="Arial"/>
          <w:color w:val="000000"/>
          <w:highlight w:val="none"/>
          <w:u w:val="single"/>
        </w:rPr>
        <w:t>风速大于8级以上的台风</w:t>
      </w:r>
      <w:r>
        <w:rPr>
          <w:rFonts w:hint="eastAsia" w:ascii="Arial" w:hAnsi="Arial" w:cs="Arial"/>
          <w:color w:val="000000"/>
          <w:highlight w:val="none"/>
          <w:u w:val="single"/>
          <w:lang w:eastAsia="zh-CN"/>
        </w:rPr>
        <w:t>。</w:t>
      </w:r>
    </w:p>
    <w:p w14:paraId="5DFBEC4F">
      <w:pPr>
        <w:pStyle w:val="5"/>
        <w:jc w:val="left"/>
        <w:rPr>
          <w:color w:val="auto"/>
          <w:highlight w:val="none"/>
          <w:lang w:val="en-US"/>
        </w:rPr>
      </w:pPr>
      <w:bookmarkStart w:id="342" w:name="_Toc26066"/>
      <w:bookmarkStart w:id="343" w:name="_Toc13996"/>
      <w:r>
        <w:rPr>
          <w:color w:val="auto"/>
          <w:highlight w:val="none"/>
          <w:lang w:val="en-US"/>
        </w:rPr>
        <w:t xml:space="preserve">7.9 </w:t>
      </w:r>
      <w:r>
        <w:rPr>
          <w:rFonts w:hint="eastAsia" w:hAnsi="宋体" w:cs="黑体"/>
          <w:color w:val="auto"/>
          <w:highlight w:val="none"/>
        </w:rPr>
        <w:t>提前竣工</w:t>
      </w:r>
      <w:bookmarkEnd w:id="342"/>
      <w:bookmarkEnd w:id="343"/>
    </w:p>
    <w:p w14:paraId="650E1531">
      <w:pPr>
        <w:spacing w:line="360" w:lineRule="auto"/>
        <w:ind w:firstLine="420" w:firstLineChars="200"/>
        <w:jc w:val="left"/>
        <w:rPr>
          <w:rFonts w:hAnsi="宋体"/>
          <w:color w:val="auto"/>
          <w:highlight w:val="none"/>
        </w:rPr>
      </w:pPr>
      <w:r>
        <w:rPr>
          <w:color w:val="auto"/>
          <w:highlight w:val="none"/>
        </w:rPr>
        <w:t>7.9.2</w:t>
      </w:r>
      <w:r>
        <w:rPr>
          <w:rFonts w:hint="eastAsia" w:hAnsi="宋体" w:cs="宋体"/>
          <w:color w:val="auto"/>
          <w:highlight w:val="none"/>
        </w:rPr>
        <w:t>提前竣工（赶工）增加费的计算方法：</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2E968DD0">
      <w:pPr>
        <w:pStyle w:val="4"/>
        <w:outlineLvl w:val="2"/>
        <w:rPr>
          <w:color w:val="auto"/>
          <w:highlight w:val="none"/>
        </w:rPr>
      </w:pPr>
      <w:bookmarkStart w:id="344" w:name="_Toc17641"/>
      <w:r>
        <w:rPr>
          <w:color w:val="auto"/>
          <w:highlight w:val="none"/>
        </w:rPr>
        <w:t xml:space="preserve">8. </w:t>
      </w:r>
      <w:r>
        <w:rPr>
          <w:rFonts w:hint="eastAsia" w:cs="黑体"/>
          <w:color w:val="auto"/>
          <w:highlight w:val="none"/>
        </w:rPr>
        <w:t>材料与设备</w:t>
      </w:r>
      <w:bookmarkEnd w:id="344"/>
    </w:p>
    <w:p w14:paraId="24BDCAB2">
      <w:pPr>
        <w:pStyle w:val="5"/>
        <w:jc w:val="left"/>
        <w:rPr>
          <w:color w:val="auto"/>
          <w:highlight w:val="none"/>
        </w:rPr>
      </w:pPr>
      <w:bookmarkStart w:id="345" w:name="_Toc295"/>
      <w:bookmarkStart w:id="346" w:name="_Toc1743"/>
      <w:r>
        <w:rPr>
          <w:color w:val="auto"/>
          <w:highlight w:val="none"/>
        </w:rPr>
        <w:t xml:space="preserve">8.2 </w:t>
      </w:r>
      <w:r>
        <w:rPr>
          <w:rFonts w:hint="eastAsia" w:ascii="Arial" w:hAnsi="Arial" w:cs="黑体"/>
          <w:highlight w:val="none"/>
        </w:rPr>
        <w:t>承包人</w:t>
      </w:r>
      <w:r>
        <w:rPr>
          <w:rFonts w:hint="eastAsia" w:cs="黑体"/>
          <w:color w:val="auto"/>
          <w:highlight w:val="none"/>
        </w:rPr>
        <w:t>采购材料与工程设备</w:t>
      </w:r>
      <w:bookmarkEnd w:id="345"/>
      <w:bookmarkEnd w:id="346"/>
    </w:p>
    <w:p w14:paraId="50F237B2">
      <w:pPr>
        <w:autoSpaceDE w:val="0"/>
        <w:autoSpaceDN w:val="0"/>
        <w:adjustRightInd w:val="0"/>
        <w:spacing w:line="360" w:lineRule="auto"/>
        <w:ind w:firstLine="420" w:firstLineChars="200"/>
        <w:jc w:val="left"/>
        <w:rPr>
          <w:rFonts w:hint="eastAsia" w:cs="宋体"/>
          <w:color w:val="auto"/>
          <w:highlight w:val="none"/>
        </w:rPr>
      </w:pPr>
      <w:r>
        <w:rPr>
          <w:rFonts w:hint="eastAsia" w:cs="宋体"/>
          <w:color w:val="auto"/>
          <w:kern w:val="0"/>
          <w:highlight w:val="none"/>
        </w:rPr>
        <w:t>除已标价工程量清单《发包人提供主要材料和工程设备一览表》（表</w:t>
      </w:r>
      <w:r>
        <w:rPr>
          <w:color w:val="auto"/>
          <w:kern w:val="0"/>
          <w:highlight w:val="none"/>
        </w:rPr>
        <w:t>-</w:t>
      </w:r>
      <w:r>
        <w:rPr>
          <w:rFonts w:hint="eastAsia"/>
          <w:color w:val="auto"/>
          <w:kern w:val="0"/>
          <w:highlight w:val="none"/>
          <w:lang w:val="en-US" w:eastAsia="zh-CN"/>
        </w:rPr>
        <w:t>15</w:t>
      </w:r>
      <w:r>
        <w:rPr>
          <w:rFonts w:hint="eastAsia" w:cs="宋体"/>
          <w:color w:val="auto"/>
          <w:kern w:val="0"/>
          <w:highlight w:val="none"/>
        </w:rPr>
        <w:t>）中明确的材料、工程设备外，由承包人负责材料和工程设备的采购、运输和保管。</w:t>
      </w:r>
    </w:p>
    <w:p w14:paraId="52AFB9B5">
      <w:pPr>
        <w:autoSpaceDE w:val="0"/>
        <w:autoSpaceDN w:val="0"/>
        <w:adjustRightInd w:val="0"/>
        <w:spacing w:line="360" w:lineRule="auto"/>
        <w:ind w:firstLine="420" w:firstLineChars="200"/>
        <w:jc w:val="left"/>
        <w:rPr>
          <w:rFonts w:cs="宋体"/>
          <w:color w:val="auto"/>
          <w:highlight w:val="none"/>
        </w:rPr>
      </w:pPr>
      <w:r>
        <w:rPr>
          <w:rFonts w:hint="eastAsia" w:cs="宋体"/>
          <w:color w:val="auto"/>
          <w:highlight w:val="none"/>
        </w:rPr>
        <w:t>对发包人在招标时有</w:t>
      </w:r>
      <w:r>
        <w:rPr>
          <w:rFonts w:hint="eastAsia" w:cs="宋体"/>
          <w:color w:val="auto"/>
          <w:highlight w:val="none"/>
          <w:lang w:eastAsia="zh-CN"/>
        </w:rPr>
        <w:t>“</w:t>
      </w:r>
      <w:r>
        <w:rPr>
          <w:rFonts w:hint="eastAsia" w:cs="宋体"/>
          <w:color w:val="auto"/>
          <w:highlight w:val="none"/>
        </w:rPr>
        <w:t>参照或相当于</w:t>
      </w:r>
      <w:r>
        <w:rPr>
          <w:color w:val="auto"/>
          <w:highlight w:val="none"/>
        </w:rPr>
        <w:t>**</w:t>
      </w:r>
      <w:r>
        <w:rPr>
          <w:rFonts w:hint="eastAsia" w:cs="宋体"/>
          <w:color w:val="auto"/>
          <w:highlight w:val="none"/>
        </w:rPr>
        <w:t>品牌、级别</w:t>
      </w:r>
      <w:r>
        <w:rPr>
          <w:rFonts w:hint="eastAsia" w:cs="宋体"/>
          <w:color w:val="auto"/>
          <w:highlight w:val="none"/>
          <w:lang w:eastAsia="zh-CN"/>
        </w:rPr>
        <w:t>”</w:t>
      </w:r>
      <w:r>
        <w:rPr>
          <w:rFonts w:hint="eastAsia" w:cs="宋体"/>
          <w:color w:val="auto"/>
          <w:highlight w:val="none"/>
        </w:rPr>
        <w:t>约定的材料或设备，承包人采购时必须按类似于或优于所约定品牌、等级进行采购，施工期间该部分材料或设备如未超过招标约定的风险幅度的，结算时按投标单价支付，不得调整。</w:t>
      </w:r>
    </w:p>
    <w:p w14:paraId="7F144611">
      <w:pPr>
        <w:autoSpaceDE w:val="0"/>
        <w:autoSpaceDN w:val="0"/>
        <w:adjustRightInd w:val="0"/>
        <w:spacing w:line="360" w:lineRule="auto"/>
        <w:ind w:firstLine="420" w:firstLineChars="200"/>
        <w:jc w:val="left"/>
        <w:rPr>
          <w:rFonts w:hint="eastAsia"/>
          <w:color w:val="auto"/>
          <w:highlight w:val="none"/>
        </w:rPr>
      </w:pPr>
      <w:r>
        <w:rPr>
          <w:rFonts w:hint="eastAsia"/>
          <w:color w:val="auto"/>
          <w:highlight w:val="none"/>
        </w:rPr>
        <w:t>禁止使用松木、松木包装材料设备、种子、苗木、花卉及繁殖材料。</w:t>
      </w:r>
    </w:p>
    <w:p w14:paraId="1F544558">
      <w:pPr>
        <w:pStyle w:val="5"/>
        <w:jc w:val="left"/>
        <w:rPr>
          <w:color w:val="auto"/>
          <w:highlight w:val="none"/>
        </w:rPr>
      </w:pPr>
      <w:bookmarkStart w:id="347" w:name="_Toc10054"/>
      <w:bookmarkStart w:id="348" w:name="_Toc14200"/>
      <w:r>
        <w:rPr>
          <w:color w:val="auto"/>
          <w:highlight w:val="none"/>
        </w:rPr>
        <w:t xml:space="preserve">8.4 </w:t>
      </w:r>
      <w:r>
        <w:rPr>
          <w:rFonts w:hint="eastAsia" w:cs="黑体"/>
          <w:color w:val="auto"/>
          <w:highlight w:val="none"/>
        </w:rPr>
        <w:t>材料与</w:t>
      </w:r>
      <w:r>
        <w:rPr>
          <w:rFonts w:hint="eastAsia" w:ascii="Arial" w:hAnsi="Arial" w:cs="黑体"/>
          <w:highlight w:val="none"/>
        </w:rPr>
        <w:t>工程</w:t>
      </w:r>
      <w:r>
        <w:rPr>
          <w:rFonts w:hint="eastAsia" w:cs="黑体"/>
          <w:color w:val="auto"/>
          <w:highlight w:val="none"/>
        </w:rPr>
        <w:t>设备的保管与使用</w:t>
      </w:r>
      <w:bookmarkEnd w:id="347"/>
      <w:bookmarkEnd w:id="348"/>
    </w:p>
    <w:p w14:paraId="2CB36566">
      <w:pPr>
        <w:spacing w:line="360" w:lineRule="auto"/>
        <w:ind w:firstLine="420" w:firstLineChars="200"/>
        <w:jc w:val="left"/>
        <w:rPr>
          <w:color w:val="auto"/>
          <w:highlight w:val="none"/>
          <w:u w:val="single"/>
        </w:rPr>
      </w:pPr>
      <w:r>
        <w:rPr>
          <w:color w:val="auto"/>
          <w:highlight w:val="none"/>
        </w:rPr>
        <w:t>8.4.1</w:t>
      </w:r>
      <w:r>
        <w:rPr>
          <w:rFonts w:hint="eastAsia" w:hAnsi="宋体" w:cs="宋体"/>
          <w:color w:val="auto"/>
          <w:highlight w:val="none"/>
        </w:rPr>
        <w:t>发包人供应的材料设备的保管费用的承担：</w:t>
      </w:r>
      <w:r>
        <w:rPr>
          <w:color w:val="auto"/>
          <w:highlight w:val="none"/>
          <w:u w:val="single"/>
        </w:rPr>
        <w:t xml:space="preserve"> 由承包人免费承担保管、运输、接收检验，不得以任何理由拒绝  </w:t>
      </w:r>
      <w:r>
        <w:rPr>
          <w:rFonts w:hint="eastAsia" w:hAnsi="宋体" w:cs="宋体"/>
          <w:color w:val="auto"/>
          <w:highlight w:val="none"/>
        </w:rPr>
        <w:t>。</w:t>
      </w:r>
    </w:p>
    <w:p w14:paraId="6C3E71C6">
      <w:pPr>
        <w:pStyle w:val="5"/>
        <w:jc w:val="left"/>
        <w:rPr>
          <w:color w:val="auto"/>
          <w:highlight w:val="none"/>
        </w:rPr>
      </w:pPr>
      <w:bookmarkStart w:id="349" w:name="_Toc13223"/>
      <w:bookmarkStart w:id="350" w:name="_Toc18522"/>
      <w:r>
        <w:rPr>
          <w:color w:val="auto"/>
          <w:highlight w:val="none"/>
        </w:rPr>
        <w:t xml:space="preserve">8.6 </w:t>
      </w:r>
      <w:r>
        <w:rPr>
          <w:rFonts w:hint="eastAsia" w:hAnsi="宋体" w:cs="黑体"/>
          <w:color w:val="auto"/>
          <w:highlight w:val="none"/>
        </w:rPr>
        <w:t>样品</w:t>
      </w:r>
      <w:bookmarkEnd w:id="349"/>
      <w:bookmarkEnd w:id="350"/>
    </w:p>
    <w:p w14:paraId="7A30B3FB">
      <w:pPr>
        <w:autoSpaceDE w:val="0"/>
        <w:autoSpaceDN w:val="0"/>
        <w:adjustRightInd w:val="0"/>
        <w:spacing w:line="360" w:lineRule="auto"/>
        <w:ind w:firstLine="420" w:firstLineChars="200"/>
        <w:jc w:val="left"/>
        <w:rPr>
          <w:color w:val="auto"/>
          <w:kern w:val="0"/>
          <w:highlight w:val="none"/>
        </w:rPr>
      </w:pPr>
      <w:r>
        <w:rPr>
          <w:color w:val="auto"/>
          <w:kern w:val="0"/>
          <w:highlight w:val="none"/>
        </w:rPr>
        <w:t xml:space="preserve">8.6.1 </w:t>
      </w:r>
      <w:r>
        <w:rPr>
          <w:rFonts w:hint="eastAsia" w:hAnsi="宋体" w:cs="宋体"/>
          <w:color w:val="auto"/>
          <w:kern w:val="0"/>
          <w:highlight w:val="none"/>
        </w:rPr>
        <w:t>样品的报送与封存</w:t>
      </w:r>
    </w:p>
    <w:p w14:paraId="2892C18D">
      <w:pPr>
        <w:autoSpaceDE w:val="0"/>
        <w:autoSpaceDN w:val="0"/>
        <w:adjustRightInd w:val="0"/>
        <w:spacing w:line="360" w:lineRule="auto"/>
        <w:ind w:firstLine="420" w:firstLineChars="200"/>
        <w:jc w:val="left"/>
        <w:rPr>
          <w:color w:val="auto"/>
          <w:highlight w:val="none"/>
          <w:u w:val="single"/>
        </w:rPr>
      </w:pPr>
      <w:r>
        <w:rPr>
          <w:rFonts w:hint="eastAsia" w:hAnsi="宋体" w:cs="宋体"/>
          <w:color w:val="auto"/>
          <w:kern w:val="0"/>
          <w:highlight w:val="none"/>
        </w:rPr>
        <w:t>需要承包人报送样品的材料或工程设备，样品的种类、名称、规格、数量要求：</w:t>
      </w:r>
      <w:r>
        <w:rPr>
          <w:rFonts w:hint="eastAsia" w:hAnsi="宋体" w:cs="宋体"/>
          <w:color w:val="auto"/>
          <w:highlight w:val="none"/>
          <w:u w:val="single"/>
        </w:rPr>
        <w:t>主要材料涉及品种、款式、颜色等方面内容的，承包人应提交准备合格的材料样品送发包人选定。</w:t>
      </w:r>
    </w:p>
    <w:p w14:paraId="005C7E20">
      <w:pPr>
        <w:pStyle w:val="5"/>
        <w:jc w:val="left"/>
        <w:rPr>
          <w:color w:val="auto"/>
          <w:highlight w:val="none"/>
        </w:rPr>
      </w:pPr>
      <w:bookmarkStart w:id="351" w:name="_Toc23716"/>
      <w:bookmarkStart w:id="352" w:name="_Toc32490"/>
      <w:r>
        <w:rPr>
          <w:color w:val="auto"/>
          <w:highlight w:val="none"/>
        </w:rPr>
        <w:t xml:space="preserve">8.8 </w:t>
      </w:r>
      <w:r>
        <w:rPr>
          <w:rFonts w:hint="eastAsia" w:cs="黑体"/>
          <w:color w:val="auto"/>
          <w:highlight w:val="none"/>
        </w:rPr>
        <w:t>施工设备和临时设施</w:t>
      </w:r>
      <w:bookmarkEnd w:id="351"/>
      <w:bookmarkEnd w:id="352"/>
    </w:p>
    <w:p w14:paraId="01996380">
      <w:pPr>
        <w:autoSpaceDE w:val="0"/>
        <w:autoSpaceDN w:val="0"/>
        <w:adjustRightInd w:val="0"/>
        <w:spacing w:line="360" w:lineRule="auto"/>
        <w:ind w:firstLine="420" w:firstLineChars="200"/>
        <w:jc w:val="left"/>
        <w:rPr>
          <w:color w:val="auto"/>
          <w:highlight w:val="none"/>
        </w:rPr>
      </w:pPr>
      <w:r>
        <w:rPr>
          <w:color w:val="auto"/>
          <w:highlight w:val="none"/>
        </w:rPr>
        <w:t xml:space="preserve">8.8.1 </w:t>
      </w:r>
      <w:r>
        <w:rPr>
          <w:rFonts w:hint="eastAsia" w:hAnsi="宋体" w:cs="宋体"/>
          <w:color w:val="auto"/>
          <w:highlight w:val="none"/>
        </w:rPr>
        <w:t>承包人提供的施工设备和临时设施</w:t>
      </w:r>
    </w:p>
    <w:p w14:paraId="7F6E6BFD">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除专用合同条款另有约定的其他独立承包人和监理人指示的他人提供条件外，承包人运入施工场地的所有施工设备以及在施工场地建设的临时设施仅限于用于合同工程。</w:t>
      </w:r>
      <w:r>
        <w:rPr>
          <w:rFonts w:hint="eastAsia" w:ascii="宋体" w:hAnsi="宋体" w:cs="宋体"/>
          <w:color w:val="auto"/>
          <w:highlight w:val="none"/>
        </w:rPr>
        <w:t>承包人用于本工程的主要机械设备清单见合同附件4。</w:t>
      </w:r>
    </w:p>
    <w:p w14:paraId="1961DAEC">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关于修建临时设施费用承担的约定：</w:t>
      </w:r>
    </w:p>
    <w:p w14:paraId="06FB6208">
      <w:pPr>
        <w:autoSpaceDE w:val="0"/>
        <w:autoSpaceDN w:val="0"/>
        <w:adjustRightInd w:val="0"/>
        <w:spacing w:line="360" w:lineRule="auto"/>
        <w:ind w:firstLine="420" w:firstLineChars="200"/>
        <w:jc w:val="left"/>
        <w:rPr>
          <w:rFonts w:hint="eastAsia"/>
          <w:color w:val="auto"/>
          <w:highlight w:val="none"/>
          <w:lang w:eastAsia="zh-CN"/>
        </w:rPr>
      </w:pPr>
      <w:r>
        <w:rPr>
          <w:rFonts w:hint="eastAsia"/>
          <w:color w:val="auto"/>
          <w:highlight w:val="none"/>
          <w:lang w:eastAsia="zh-CN"/>
        </w:rPr>
        <w:t>①承包人的临时用地（含项目部驻地等）租用费（含拆迁补偿）、临时用地的环保、恢复、临时用地的青苗补偿及地面附着物拆除等费用均由承包人负责，以上费用在投标报价中综合考虑。</w:t>
      </w:r>
    </w:p>
    <w:p w14:paraId="01AC4A09">
      <w:pPr>
        <w:autoSpaceDE w:val="0"/>
        <w:autoSpaceDN w:val="0"/>
        <w:adjustRightInd w:val="0"/>
        <w:spacing w:line="360" w:lineRule="auto"/>
        <w:ind w:firstLine="420" w:firstLineChars="200"/>
        <w:jc w:val="left"/>
        <w:rPr>
          <w:rFonts w:hint="eastAsia"/>
          <w:color w:val="auto"/>
          <w:highlight w:val="none"/>
          <w:lang w:eastAsia="zh-CN"/>
        </w:rPr>
      </w:pPr>
      <w:r>
        <w:rPr>
          <w:rFonts w:hint="eastAsia"/>
          <w:color w:val="auto"/>
          <w:highlight w:val="none"/>
          <w:lang w:eastAsia="zh-CN"/>
        </w:rPr>
        <w:t>②承包人负责合同实施期间其合同段内临时交通道路（含场内外连接公共交通道路）和交通设施的修建、维修、养护和交通管理工作，并承担一切费用。</w:t>
      </w:r>
    </w:p>
    <w:p w14:paraId="4995FB1C">
      <w:pPr>
        <w:autoSpaceDE w:val="0"/>
        <w:autoSpaceDN w:val="0"/>
        <w:adjustRightInd w:val="0"/>
        <w:spacing w:line="360" w:lineRule="auto"/>
        <w:ind w:firstLine="420" w:firstLineChars="200"/>
        <w:jc w:val="left"/>
        <w:rPr>
          <w:rFonts w:hint="eastAsia"/>
          <w:color w:val="auto"/>
          <w:highlight w:val="none"/>
          <w:lang w:eastAsia="zh-CN"/>
        </w:rPr>
      </w:pPr>
      <w:r>
        <w:rPr>
          <w:rFonts w:hint="eastAsia"/>
          <w:color w:val="auto"/>
          <w:highlight w:val="none"/>
          <w:lang w:eastAsia="zh-CN"/>
        </w:rPr>
        <w:t>③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p>
    <w:p w14:paraId="501F2E6F">
      <w:pPr>
        <w:autoSpaceDE w:val="0"/>
        <w:autoSpaceDN w:val="0"/>
        <w:adjustRightInd w:val="0"/>
        <w:spacing w:line="360" w:lineRule="auto"/>
        <w:ind w:firstLine="420" w:firstLineChars="200"/>
        <w:jc w:val="left"/>
        <w:rPr>
          <w:color w:val="auto"/>
          <w:highlight w:val="none"/>
        </w:rPr>
      </w:pPr>
      <w:r>
        <w:rPr>
          <w:color w:val="auto"/>
          <w:highlight w:val="none"/>
        </w:rPr>
        <w:t xml:space="preserve">8.8.2 </w:t>
      </w:r>
      <w:r>
        <w:rPr>
          <w:rFonts w:hint="eastAsia" w:hAnsi="宋体" w:cs="宋体"/>
          <w:color w:val="auto"/>
          <w:highlight w:val="none"/>
        </w:rPr>
        <w:t>发包人提供的施工设备和临时设施</w:t>
      </w:r>
    </w:p>
    <w:p w14:paraId="287302DB">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发包人提供的施工设备和临时设施：</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35FBBF66">
      <w:pPr>
        <w:autoSpaceDE w:val="0"/>
        <w:autoSpaceDN w:val="0"/>
        <w:adjustRightInd w:val="0"/>
        <w:spacing w:line="360" w:lineRule="auto"/>
        <w:ind w:firstLine="420" w:firstLineChars="200"/>
        <w:jc w:val="left"/>
        <w:rPr>
          <w:color w:val="auto"/>
          <w:highlight w:val="none"/>
        </w:rPr>
      </w:pPr>
      <w:r>
        <w:rPr>
          <w:rFonts w:hint="eastAsia" w:hAnsi="宋体" w:cs="宋体"/>
          <w:color w:val="auto"/>
          <w:highlight w:val="none"/>
        </w:rPr>
        <w:t>发包人提供的施工设备和临时设施的运行、维护、拆除、清运费用的承担人：</w:t>
      </w:r>
      <w:r>
        <w:rPr>
          <w:color w:val="auto"/>
          <w:highlight w:val="none"/>
          <w:u w:val="single"/>
        </w:rPr>
        <w:t xml:space="preserve"> </w:t>
      </w:r>
      <w:r>
        <w:rPr>
          <w:rFonts w:hint="eastAsia"/>
          <w:color w:val="auto"/>
          <w:highlight w:val="none"/>
          <w:u w:val="single"/>
        </w:rPr>
        <w:t>承</w:t>
      </w:r>
      <w:r>
        <w:rPr>
          <w:rFonts w:hint="eastAsia"/>
          <w:color w:val="auto"/>
          <w:highlight w:val="none"/>
          <w:u w:val="single"/>
          <w:lang w:eastAsia="zh-CN"/>
        </w:rPr>
        <w:t>包</w:t>
      </w:r>
      <w:r>
        <w:rPr>
          <w:rFonts w:hint="eastAsia"/>
          <w:color w:val="auto"/>
          <w:highlight w:val="none"/>
          <w:u w:val="single"/>
        </w:rPr>
        <w:t>人</w:t>
      </w:r>
      <w:r>
        <w:rPr>
          <w:color w:val="auto"/>
          <w:highlight w:val="none"/>
          <w:u w:val="single"/>
        </w:rPr>
        <w:t xml:space="preserve">   </w:t>
      </w:r>
      <w:r>
        <w:rPr>
          <w:rFonts w:hint="eastAsia" w:hAnsi="宋体" w:cs="宋体"/>
          <w:color w:val="auto"/>
          <w:highlight w:val="none"/>
        </w:rPr>
        <w:t>。</w:t>
      </w:r>
    </w:p>
    <w:p w14:paraId="1FE8E655">
      <w:pPr>
        <w:pStyle w:val="4"/>
        <w:outlineLvl w:val="2"/>
        <w:rPr>
          <w:color w:val="auto"/>
          <w:highlight w:val="none"/>
        </w:rPr>
      </w:pPr>
      <w:bookmarkStart w:id="353" w:name="_Toc27203"/>
      <w:r>
        <w:rPr>
          <w:color w:val="auto"/>
          <w:highlight w:val="none"/>
        </w:rPr>
        <w:t xml:space="preserve">9. </w:t>
      </w:r>
      <w:r>
        <w:rPr>
          <w:rFonts w:hint="eastAsia" w:cs="黑体"/>
          <w:color w:val="auto"/>
          <w:highlight w:val="none"/>
        </w:rPr>
        <w:t>试验与检验</w:t>
      </w:r>
      <w:bookmarkEnd w:id="353"/>
    </w:p>
    <w:p w14:paraId="3D40B1C2">
      <w:pPr>
        <w:pStyle w:val="5"/>
        <w:jc w:val="left"/>
        <w:rPr>
          <w:color w:val="auto"/>
          <w:highlight w:val="none"/>
        </w:rPr>
      </w:pPr>
      <w:bookmarkStart w:id="354" w:name="_Toc9671"/>
      <w:bookmarkStart w:id="355" w:name="_Toc21547"/>
      <w:r>
        <w:rPr>
          <w:color w:val="auto"/>
          <w:highlight w:val="none"/>
        </w:rPr>
        <w:t xml:space="preserve">9.1 </w:t>
      </w:r>
      <w:r>
        <w:rPr>
          <w:rFonts w:hint="eastAsia" w:cs="黑体"/>
          <w:color w:val="auto"/>
          <w:highlight w:val="none"/>
        </w:rPr>
        <w:t>试验设备与试验人员</w:t>
      </w:r>
      <w:bookmarkEnd w:id="354"/>
      <w:bookmarkEnd w:id="355"/>
    </w:p>
    <w:p w14:paraId="73B24337">
      <w:pPr>
        <w:spacing w:line="360" w:lineRule="auto"/>
        <w:ind w:firstLine="420" w:firstLineChars="200"/>
        <w:jc w:val="left"/>
        <w:rPr>
          <w:color w:val="auto"/>
          <w:highlight w:val="none"/>
        </w:rPr>
      </w:pPr>
      <w:r>
        <w:rPr>
          <w:color w:val="auto"/>
          <w:highlight w:val="none"/>
        </w:rPr>
        <w:t xml:space="preserve">9.1.2 </w:t>
      </w:r>
      <w:r>
        <w:rPr>
          <w:rFonts w:hint="eastAsia" w:hAnsi="宋体" w:cs="宋体"/>
          <w:color w:val="auto"/>
          <w:highlight w:val="none"/>
        </w:rPr>
        <w:t>试验设备</w:t>
      </w:r>
    </w:p>
    <w:p w14:paraId="33D34DDF">
      <w:pPr>
        <w:spacing w:line="360" w:lineRule="auto"/>
        <w:ind w:firstLine="420" w:firstLineChars="200"/>
        <w:jc w:val="left"/>
        <w:rPr>
          <w:color w:val="auto"/>
          <w:highlight w:val="none"/>
          <w:u w:val="single"/>
        </w:rPr>
      </w:pPr>
      <w:r>
        <w:rPr>
          <w:rFonts w:hint="eastAsia" w:hAnsi="宋体" w:cs="宋体"/>
          <w:color w:val="auto"/>
          <w:highlight w:val="none"/>
        </w:rPr>
        <w:t>施工现场需要配置的试验场所：</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520B4683">
      <w:pPr>
        <w:spacing w:line="360" w:lineRule="auto"/>
        <w:ind w:firstLine="420" w:firstLineChars="200"/>
        <w:jc w:val="left"/>
        <w:rPr>
          <w:color w:val="auto"/>
          <w:highlight w:val="none"/>
          <w:u w:val="single"/>
        </w:rPr>
      </w:pPr>
      <w:r>
        <w:rPr>
          <w:rFonts w:hint="eastAsia" w:hAnsi="宋体" w:cs="宋体"/>
          <w:color w:val="auto"/>
          <w:highlight w:val="none"/>
        </w:rPr>
        <w:t>施工现场需要配备的试验设备：</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572DDD66">
      <w:pPr>
        <w:spacing w:line="360" w:lineRule="auto"/>
        <w:ind w:firstLine="420" w:firstLineChars="200"/>
        <w:jc w:val="left"/>
        <w:rPr>
          <w:color w:val="auto"/>
          <w:highlight w:val="none"/>
          <w:u w:val="single"/>
        </w:rPr>
      </w:pPr>
      <w:r>
        <w:rPr>
          <w:rFonts w:hint="eastAsia" w:hAnsi="宋体" w:cs="宋体"/>
          <w:color w:val="auto"/>
          <w:highlight w:val="none"/>
        </w:rPr>
        <w:t>施工现场需要具备的其他试验条件：</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7ADEC2DF">
      <w:pPr>
        <w:pStyle w:val="5"/>
        <w:jc w:val="left"/>
        <w:rPr>
          <w:color w:val="auto"/>
          <w:highlight w:val="none"/>
        </w:rPr>
      </w:pPr>
      <w:bookmarkStart w:id="356" w:name="_Toc23780"/>
      <w:bookmarkStart w:id="357" w:name="_Toc14975"/>
      <w:r>
        <w:rPr>
          <w:color w:val="auto"/>
          <w:highlight w:val="none"/>
        </w:rPr>
        <w:t xml:space="preserve">9.4 </w:t>
      </w:r>
      <w:r>
        <w:rPr>
          <w:rFonts w:hint="eastAsia" w:hAnsi="宋体" w:cs="黑体"/>
          <w:color w:val="auto"/>
          <w:highlight w:val="none"/>
        </w:rPr>
        <w:t>现场工艺试验</w:t>
      </w:r>
      <w:bookmarkEnd w:id="356"/>
      <w:bookmarkEnd w:id="357"/>
      <w:r>
        <w:rPr>
          <w:color w:val="auto"/>
          <w:highlight w:val="none"/>
        </w:rPr>
        <w:t xml:space="preserve"> </w:t>
      </w:r>
    </w:p>
    <w:p w14:paraId="5DA6E26D">
      <w:pPr>
        <w:spacing w:line="360" w:lineRule="auto"/>
        <w:ind w:firstLine="420" w:firstLineChars="200"/>
        <w:jc w:val="left"/>
        <w:rPr>
          <w:color w:val="auto"/>
          <w:highlight w:val="none"/>
        </w:rPr>
      </w:pPr>
      <w:r>
        <w:rPr>
          <w:rFonts w:hint="eastAsia" w:hAnsi="宋体" w:cs="宋体"/>
          <w:color w:val="auto"/>
          <w:highlight w:val="none"/>
        </w:rPr>
        <w:t>现场工艺试验的有关约定：</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20C36B7D">
      <w:pPr>
        <w:pStyle w:val="5"/>
        <w:jc w:val="left"/>
        <w:rPr>
          <w:color w:val="auto"/>
          <w:highlight w:val="none"/>
        </w:rPr>
      </w:pPr>
      <w:bookmarkStart w:id="358" w:name="_Toc9920"/>
      <w:bookmarkStart w:id="359" w:name="_Toc13096"/>
      <w:r>
        <w:rPr>
          <w:color w:val="auto"/>
          <w:highlight w:val="none"/>
        </w:rPr>
        <w:t xml:space="preserve">9.5 </w:t>
      </w:r>
      <w:r>
        <w:rPr>
          <w:rFonts w:hint="eastAsia" w:hAnsi="宋体" w:cs="黑体"/>
          <w:color w:val="auto"/>
          <w:highlight w:val="none"/>
        </w:rPr>
        <w:t>检验费用</w:t>
      </w:r>
      <w:bookmarkEnd w:id="358"/>
      <w:bookmarkEnd w:id="359"/>
    </w:p>
    <w:p w14:paraId="01BAF65C">
      <w:pPr>
        <w:spacing w:line="360" w:lineRule="auto"/>
        <w:ind w:firstLine="411" w:firstLineChars="196"/>
        <w:rPr>
          <w:color w:val="auto"/>
          <w:highlight w:val="none"/>
        </w:rPr>
      </w:pPr>
      <w:r>
        <w:rPr>
          <w:rFonts w:hint="eastAsia" w:hAnsi="宋体" w:cs="宋体"/>
          <w:color w:val="auto"/>
          <w:highlight w:val="none"/>
        </w:rPr>
        <w:t>根据《建设工程质量检测管理办法》（住房和城乡建设部令第57号）以及《广西壮族自治区建设工程质量检测管理实施细则》</w:t>
      </w:r>
      <w:r>
        <w:rPr>
          <w:rFonts w:hint="eastAsia" w:hAnsi="宋体" w:cs="宋体"/>
          <w:color w:val="auto"/>
          <w:highlight w:val="none"/>
          <w:lang w:eastAsia="zh-CN"/>
        </w:rPr>
        <w:t>（</w:t>
      </w:r>
      <w:r>
        <w:rPr>
          <w:rFonts w:hint="eastAsia" w:hAnsi="宋体" w:cs="宋体"/>
          <w:color w:val="auto"/>
          <w:highlight w:val="none"/>
        </w:rPr>
        <w:t>桂建发〔2025〕5号</w:t>
      </w:r>
      <w:r>
        <w:rPr>
          <w:rFonts w:hint="eastAsia" w:hAnsi="宋体" w:cs="宋体"/>
          <w:color w:val="auto"/>
          <w:highlight w:val="none"/>
          <w:lang w:eastAsia="zh-CN"/>
        </w:rPr>
        <w:t>）</w:t>
      </w:r>
      <w:r>
        <w:rPr>
          <w:rFonts w:hint="eastAsia" w:hAnsi="宋体" w:cs="宋体"/>
          <w:color w:val="auto"/>
          <w:highlight w:val="none"/>
        </w:rPr>
        <w:t>规定，工程质量检测业务由发包人委托有相应资质的检测机构检测。费用从发包人的项目建设经费中支出并直接支付给检测机构，不计入合同价款内。</w:t>
      </w:r>
    </w:p>
    <w:p w14:paraId="74A1C130">
      <w:pPr>
        <w:pStyle w:val="4"/>
        <w:outlineLvl w:val="2"/>
        <w:rPr>
          <w:color w:val="auto"/>
          <w:highlight w:val="none"/>
        </w:rPr>
      </w:pPr>
      <w:bookmarkStart w:id="360" w:name="_Toc8753"/>
      <w:r>
        <w:rPr>
          <w:color w:val="auto"/>
          <w:highlight w:val="none"/>
        </w:rPr>
        <w:t xml:space="preserve">10. </w:t>
      </w:r>
      <w:r>
        <w:rPr>
          <w:rFonts w:hint="eastAsia" w:ascii="Times New Roman" w:hAnsi="Times New Roman" w:eastAsia="宋体" w:cs="黑体"/>
          <w:color w:val="auto"/>
          <w:highlight w:val="none"/>
        </w:rPr>
        <w:t>变更</w:t>
      </w:r>
      <w:bookmarkEnd w:id="360"/>
    </w:p>
    <w:p w14:paraId="713FFCDB">
      <w:pPr>
        <w:pStyle w:val="5"/>
        <w:jc w:val="left"/>
        <w:rPr>
          <w:color w:val="auto"/>
          <w:highlight w:val="none"/>
        </w:rPr>
      </w:pPr>
      <w:bookmarkStart w:id="361" w:name="_Toc28913"/>
      <w:bookmarkStart w:id="362" w:name="_Toc7595"/>
      <w:r>
        <w:rPr>
          <w:color w:val="auto"/>
          <w:highlight w:val="none"/>
        </w:rPr>
        <w:t xml:space="preserve">10.1 </w:t>
      </w:r>
      <w:r>
        <w:rPr>
          <w:rFonts w:hint="eastAsia" w:hAnsi="宋体" w:cs="黑体"/>
          <w:color w:val="auto"/>
          <w:highlight w:val="none"/>
        </w:rPr>
        <w:t>变更的范围</w:t>
      </w:r>
      <w:bookmarkEnd w:id="361"/>
      <w:bookmarkEnd w:id="362"/>
    </w:p>
    <w:p w14:paraId="2596340B">
      <w:pPr>
        <w:spacing w:line="360" w:lineRule="auto"/>
        <w:ind w:firstLine="426"/>
        <w:jc w:val="left"/>
        <w:rPr>
          <w:color w:val="auto"/>
          <w:highlight w:val="none"/>
        </w:rPr>
      </w:pPr>
      <w:r>
        <w:rPr>
          <w:rFonts w:hint="eastAsia" w:hAnsi="宋体" w:cs="宋体"/>
          <w:color w:val="auto"/>
          <w:highlight w:val="none"/>
        </w:rPr>
        <w:t>关于变更的范围的约定：</w:t>
      </w:r>
      <w:r>
        <w:rPr>
          <w:rFonts w:hint="eastAsia" w:ascii="宋体" w:hAnsi="宋体" w:eastAsia="宋体" w:cs="宋体"/>
          <w:color w:val="auto"/>
          <w:highlight w:val="none"/>
          <w:lang w:val="zh-TW" w:eastAsia="zh-TW"/>
        </w:rPr>
        <w:t>经发包人批准的对合同工程工作内容、合同图纸、合同规范、位置与尺寸、施工顺序与时间、施工条件、合同条款或其他特征等的改变。包括对合同工程的增加、减少、取消、替代和使用材料等的改变。</w:t>
      </w:r>
    </w:p>
    <w:p w14:paraId="76FE9876">
      <w:pPr>
        <w:pStyle w:val="5"/>
        <w:jc w:val="left"/>
        <w:rPr>
          <w:color w:val="auto"/>
          <w:highlight w:val="none"/>
        </w:rPr>
      </w:pPr>
      <w:bookmarkStart w:id="363" w:name="_Toc31852"/>
      <w:bookmarkStart w:id="364" w:name="_Toc28657"/>
      <w:r>
        <w:rPr>
          <w:color w:val="auto"/>
          <w:highlight w:val="none"/>
        </w:rPr>
        <w:t xml:space="preserve">10.3 </w:t>
      </w:r>
      <w:r>
        <w:rPr>
          <w:rFonts w:hint="eastAsia" w:ascii="Arial" w:hAnsi="Arial" w:cs="黑体"/>
          <w:highlight w:val="none"/>
        </w:rPr>
        <w:t>变更</w:t>
      </w:r>
      <w:r>
        <w:rPr>
          <w:rFonts w:hint="eastAsia" w:hAnsi="宋体" w:cs="黑体"/>
          <w:color w:val="auto"/>
          <w:highlight w:val="none"/>
        </w:rPr>
        <w:t>程序</w:t>
      </w:r>
      <w:bookmarkEnd w:id="363"/>
      <w:bookmarkEnd w:id="364"/>
    </w:p>
    <w:p w14:paraId="3F126B5F">
      <w:pPr>
        <w:pStyle w:val="27"/>
        <w:spacing w:line="360" w:lineRule="auto"/>
        <w:ind w:firstLine="441" w:firstLineChars="210"/>
        <w:rPr>
          <w:rFonts w:ascii="Times New Roman" w:hAnsi="Times New Roman"/>
          <w:color w:val="auto"/>
          <w:sz w:val="21"/>
          <w:szCs w:val="21"/>
          <w:highlight w:val="none"/>
        </w:rPr>
      </w:pPr>
      <w:r>
        <w:rPr>
          <w:rFonts w:ascii="Times New Roman" w:hAnsi="Times New Roman"/>
          <w:color w:val="auto"/>
          <w:sz w:val="21"/>
          <w:szCs w:val="21"/>
          <w:highlight w:val="none"/>
        </w:rPr>
        <w:t>10.3.1</w:t>
      </w:r>
      <w:r>
        <w:rPr>
          <w:rFonts w:hint="eastAsia" w:ascii="Times New Roman" w:hAnsi="Times New Roman"/>
          <w:color w:val="auto"/>
          <w:sz w:val="21"/>
          <w:szCs w:val="21"/>
          <w:highlight w:val="none"/>
        </w:rPr>
        <w:t>国有</w:t>
      </w:r>
      <w:r>
        <w:rPr>
          <w:rFonts w:hint="eastAsia" w:ascii="Times New Roman" w:hAnsi="Times New Roman"/>
          <w:color w:val="auto"/>
          <w:sz w:val="21"/>
          <w:szCs w:val="21"/>
          <w:highlight w:val="none"/>
          <w:lang w:val="en-US" w:eastAsia="zh-CN"/>
        </w:rPr>
        <w:t>资金</w:t>
      </w:r>
      <w:r>
        <w:rPr>
          <w:rFonts w:hint="eastAsia" w:ascii="Times New Roman" w:hAnsi="Times New Roman"/>
          <w:color w:val="auto"/>
          <w:sz w:val="21"/>
          <w:szCs w:val="21"/>
          <w:highlight w:val="none"/>
        </w:rPr>
        <w:t>投资项目：</w:t>
      </w:r>
    </w:p>
    <w:p w14:paraId="3B280310">
      <w:pPr>
        <w:pStyle w:val="27"/>
        <w:spacing w:line="360" w:lineRule="auto"/>
        <w:ind w:firstLine="441" w:firstLineChars="210"/>
        <w:rPr>
          <w:rFonts w:ascii="Times New Roman" w:hAnsi="宋体"/>
          <w:bCs/>
          <w:color w:val="auto"/>
          <w:sz w:val="21"/>
          <w:szCs w:val="21"/>
          <w:highlight w:val="none"/>
        </w:rPr>
      </w:pPr>
      <w:r>
        <w:rPr>
          <w:rFonts w:hint="eastAsia" w:ascii="Times New Roman" w:hAnsi="宋体"/>
          <w:bCs/>
          <w:color w:val="auto"/>
          <w:sz w:val="21"/>
          <w:szCs w:val="21"/>
          <w:highlight w:val="none"/>
        </w:rPr>
        <w:t>⑴</w:t>
      </w:r>
      <w:r>
        <w:rPr>
          <w:rFonts w:hint="eastAsia" w:ascii="Times New Roman" w:hAnsi="宋体"/>
          <w:bCs/>
          <w:color w:val="auto"/>
          <w:sz w:val="21"/>
          <w:szCs w:val="21"/>
          <w:highlight w:val="none"/>
          <w:lang w:eastAsia="zh-CN"/>
        </w:rPr>
        <w:t>工程变更</w:t>
      </w:r>
      <w:r>
        <w:rPr>
          <w:rFonts w:hint="eastAsia" w:ascii="Times New Roman" w:hAnsi="宋体"/>
          <w:bCs/>
          <w:color w:val="auto"/>
          <w:sz w:val="21"/>
          <w:szCs w:val="21"/>
          <w:highlight w:val="none"/>
        </w:rPr>
        <w:t>按各市政府或相关部门的规定办理。属不可抗力（自然灾害、突发事件等）造成变更的，按特事特办原则予以办理。</w:t>
      </w:r>
    </w:p>
    <w:p w14:paraId="2D63822D">
      <w:pPr>
        <w:pStyle w:val="27"/>
        <w:spacing w:line="360" w:lineRule="auto"/>
        <w:ind w:firstLine="441" w:firstLineChars="210"/>
        <w:rPr>
          <w:rFonts w:ascii="Times New Roman" w:hAnsi="宋体"/>
          <w:bCs/>
          <w:color w:val="auto"/>
          <w:sz w:val="21"/>
          <w:szCs w:val="21"/>
          <w:highlight w:val="none"/>
        </w:rPr>
      </w:pPr>
      <w:r>
        <w:rPr>
          <w:rFonts w:hint="eastAsia" w:ascii="Times New Roman" w:hAnsi="宋体"/>
          <w:bCs/>
          <w:color w:val="auto"/>
          <w:sz w:val="21"/>
          <w:szCs w:val="21"/>
          <w:highlight w:val="none"/>
        </w:rPr>
        <w:t>⑵建设单位在实施项目过程中，若发生单价变动，由发包人、承包人、监理或（和）造价咨询等单位共同商定并签字确认。</w:t>
      </w:r>
    </w:p>
    <w:p w14:paraId="0B670BA2">
      <w:pPr>
        <w:pStyle w:val="27"/>
        <w:spacing w:line="360" w:lineRule="auto"/>
        <w:ind w:firstLine="441" w:firstLineChars="210"/>
        <w:rPr>
          <w:rFonts w:ascii="Times New Roman" w:hAnsi="宋体"/>
          <w:bCs/>
          <w:color w:val="auto"/>
          <w:sz w:val="21"/>
          <w:szCs w:val="21"/>
          <w:highlight w:val="none"/>
        </w:rPr>
      </w:pPr>
      <w:r>
        <w:rPr>
          <w:rFonts w:hint="eastAsia" w:ascii="Times New Roman" w:hAnsi="宋体"/>
          <w:bCs/>
          <w:color w:val="auto"/>
          <w:sz w:val="21"/>
          <w:szCs w:val="21"/>
          <w:highlight w:val="none"/>
        </w:rPr>
        <w:t>⑶</w:t>
      </w:r>
      <w:r>
        <w:rPr>
          <w:rFonts w:ascii="Times New Roman" w:hAnsi="宋体"/>
          <w:bCs/>
          <w:color w:val="auto"/>
          <w:sz w:val="21"/>
          <w:szCs w:val="21"/>
          <w:highlight w:val="none"/>
        </w:rPr>
        <w:t xml:space="preserve"> </w:t>
      </w:r>
      <w:r>
        <w:rPr>
          <w:rFonts w:hint="eastAsia" w:ascii="Times New Roman" w:hAnsi="宋体"/>
          <w:bCs/>
          <w:color w:val="auto"/>
          <w:sz w:val="21"/>
          <w:szCs w:val="21"/>
          <w:highlight w:val="none"/>
        </w:rPr>
        <w:t>当合同规定的合同价款调整情况发生后，承包人未在规定时间内通知发包人，或者未在规定时间内提出调整报告，发包人可以根据有关资料，决定是否调整和调整的金额，并书面通知承包人。</w:t>
      </w:r>
    </w:p>
    <w:p w14:paraId="6AF36FB1">
      <w:pPr>
        <w:spacing w:line="360" w:lineRule="auto"/>
        <w:ind w:firstLine="420" w:firstLineChars="200"/>
        <w:jc w:val="left"/>
        <w:rPr>
          <w:color w:val="auto"/>
          <w:highlight w:val="none"/>
        </w:rPr>
      </w:pPr>
      <w:r>
        <w:rPr>
          <w:color w:val="auto"/>
          <w:highlight w:val="none"/>
        </w:rPr>
        <w:t xml:space="preserve">10.3.2 </w:t>
      </w:r>
      <w:r>
        <w:rPr>
          <w:rFonts w:hint="eastAsia" w:cs="宋体"/>
          <w:color w:val="auto"/>
          <w:highlight w:val="none"/>
        </w:rPr>
        <w:t>非国有</w:t>
      </w:r>
      <w:r>
        <w:rPr>
          <w:rFonts w:hint="eastAsia" w:cs="宋体"/>
          <w:color w:val="auto"/>
          <w:highlight w:val="none"/>
          <w:lang w:val="en-US" w:eastAsia="zh-CN"/>
        </w:rPr>
        <w:t>资金</w:t>
      </w:r>
      <w:r>
        <w:rPr>
          <w:rFonts w:hint="eastAsia" w:cs="宋体"/>
          <w:color w:val="auto"/>
          <w:highlight w:val="none"/>
        </w:rPr>
        <w:t>投资项目：</w:t>
      </w:r>
      <w:r>
        <w:rPr>
          <w:color w:val="auto"/>
          <w:highlight w:val="none"/>
        </w:rPr>
        <w:t xml:space="preserve"> </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15155347">
      <w:pPr>
        <w:pStyle w:val="5"/>
        <w:jc w:val="left"/>
        <w:rPr>
          <w:color w:val="auto"/>
          <w:highlight w:val="none"/>
        </w:rPr>
      </w:pPr>
      <w:bookmarkStart w:id="365" w:name="_Toc508"/>
      <w:bookmarkStart w:id="366" w:name="_Toc3998"/>
      <w:r>
        <w:rPr>
          <w:color w:val="auto"/>
          <w:highlight w:val="none"/>
        </w:rPr>
        <w:t xml:space="preserve">10.4 </w:t>
      </w:r>
      <w:r>
        <w:rPr>
          <w:rFonts w:hint="eastAsia" w:ascii="Arial" w:hAnsi="Arial" w:cs="黑体"/>
          <w:highlight w:val="none"/>
        </w:rPr>
        <w:t>变更</w:t>
      </w:r>
      <w:r>
        <w:rPr>
          <w:rFonts w:hint="eastAsia" w:hAnsi="宋体" w:cs="黑体"/>
          <w:color w:val="auto"/>
          <w:highlight w:val="none"/>
        </w:rPr>
        <w:t>估价</w:t>
      </w:r>
      <w:bookmarkEnd w:id="365"/>
      <w:bookmarkEnd w:id="366"/>
    </w:p>
    <w:p w14:paraId="35C5941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 xml:space="preserve"> 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4</w:t>
      </w:r>
      <w:r>
        <w:rPr>
          <w:rFonts w:hint="eastAsia" w:hAnsi="宋体" w:cs="宋体"/>
          <w:color w:val="auto"/>
          <w:kern w:val="0"/>
          <w:highlight w:val="none"/>
        </w:rPr>
        <w:t>.1 因工程变更引起分部分项工程项目清单的清单项目增加或减少的，</w:t>
      </w:r>
      <w:r>
        <w:rPr>
          <w:rFonts w:hint="eastAsia" w:hAnsi="宋体" w:cs="宋体"/>
          <w:color w:val="auto"/>
          <w:kern w:val="0"/>
          <w:highlight w:val="none"/>
          <w:lang w:val="en-US" w:eastAsia="zh-CN"/>
        </w:rPr>
        <w:t>应</w:t>
      </w:r>
      <w:r>
        <w:rPr>
          <w:rFonts w:hint="eastAsia" w:hAnsi="宋体" w:cs="宋体"/>
          <w:color w:val="auto"/>
          <w:kern w:val="0"/>
          <w:highlight w:val="none"/>
        </w:rPr>
        <w:t>按以下确定综合单价，调整合同价格：</w:t>
      </w:r>
    </w:p>
    <w:p w14:paraId="1DCC1B6C">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（1）相同施工条件下实施相同项目特征的清单项目</w:t>
      </w:r>
      <w:r>
        <w:rPr>
          <w:rFonts w:hint="eastAsia" w:hAnsi="宋体" w:cs="宋体"/>
          <w:color w:val="auto"/>
          <w:kern w:val="0"/>
          <w:highlight w:val="none"/>
          <w:lang w:eastAsia="zh-CN"/>
        </w:rPr>
        <w:t>，应采用相应的合同单价</w:t>
      </w:r>
      <w:r>
        <w:rPr>
          <w:rFonts w:hint="eastAsia" w:hAnsi="宋体" w:cs="宋体"/>
          <w:color w:val="auto"/>
          <w:kern w:val="0"/>
          <w:highlight w:val="none"/>
          <w:lang w:val="en-US" w:eastAsia="zh-CN"/>
        </w:rPr>
        <w:t>。</w:t>
      </w:r>
    </w:p>
    <w:p w14:paraId="43A6B54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（2）相同施工条件下实施类似项目特征的清单项目或类似施工条件下实施相同项目特征的清单项目，采用类似清单项目的合同单价换算调整后的综合单价；</w:t>
      </w:r>
    </w:p>
    <w:p w14:paraId="0711C03D">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（3）相同施工条件下实施不同项目特征的清单项目或不同施工条件下实施相同项目特征的清单项目，依据工程实施情况，结合</w:t>
      </w:r>
      <w:r>
        <w:rPr>
          <w:rFonts w:hint="eastAsia" w:hAnsi="宋体" w:cs="宋体"/>
          <w:color w:val="auto"/>
          <w:kern w:val="0"/>
          <w:highlight w:val="none"/>
          <w:lang w:eastAsia="zh-CN"/>
        </w:rPr>
        <w:t>自治区建设行政主管部门颁布的综合单价组价表、</w:t>
      </w:r>
      <w:r>
        <w:rPr>
          <w:rFonts w:hint="eastAsia" w:hAnsi="宋体" w:cs="宋体"/>
          <w:color w:val="auto"/>
          <w:kern w:val="0"/>
          <w:highlight w:val="none"/>
        </w:rPr>
        <w:t>类似</w:t>
      </w:r>
      <w:r>
        <w:rPr>
          <w:rFonts w:hint="eastAsia" w:hAnsi="宋体" w:cs="宋体"/>
          <w:color w:val="auto"/>
          <w:kern w:val="0"/>
          <w:highlight w:val="none"/>
          <w:lang w:val="en-US" w:eastAsia="zh-CN"/>
        </w:rPr>
        <w:t>清单</w:t>
      </w:r>
      <w:r>
        <w:rPr>
          <w:rFonts w:hint="eastAsia" w:hAnsi="宋体" w:cs="宋体"/>
          <w:color w:val="auto"/>
          <w:kern w:val="0"/>
          <w:highlight w:val="none"/>
        </w:rPr>
        <w:t>项目的合同单价计价规则及报价水平，由发承包双方协商确定合理的综合单价；</w:t>
      </w:r>
    </w:p>
    <w:p w14:paraId="147F18E8">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（4）不同施工条件下实施不同项目特征的清单项目，依据工程实施情况，结合</w:t>
      </w:r>
      <w:r>
        <w:rPr>
          <w:rFonts w:hint="eastAsia" w:hAnsi="宋体" w:cs="宋体"/>
          <w:color w:val="auto"/>
          <w:kern w:val="0"/>
          <w:highlight w:val="none"/>
          <w:lang w:eastAsia="zh-CN"/>
        </w:rPr>
        <w:t>自治区建设行政主管部门颁布的综合单价组价表、</w:t>
      </w:r>
      <w:r>
        <w:rPr>
          <w:rFonts w:hint="eastAsia" w:hAnsi="宋体" w:cs="宋体"/>
          <w:color w:val="auto"/>
          <w:kern w:val="0"/>
          <w:highlight w:val="none"/>
        </w:rPr>
        <w:t>同类工程类似清单项目的综合单价，由发承包双方协商确定合理的综合单价；</w:t>
      </w:r>
    </w:p>
    <w:p w14:paraId="116B6021">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（5）因减少或取消清单项目的工程变更显著改变了实施中的工程施工条件，发承包双方根据实施工程的具体情况、市场价格、合同单价计价规则及报价水平协商确定工程变更的综合单价。</w:t>
      </w:r>
    </w:p>
    <w:p w14:paraId="0D3B9E17">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（6）发包人提供的材料变更为承包人负责采购的，相应分部分项工程项目清单变更后的综合单价按下式计算：综合单价=合同单价+已确认材料价格×</w:t>
      </w:r>
      <w:r>
        <w:rPr>
          <w:rFonts w:hint="eastAsia" w:hAnsi="宋体" w:cs="宋体"/>
          <w:color w:val="auto"/>
          <w:kern w:val="0"/>
          <w:highlight w:val="none"/>
          <w:lang w:eastAsia="zh-CN"/>
        </w:rPr>
        <w:t>（</w:t>
      </w:r>
      <w:r>
        <w:rPr>
          <w:rFonts w:hint="eastAsia" w:hAnsi="宋体" w:cs="宋体"/>
          <w:color w:val="auto"/>
          <w:kern w:val="0"/>
          <w:highlight w:val="none"/>
        </w:rPr>
        <w:t>1+损耗率</w:t>
      </w:r>
      <w:r>
        <w:rPr>
          <w:rFonts w:hint="eastAsia" w:hAnsi="宋体" w:cs="宋体"/>
          <w:color w:val="auto"/>
          <w:kern w:val="0"/>
          <w:highlight w:val="none"/>
          <w:lang w:eastAsia="zh-CN"/>
        </w:rPr>
        <w:t>）</w:t>
      </w:r>
      <w:r>
        <w:rPr>
          <w:rFonts w:hint="eastAsia" w:hAnsi="宋体" w:cs="宋体"/>
          <w:color w:val="auto"/>
          <w:kern w:val="0"/>
          <w:highlight w:val="none"/>
        </w:rPr>
        <w:t>×（1+增值税税率）</w:t>
      </w:r>
    </w:p>
    <w:p w14:paraId="6BF1CBB0">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（7）承包人提供的材料变更为发包人提供的，相关合同清单项目综合单价中包含的材料费、增值税等应予扣除，综合单价中所含的其他费用不作调整，扣除后的清单项目单价为该清单项目的安装综合单价。</w:t>
      </w:r>
    </w:p>
    <w:p w14:paraId="4F069588">
      <w:pPr>
        <w:keepNext w:val="0"/>
        <w:keepLines w:val="0"/>
        <w:pageBreakBefore w:val="0"/>
        <w:widowControl/>
        <w:tabs>
          <w:tab w:val="left" w:pos="8647"/>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cs="宋体"/>
          <w:b w:val="0"/>
          <w:bCs w:val="0"/>
          <w:color w:val="auto"/>
          <w:sz w:val="21"/>
          <w:szCs w:val="21"/>
          <w:highlight w:val="none"/>
          <w:lang w:val="en-US" w:eastAsia="zh-CN"/>
        </w:rPr>
      </w:pPr>
      <w:r>
        <w:rPr>
          <w:rFonts w:hint="eastAsia" w:hAnsi="宋体" w:cs="宋体"/>
          <w:color w:val="auto"/>
          <w:kern w:val="0"/>
          <w:highlight w:val="none"/>
          <w:lang w:eastAsia="zh-CN"/>
        </w:rPr>
        <w:t>（</w:t>
      </w:r>
      <w:r>
        <w:rPr>
          <w:rFonts w:hint="eastAsia" w:hAnsi="宋体" w:cs="宋体"/>
          <w:color w:val="auto"/>
          <w:kern w:val="0"/>
          <w:highlight w:val="none"/>
          <w:lang w:val="en-US" w:eastAsia="zh-CN"/>
        </w:rPr>
        <w:t>8</w:t>
      </w:r>
      <w:r>
        <w:rPr>
          <w:rFonts w:hint="eastAsia" w:hAnsi="宋体" w:cs="宋体"/>
          <w:color w:val="auto"/>
          <w:kern w:val="0"/>
          <w:highlight w:val="none"/>
          <w:lang w:eastAsia="zh-CN"/>
        </w:rPr>
        <w:t>）</w:t>
      </w:r>
      <w:r>
        <w:rPr>
          <w:rFonts w:hint="eastAsia"/>
          <w:color w:val="auto"/>
          <w:highlight w:val="none"/>
          <w:lang w:eastAsia="zh-CN"/>
        </w:rPr>
        <w:t>如在招标过程中出现投标人的投标文件存在算术误差及细微偏差，以招标文件“澄清、说明或补正”规定</w:t>
      </w:r>
      <w:r>
        <w:rPr>
          <w:rFonts w:hint="eastAsia" w:ascii="宋体" w:hAnsi="宋体" w:cs="宋体"/>
          <w:b w:val="0"/>
          <w:bCs w:val="0"/>
          <w:color w:val="auto"/>
          <w:sz w:val="21"/>
          <w:szCs w:val="21"/>
          <w:highlight w:val="none"/>
          <w:lang w:val="en-US" w:eastAsia="zh-CN"/>
        </w:rPr>
        <w:t>修正后的综合单价作为工程进度款（总价合同除外）、工程变更以及单价合同竣工结算的计价依据。</w:t>
      </w:r>
    </w:p>
    <w:p w14:paraId="05DC4B8E">
      <w:pPr>
        <w:spacing w:line="360" w:lineRule="auto"/>
        <w:ind w:firstLine="420" w:firstLineChars="20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（9）如在招标过程中出现综合单价</w:t>
      </w:r>
      <w:r>
        <w:rPr>
          <w:rFonts w:hint="eastAsia" w:ascii="宋体" w:hAnsi="宋体" w:eastAsia="宋体" w:cs="宋体"/>
          <w:color w:val="auto"/>
          <w:spacing w:val="0"/>
          <w:sz w:val="21"/>
          <w:szCs w:val="21"/>
          <w:highlight w:val="none"/>
        </w:rPr>
        <w:t>非合理性偏低或偏高</w:t>
      </w:r>
      <w:r>
        <w:rPr>
          <w:rFonts w:hint="eastAsia" w:ascii="宋体" w:hAnsi="宋体" w:cs="宋体"/>
          <w:color w:val="auto"/>
          <w:spacing w:val="0"/>
          <w:sz w:val="21"/>
          <w:szCs w:val="21"/>
          <w:highlight w:val="none"/>
          <w:lang w:eastAsia="zh-CN"/>
        </w:rPr>
        <w:t>，</w:t>
      </w:r>
      <w:r>
        <w:rPr>
          <w:rFonts w:hint="eastAsia"/>
          <w:color w:val="auto"/>
          <w:highlight w:val="none"/>
          <w:lang w:eastAsia="zh-CN"/>
        </w:rPr>
        <w:t>以招标文件“澄清、说明或补正”规定投标人</w:t>
      </w:r>
      <w:r>
        <w:rPr>
          <w:rFonts w:hint="eastAsia" w:ascii="宋体" w:hAnsi="宋体" w:eastAsia="宋体" w:cs="宋体"/>
          <w:color w:val="auto"/>
          <w:spacing w:val="0"/>
          <w:sz w:val="21"/>
          <w:szCs w:val="21"/>
          <w:highlight w:val="none"/>
        </w:rPr>
        <w:t>提供的合理修正综合单价</w:t>
      </w:r>
      <w:r>
        <w:rPr>
          <w:rFonts w:hint="eastAsia" w:ascii="宋体" w:hAnsi="宋体" w:eastAsia="宋体" w:cs="宋体"/>
          <w:color w:val="auto"/>
          <w:spacing w:val="0"/>
          <w:sz w:val="21"/>
          <w:szCs w:val="21"/>
          <w:highlight w:val="none"/>
          <w:lang w:eastAsia="zh-CN"/>
        </w:rPr>
        <w:t>作为</w:t>
      </w:r>
      <w:r>
        <w:rPr>
          <w:rFonts w:hint="eastAsia" w:ascii="宋体" w:hAnsi="宋体" w:eastAsia="宋体" w:cs="宋体"/>
          <w:color w:val="auto"/>
          <w:spacing w:val="0"/>
          <w:sz w:val="21"/>
          <w:szCs w:val="21"/>
          <w:highlight w:val="none"/>
        </w:rPr>
        <w:t>已标价工程量清单所列清单项目数量</w:t>
      </w:r>
      <w:r>
        <w:rPr>
          <w:rFonts w:hint="eastAsia" w:ascii="宋体" w:hAnsi="宋体" w:eastAsia="宋体" w:cs="宋体"/>
          <w:color w:val="auto"/>
          <w:spacing w:val="0"/>
          <w:sz w:val="21"/>
          <w:szCs w:val="21"/>
          <w:highlight w:val="none"/>
          <w:lang w:eastAsia="zh-CN"/>
        </w:rPr>
        <w:t>增加（总价合同除外）</w:t>
      </w:r>
      <w:r>
        <w:rPr>
          <w:rFonts w:hint="eastAsia" w:ascii="宋体" w:hAnsi="宋体" w:eastAsia="宋体" w:cs="宋体"/>
          <w:color w:val="auto"/>
          <w:spacing w:val="0"/>
          <w:sz w:val="21"/>
          <w:szCs w:val="21"/>
          <w:highlight w:val="none"/>
        </w:rPr>
        <w:t>和工程变更计价</w:t>
      </w:r>
      <w:r>
        <w:rPr>
          <w:rFonts w:hint="eastAsia" w:ascii="宋体" w:hAnsi="宋体" w:eastAsia="宋体" w:cs="宋体"/>
          <w:color w:val="auto"/>
          <w:spacing w:val="0"/>
          <w:sz w:val="21"/>
          <w:szCs w:val="21"/>
          <w:highlight w:val="none"/>
          <w:lang w:eastAsia="zh-CN"/>
        </w:rPr>
        <w:t>依据</w:t>
      </w:r>
      <w:r>
        <w:rPr>
          <w:rFonts w:hint="eastAsia" w:ascii="宋体" w:hAnsi="宋体" w:eastAsia="宋体" w:cs="宋体"/>
          <w:color w:val="auto"/>
          <w:spacing w:val="0"/>
          <w:sz w:val="21"/>
          <w:szCs w:val="21"/>
          <w:highlight w:val="none"/>
        </w:rPr>
        <w:t>。</w:t>
      </w:r>
    </w:p>
    <w:p w14:paraId="46C7C467">
      <w:pPr>
        <w:spacing w:line="360" w:lineRule="auto"/>
        <w:ind w:firstLine="420" w:firstLineChars="200"/>
        <w:rPr>
          <w:color w:val="auto"/>
          <w:highlight w:val="none"/>
        </w:rPr>
      </w:pPr>
      <w:r>
        <w:rPr>
          <w:rFonts w:hint="eastAsia" w:ascii="宋体" w:hAnsi="宋体" w:cs="宋体"/>
          <w:b w:val="0"/>
          <w:bCs w:val="0"/>
          <w:color w:val="auto"/>
          <w:sz w:val="21"/>
          <w:szCs w:val="21"/>
          <w:highlight w:val="none"/>
          <w:lang w:val="en-US" w:eastAsia="zh-CN"/>
        </w:rPr>
        <w:t>（10）采用单价合同时，工程变更和工程量清单缺陷导致</w:t>
      </w:r>
      <w:r>
        <w:rPr>
          <w:rFonts w:hint="eastAsia" w:hAnsi="宋体" w:cs="宋体"/>
          <w:color w:val="auto"/>
          <w:highlight w:val="none"/>
        </w:rPr>
        <w:t>工程量清单工程量偏差时，是否调整合同</w:t>
      </w:r>
      <w:r>
        <w:rPr>
          <w:rFonts w:hint="eastAsia" w:hAnsi="宋体" w:cs="宋体"/>
          <w:color w:val="auto"/>
          <w:highlight w:val="none"/>
          <w:lang w:eastAsia="zh-CN"/>
        </w:rPr>
        <w:t>单价</w:t>
      </w:r>
      <w:r>
        <w:rPr>
          <w:rFonts w:hint="eastAsia" w:hAnsi="宋体" w:cs="宋体"/>
          <w:color w:val="auto"/>
          <w:highlight w:val="none"/>
        </w:rPr>
        <w:t>：</w:t>
      </w:r>
      <w:r>
        <w:rPr>
          <w:rFonts w:hint="eastAsia" w:ascii="宋体" w:hAnsi="宋体" w:cs="宋体"/>
          <w:color w:val="auto"/>
          <w:highlight w:val="none"/>
          <w:u w:val="single"/>
        </w:rPr>
        <w:t>□</w:t>
      </w:r>
      <w:r>
        <w:rPr>
          <w:rFonts w:hint="eastAsia" w:hAnsi="宋体" w:cs="宋体"/>
          <w:color w:val="auto"/>
          <w:highlight w:val="none"/>
          <w:u w:val="single"/>
        </w:rPr>
        <w:t xml:space="preserve">是  </w:t>
      </w:r>
      <w:r>
        <w:rPr>
          <w:rFonts w:hint="eastAsia" w:ascii="宋体" w:hAnsi="宋体" w:cs="宋体"/>
          <w:color w:val="auto"/>
          <w:highlight w:val="none"/>
          <w:u w:val="single"/>
        </w:rPr>
        <w:t>□</w:t>
      </w:r>
      <w:r>
        <w:rPr>
          <w:rFonts w:hint="eastAsia" w:hAnsi="宋体" w:cs="宋体"/>
          <w:color w:val="auto"/>
          <w:highlight w:val="none"/>
          <w:u w:val="single"/>
        </w:rPr>
        <w:t>否</w:t>
      </w:r>
      <w:r>
        <w:rPr>
          <w:rFonts w:hint="eastAsia" w:hAnsi="宋体" w:cs="宋体"/>
          <w:color w:val="auto"/>
          <w:kern w:val="0"/>
          <w:highlight w:val="none"/>
        </w:rPr>
        <w:t>。</w:t>
      </w:r>
    </w:p>
    <w:p w14:paraId="693DB162">
      <w:pPr>
        <w:spacing w:line="360" w:lineRule="auto"/>
        <w:ind w:firstLine="420" w:firstLineChars="200"/>
        <w:rPr>
          <w:rFonts w:hint="eastAsia" w:hAnsi="宋体" w:cs="宋体"/>
          <w:color w:val="auto"/>
          <w:highlight w:val="none"/>
        </w:rPr>
      </w:pPr>
      <w:r>
        <w:rPr>
          <w:rFonts w:hint="eastAsia" w:ascii="宋体" w:hAnsi="宋体" w:cs="宋体"/>
          <w:b w:val="0"/>
          <w:bCs w:val="0"/>
          <w:color w:val="auto"/>
          <w:sz w:val="21"/>
          <w:szCs w:val="21"/>
          <w:highlight w:val="none"/>
          <w:lang w:val="en-US" w:eastAsia="zh-CN"/>
        </w:rPr>
        <w:t>除综合单价存在</w:t>
      </w:r>
      <w:r>
        <w:rPr>
          <w:rFonts w:hint="eastAsia" w:ascii="宋体" w:hAnsi="宋体" w:eastAsia="宋体" w:cs="宋体"/>
          <w:color w:val="auto"/>
          <w:spacing w:val="0"/>
          <w:sz w:val="21"/>
          <w:szCs w:val="21"/>
          <w:highlight w:val="none"/>
        </w:rPr>
        <w:t>非合理性偏低或偏高</w:t>
      </w:r>
      <w:r>
        <w:rPr>
          <w:rFonts w:hint="eastAsia" w:ascii="宋体" w:hAnsi="宋体" w:cs="宋体"/>
          <w:color w:val="auto"/>
          <w:spacing w:val="0"/>
          <w:sz w:val="21"/>
          <w:szCs w:val="21"/>
          <w:highlight w:val="none"/>
          <w:lang w:eastAsia="zh-CN"/>
        </w:rPr>
        <w:t>按合理修正综合单价计价外，</w:t>
      </w:r>
      <w:r>
        <w:rPr>
          <w:rFonts w:hint="eastAsia" w:hAnsi="宋体" w:cs="宋体"/>
          <w:color w:val="auto"/>
          <w:highlight w:val="none"/>
        </w:rPr>
        <w:t>允许调整合同价格的工程量偏差范围及其调整办法：</w:t>
      </w:r>
    </w:p>
    <w:p w14:paraId="05229C63">
      <w:pPr>
        <w:spacing w:line="360" w:lineRule="auto"/>
        <w:ind w:firstLine="420" w:firstLineChars="200"/>
        <w:rPr>
          <w:color w:val="auto"/>
          <w:kern w:val="0"/>
          <w:highlight w:val="none"/>
        </w:rPr>
      </w:pPr>
      <w:r>
        <w:rPr>
          <w:rFonts w:hint="eastAsia" w:ascii="宋体" w:hAnsi="宋体" w:cs="宋体"/>
          <w:color w:val="auto"/>
          <w:highlight w:val="none"/>
        </w:rPr>
        <w:t>□</w:t>
      </w:r>
      <w:r>
        <w:rPr>
          <w:color w:val="auto"/>
          <w:highlight w:val="none"/>
          <w:u w:val="single"/>
        </w:rPr>
        <w:t xml:space="preserve"> </w:t>
      </w:r>
      <w:r>
        <w:rPr>
          <w:rFonts w:hint="eastAsia"/>
          <w:color w:val="auto"/>
          <w:highlight w:val="none"/>
          <w:u w:val="single"/>
        </w:rPr>
        <w:t>无论分部分项工程量清单项目中的工程量变化多少均不调整</w:t>
      </w:r>
      <w:r>
        <w:rPr>
          <w:rFonts w:hint="eastAsia" w:hAnsi="宋体" w:cs="宋体"/>
          <w:color w:val="auto"/>
          <w:kern w:val="0"/>
          <w:highlight w:val="none"/>
        </w:rPr>
        <w:t>。</w:t>
      </w:r>
    </w:p>
    <w:p w14:paraId="19F177F8">
      <w:pPr>
        <w:spacing w:line="360" w:lineRule="auto"/>
        <w:ind w:firstLine="420" w:firstLineChars="200"/>
        <w:rPr>
          <w:rFonts w:hint="eastAsia"/>
          <w:color w:val="auto"/>
          <w:highlight w:val="none"/>
          <w:lang w:val="en-US"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 xml:space="preserve"> </w:t>
      </w:r>
      <w:r>
        <w:rPr>
          <w:rFonts w:hint="eastAsia" w:ascii="Calibri" w:hAnsi="宋体" w:cs="宋体"/>
          <w:color w:val="auto"/>
          <w:highlight w:val="none"/>
          <w:u w:val="single"/>
        </w:rPr>
        <w:t xml:space="preserve">承包人实际完成的某单项清单项目工程量与招标工程量清单工程量偏差超过 </w:t>
      </w:r>
      <w:r>
        <w:rPr>
          <w:rFonts w:hint="eastAsia" w:ascii="Calibri" w:hAnsi="宋体" w:cs="宋体"/>
          <w:color w:val="auto"/>
          <w:highlight w:val="none"/>
          <w:u w:val="single"/>
          <w:lang w:val="en-US" w:eastAsia="zh-CN"/>
        </w:rPr>
        <w:t>15</w:t>
      </w:r>
      <w:r>
        <w:rPr>
          <w:rFonts w:hint="eastAsia" w:ascii="Calibri" w:hAnsi="宋体" w:cs="宋体"/>
          <w:color w:val="auto"/>
          <w:highlight w:val="none"/>
          <w:u w:val="single"/>
        </w:rPr>
        <w:t xml:space="preserve"> %</w:t>
      </w:r>
      <w:r>
        <w:rPr>
          <w:rFonts w:hint="eastAsia" w:ascii="Calibri" w:hAnsi="宋体" w:cs="宋体"/>
          <w:color w:val="auto"/>
          <w:highlight w:val="none"/>
          <w:u w:val="single"/>
          <w:lang w:eastAsia="zh-CN"/>
        </w:rPr>
        <w:t>（取值不低于</w:t>
      </w:r>
      <w:r>
        <w:rPr>
          <w:rFonts w:hint="eastAsia" w:ascii="Calibri" w:hAnsi="宋体" w:cs="宋体"/>
          <w:color w:val="auto"/>
          <w:highlight w:val="none"/>
          <w:u w:val="single"/>
          <w:lang w:val="en-US" w:eastAsia="zh-CN"/>
        </w:rPr>
        <w:t>15%</w:t>
      </w:r>
      <w:r>
        <w:rPr>
          <w:rFonts w:hint="eastAsia" w:ascii="Calibri" w:hAnsi="宋体" w:cs="宋体"/>
          <w:color w:val="auto"/>
          <w:highlight w:val="none"/>
          <w:u w:val="single"/>
          <w:lang w:eastAsia="zh-CN"/>
        </w:rPr>
        <w:t>）</w:t>
      </w:r>
      <w:r>
        <w:rPr>
          <w:rFonts w:hint="eastAsia" w:ascii="Calibri" w:hAnsi="宋体" w:cs="宋体"/>
          <w:color w:val="auto"/>
          <w:highlight w:val="none"/>
          <w:u w:val="single"/>
        </w:rPr>
        <w:t>且该单项清单</w:t>
      </w:r>
      <w:r>
        <w:rPr>
          <w:rFonts w:hint="eastAsia" w:ascii="Calibri" w:hAnsi="宋体" w:cs="宋体"/>
          <w:color w:val="auto"/>
          <w:highlight w:val="none"/>
          <w:u w:val="single"/>
          <w:lang w:eastAsia="zh-CN"/>
        </w:rPr>
        <w:t>总价</w:t>
      </w:r>
      <w:r>
        <w:rPr>
          <w:rFonts w:hint="eastAsia" w:ascii="Calibri" w:hAnsi="宋体" w:cs="宋体"/>
          <w:color w:val="auto"/>
          <w:highlight w:val="none"/>
          <w:u w:val="single"/>
        </w:rPr>
        <w:t>超过清单项目所对应单位工程合同总价</w:t>
      </w:r>
      <w:r>
        <w:rPr>
          <w:rFonts w:hint="eastAsia" w:ascii="Calibri" w:hAnsi="宋体" w:cs="宋体"/>
          <w:color w:val="auto"/>
          <w:highlight w:val="none"/>
          <w:u w:val="single"/>
          <w:lang w:val="en-US" w:eastAsia="zh-CN"/>
        </w:rPr>
        <w:t>1</w:t>
      </w:r>
      <w:r>
        <w:rPr>
          <w:rFonts w:hint="eastAsia" w:ascii="Calibri" w:hAnsi="宋体" w:cs="宋体"/>
          <w:color w:val="auto"/>
          <w:highlight w:val="none"/>
          <w:u w:val="single"/>
        </w:rPr>
        <w:t xml:space="preserve"> %</w:t>
      </w:r>
      <w:r>
        <w:rPr>
          <w:rFonts w:hint="eastAsia" w:ascii="Calibri" w:hAnsi="宋体" w:cs="宋体"/>
          <w:color w:val="auto"/>
          <w:highlight w:val="none"/>
          <w:u w:val="single"/>
          <w:lang w:eastAsia="zh-CN"/>
        </w:rPr>
        <w:t>（取值不低于</w:t>
      </w:r>
      <w:r>
        <w:rPr>
          <w:rFonts w:hint="eastAsia" w:ascii="Calibri" w:hAnsi="宋体" w:cs="宋体"/>
          <w:color w:val="auto"/>
          <w:highlight w:val="none"/>
          <w:u w:val="single"/>
          <w:lang w:val="en-US" w:eastAsia="zh-CN"/>
        </w:rPr>
        <w:t>1%</w:t>
      </w:r>
      <w:r>
        <w:rPr>
          <w:rFonts w:hint="eastAsia" w:ascii="Calibri" w:hAnsi="宋体" w:cs="宋体"/>
          <w:color w:val="auto"/>
          <w:highlight w:val="none"/>
          <w:u w:val="single"/>
          <w:lang w:eastAsia="zh-CN"/>
        </w:rPr>
        <w:t>）</w:t>
      </w:r>
      <w:r>
        <w:rPr>
          <w:rFonts w:hint="eastAsia" w:ascii="Calibri" w:hAnsi="宋体" w:cs="宋体"/>
          <w:color w:val="auto"/>
          <w:highlight w:val="none"/>
          <w:u w:val="single"/>
        </w:rPr>
        <w:t>以上的，超过后增加部分工程量或减少后剩余部分工程量的综合单价按以下方法调整：                    。</w:t>
      </w:r>
    </w:p>
    <w:p w14:paraId="12B29D45">
      <w:pPr>
        <w:spacing w:line="360" w:lineRule="auto"/>
        <w:ind w:firstLine="0" w:firstLineChars="0"/>
        <w:jc w:val="left"/>
        <w:rPr>
          <w:rFonts w:hint="eastAsia" w:hAnsi="宋体" w:cs="宋体"/>
          <w:color w:val="auto"/>
          <w:kern w:val="0"/>
          <w:highlight w:val="none"/>
        </w:rPr>
      </w:pPr>
      <w:r>
        <w:rPr>
          <w:rFonts w:hint="eastAsia" w:hAnsi="宋体" w:cs="宋体"/>
          <w:color w:val="auto"/>
          <w:kern w:val="0"/>
          <w:highlight w:val="none"/>
        </w:rPr>
        <w:t xml:space="preserve">    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4</w:t>
      </w:r>
      <w:r>
        <w:rPr>
          <w:rFonts w:hint="eastAsia" w:hAnsi="宋体" w:cs="宋体"/>
          <w:color w:val="auto"/>
          <w:kern w:val="0"/>
          <w:highlight w:val="none"/>
        </w:rPr>
        <w:t>.</w:t>
      </w:r>
      <w:r>
        <w:rPr>
          <w:rFonts w:hint="eastAsia" w:hAnsi="宋体" w:cs="宋体"/>
          <w:color w:val="auto"/>
          <w:kern w:val="0"/>
          <w:highlight w:val="none"/>
          <w:lang w:val="en-US" w:eastAsia="zh-CN"/>
        </w:rPr>
        <w:t>2</w:t>
      </w:r>
      <w:r>
        <w:rPr>
          <w:rFonts w:hint="eastAsia" w:hAnsi="宋体" w:cs="宋体"/>
          <w:color w:val="auto"/>
          <w:kern w:val="0"/>
          <w:highlight w:val="none"/>
        </w:rPr>
        <w:t xml:space="preserve"> </w:t>
      </w:r>
      <w:r>
        <w:rPr>
          <w:rFonts w:hint="eastAsia" w:hAnsi="宋体" w:cs="宋体"/>
          <w:color w:val="auto"/>
          <w:kern w:val="0"/>
          <w:highlight w:val="none"/>
          <w:lang w:eastAsia="zh-CN"/>
        </w:rPr>
        <w:t>因</w:t>
      </w:r>
      <w:r>
        <w:rPr>
          <w:rFonts w:hint="eastAsia" w:hAnsi="宋体" w:cs="宋体"/>
          <w:color w:val="auto"/>
          <w:kern w:val="0"/>
          <w:highlight w:val="none"/>
        </w:rPr>
        <w:t>工程变更或发包人责任事件引起合同工期实质性延长或缩短的，按以下公式计算合同工期影响的措施项目调增（减）价格：</w:t>
      </w:r>
    </w:p>
    <w:p w14:paraId="58456C51">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措施项目调增（减）价格＝延长（缩短）工期×措施项目中期运行费用</w:t>
      </w:r>
      <w:r>
        <w:rPr>
          <w:rFonts w:hint="eastAsia" w:hAnsi="宋体" w:cs="宋体"/>
          <w:color w:val="auto"/>
          <w:kern w:val="0"/>
          <w:highlight w:val="none"/>
          <w:lang w:val="en-US" w:eastAsia="zh-CN"/>
        </w:rPr>
        <w:t>÷</w:t>
      </w:r>
      <w:r>
        <w:rPr>
          <w:rFonts w:hint="eastAsia" w:hAnsi="宋体" w:cs="宋体"/>
          <w:color w:val="auto"/>
          <w:kern w:val="0"/>
          <w:highlight w:val="none"/>
        </w:rPr>
        <w:t>合同工期</w:t>
      </w:r>
    </w:p>
    <w:p w14:paraId="413CC1C0">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措施项目中期运行费用——按本合同</w:t>
      </w:r>
      <w:r>
        <w:rPr>
          <w:rFonts w:hint="eastAsia" w:hAnsi="宋体" w:cs="宋体"/>
          <w:color w:val="auto"/>
          <w:kern w:val="0"/>
          <w:highlight w:val="none"/>
          <w:lang w:eastAsia="zh-CN"/>
        </w:rPr>
        <w:t>附件</w:t>
      </w:r>
      <w:r>
        <w:rPr>
          <w:rFonts w:hint="eastAsia" w:hAnsi="宋体" w:cs="宋体"/>
          <w:color w:val="auto"/>
          <w:kern w:val="0"/>
          <w:highlight w:val="none"/>
          <w:lang w:val="en-US" w:eastAsia="zh-CN"/>
        </w:rPr>
        <w:t>15</w:t>
      </w:r>
      <w:r>
        <w:rPr>
          <w:rFonts w:hint="eastAsia" w:hAnsi="宋体" w:cs="宋体"/>
          <w:color w:val="auto"/>
          <w:kern w:val="0"/>
          <w:highlight w:val="none"/>
        </w:rPr>
        <w:t>《措施项目费用分拆表》计算合同清单中所有受影响措施项目的中期运行费用。</w:t>
      </w:r>
    </w:p>
    <w:p w14:paraId="1D94920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4</w:t>
      </w:r>
      <w:r>
        <w:rPr>
          <w:rFonts w:hint="eastAsia" w:hAnsi="宋体" w:cs="宋体"/>
          <w:color w:val="auto"/>
          <w:kern w:val="0"/>
          <w:highlight w:val="none"/>
        </w:rPr>
        <w:t>.</w:t>
      </w:r>
      <w:r>
        <w:rPr>
          <w:rFonts w:hint="eastAsia" w:hAnsi="宋体" w:cs="宋体"/>
          <w:color w:val="auto"/>
          <w:kern w:val="0"/>
          <w:highlight w:val="none"/>
          <w:lang w:val="en-US" w:eastAsia="zh-CN"/>
        </w:rPr>
        <w:t>3</w:t>
      </w:r>
      <w:r>
        <w:rPr>
          <w:rFonts w:hint="eastAsia" w:hAnsi="宋体" w:cs="宋体"/>
          <w:color w:val="auto"/>
          <w:kern w:val="0"/>
          <w:highlight w:val="none"/>
        </w:rPr>
        <w:t xml:space="preserve"> 为完成工程变更而需增加的额外措施项目费用应按以下约定计算：</w:t>
      </w:r>
    </w:p>
    <w:p w14:paraId="238FE7A2">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完成工程变更所需增加设置的临时设施，按实际发生临时设施的类型、数量及使用时间进行计量，由发承包双方协商确定的合理价格进行计价。</w:t>
      </w:r>
    </w:p>
    <w:p w14:paraId="1D83810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4</w:t>
      </w:r>
      <w:r>
        <w:rPr>
          <w:rFonts w:hint="eastAsia" w:hAnsi="宋体" w:cs="宋体"/>
          <w:color w:val="auto"/>
          <w:kern w:val="0"/>
          <w:highlight w:val="none"/>
        </w:rPr>
        <w:t>.</w:t>
      </w:r>
      <w:r>
        <w:rPr>
          <w:rFonts w:hint="eastAsia" w:hAnsi="宋体" w:cs="宋体"/>
          <w:color w:val="auto"/>
          <w:kern w:val="0"/>
          <w:highlight w:val="none"/>
          <w:lang w:val="en-US" w:eastAsia="zh-CN"/>
        </w:rPr>
        <w:t>4</w:t>
      </w:r>
      <w:r>
        <w:rPr>
          <w:rFonts w:hint="eastAsia" w:hAnsi="宋体" w:cs="宋体"/>
          <w:color w:val="auto"/>
          <w:kern w:val="0"/>
          <w:highlight w:val="none"/>
        </w:rPr>
        <w:t>工程变更涉及合同工程范围、工期、质量、合同规范等实质性内容变化并引起措施项目发生改变时，发承包双方的不利一方提出调整措施项目费的，应事先将拟实施的方案提交另一方审核，</w:t>
      </w:r>
      <w:r>
        <w:rPr>
          <w:rFonts w:hint="eastAsia" w:hAnsi="宋体" w:cs="宋体"/>
          <w:color w:val="auto"/>
          <w:kern w:val="0"/>
          <w:highlight w:val="none"/>
          <w:lang w:eastAsia="zh-CN"/>
        </w:rPr>
        <w:t>并</w:t>
      </w:r>
      <w:r>
        <w:rPr>
          <w:rFonts w:hint="eastAsia" w:hAnsi="宋体" w:cs="宋体"/>
          <w:color w:val="auto"/>
          <w:kern w:val="0"/>
          <w:highlight w:val="none"/>
        </w:rPr>
        <w:t>详细说明与原方案措施项目对比的变化情况</w:t>
      </w:r>
      <w:r>
        <w:rPr>
          <w:rFonts w:hint="eastAsia" w:hAnsi="宋体" w:cs="宋体"/>
          <w:color w:val="auto"/>
          <w:kern w:val="0"/>
          <w:highlight w:val="none"/>
          <w:lang w:eastAsia="zh-CN"/>
        </w:rPr>
        <w:t>，</w:t>
      </w:r>
      <w:r>
        <w:rPr>
          <w:rFonts w:hint="eastAsia" w:hAnsi="宋体" w:cs="宋体"/>
          <w:color w:val="auto"/>
          <w:kern w:val="0"/>
          <w:highlight w:val="none"/>
        </w:rPr>
        <w:t xml:space="preserve">拟实施的方案经发承包双方确认后执行的，应按本合同第 </w:t>
      </w:r>
      <w:r>
        <w:rPr>
          <w:rFonts w:hint="eastAsia" w:hAnsi="宋体" w:cs="宋体"/>
          <w:color w:val="auto"/>
          <w:kern w:val="0"/>
          <w:highlight w:val="none"/>
          <w:lang w:val="en-US" w:eastAsia="zh-CN"/>
        </w:rPr>
        <w:t>10.4.2</w:t>
      </w:r>
      <w:r>
        <w:rPr>
          <w:rFonts w:hint="eastAsia" w:hAnsi="宋体" w:cs="宋体"/>
          <w:color w:val="auto"/>
          <w:kern w:val="0"/>
          <w:highlight w:val="none"/>
        </w:rPr>
        <w:t>条、第</w:t>
      </w:r>
      <w:r>
        <w:rPr>
          <w:rFonts w:hint="eastAsia" w:hAnsi="宋体" w:cs="宋体"/>
          <w:color w:val="auto"/>
          <w:kern w:val="0"/>
          <w:highlight w:val="none"/>
          <w:lang w:val="en-US" w:eastAsia="zh-CN"/>
        </w:rPr>
        <w:t>10.4.3</w:t>
      </w:r>
      <w:r>
        <w:rPr>
          <w:rFonts w:hint="eastAsia" w:hAnsi="宋体" w:cs="宋体"/>
          <w:color w:val="auto"/>
          <w:kern w:val="0"/>
          <w:highlight w:val="none"/>
        </w:rPr>
        <w:t>条的约定调整措施项目费。</w:t>
      </w:r>
    </w:p>
    <w:p w14:paraId="5EEDB96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4</w:t>
      </w:r>
      <w:r>
        <w:rPr>
          <w:rFonts w:hint="eastAsia" w:hAnsi="宋体" w:cs="宋体"/>
          <w:color w:val="auto"/>
          <w:kern w:val="0"/>
          <w:highlight w:val="none"/>
        </w:rPr>
        <w:t>.</w:t>
      </w:r>
      <w:r>
        <w:rPr>
          <w:rFonts w:hint="eastAsia" w:hAnsi="宋体" w:cs="宋体"/>
          <w:color w:val="auto"/>
          <w:kern w:val="0"/>
          <w:highlight w:val="none"/>
          <w:lang w:val="en-US" w:eastAsia="zh-CN"/>
        </w:rPr>
        <w:t>5</w:t>
      </w:r>
      <w:r>
        <w:rPr>
          <w:rFonts w:hint="eastAsia" w:hAnsi="宋体" w:cs="宋体"/>
          <w:color w:val="auto"/>
          <w:kern w:val="0"/>
          <w:highlight w:val="none"/>
        </w:rPr>
        <w:t xml:space="preserve"> 发包人提出的工程变更取消了合同中的某项原定工作或工程，且承包人发生的费用或（和）应得的收益没有包括在其他已支付或应支付的项目中或在任何替代的工作或工程中，发包人应补偿承包人的损失费用及合理的预期收益。 </w:t>
      </w:r>
    </w:p>
    <w:p w14:paraId="776FF215">
      <w:pPr>
        <w:pStyle w:val="5"/>
        <w:jc w:val="left"/>
        <w:rPr>
          <w:color w:val="auto"/>
          <w:highlight w:val="none"/>
        </w:rPr>
      </w:pPr>
      <w:bookmarkStart w:id="367" w:name="_Toc2996"/>
      <w:bookmarkStart w:id="368" w:name="_Toc27214"/>
      <w:r>
        <w:rPr>
          <w:color w:val="auto"/>
          <w:highlight w:val="none"/>
        </w:rPr>
        <w:t xml:space="preserve">10.5 </w:t>
      </w:r>
      <w:r>
        <w:rPr>
          <w:rFonts w:hint="eastAsia" w:cs="黑体"/>
          <w:color w:val="auto"/>
          <w:highlight w:val="none"/>
        </w:rPr>
        <w:t>承包人的合理化建议</w:t>
      </w:r>
      <w:bookmarkEnd w:id="367"/>
      <w:bookmarkEnd w:id="368"/>
    </w:p>
    <w:p w14:paraId="47DF3DDF">
      <w:pPr>
        <w:spacing w:line="360" w:lineRule="auto"/>
        <w:ind w:firstLine="420" w:firstLineChars="200"/>
        <w:jc w:val="left"/>
        <w:rPr>
          <w:color w:val="auto"/>
          <w:highlight w:val="none"/>
        </w:rPr>
      </w:pPr>
      <w:r>
        <w:rPr>
          <w:rFonts w:hint="eastAsia" w:hAnsi="宋体" w:cs="宋体"/>
          <w:color w:val="auto"/>
          <w:highlight w:val="none"/>
        </w:rPr>
        <w:t>监理人审查承包人合理化建议的期限：</w:t>
      </w:r>
      <w:r>
        <w:rPr>
          <w:color w:val="auto"/>
          <w:highlight w:val="none"/>
          <w:u w:val="single"/>
        </w:rPr>
        <w:t xml:space="preserve"> </w:t>
      </w:r>
      <w:r>
        <w:rPr>
          <w:rFonts w:hint="eastAsia"/>
          <w:color w:val="auto"/>
          <w:highlight w:val="none"/>
          <w:u w:val="single"/>
          <w:lang w:eastAsia="zh-CN"/>
        </w:rPr>
        <w:t>监理人应在收到承包人提交的合理化建议后7天内审查完毕并报送发包人，发现其中存在技术上的缺陷，应通知承包人修改 </w:t>
      </w:r>
      <w:r>
        <w:rPr>
          <w:color w:val="auto"/>
          <w:highlight w:val="none"/>
          <w:u w:val="single"/>
        </w:rPr>
        <w:t xml:space="preserve">  </w:t>
      </w:r>
      <w:r>
        <w:rPr>
          <w:rFonts w:hint="eastAsia" w:hAnsi="宋体" w:cs="宋体"/>
          <w:color w:val="auto"/>
          <w:highlight w:val="none"/>
        </w:rPr>
        <w:t>。</w:t>
      </w:r>
    </w:p>
    <w:p w14:paraId="1F8FAC3B">
      <w:pPr>
        <w:spacing w:line="360" w:lineRule="auto"/>
        <w:ind w:firstLine="420" w:firstLineChars="200"/>
        <w:jc w:val="left"/>
        <w:rPr>
          <w:color w:val="auto"/>
          <w:highlight w:val="none"/>
        </w:rPr>
      </w:pPr>
      <w:r>
        <w:rPr>
          <w:rFonts w:hint="eastAsia" w:hAnsi="宋体" w:cs="宋体"/>
          <w:color w:val="auto"/>
          <w:highlight w:val="none"/>
        </w:rPr>
        <w:t>发包人审批承包人合理化建议的期限：</w:t>
      </w:r>
      <w:r>
        <w:rPr>
          <w:color w:val="auto"/>
          <w:highlight w:val="none"/>
          <w:u w:val="single"/>
        </w:rPr>
        <w:t xml:space="preserve">  </w:t>
      </w:r>
      <w:r>
        <w:rPr>
          <w:rFonts w:hint="eastAsia"/>
          <w:color w:val="auto"/>
          <w:highlight w:val="none"/>
          <w:u w:val="single"/>
          <w:lang w:eastAsia="zh-CN"/>
        </w:rPr>
        <w:t>包人应在收到监理人报送的合理化建议后7天内审批完毕</w:t>
      </w:r>
      <w:r>
        <w:rPr>
          <w:color w:val="auto"/>
          <w:highlight w:val="none"/>
          <w:u w:val="single"/>
        </w:rPr>
        <w:t xml:space="preserve">  </w:t>
      </w:r>
      <w:r>
        <w:rPr>
          <w:rFonts w:hint="eastAsia" w:hAnsi="宋体" w:cs="宋体"/>
          <w:color w:val="auto"/>
          <w:highlight w:val="none"/>
        </w:rPr>
        <w:t>。</w:t>
      </w:r>
    </w:p>
    <w:p w14:paraId="5013DB11">
      <w:pPr>
        <w:spacing w:line="360" w:lineRule="auto"/>
        <w:ind w:firstLine="420" w:firstLineChars="200"/>
        <w:jc w:val="left"/>
        <w:rPr>
          <w:color w:val="auto"/>
          <w:highlight w:val="none"/>
          <w:u w:val="single"/>
        </w:rPr>
      </w:pPr>
      <w:r>
        <w:rPr>
          <w:rFonts w:hint="eastAsia" w:hAnsi="宋体" w:cs="宋体"/>
          <w:color w:val="auto"/>
          <w:highlight w:val="none"/>
        </w:rPr>
        <w:t>承包人提出的合理化建议降低了合同价格或者提高了工程经济效益的奖励的方法和金额为：</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13C8B15C">
      <w:pPr>
        <w:pStyle w:val="5"/>
        <w:jc w:val="left"/>
        <w:rPr>
          <w:color w:val="auto"/>
          <w:highlight w:val="none"/>
        </w:rPr>
      </w:pPr>
      <w:bookmarkStart w:id="369" w:name="_Toc10238"/>
      <w:bookmarkStart w:id="370" w:name="_Toc30086"/>
      <w:r>
        <w:rPr>
          <w:color w:val="auto"/>
          <w:highlight w:val="none"/>
        </w:rPr>
        <w:t xml:space="preserve">10.7 </w:t>
      </w:r>
      <w:r>
        <w:rPr>
          <w:rFonts w:hint="eastAsia" w:hAnsi="宋体" w:cs="黑体"/>
          <w:color w:val="auto"/>
          <w:highlight w:val="none"/>
        </w:rPr>
        <w:t>暂估价</w:t>
      </w:r>
      <w:bookmarkEnd w:id="369"/>
      <w:bookmarkEnd w:id="370"/>
    </w:p>
    <w:p w14:paraId="096948FA">
      <w:pPr>
        <w:spacing w:line="360" w:lineRule="auto"/>
        <w:ind w:firstLine="420" w:firstLineChars="200"/>
        <w:jc w:val="left"/>
        <w:rPr>
          <w:color w:val="auto"/>
          <w:highlight w:val="none"/>
        </w:rPr>
      </w:pPr>
      <w:r>
        <w:rPr>
          <w:rFonts w:hint="eastAsia" w:hAnsi="宋体" w:cs="宋体"/>
          <w:color w:val="auto"/>
          <w:kern w:val="0"/>
          <w:highlight w:val="none"/>
        </w:rPr>
        <w:t>暂估价材料和工程设备的明细详见已标价工程量清单《</w:t>
      </w:r>
      <w:r>
        <w:rPr>
          <w:rFonts w:hint="eastAsia" w:cs="宋体"/>
          <w:color w:val="auto"/>
          <w:highlight w:val="none"/>
        </w:rPr>
        <w:t>材料暂估</w:t>
      </w:r>
      <w:r>
        <w:rPr>
          <w:rFonts w:hint="eastAsia" w:cs="宋体"/>
          <w:color w:val="auto"/>
          <w:highlight w:val="none"/>
          <w:lang w:eastAsia="zh-CN"/>
        </w:rPr>
        <w:t>价</w:t>
      </w:r>
      <w:r>
        <w:rPr>
          <w:rFonts w:hint="eastAsia" w:cs="宋体"/>
          <w:color w:val="auto"/>
          <w:highlight w:val="none"/>
          <w:lang w:val="en-US" w:eastAsia="zh-CN"/>
        </w:rPr>
        <w:t>明细</w:t>
      </w:r>
      <w:r>
        <w:rPr>
          <w:rFonts w:hint="eastAsia" w:cs="宋体"/>
          <w:color w:val="auto"/>
          <w:highlight w:val="none"/>
        </w:rPr>
        <w:t>表》</w:t>
      </w:r>
      <w:r>
        <w:rPr>
          <w:rFonts w:hint="eastAsia" w:hAnsi="宋体" w:cs="宋体"/>
          <w:color w:val="auto"/>
          <w:kern w:val="0"/>
          <w:highlight w:val="none"/>
        </w:rPr>
        <w:t>和《</w:t>
      </w:r>
      <w:r>
        <w:rPr>
          <w:rFonts w:hint="eastAsia" w:cs="宋体"/>
          <w:color w:val="auto"/>
          <w:highlight w:val="none"/>
        </w:rPr>
        <w:t>专业工程暂估价</w:t>
      </w:r>
      <w:r>
        <w:rPr>
          <w:rFonts w:hint="eastAsia" w:cs="宋体"/>
          <w:color w:val="auto"/>
          <w:highlight w:val="none"/>
          <w:lang w:val="en-US" w:eastAsia="zh-CN"/>
        </w:rPr>
        <w:t>明细</w:t>
      </w:r>
      <w:r>
        <w:rPr>
          <w:rFonts w:hint="eastAsia" w:cs="宋体"/>
          <w:color w:val="auto"/>
          <w:highlight w:val="none"/>
        </w:rPr>
        <w:t>表》</w:t>
      </w:r>
      <w:r>
        <w:rPr>
          <w:rFonts w:hint="eastAsia" w:hAnsi="宋体" w:cs="宋体"/>
          <w:color w:val="auto"/>
          <w:kern w:val="0"/>
          <w:highlight w:val="none"/>
        </w:rPr>
        <w:t>。</w:t>
      </w:r>
    </w:p>
    <w:p w14:paraId="051DA95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7</w:t>
      </w:r>
      <w:r>
        <w:rPr>
          <w:rFonts w:hint="eastAsia" w:hAnsi="宋体" w:cs="宋体"/>
          <w:color w:val="auto"/>
          <w:kern w:val="0"/>
          <w:highlight w:val="none"/>
        </w:rPr>
        <w:t>.1工程量清单中给定暂估价的材料和（或）暂估价的专业工程属于依法必须招标的，应以招标确定材料及</w:t>
      </w:r>
      <w:r>
        <w:rPr>
          <w:rFonts w:hint="eastAsia" w:hAnsi="宋体" w:cs="宋体"/>
          <w:color w:val="auto"/>
          <w:kern w:val="0"/>
          <w:highlight w:val="none"/>
          <w:lang w:eastAsia="zh-CN"/>
        </w:rPr>
        <w:t>专业工程</w:t>
      </w:r>
      <w:r>
        <w:rPr>
          <w:rFonts w:hint="eastAsia" w:hAnsi="宋体" w:cs="宋体"/>
          <w:color w:val="auto"/>
          <w:kern w:val="0"/>
          <w:highlight w:val="none"/>
        </w:rPr>
        <w:t>价格，发承包双方采用以下第</w:t>
      </w:r>
      <w:r>
        <w:rPr>
          <w:rFonts w:hint="eastAsia" w:hAnsi="宋体" w:cs="宋体"/>
          <w:color w:val="auto"/>
          <w:kern w:val="0"/>
          <w:highlight w:val="none"/>
          <w:u w:val="single"/>
        </w:rPr>
        <w:t xml:space="preserve">   </w:t>
      </w:r>
      <w:r>
        <w:rPr>
          <w:rFonts w:hint="eastAsia" w:hAnsi="宋体" w:cs="宋体"/>
          <w:color w:val="auto"/>
          <w:kern w:val="0"/>
          <w:highlight w:val="none"/>
          <w:u w:val="single"/>
          <w:lang w:eastAsia="zh-CN"/>
        </w:rPr>
        <w:t>一</w:t>
      </w:r>
      <w:r>
        <w:rPr>
          <w:rFonts w:hint="eastAsia" w:hAnsi="宋体" w:cs="宋体"/>
          <w:color w:val="auto"/>
          <w:kern w:val="0"/>
          <w:highlight w:val="none"/>
          <w:u w:val="single"/>
        </w:rPr>
        <w:t xml:space="preserve">     </w:t>
      </w:r>
      <w:r>
        <w:rPr>
          <w:rFonts w:hint="eastAsia" w:hAnsi="宋体" w:cs="宋体"/>
          <w:color w:val="auto"/>
          <w:kern w:val="0"/>
          <w:highlight w:val="none"/>
        </w:rPr>
        <w:t>种方式进行招标：</w:t>
      </w:r>
    </w:p>
    <w:p w14:paraId="3539EF7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第一种方式：由发包人作为招标人进行暂估价材料、暂估价专业工程招标，组织招标工作有关的费用由发包人承担。需要承包人配合的，其配合费用由承包人自行承担。</w:t>
      </w:r>
    </w:p>
    <w:p w14:paraId="6F6F2312">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0580A1E">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（2）承包人应当根据施工进度计划，提前14天将</w:t>
      </w:r>
      <w:r>
        <w:rPr>
          <w:rFonts w:hint="eastAsia" w:ascii="Arial" w:hAnsi="Arial" w:cs="Arial"/>
          <w:color w:val="000000"/>
          <w:highlight w:val="none"/>
        </w:rPr>
        <w:t>采购</w:t>
      </w:r>
      <w:r>
        <w:rPr>
          <w:rFonts w:ascii="Arial" w:hAnsi="Arial" w:cs="Arial"/>
          <w:color w:val="000000"/>
          <w:highlight w:val="none"/>
        </w:rPr>
        <w:t>文件通过监理人报送发包人审批，发包人应当在收到承包人报送的相关文件后7天内完成审批或提出修改意见；发包人有权确定招标控制价并按照法律规定参加评标；</w:t>
      </w:r>
    </w:p>
    <w:p w14:paraId="77352AE1">
      <w:pPr>
        <w:pStyle w:val="348"/>
        <w:spacing w:line="360" w:lineRule="auto"/>
        <w:ind w:firstLine="420" w:firstLineChars="200"/>
        <w:rPr>
          <w:rFonts w:hint="eastAsia" w:hAnsi="宋体" w:cs="宋体"/>
          <w:color w:val="auto"/>
          <w:kern w:val="0"/>
          <w:highlight w:val="none"/>
        </w:rPr>
      </w:pPr>
      <w:r>
        <w:rPr>
          <w:rFonts w:ascii="Arial" w:hAnsi="Arial" w:cs="Arial"/>
          <w:color w:val="000000"/>
          <w:highlight w:val="none"/>
        </w:rPr>
        <w:t>（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3C87066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第二种方式：由承包人作为招标人进行暂估价材料、暂估价专业工程招标，其组织招标工作有关的费用已经包括在承包人的投标总价（</w:t>
      </w:r>
      <w:r>
        <w:rPr>
          <w:rFonts w:hint="eastAsia" w:hAnsi="宋体" w:cs="宋体"/>
          <w:color w:val="auto"/>
          <w:kern w:val="0"/>
          <w:highlight w:val="none"/>
          <w:lang w:eastAsia="zh-CN"/>
        </w:rPr>
        <w:t>合同签订价格</w:t>
      </w:r>
      <w:r>
        <w:rPr>
          <w:rFonts w:hint="eastAsia" w:hAnsi="宋体" w:cs="宋体"/>
          <w:color w:val="auto"/>
          <w:kern w:val="0"/>
          <w:highlight w:val="none"/>
        </w:rPr>
        <w:t>）中。需要发包人配合的，其配合费用由发包人自行承担。</w:t>
      </w:r>
    </w:p>
    <w:p w14:paraId="7B7A3BE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第三种方式：由发包人和承包人共同作为招标人进行暂估价材料、暂估价专业工程招标，发承包双方各自承担相应的费用。</w:t>
      </w:r>
    </w:p>
    <w:p w14:paraId="5A8F7F45">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7</w:t>
      </w:r>
      <w:r>
        <w:rPr>
          <w:rFonts w:hint="eastAsia" w:hAnsi="宋体" w:cs="宋体"/>
          <w:color w:val="auto"/>
          <w:kern w:val="0"/>
          <w:highlight w:val="none"/>
        </w:rPr>
        <w:t>.2工程量清单中给定暂估价的材料不属于依法必须招标的，采用以下第</w:t>
      </w:r>
      <w:r>
        <w:rPr>
          <w:rFonts w:hint="eastAsia" w:hAnsi="宋体" w:cs="宋体"/>
          <w:color w:val="auto"/>
          <w:kern w:val="0"/>
          <w:highlight w:val="none"/>
          <w:u w:val="single"/>
        </w:rPr>
        <w:t xml:space="preserve">  </w:t>
      </w:r>
      <w:r>
        <w:rPr>
          <w:rFonts w:hint="eastAsia" w:hAnsi="宋体" w:cs="宋体"/>
          <w:color w:val="auto"/>
          <w:kern w:val="0"/>
          <w:highlight w:val="none"/>
          <w:u w:val="single"/>
          <w:lang w:eastAsia="zh-CN"/>
        </w:rPr>
        <w:t>一</w:t>
      </w:r>
      <w:r>
        <w:rPr>
          <w:rFonts w:hint="eastAsia" w:hAnsi="宋体" w:cs="宋体"/>
          <w:color w:val="auto"/>
          <w:kern w:val="0"/>
          <w:highlight w:val="none"/>
          <w:u w:val="single"/>
        </w:rPr>
        <w:t xml:space="preserve">  </w:t>
      </w:r>
      <w:r>
        <w:rPr>
          <w:rFonts w:hint="eastAsia" w:hAnsi="宋体" w:cs="宋体"/>
          <w:color w:val="auto"/>
          <w:kern w:val="0"/>
          <w:highlight w:val="none"/>
        </w:rPr>
        <w:t>种方式确认材料价格：</w:t>
      </w:r>
    </w:p>
    <w:p w14:paraId="27842A56">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第一种方式：承包人进行自主报价，经发包人确认的材料价格取代暂估价。</w:t>
      </w:r>
    </w:p>
    <w:p w14:paraId="2861B921">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6939C60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（2）发包人认为承包人确定的供应商、分包人无法满足工程质量或合同要求的，发包人可以要求承包人重新确定暂估价项目的供应商、分包人;</w:t>
      </w:r>
    </w:p>
    <w:p w14:paraId="3E7FBF0B">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（3）承包人应当在签订暂估价合同后7天内，将暂估价合同副本报送发包人留存。</w:t>
      </w:r>
    </w:p>
    <w:p w14:paraId="1B5A0332">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第二种方式：由</w:t>
      </w:r>
      <w:r>
        <w:rPr>
          <w:rFonts w:hint="eastAsia" w:ascii="Times New Roman" w:hAnsi="宋体"/>
          <w:bCs/>
          <w:color w:val="auto"/>
          <w:sz w:val="21"/>
          <w:szCs w:val="21"/>
          <w:highlight w:val="none"/>
        </w:rPr>
        <w:t>发承包</w:t>
      </w:r>
      <w:r>
        <w:rPr>
          <w:rFonts w:hint="eastAsia" w:hAnsi="宋体"/>
          <w:bCs/>
          <w:color w:val="auto"/>
          <w:sz w:val="21"/>
          <w:szCs w:val="21"/>
          <w:highlight w:val="none"/>
          <w:lang w:val="en-US" w:eastAsia="zh-CN"/>
        </w:rPr>
        <w:t>双方</w:t>
      </w:r>
      <w:r>
        <w:rPr>
          <w:rFonts w:hint="eastAsia" w:hAnsi="宋体" w:cs="宋体"/>
          <w:color w:val="auto"/>
          <w:kern w:val="0"/>
          <w:highlight w:val="none"/>
        </w:rPr>
        <w:t>共同询价确认的材料价格取代暂估价。</w:t>
      </w:r>
    </w:p>
    <w:p w14:paraId="034CE81F">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7</w:t>
      </w:r>
      <w:r>
        <w:rPr>
          <w:rFonts w:hint="eastAsia" w:hAnsi="宋体" w:cs="宋体"/>
          <w:color w:val="auto"/>
          <w:kern w:val="0"/>
          <w:highlight w:val="none"/>
        </w:rPr>
        <w:t xml:space="preserve">.3 工程量清单中给定暂估价的专业工程不属于依法必须招标的，采用以下第 </w:t>
      </w:r>
      <w:r>
        <w:rPr>
          <w:rFonts w:hint="eastAsia" w:hAnsi="宋体" w:cs="宋体"/>
          <w:color w:val="auto"/>
          <w:kern w:val="0"/>
          <w:highlight w:val="none"/>
          <w:u w:val="single"/>
          <w:lang w:val="en-US" w:eastAsia="zh-CN"/>
        </w:rPr>
        <w:t xml:space="preserve"> 一</w:t>
      </w:r>
      <w:r>
        <w:rPr>
          <w:rFonts w:hint="eastAsia" w:hAnsi="宋体" w:cs="宋体"/>
          <w:color w:val="auto"/>
          <w:kern w:val="0"/>
          <w:highlight w:val="none"/>
          <w:u w:val="single"/>
        </w:rPr>
        <w:t xml:space="preserve"> </w:t>
      </w:r>
      <w:r>
        <w:rPr>
          <w:rFonts w:hint="eastAsia" w:hAnsi="宋体" w:cs="宋体"/>
          <w:color w:val="auto"/>
          <w:kern w:val="0"/>
          <w:highlight w:val="none"/>
        </w:rPr>
        <w:t xml:space="preserve"> 种方式确认暂估价：</w:t>
      </w:r>
    </w:p>
    <w:p w14:paraId="371A58C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第一种方式：发承包双方按合同约定的自治区建设行政主管部门颁布的计算规范所规定的工程量计算规则以及合同</w:t>
      </w:r>
      <w:r>
        <w:rPr>
          <w:rFonts w:hint="eastAsia" w:hAnsi="宋体" w:cs="宋体"/>
          <w:color w:val="auto"/>
          <w:kern w:val="0"/>
          <w:highlight w:val="none"/>
          <w:lang w:val="en-US" w:eastAsia="zh-CN"/>
        </w:rPr>
        <w:t>单价</w:t>
      </w:r>
      <w:r>
        <w:rPr>
          <w:rFonts w:hint="eastAsia" w:hAnsi="宋体" w:cs="宋体"/>
          <w:color w:val="auto"/>
          <w:kern w:val="0"/>
          <w:highlight w:val="none"/>
        </w:rPr>
        <w:t>、投标报价水平计算暂估专业工程价格，并以此取代专业工程暂估价。</w:t>
      </w:r>
    </w:p>
    <w:p w14:paraId="328FC92C">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第二种方式：通过招标确定暂估专业工程价格。</w:t>
      </w:r>
    </w:p>
    <w:p w14:paraId="5FEA5B8A">
      <w:pPr>
        <w:spacing w:line="360" w:lineRule="auto"/>
        <w:ind w:firstLine="420" w:firstLineChars="200"/>
        <w:jc w:val="left"/>
        <w:rPr>
          <w:color w:val="auto"/>
          <w:highlight w:val="none"/>
        </w:rPr>
      </w:pPr>
      <w:r>
        <w:rPr>
          <w:rFonts w:hint="eastAsia" w:hAnsi="宋体" w:cs="宋体"/>
          <w:color w:val="auto"/>
          <w:kern w:val="0"/>
          <w:highlight w:val="none"/>
        </w:rPr>
        <w:t>1</w:t>
      </w:r>
      <w:r>
        <w:rPr>
          <w:rFonts w:hint="eastAsia" w:hAnsi="宋体" w:cs="宋体"/>
          <w:color w:val="auto"/>
          <w:kern w:val="0"/>
          <w:highlight w:val="none"/>
          <w:lang w:val="en-US" w:eastAsia="zh-CN"/>
        </w:rPr>
        <w:t>0</w:t>
      </w:r>
      <w:r>
        <w:rPr>
          <w:rFonts w:hint="eastAsia" w:hAnsi="宋体" w:cs="宋体"/>
          <w:color w:val="auto"/>
          <w:kern w:val="0"/>
          <w:highlight w:val="none"/>
        </w:rPr>
        <w:t>.</w:t>
      </w:r>
      <w:r>
        <w:rPr>
          <w:rFonts w:hint="eastAsia" w:hAnsi="宋体" w:cs="宋体"/>
          <w:color w:val="auto"/>
          <w:kern w:val="0"/>
          <w:highlight w:val="none"/>
          <w:lang w:val="en-US" w:eastAsia="zh-CN"/>
        </w:rPr>
        <w:t>7</w:t>
      </w:r>
      <w:r>
        <w:rPr>
          <w:rFonts w:hint="eastAsia" w:hAnsi="宋体" w:cs="宋体"/>
          <w:color w:val="auto"/>
          <w:kern w:val="0"/>
          <w:highlight w:val="none"/>
        </w:rPr>
        <w:t>.4承包人参加由发包人作为招标人的暂估价专业工程投标并中标的，扣减已计算的该专业工程的总承包服务费。</w:t>
      </w:r>
    </w:p>
    <w:p w14:paraId="26DE6429">
      <w:pPr>
        <w:pStyle w:val="5"/>
        <w:jc w:val="left"/>
        <w:rPr>
          <w:color w:val="auto"/>
          <w:highlight w:val="none"/>
        </w:rPr>
      </w:pPr>
      <w:bookmarkStart w:id="371" w:name="_Toc19647"/>
      <w:bookmarkStart w:id="372" w:name="_Toc26800"/>
      <w:r>
        <w:rPr>
          <w:color w:val="auto"/>
          <w:highlight w:val="none"/>
        </w:rPr>
        <w:t xml:space="preserve">10.8 </w:t>
      </w:r>
      <w:r>
        <w:rPr>
          <w:rFonts w:hint="eastAsia" w:hAnsi="宋体" w:cs="黑体"/>
          <w:color w:val="auto"/>
          <w:highlight w:val="none"/>
        </w:rPr>
        <w:t>暂列金额</w:t>
      </w:r>
      <w:bookmarkEnd w:id="371"/>
      <w:bookmarkEnd w:id="372"/>
    </w:p>
    <w:p w14:paraId="2A56A8BD">
      <w:pPr>
        <w:autoSpaceDE w:val="0"/>
        <w:autoSpaceDN w:val="0"/>
        <w:adjustRightInd w:val="0"/>
        <w:spacing w:line="360" w:lineRule="auto"/>
        <w:ind w:firstLine="420" w:firstLineChars="200"/>
        <w:jc w:val="left"/>
        <w:rPr>
          <w:color w:val="auto"/>
          <w:highlight w:val="none"/>
          <w:u w:val="single"/>
        </w:rPr>
      </w:pPr>
      <w:r>
        <w:rPr>
          <w:rFonts w:hint="eastAsia" w:hAnsi="宋体" w:cs="宋体"/>
          <w:color w:val="auto"/>
          <w:kern w:val="0"/>
          <w:highlight w:val="none"/>
        </w:rPr>
        <w:t>合同当事人关于暂列金额使用的约定：</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kern w:val="0"/>
          <w:highlight w:val="none"/>
        </w:rPr>
        <w:t>。</w:t>
      </w:r>
    </w:p>
    <w:p w14:paraId="7C325082">
      <w:pPr>
        <w:pStyle w:val="4"/>
        <w:outlineLvl w:val="2"/>
        <w:rPr>
          <w:rFonts w:hint="eastAsia" w:ascii="Times New Roman" w:hAnsi="Times New Roman" w:eastAsia="宋体" w:cs="黑体"/>
          <w:color w:val="auto"/>
          <w:highlight w:val="none"/>
        </w:rPr>
      </w:pPr>
      <w:bookmarkStart w:id="373" w:name="_Toc16337"/>
      <w:r>
        <w:rPr>
          <w:rFonts w:hint="eastAsia" w:ascii="Times New Roman" w:hAnsi="Times New Roman" w:eastAsia="宋体" w:cs="黑体"/>
          <w:b/>
          <w:bCs/>
          <w:color w:val="auto"/>
          <w:kern w:val="2"/>
          <w:sz w:val="32"/>
          <w:szCs w:val="32"/>
          <w:highlight w:val="none"/>
          <w:lang w:val="en-US" w:eastAsia="zh-CN" w:bidi="ar-SA"/>
        </w:rPr>
        <w:t>11.</w:t>
      </w:r>
      <w:r>
        <w:rPr>
          <w:rFonts w:hint="eastAsia" w:ascii="Times New Roman" w:hAnsi="Times New Roman" w:eastAsia="宋体" w:cs="黑体"/>
          <w:color w:val="auto"/>
          <w:highlight w:val="none"/>
        </w:rPr>
        <w:t>价格调整</w:t>
      </w:r>
      <w:bookmarkEnd w:id="373"/>
    </w:p>
    <w:p w14:paraId="790C319B">
      <w:pPr>
        <w:pStyle w:val="5"/>
        <w:jc w:val="left"/>
        <w:rPr>
          <w:rFonts w:hint="eastAsia" w:eastAsia="黑体"/>
          <w:color w:val="auto"/>
          <w:highlight w:val="none"/>
          <w:lang w:val="en" w:eastAsia="zh-CN"/>
        </w:rPr>
      </w:pPr>
      <w:bookmarkStart w:id="374" w:name="_Toc13435"/>
      <w:bookmarkStart w:id="375" w:name="_Toc6153"/>
      <w:r>
        <w:rPr>
          <w:color w:val="auto"/>
          <w:highlight w:val="none"/>
        </w:rPr>
        <w:t xml:space="preserve">11.1 </w:t>
      </w:r>
      <w:r>
        <w:rPr>
          <w:rFonts w:hint="eastAsia" w:ascii="Arial" w:hAnsi="Arial" w:cs="黑体"/>
          <w:highlight w:val="none"/>
          <w:lang w:val="en-US" w:eastAsia="zh-CN"/>
        </w:rPr>
        <w:t>合同</w:t>
      </w:r>
      <w:r>
        <w:rPr>
          <w:rFonts w:hint="eastAsia" w:cs="黑体"/>
          <w:color w:val="auto"/>
          <w:highlight w:val="none"/>
          <w:lang w:val="en-US" w:eastAsia="zh-CN"/>
        </w:rPr>
        <w:t>价格调整程序</w:t>
      </w:r>
      <w:bookmarkEnd w:id="374"/>
      <w:bookmarkEnd w:id="375"/>
    </w:p>
    <w:p w14:paraId="75BFC96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11.1.1 合同履行过程中发生合同价格调整事项的，承包人按本合同12.3的约定计算价格调整事项的工程量，依据本合</w:t>
      </w:r>
      <w:r>
        <w:rPr>
          <w:rFonts w:hint="eastAsia" w:hAnsi="宋体" w:cs="宋体"/>
          <w:color w:val="auto"/>
          <w:kern w:val="0"/>
          <w:highlight w:val="none"/>
          <w:lang w:eastAsia="zh-CN"/>
        </w:rPr>
        <w:t>同第</w:t>
      </w:r>
      <w:r>
        <w:rPr>
          <w:rFonts w:hint="eastAsia" w:hAnsi="宋体" w:cs="宋体"/>
          <w:color w:val="auto"/>
          <w:kern w:val="0"/>
          <w:highlight w:val="none"/>
        </w:rPr>
        <w:t>11条的约定计算调整价格，并在发生合同价格调整事项</w:t>
      </w:r>
      <w:r>
        <w:rPr>
          <w:rFonts w:hint="eastAsia" w:hAnsi="宋体" w:cs="宋体"/>
          <w:color w:val="auto"/>
          <w:kern w:val="0"/>
          <w:highlight w:val="none"/>
          <w:u w:val="single"/>
        </w:rPr>
        <w:t xml:space="preserve">       </w:t>
      </w:r>
      <w:r>
        <w:rPr>
          <w:rFonts w:hint="eastAsia" w:hAnsi="宋体" w:cs="宋体"/>
          <w:color w:val="auto"/>
          <w:kern w:val="0"/>
          <w:highlight w:val="none"/>
        </w:rPr>
        <w:t>天内连同相关资料提交给发包人核对。</w:t>
      </w:r>
    </w:p>
    <w:p w14:paraId="161A0877">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 xml:space="preserve"> 11.1.2 发包人在收到承包人合同价格调整报告及相关资料后应 </w:t>
      </w:r>
      <w:r>
        <w:rPr>
          <w:rFonts w:hint="eastAsia" w:hAnsi="宋体" w:cs="宋体"/>
          <w:color w:val="auto"/>
          <w:kern w:val="0"/>
          <w:highlight w:val="none"/>
          <w:u w:val="single"/>
        </w:rPr>
        <w:t xml:space="preserve">        </w:t>
      </w:r>
      <w:r>
        <w:rPr>
          <w:rFonts w:hint="eastAsia" w:hAnsi="宋体" w:cs="宋体"/>
          <w:color w:val="auto"/>
          <w:kern w:val="0"/>
          <w:highlight w:val="none"/>
        </w:rPr>
        <w:t>天内对其进行核实，予以确认的应书面通知承包人，不予确认的应将价格调整核对意见书面回复承包人，未确认也未提出核对意见的，应视为承包人提交的合同价格调整报告已被发包人认可。</w:t>
      </w:r>
    </w:p>
    <w:p w14:paraId="28C76DDB">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11.1.3 发包人提出价格调整核对意见的，承包人在收到核对意见后应在</w:t>
      </w:r>
      <w:r>
        <w:rPr>
          <w:rFonts w:hint="eastAsia" w:hAnsi="宋体" w:cs="宋体"/>
          <w:color w:val="auto"/>
          <w:kern w:val="0"/>
          <w:highlight w:val="none"/>
          <w:u w:val="single"/>
        </w:rPr>
        <w:t xml:space="preserve">         </w:t>
      </w:r>
      <w:r>
        <w:rPr>
          <w:rFonts w:hint="eastAsia" w:hAnsi="宋体" w:cs="宋体"/>
          <w:color w:val="auto"/>
          <w:kern w:val="0"/>
          <w:highlight w:val="none"/>
        </w:rPr>
        <w:t>天内对其复核，予以认可的应书面通知发包人，不予认可的应将相关复核意见书面回复发包人，未确认也未提出复核意见的，应视为发包人提出的意见已被承包人认可。</w:t>
      </w:r>
    </w:p>
    <w:p w14:paraId="32C68BC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11.1.4发承包双方对合同价格调整通过核对、复核仍不能达成一致意见的，可按本合同争议解决相关约定处理。除法律法规规定外，发承包双方在争议解决期间应继续履行合同义务，直到争议得到解决。</w:t>
      </w:r>
    </w:p>
    <w:p w14:paraId="0FFD85E5">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11.1.5发承包双方应在确定的合同价格调整相关计量与计价成果文件上签署，作为合同价款支付的依据。经发承包双方确认调整的追加（减）合同价款，应与工程进度款和施工过程结算款同期支付。</w:t>
      </w:r>
    </w:p>
    <w:p w14:paraId="00EBC02C">
      <w:pPr>
        <w:pStyle w:val="5"/>
        <w:jc w:val="left"/>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11.2 物价变化引起的价格调整</w:t>
      </w:r>
    </w:p>
    <w:p w14:paraId="26FE738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11.2.1 关于人工费及主要材料费价差调整的约定：</w:t>
      </w:r>
    </w:p>
    <w:p w14:paraId="429A1F8D">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lang w:eastAsia="zh-CN"/>
        </w:rPr>
        <w:t>（</w:t>
      </w:r>
      <w:r>
        <w:rPr>
          <w:rFonts w:hint="eastAsia" w:hAnsi="宋体" w:cs="宋体"/>
          <w:color w:val="auto"/>
          <w:kern w:val="0"/>
          <w:highlight w:val="none"/>
          <w:lang w:val="en-US" w:eastAsia="zh-CN"/>
        </w:rPr>
        <w:t>1</w:t>
      </w:r>
      <w:r>
        <w:rPr>
          <w:rFonts w:hint="eastAsia" w:hAnsi="宋体" w:cs="宋体"/>
          <w:color w:val="auto"/>
          <w:kern w:val="0"/>
          <w:highlight w:val="none"/>
          <w:lang w:eastAsia="zh-CN"/>
        </w:rPr>
        <w:t>）</w:t>
      </w:r>
      <w:r>
        <w:rPr>
          <w:rFonts w:hint="eastAsia" w:hAnsi="宋体" w:cs="宋体"/>
          <w:color w:val="auto"/>
          <w:kern w:val="0"/>
          <w:highlight w:val="none"/>
        </w:rPr>
        <w:t>总价合同采用价格指数调差法进行价差调整，非承包人原因《人工及主要材料费可调因子价格指数及权重表》中载明的允许调整价格的主要材料及人工费在其风险范围以内的价差由承包人承担，超过其风险范围以外的价差，由发包人承担</w:t>
      </w:r>
      <w:r>
        <w:rPr>
          <w:rFonts w:hint="eastAsia" w:hAnsi="宋体" w:cs="宋体"/>
          <w:color w:val="auto"/>
          <w:kern w:val="0"/>
          <w:highlight w:val="none"/>
          <w:lang w:val="en-US" w:eastAsia="zh-CN"/>
        </w:rPr>
        <w:t>。</w:t>
      </w:r>
    </w:p>
    <w:p w14:paraId="69740863">
      <w:pPr>
        <w:spacing w:line="360" w:lineRule="auto"/>
        <w:ind w:firstLine="420" w:firstLineChars="200"/>
        <w:jc w:val="left"/>
        <w:rPr>
          <w:rFonts w:hint="eastAsia" w:hAnsi="宋体" w:cs="宋体"/>
          <w:color w:val="auto"/>
          <w:kern w:val="0"/>
          <w:highlight w:val="none"/>
          <w:lang w:eastAsia="zh-CN"/>
        </w:rPr>
      </w:pPr>
      <w:r>
        <w:rPr>
          <w:rFonts w:hint="eastAsia" w:hAnsi="宋体" w:cs="宋体"/>
          <w:color w:val="auto"/>
          <w:kern w:val="0"/>
          <w:highlight w:val="none"/>
          <w:lang w:eastAsia="zh-CN"/>
        </w:rPr>
        <w:t>（</w:t>
      </w:r>
      <w:r>
        <w:rPr>
          <w:rFonts w:hint="eastAsia" w:hAnsi="宋体" w:cs="宋体"/>
          <w:color w:val="auto"/>
          <w:kern w:val="0"/>
          <w:highlight w:val="none"/>
          <w:lang w:val="en-US" w:eastAsia="zh-CN"/>
        </w:rPr>
        <w:t>2</w:t>
      </w:r>
      <w:r>
        <w:rPr>
          <w:rFonts w:hint="eastAsia" w:hAnsi="宋体" w:cs="宋体"/>
          <w:color w:val="auto"/>
          <w:kern w:val="0"/>
          <w:highlight w:val="none"/>
          <w:lang w:eastAsia="zh-CN"/>
        </w:rPr>
        <w:t>）</w:t>
      </w:r>
      <w:r>
        <w:rPr>
          <w:rFonts w:hint="eastAsia" w:hAnsi="宋体" w:cs="宋体"/>
          <w:color w:val="auto"/>
          <w:kern w:val="0"/>
          <w:highlight w:val="none"/>
        </w:rPr>
        <w:t>单价合同采用</w:t>
      </w:r>
      <w:r>
        <w:rPr>
          <w:rFonts w:hint="eastAsia" w:ascii="宋体" w:hAnsi="宋体"/>
          <w:color w:val="auto"/>
          <w:szCs w:val="21"/>
          <w:highlight w:val="none"/>
          <w:lang w:eastAsia="zh-CN"/>
        </w:rPr>
        <w:t>价格差额调整法</w:t>
      </w:r>
      <w:r>
        <w:rPr>
          <w:rFonts w:hint="eastAsia" w:hAnsi="宋体" w:cs="宋体"/>
          <w:color w:val="auto"/>
          <w:kern w:val="0"/>
          <w:highlight w:val="none"/>
        </w:rPr>
        <w:t>进行价差调整，非承包人原因</w:t>
      </w:r>
      <w:r>
        <w:rPr>
          <w:rFonts w:hint="eastAsia" w:hAnsi="宋体" w:cs="宋体"/>
          <w:color w:val="auto"/>
          <w:kern w:val="0"/>
          <w:highlight w:val="none"/>
          <w:lang w:eastAsia="zh-CN"/>
        </w:rPr>
        <w:t>导致</w:t>
      </w:r>
      <w:r>
        <w:rPr>
          <w:rFonts w:hint="eastAsia" w:hAnsi="宋体" w:cs="宋体"/>
          <w:color w:val="auto"/>
          <w:kern w:val="0"/>
          <w:highlight w:val="none"/>
        </w:rPr>
        <w:t>人工费</w:t>
      </w:r>
      <w:r>
        <w:rPr>
          <w:rFonts w:hint="eastAsia" w:hAnsi="宋体" w:cs="宋体"/>
          <w:color w:val="auto"/>
          <w:kern w:val="0"/>
          <w:highlight w:val="none"/>
          <w:lang w:eastAsia="zh-CN"/>
        </w:rPr>
        <w:t>及</w:t>
      </w:r>
      <w:r>
        <w:rPr>
          <w:rFonts w:hint="eastAsia" w:hAnsi="宋体" w:cs="宋体"/>
          <w:color w:val="auto"/>
          <w:kern w:val="0"/>
          <w:highlight w:val="none"/>
        </w:rPr>
        <w:t>《允许调整价格的主要材料一览表》中载明的主要材料在其风险范围以内的价差由承包人承担，超过其风险范围以外的价差，由发包人承担</w:t>
      </w:r>
      <w:r>
        <w:rPr>
          <w:rFonts w:hint="eastAsia" w:hAnsi="宋体" w:cs="宋体"/>
          <w:color w:val="auto"/>
          <w:kern w:val="0"/>
          <w:highlight w:val="none"/>
          <w:lang w:eastAsia="zh-CN"/>
        </w:rPr>
        <w:t>。</w:t>
      </w:r>
    </w:p>
    <w:p w14:paraId="0CBACBBA">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lang w:eastAsia="zh-CN"/>
        </w:rPr>
        <w:t>本工程人工费基准日价格指数：</w:t>
      </w:r>
      <w:r>
        <w:rPr>
          <w:rFonts w:hint="eastAsia" w:hAnsi="宋体" w:cs="宋体"/>
          <w:color w:val="auto"/>
          <w:kern w:val="0"/>
          <w:highlight w:val="none"/>
          <w:u w:val="single"/>
          <w:lang w:val="en-US" w:eastAsia="zh-CN"/>
        </w:rPr>
        <w:t xml:space="preserve">        ，</w:t>
      </w:r>
      <w:r>
        <w:rPr>
          <w:rFonts w:hint="eastAsia" w:hAnsi="宋体" w:cs="宋体"/>
          <w:color w:val="auto"/>
          <w:kern w:val="0"/>
          <w:highlight w:val="none"/>
          <w:lang w:eastAsia="zh-CN"/>
        </w:rPr>
        <w:t>人工费风险幅度：</w:t>
      </w:r>
      <w:r>
        <w:rPr>
          <w:rFonts w:hint="eastAsia" w:hAnsi="宋体" w:cs="宋体"/>
          <w:color w:val="auto"/>
          <w:kern w:val="0"/>
          <w:highlight w:val="none"/>
          <w:u w:val="single"/>
          <w:lang w:val="en-US" w:eastAsia="zh-CN"/>
        </w:rPr>
        <w:t xml:space="preserve">     ，主要材料基准价及风险范围详见</w:t>
      </w:r>
      <w:r>
        <w:rPr>
          <w:rFonts w:hint="eastAsia" w:hAnsi="宋体" w:cs="宋体"/>
          <w:color w:val="auto"/>
          <w:kern w:val="0"/>
          <w:highlight w:val="none"/>
        </w:rPr>
        <w:t>《允许调整价格的主要材料一览表》</w:t>
      </w:r>
      <w:r>
        <w:rPr>
          <w:rFonts w:hint="eastAsia" w:hAnsi="宋体" w:cs="宋体"/>
          <w:color w:val="auto"/>
          <w:kern w:val="0"/>
          <w:highlight w:val="none"/>
          <w:lang w:eastAsia="zh-CN"/>
        </w:rPr>
        <w:t>。</w:t>
      </w:r>
    </w:p>
    <w:p w14:paraId="04213D7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lang w:eastAsia="zh-CN"/>
        </w:rPr>
        <w:t>（</w:t>
      </w:r>
      <w:r>
        <w:rPr>
          <w:rFonts w:hint="eastAsia" w:hAnsi="宋体" w:cs="宋体"/>
          <w:color w:val="auto"/>
          <w:kern w:val="0"/>
          <w:highlight w:val="none"/>
          <w:lang w:val="en-US" w:eastAsia="zh-CN"/>
        </w:rPr>
        <w:t>3</w:t>
      </w:r>
      <w:r>
        <w:rPr>
          <w:rFonts w:hint="eastAsia" w:hAnsi="宋体" w:cs="宋体"/>
          <w:color w:val="auto"/>
          <w:kern w:val="0"/>
          <w:highlight w:val="none"/>
          <w:lang w:eastAsia="zh-CN"/>
        </w:rPr>
        <w:t>）</w:t>
      </w:r>
      <w:r>
        <w:rPr>
          <w:rFonts w:hint="eastAsia" w:hAnsi="宋体" w:cs="宋体"/>
          <w:color w:val="auto"/>
          <w:kern w:val="0"/>
          <w:highlight w:val="none"/>
        </w:rPr>
        <w:t>价差调整部分列入其他项目费，仅计算增值税，不计取管理费、利润。</w:t>
      </w:r>
    </w:p>
    <w:p w14:paraId="76F477C7">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11.2.</w:t>
      </w:r>
      <w:r>
        <w:rPr>
          <w:rFonts w:hint="eastAsia" w:hAnsi="宋体" w:cs="宋体"/>
          <w:color w:val="auto"/>
          <w:kern w:val="0"/>
          <w:highlight w:val="none"/>
          <w:lang w:eastAsia="zh-CN"/>
        </w:rPr>
        <w:t>2采用价格指数调整法的</w:t>
      </w:r>
      <w:r>
        <w:rPr>
          <w:rFonts w:hint="eastAsia" w:hAnsi="宋体" w:cs="宋体"/>
          <w:color w:val="auto"/>
          <w:kern w:val="0"/>
          <w:highlight w:val="none"/>
        </w:rPr>
        <w:t>，以</w:t>
      </w:r>
      <w:r>
        <w:rPr>
          <w:rFonts w:hint="eastAsia" w:hAnsi="宋体" w:cs="宋体"/>
          <w:color w:val="auto"/>
          <w:kern w:val="0"/>
          <w:highlight w:val="none"/>
          <w:lang w:eastAsia="zh-CN"/>
        </w:rPr>
        <w:t>已标价工程量清单中</w:t>
      </w:r>
      <w:r>
        <w:rPr>
          <w:rFonts w:hint="eastAsia" w:hAnsi="宋体" w:cs="宋体"/>
          <w:color w:val="auto"/>
          <w:kern w:val="0"/>
          <w:highlight w:val="none"/>
        </w:rPr>
        <w:t>《人工及主要材料费可调因子价格指数及权重表》中</w:t>
      </w:r>
      <w:r>
        <w:rPr>
          <w:rFonts w:hint="eastAsia" w:hAnsi="宋体" w:cs="宋体"/>
          <w:strike w:val="0"/>
          <w:color w:val="auto"/>
          <w:kern w:val="0"/>
          <w:highlight w:val="none"/>
        </w:rPr>
        <w:t>载明的人工及主要材料可调因子价格指数及权重等</w:t>
      </w:r>
      <w:r>
        <w:rPr>
          <w:rFonts w:hint="eastAsia" w:hAnsi="宋体" w:cs="宋体"/>
          <w:color w:val="auto"/>
          <w:kern w:val="0"/>
          <w:highlight w:val="none"/>
        </w:rPr>
        <w:t>数据，按下式计算差额并调整合同价格：</w:t>
      </w:r>
    </w:p>
    <w:p w14:paraId="7C570C31">
      <w:pPr>
        <w:spacing w:line="360" w:lineRule="auto"/>
        <w:ind w:firstLine="420" w:firstLineChars="200"/>
        <w:jc w:val="left"/>
        <w:rPr>
          <w:rFonts w:hint="eastAsia" w:hAnsi="宋体" w:cs="宋体"/>
          <w:color w:val="auto"/>
          <w:kern w:val="0"/>
          <w:highlight w:val="none"/>
        </w:rPr>
      </w:pPr>
      <w:r>
        <w:rPr>
          <w:color w:val="auto"/>
          <w:position w:val="-34"/>
          <w:highlight w:val="none"/>
        </w:rPr>
        <w:object>
          <v:shape id="_x0000_i1025" o:spt="75" type="#_x0000_t75" style="height:40pt;width:306pt;" o:ole="t" filled="f" o:preferrelative="t" stroked="f" coordsize="21600,21600">
            <v:path/>
            <v:fill on="f" alignshape="1" focussize="0,0"/>
            <v:stroke on="f"/>
            <v:imagedata r:id="rId23" o:title=""/>
            <o:lock v:ext="edit" aspectratio="t"/>
            <w10:wrap type="none"/>
            <w10:anchorlock/>
          </v:shape>
          <o:OLEObject Type="Embed" ProgID="Equation.3" ShapeID="_x0000_i1025" DrawAspect="Content" ObjectID="_1468075725" r:id="rId22">
            <o:LockedField>false</o:LockedField>
          </o:OLEObject>
        </w:object>
      </w:r>
      <w:r>
        <w:rPr>
          <w:rFonts w:hint="eastAsia" w:hAnsi="宋体" w:cs="宋体"/>
          <w:color w:val="auto"/>
          <w:kern w:val="0"/>
          <w:highlight w:val="none"/>
        </w:rPr>
        <w:t xml:space="preserve">    </w:t>
      </w:r>
    </w:p>
    <w:p w14:paraId="46E44AA6">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式中： △P——需调整的价格差额；</w:t>
      </w:r>
    </w:p>
    <w:p w14:paraId="787EDEE5">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P</w:t>
      </w:r>
      <w:r>
        <w:rPr>
          <w:rFonts w:hint="eastAsia" w:hAnsi="宋体" w:cs="宋体"/>
          <w:color w:val="auto"/>
          <w:kern w:val="0"/>
          <w:highlight w:val="none"/>
          <w:vertAlign w:val="subscript"/>
        </w:rPr>
        <w:t>0</w:t>
      </w:r>
      <w:r>
        <w:rPr>
          <w:rFonts w:hint="eastAsia" w:hAnsi="宋体" w:cs="宋体"/>
          <w:color w:val="auto"/>
          <w:kern w:val="0"/>
          <w:highlight w:val="none"/>
        </w:rPr>
        <w:t xml:space="preserve"> ——本合同约定的计量周期（进度款、过程结算和竣工结算）中承包人应得到的，属于签约合同价中固定总价范围及按合同单价计算的变更金额。此项金额应不包括人工费及主要材料价格调整，已按施工期间价格计价的变更及新增、零星签证、索赔、暂估材料</w:t>
      </w:r>
      <w:r>
        <w:rPr>
          <w:rFonts w:hint="eastAsia" w:hAnsi="宋体" w:cs="宋体"/>
          <w:color w:val="auto"/>
          <w:kern w:val="0"/>
          <w:highlight w:val="none"/>
          <w:lang w:eastAsia="zh-CN"/>
        </w:rPr>
        <w:t>、</w:t>
      </w:r>
      <w:r>
        <w:rPr>
          <w:rFonts w:hint="eastAsia" w:hAnsi="宋体" w:cs="宋体"/>
          <w:color w:val="auto"/>
          <w:kern w:val="0"/>
          <w:highlight w:val="none"/>
          <w:lang w:val="en-US" w:eastAsia="zh-CN"/>
        </w:rPr>
        <w:t>暂估</w:t>
      </w:r>
      <w:r>
        <w:rPr>
          <w:rFonts w:hint="eastAsia" w:hAnsi="宋体" w:cs="宋体"/>
          <w:color w:val="auto"/>
          <w:kern w:val="0"/>
          <w:highlight w:val="none"/>
        </w:rPr>
        <w:t>专业工程、总承包服务费调整等金额，也不计</w:t>
      </w:r>
      <w:r>
        <w:rPr>
          <w:rFonts w:hint="eastAsia" w:hAnsi="宋体" w:cs="宋体"/>
          <w:color w:val="auto"/>
          <w:kern w:val="0"/>
          <w:highlight w:val="none"/>
          <w:lang w:val="en-US" w:eastAsia="zh-CN"/>
        </w:rPr>
        <w:t>算</w:t>
      </w:r>
      <w:r>
        <w:rPr>
          <w:rFonts w:hint="eastAsia" w:hAnsi="宋体" w:cs="宋体"/>
          <w:color w:val="auto"/>
          <w:kern w:val="0"/>
          <w:highlight w:val="none"/>
        </w:rPr>
        <w:t>在内；</w:t>
      </w:r>
    </w:p>
    <w:p w14:paraId="5B55D295">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A ——定值权重（即不调部分的权重，A=1-B</w:t>
      </w:r>
      <w:r>
        <w:rPr>
          <w:rFonts w:hint="eastAsia" w:hAnsi="宋体" w:cs="宋体"/>
          <w:color w:val="auto"/>
          <w:kern w:val="0"/>
          <w:highlight w:val="none"/>
          <w:vertAlign w:val="subscript"/>
        </w:rPr>
        <w:t>1</w:t>
      </w:r>
      <w:r>
        <w:rPr>
          <w:rFonts w:hint="eastAsia" w:hAnsi="宋体" w:cs="宋体"/>
          <w:color w:val="auto"/>
          <w:kern w:val="0"/>
          <w:highlight w:val="none"/>
        </w:rPr>
        <w:t>-B</w:t>
      </w:r>
      <w:r>
        <w:rPr>
          <w:rFonts w:hint="eastAsia" w:hAnsi="宋体" w:cs="宋体"/>
          <w:color w:val="auto"/>
          <w:kern w:val="0"/>
          <w:highlight w:val="none"/>
          <w:vertAlign w:val="subscript"/>
        </w:rPr>
        <w:t>2</w:t>
      </w:r>
      <w:r>
        <w:rPr>
          <w:rFonts w:hint="eastAsia" w:hAnsi="宋体" w:cs="宋体"/>
          <w:color w:val="auto"/>
          <w:kern w:val="0"/>
          <w:highlight w:val="none"/>
        </w:rPr>
        <w:t>-B</w:t>
      </w:r>
      <w:r>
        <w:rPr>
          <w:rFonts w:hint="eastAsia" w:hAnsi="宋体" w:cs="宋体"/>
          <w:color w:val="auto"/>
          <w:kern w:val="0"/>
          <w:highlight w:val="none"/>
          <w:vertAlign w:val="subscript"/>
        </w:rPr>
        <w:t>3</w:t>
      </w:r>
      <w:r>
        <w:rPr>
          <w:rFonts w:hint="eastAsia" w:hAnsi="宋体" w:cs="宋体"/>
          <w:color w:val="auto"/>
          <w:kern w:val="0"/>
          <w:highlight w:val="none"/>
        </w:rPr>
        <w:t>-…-B</w:t>
      </w:r>
      <w:r>
        <w:rPr>
          <w:rFonts w:hint="eastAsia" w:hAnsi="宋体" w:cs="宋体"/>
          <w:color w:val="auto"/>
          <w:kern w:val="0"/>
          <w:highlight w:val="none"/>
          <w:vertAlign w:val="subscript"/>
        </w:rPr>
        <w:t>n</w:t>
      </w:r>
      <w:r>
        <w:rPr>
          <w:rFonts w:hint="eastAsia" w:hAnsi="宋体" w:cs="宋体"/>
          <w:color w:val="auto"/>
          <w:kern w:val="0"/>
          <w:highlight w:val="none"/>
        </w:rPr>
        <w:t>）；</w:t>
      </w:r>
    </w:p>
    <w:p w14:paraId="4786809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 xml:space="preserve">      B</w:t>
      </w:r>
      <w:r>
        <w:rPr>
          <w:rFonts w:hint="eastAsia" w:hAnsi="宋体" w:cs="宋体"/>
          <w:color w:val="auto"/>
          <w:kern w:val="0"/>
          <w:highlight w:val="none"/>
          <w:vertAlign w:val="subscript"/>
          <w:lang w:eastAsia="zh-CN"/>
        </w:rPr>
        <w:t>1</w:t>
      </w:r>
      <w:r>
        <w:rPr>
          <w:rFonts w:hint="eastAsia" w:hAnsi="宋体" w:cs="宋体"/>
          <w:color w:val="auto"/>
          <w:kern w:val="0"/>
          <w:highlight w:val="none"/>
          <w:lang w:eastAsia="zh-CN"/>
        </w:rPr>
        <w:t>、</w:t>
      </w:r>
      <w:r>
        <w:rPr>
          <w:rFonts w:hint="eastAsia" w:hAnsi="宋体" w:cs="宋体"/>
          <w:color w:val="auto"/>
          <w:kern w:val="0"/>
          <w:highlight w:val="none"/>
        </w:rPr>
        <w:t>B</w:t>
      </w:r>
      <w:r>
        <w:rPr>
          <w:rFonts w:hint="eastAsia" w:hAnsi="宋体" w:cs="宋体"/>
          <w:color w:val="auto"/>
          <w:kern w:val="0"/>
          <w:highlight w:val="none"/>
          <w:vertAlign w:val="subscript"/>
          <w:lang w:eastAsia="zh-CN"/>
        </w:rPr>
        <w:t>2</w:t>
      </w:r>
      <w:r>
        <w:rPr>
          <w:rFonts w:hint="eastAsia" w:hAnsi="宋体" w:cs="宋体"/>
          <w:color w:val="auto"/>
          <w:kern w:val="0"/>
          <w:highlight w:val="none"/>
          <w:lang w:eastAsia="zh-CN"/>
        </w:rPr>
        <w:t>、</w:t>
      </w:r>
      <w:r>
        <w:rPr>
          <w:rFonts w:hint="eastAsia" w:hAnsi="宋体" w:cs="宋体"/>
          <w:color w:val="auto"/>
          <w:kern w:val="0"/>
          <w:highlight w:val="none"/>
        </w:rPr>
        <w:t>B</w:t>
      </w:r>
      <w:r>
        <w:rPr>
          <w:rFonts w:hint="eastAsia" w:hAnsi="宋体" w:cs="宋体"/>
          <w:color w:val="auto"/>
          <w:kern w:val="0"/>
          <w:highlight w:val="none"/>
          <w:vertAlign w:val="subscript"/>
          <w:lang w:eastAsia="zh-CN"/>
        </w:rPr>
        <w:t>3</w:t>
      </w:r>
      <w:r>
        <w:rPr>
          <w:rFonts w:hint="eastAsia" w:hAnsi="宋体" w:cs="宋体"/>
          <w:color w:val="auto"/>
          <w:kern w:val="0"/>
          <w:highlight w:val="none"/>
        </w:rPr>
        <w:t>…B</w:t>
      </w:r>
      <w:r>
        <w:rPr>
          <w:rFonts w:hint="eastAsia" w:hAnsi="宋体" w:cs="宋体"/>
          <w:color w:val="auto"/>
          <w:kern w:val="0"/>
          <w:highlight w:val="none"/>
          <w:vertAlign w:val="subscript"/>
        </w:rPr>
        <w:t>n</w:t>
      </w:r>
      <w:r>
        <w:rPr>
          <w:rFonts w:hint="eastAsia" w:hAnsi="宋体" w:cs="宋体"/>
          <w:color w:val="auto"/>
          <w:kern w:val="0"/>
          <w:highlight w:val="none"/>
        </w:rPr>
        <w:t>——各可调因子的金额占最高投标限价固定价格部分扣除增值税的权重（即可调部分的权重）；</w:t>
      </w:r>
    </w:p>
    <w:p w14:paraId="0B15903F">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 xml:space="preserve">     F</w:t>
      </w:r>
      <w:r>
        <w:rPr>
          <w:rFonts w:hint="eastAsia" w:hAnsi="宋体" w:cs="宋体"/>
          <w:color w:val="auto"/>
          <w:kern w:val="0"/>
          <w:highlight w:val="none"/>
          <w:vertAlign w:val="subscript"/>
        </w:rPr>
        <w:t>tl</w:t>
      </w:r>
      <w:r>
        <w:rPr>
          <w:rFonts w:hint="eastAsia" w:hAnsi="宋体" w:cs="宋体"/>
          <w:color w:val="auto"/>
          <w:kern w:val="0"/>
          <w:highlight w:val="none"/>
        </w:rPr>
        <w:t>、F</w:t>
      </w:r>
      <w:r>
        <w:rPr>
          <w:rFonts w:hint="eastAsia" w:hAnsi="宋体" w:cs="宋体"/>
          <w:color w:val="auto"/>
          <w:kern w:val="0"/>
          <w:highlight w:val="none"/>
          <w:vertAlign w:val="subscript"/>
        </w:rPr>
        <w:t>t</w:t>
      </w:r>
      <w:r>
        <w:rPr>
          <w:rFonts w:hint="eastAsia" w:hAnsi="宋体" w:cs="宋体"/>
          <w:color w:val="auto"/>
          <w:kern w:val="0"/>
          <w:highlight w:val="none"/>
          <w:vertAlign w:val="subscript"/>
          <w:lang w:eastAsia="zh-CN"/>
        </w:rPr>
        <w:t>2</w:t>
      </w:r>
      <w:r>
        <w:rPr>
          <w:rFonts w:hint="eastAsia" w:hAnsi="宋体" w:cs="宋体"/>
          <w:color w:val="auto"/>
          <w:kern w:val="0"/>
          <w:highlight w:val="none"/>
          <w:lang w:eastAsia="zh-CN"/>
        </w:rPr>
        <w:t>、</w:t>
      </w:r>
      <w:r>
        <w:rPr>
          <w:rFonts w:hint="eastAsia" w:hAnsi="宋体" w:cs="宋体"/>
          <w:color w:val="auto"/>
          <w:kern w:val="0"/>
          <w:highlight w:val="none"/>
        </w:rPr>
        <w:t>F</w:t>
      </w:r>
      <w:r>
        <w:rPr>
          <w:rFonts w:hint="eastAsia" w:hAnsi="宋体" w:cs="宋体"/>
          <w:color w:val="auto"/>
          <w:kern w:val="0"/>
          <w:highlight w:val="none"/>
          <w:vertAlign w:val="subscript"/>
        </w:rPr>
        <w:t>t</w:t>
      </w:r>
      <w:r>
        <w:rPr>
          <w:rFonts w:hint="eastAsia" w:hAnsi="宋体" w:cs="宋体"/>
          <w:color w:val="auto"/>
          <w:kern w:val="0"/>
          <w:highlight w:val="none"/>
          <w:vertAlign w:val="subscript"/>
          <w:lang w:eastAsia="zh-CN"/>
        </w:rPr>
        <w:t>3</w:t>
      </w:r>
      <w:r>
        <w:rPr>
          <w:rFonts w:hint="eastAsia" w:hAnsi="宋体" w:cs="宋体"/>
          <w:color w:val="auto"/>
          <w:kern w:val="0"/>
          <w:highlight w:val="none"/>
        </w:rPr>
        <w:t>…F</w:t>
      </w:r>
      <w:r>
        <w:rPr>
          <w:rFonts w:hint="eastAsia" w:hAnsi="宋体" w:cs="宋体"/>
          <w:color w:val="auto"/>
          <w:kern w:val="0"/>
          <w:highlight w:val="none"/>
          <w:vertAlign w:val="subscript"/>
        </w:rPr>
        <w:t>tn</w:t>
      </w:r>
      <w:r>
        <w:rPr>
          <w:rFonts w:hint="eastAsia" w:hAnsi="宋体" w:cs="宋体"/>
          <w:color w:val="auto"/>
          <w:kern w:val="0"/>
          <w:highlight w:val="none"/>
        </w:rPr>
        <w:t>——各可调因子的施工期间价格指数；</w:t>
      </w:r>
    </w:p>
    <w:p w14:paraId="71457958">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 xml:space="preserve">     F</w:t>
      </w:r>
      <w:r>
        <w:rPr>
          <w:rFonts w:hint="eastAsia" w:hAnsi="宋体" w:cs="宋体"/>
          <w:color w:val="auto"/>
          <w:kern w:val="0"/>
          <w:highlight w:val="none"/>
          <w:vertAlign w:val="subscript"/>
        </w:rPr>
        <w:t>0</w:t>
      </w:r>
      <w:r>
        <w:rPr>
          <w:rFonts w:hint="eastAsia" w:hAnsi="宋体" w:cs="宋体"/>
          <w:color w:val="auto"/>
          <w:kern w:val="0"/>
          <w:highlight w:val="none"/>
          <w:vertAlign w:val="subscript"/>
          <w:lang w:eastAsia="zh-CN"/>
        </w:rPr>
        <w:t>1</w:t>
      </w:r>
      <w:r>
        <w:rPr>
          <w:rFonts w:hint="eastAsia" w:hAnsi="宋体" w:cs="宋体"/>
          <w:color w:val="auto"/>
          <w:kern w:val="0"/>
          <w:highlight w:val="none"/>
          <w:lang w:eastAsia="zh-CN"/>
        </w:rPr>
        <w:t>、</w:t>
      </w:r>
      <w:r>
        <w:rPr>
          <w:rFonts w:hint="eastAsia" w:hAnsi="宋体" w:cs="宋体"/>
          <w:color w:val="auto"/>
          <w:kern w:val="0"/>
          <w:highlight w:val="none"/>
        </w:rPr>
        <w:t>F</w:t>
      </w:r>
      <w:r>
        <w:rPr>
          <w:rFonts w:hint="eastAsia" w:hAnsi="宋体" w:cs="宋体"/>
          <w:color w:val="auto"/>
          <w:kern w:val="0"/>
          <w:highlight w:val="none"/>
          <w:vertAlign w:val="subscript"/>
        </w:rPr>
        <w:t>0</w:t>
      </w:r>
      <w:r>
        <w:rPr>
          <w:rFonts w:hint="eastAsia" w:hAnsi="宋体" w:cs="宋体"/>
          <w:color w:val="auto"/>
          <w:kern w:val="0"/>
          <w:highlight w:val="none"/>
          <w:vertAlign w:val="subscript"/>
          <w:lang w:eastAsia="zh-CN"/>
        </w:rPr>
        <w:t>2</w:t>
      </w:r>
      <w:r>
        <w:rPr>
          <w:rFonts w:hint="eastAsia" w:hAnsi="宋体" w:cs="宋体"/>
          <w:color w:val="auto"/>
          <w:kern w:val="0"/>
          <w:highlight w:val="none"/>
          <w:lang w:eastAsia="zh-CN"/>
        </w:rPr>
        <w:t>、</w:t>
      </w:r>
      <w:r>
        <w:rPr>
          <w:rFonts w:hint="eastAsia" w:hAnsi="宋体" w:cs="宋体"/>
          <w:color w:val="auto"/>
          <w:kern w:val="0"/>
          <w:highlight w:val="none"/>
        </w:rPr>
        <w:t>F</w:t>
      </w:r>
      <w:r>
        <w:rPr>
          <w:rFonts w:hint="eastAsia" w:hAnsi="宋体" w:cs="宋体"/>
          <w:color w:val="auto"/>
          <w:kern w:val="0"/>
          <w:highlight w:val="none"/>
          <w:vertAlign w:val="subscript"/>
        </w:rPr>
        <w:t>0</w:t>
      </w:r>
      <w:r>
        <w:rPr>
          <w:rFonts w:hint="eastAsia" w:hAnsi="宋体" w:cs="宋体"/>
          <w:color w:val="auto"/>
          <w:kern w:val="0"/>
          <w:highlight w:val="none"/>
          <w:vertAlign w:val="subscript"/>
          <w:lang w:eastAsia="zh-CN"/>
        </w:rPr>
        <w:t>3</w:t>
      </w:r>
      <w:r>
        <w:rPr>
          <w:rFonts w:hint="eastAsia" w:hAnsi="宋体" w:cs="宋体"/>
          <w:color w:val="auto"/>
          <w:kern w:val="0"/>
          <w:highlight w:val="none"/>
        </w:rPr>
        <w:t>…F</w:t>
      </w:r>
      <w:r>
        <w:rPr>
          <w:rFonts w:hint="eastAsia" w:hAnsi="宋体" w:cs="宋体"/>
          <w:color w:val="auto"/>
          <w:kern w:val="0"/>
          <w:highlight w:val="none"/>
          <w:vertAlign w:val="subscript"/>
        </w:rPr>
        <w:t>0n</w:t>
      </w:r>
      <w:r>
        <w:rPr>
          <w:rFonts w:hint="eastAsia" w:hAnsi="宋体" w:cs="宋体"/>
          <w:color w:val="auto"/>
          <w:kern w:val="0"/>
          <w:highlight w:val="none"/>
        </w:rPr>
        <w:t>——各可调因子的基本价格指数，指合同基准日的各可调因子的价格指数。本合同允许价格</w:t>
      </w:r>
      <w:r>
        <w:rPr>
          <w:rFonts w:hint="eastAsia" w:hAnsi="宋体" w:cs="宋体"/>
          <w:color w:val="auto"/>
          <w:kern w:val="0"/>
          <w:highlight w:val="none"/>
          <w:lang w:val="en-US" w:eastAsia="zh-CN"/>
        </w:rPr>
        <w:t>风险</w:t>
      </w:r>
      <w:r>
        <w:rPr>
          <w:rFonts w:hint="eastAsia" w:hAnsi="宋体" w:cs="宋体"/>
          <w:color w:val="auto"/>
          <w:kern w:val="0"/>
          <w:highlight w:val="none"/>
        </w:rPr>
        <w:t>幅度以《人工及主要材料费可调因子价格指数及权重表》载明的为准，基本价格指数应予以考虑此</w:t>
      </w:r>
      <w:r>
        <w:rPr>
          <w:rFonts w:hint="eastAsia" w:hAnsi="宋体" w:cs="宋体"/>
          <w:color w:val="auto"/>
          <w:kern w:val="0"/>
          <w:highlight w:val="none"/>
          <w:lang w:val="en-US" w:eastAsia="zh-CN"/>
        </w:rPr>
        <w:t>风险</w:t>
      </w:r>
      <w:r>
        <w:rPr>
          <w:rFonts w:hint="eastAsia" w:hAnsi="宋体" w:cs="宋体"/>
          <w:color w:val="auto"/>
          <w:kern w:val="0"/>
          <w:highlight w:val="none"/>
        </w:rPr>
        <w:t>幅度系数</w:t>
      </w:r>
      <w:r>
        <w:rPr>
          <w:rFonts w:hint="eastAsia" w:hAnsi="宋体" w:cs="宋体"/>
          <w:color w:val="auto"/>
          <w:kern w:val="0"/>
          <w:highlight w:val="none"/>
          <w:lang w:eastAsia="zh-CN"/>
        </w:rPr>
        <w:t>，</w:t>
      </w:r>
      <w:r>
        <w:rPr>
          <w:rFonts w:hint="eastAsia" w:hAnsi="宋体" w:cs="宋体"/>
          <w:color w:val="auto"/>
          <w:kern w:val="0"/>
          <w:highlight w:val="none"/>
        </w:rPr>
        <w:t>即：基本价格指数F</w:t>
      </w:r>
      <w:r>
        <w:rPr>
          <w:rFonts w:hint="eastAsia" w:hAnsi="宋体" w:cs="宋体"/>
          <w:color w:val="auto"/>
          <w:kern w:val="0"/>
          <w:highlight w:val="none"/>
          <w:vertAlign w:val="subscript"/>
        </w:rPr>
        <w:t>0n</w:t>
      </w:r>
      <w:r>
        <w:rPr>
          <w:rFonts w:hint="eastAsia" w:hAnsi="宋体" w:cs="宋体"/>
          <w:color w:val="auto"/>
          <w:kern w:val="0"/>
          <w:highlight w:val="none"/>
        </w:rPr>
        <w:t>=合同基准日价格指数</w:t>
      </w:r>
      <w:r>
        <w:rPr>
          <w:rFonts w:hint="eastAsia" w:hAnsi="宋体" w:cs="宋体"/>
          <w:color w:val="auto"/>
          <w:kern w:val="0"/>
          <w:highlight w:val="none"/>
          <w:lang w:val="en-US" w:eastAsia="zh-CN"/>
        </w:rPr>
        <w:t>×（1+</w:t>
      </w:r>
      <w:r>
        <w:rPr>
          <w:rFonts w:hint="eastAsia" w:hAnsi="宋体" w:cs="宋体"/>
          <w:color w:val="auto"/>
          <w:kern w:val="0"/>
          <w:highlight w:val="none"/>
        </w:rPr>
        <w:t>合同约定</w:t>
      </w:r>
      <w:r>
        <w:rPr>
          <w:rFonts w:hint="eastAsia" w:hAnsi="宋体" w:cs="宋体"/>
          <w:color w:val="auto"/>
          <w:kern w:val="0"/>
          <w:highlight w:val="none"/>
          <w:lang w:val="en-US" w:eastAsia="zh-CN"/>
        </w:rPr>
        <w:t>风险</w:t>
      </w:r>
      <w:r>
        <w:rPr>
          <w:rFonts w:hint="eastAsia" w:hAnsi="宋体" w:cs="宋体"/>
          <w:color w:val="auto"/>
          <w:kern w:val="0"/>
          <w:highlight w:val="none"/>
        </w:rPr>
        <w:t>幅度</w:t>
      </w:r>
      <w:r>
        <w:rPr>
          <w:rFonts w:hint="eastAsia" w:hAnsi="宋体" w:cs="宋体"/>
          <w:color w:val="auto"/>
          <w:kern w:val="0"/>
          <w:highlight w:val="none"/>
          <w:lang w:eastAsia="zh-CN"/>
        </w:rPr>
        <w:t>）</w:t>
      </w:r>
      <w:r>
        <w:rPr>
          <w:rFonts w:hint="eastAsia" w:hAnsi="宋体" w:cs="宋体"/>
          <w:color w:val="auto"/>
          <w:kern w:val="0"/>
          <w:highlight w:val="none"/>
        </w:rPr>
        <w:t>。</w:t>
      </w:r>
    </w:p>
    <w:p w14:paraId="513F68C8">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上述价格指数调差公式中的各可调因子、变值权重详见《人工及主要材料费可调因子价格指数及权重表》。施工期间价格指数按照本合同约定的各项价格指数确定，该周期内因物价变化形成多个价格指数的，采用计算周期内人工及材料算术平均价格指数作为调整公式使用的价格指数。在计算调整差额时得不到施工期间价格指数的，可暂用上一计量周期的价格指数计算，并在以后的付款中再按实际价格指数进行调整。发包人确认的进度款人工费价差及材料费价差不作为过程结算和竣工结算的依据，但发包人确认的过程结算人工费价差及材料费价差作为竣工结算的依据。</w:t>
      </w:r>
    </w:p>
    <w:p w14:paraId="36D3FE32">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11.2.</w:t>
      </w:r>
      <w:r>
        <w:rPr>
          <w:rFonts w:hint="eastAsia" w:hAnsi="宋体" w:cs="宋体"/>
          <w:color w:val="auto"/>
          <w:kern w:val="0"/>
          <w:highlight w:val="none"/>
          <w:lang w:eastAsia="zh-CN"/>
        </w:rPr>
        <w:t>3</w:t>
      </w:r>
      <w:r>
        <w:rPr>
          <w:rFonts w:hint="eastAsia" w:hAnsi="宋体" w:cs="宋体"/>
          <w:color w:val="auto"/>
          <w:kern w:val="0"/>
          <w:highlight w:val="none"/>
        </w:rPr>
        <w:t>采用价格信息调差法进行价差调整</w:t>
      </w:r>
      <w:r>
        <w:rPr>
          <w:rFonts w:hint="default" w:hAnsi="宋体" w:cs="宋体"/>
          <w:color w:val="auto"/>
          <w:kern w:val="0"/>
          <w:highlight w:val="none"/>
          <w:lang w:val="en"/>
        </w:rPr>
        <w:t>的</w:t>
      </w:r>
      <w:r>
        <w:rPr>
          <w:rFonts w:hint="eastAsia" w:hAnsi="宋体" w:cs="宋体"/>
          <w:color w:val="auto"/>
          <w:kern w:val="0"/>
          <w:highlight w:val="none"/>
        </w:rPr>
        <w:t>，因物价变化引起合同清单的分部分项工程项目清单的人工费、主要材料费分别按照下列进行价格调整：</w:t>
      </w:r>
    </w:p>
    <w:p w14:paraId="15072D7E">
      <w:pPr>
        <w:numPr>
          <w:ilvl w:val="0"/>
          <w:numId w:val="1"/>
        </w:num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计量周期内人工费价差按</w:t>
      </w:r>
      <w:r>
        <w:rPr>
          <w:rFonts w:hint="eastAsia" w:hAnsi="宋体" w:cs="宋体"/>
          <w:strike w:val="0"/>
          <w:color w:val="auto"/>
          <w:kern w:val="0"/>
          <w:highlight w:val="none"/>
          <w:lang w:eastAsia="zh-CN"/>
        </w:rPr>
        <w:t>全过程计价规范中</w:t>
      </w:r>
      <w:r>
        <w:rPr>
          <w:rFonts w:hint="eastAsia" w:hAnsi="宋体" w:cs="宋体"/>
          <w:color w:val="auto"/>
          <w:kern w:val="0"/>
          <w:highlight w:val="none"/>
        </w:rPr>
        <w:t>《人工费价差计算表》及如下公式计算：人工费价差调整=人工费</w:t>
      </w:r>
      <w:r>
        <w:rPr>
          <w:rFonts w:hint="eastAsia" w:hAnsi="宋体" w:cs="宋体"/>
          <w:color w:val="auto"/>
          <w:kern w:val="0"/>
          <w:highlight w:val="none"/>
          <w:lang w:val="en-US" w:eastAsia="zh-CN"/>
        </w:rPr>
        <w:t>×</w:t>
      </w:r>
      <w:r>
        <w:rPr>
          <w:rFonts w:hint="default" w:hAnsi="宋体" w:cs="宋体"/>
          <w:color w:val="auto"/>
          <w:kern w:val="0"/>
          <w:highlight w:val="none"/>
          <w:lang w:val="en" w:eastAsia="zh-CN"/>
        </w:rPr>
        <w:t>[</w:t>
      </w:r>
      <w:r>
        <w:rPr>
          <w:rFonts w:hint="eastAsia" w:hAnsi="宋体" w:cs="宋体"/>
          <w:color w:val="auto"/>
          <w:kern w:val="0"/>
          <w:highlight w:val="none"/>
        </w:rPr>
        <w:t>施工期间人工费价格指数</w:t>
      </w:r>
      <w:r>
        <w:rPr>
          <w:rFonts w:hint="eastAsia" w:hAnsi="宋体" w:cs="宋体"/>
          <w:color w:val="auto"/>
          <w:kern w:val="0"/>
          <w:highlight w:val="none"/>
          <w:lang w:eastAsia="zh-CN"/>
        </w:rPr>
        <w:t>÷</w:t>
      </w:r>
      <w:r>
        <w:rPr>
          <w:rFonts w:hint="eastAsia" w:hAnsi="宋体" w:cs="宋体"/>
          <w:color w:val="auto"/>
          <w:kern w:val="0"/>
          <w:highlight w:val="none"/>
        </w:rPr>
        <w:t>（基准日人工费价格指数</w:t>
      </w:r>
      <w:r>
        <w:rPr>
          <w:rFonts w:hint="eastAsia" w:hAnsi="宋体" w:cs="宋体"/>
          <w:color w:val="auto"/>
          <w:kern w:val="0"/>
          <w:highlight w:val="none"/>
          <w:lang w:val="en-US" w:eastAsia="zh-CN"/>
        </w:rPr>
        <w:t>×（1</w:t>
      </w:r>
      <w:r>
        <w:rPr>
          <w:rFonts w:hint="eastAsia" w:hAnsi="宋体" w:cs="宋体"/>
          <w:color w:val="auto"/>
          <w:kern w:val="0"/>
          <w:highlight w:val="none"/>
        </w:rPr>
        <w:t>+</w:t>
      </w:r>
      <w:r>
        <w:rPr>
          <w:rFonts w:hint="eastAsia" w:hAnsi="宋体" w:cs="宋体"/>
          <w:color w:val="auto"/>
          <w:kern w:val="0"/>
          <w:highlight w:val="none"/>
          <w:lang w:eastAsia="zh-CN"/>
        </w:rPr>
        <w:t>风险</w:t>
      </w:r>
      <w:r>
        <w:rPr>
          <w:rFonts w:hint="eastAsia" w:hAnsi="宋体" w:cs="宋体"/>
          <w:color w:val="auto"/>
          <w:kern w:val="0"/>
          <w:highlight w:val="none"/>
        </w:rPr>
        <w:t>幅度）</w:t>
      </w:r>
      <w:r>
        <w:rPr>
          <w:rFonts w:hint="eastAsia" w:hAnsi="宋体" w:cs="宋体"/>
          <w:color w:val="auto"/>
          <w:kern w:val="0"/>
          <w:highlight w:val="none"/>
          <w:lang w:val="en-US" w:eastAsia="zh-CN"/>
        </w:rPr>
        <w:t>-</w:t>
      </w:r>
      <w:r>
        <w:rPr>
          <w:rFonts w:hint="default" w:hAnsi="宋体" w:cs="宋体"/>
          <w:color w:val="auto"/>
          <w:kern w:val="0"/>
          <w:highlight w:val="none"/>
          <w:lang w:val="en" w:eastAsia="zh-CN"/>
        </w:rPr>
        <w:t>1</w:t>
      </w:r>
      <w:r>
        <w:rPr>
          <w:rFonts w:hint="eastAsia" w:hAnsi="宋体" w:cs="宋体"/>
          <w:color w:val="auto"/>
          <w:kern w:val="0"/>
          <w:highlight w:val="none"/>
          <w:lang w:eastAsia="zh-CN"/>
        </w:rPr>
        <w:t>）</w:t>
      </w:r>
      <w:r>
        <w:rPr>
          <w:rFonts w:hint="default" w:hAnsi="宋体" w:cs="宋体"/>
          <w:color w:val="auto"/>
          <w:kern w:val="0"/>
          <w:highlight w:val="none"/>
          <w:lang w:val="en" w:eastAsia="zh-CN"/>
        </w:rPr>
        <w:t>]</w:t>
      </w:r>
      <w:r>
        <w:rPr>
          <w:rFonts w:hint="eastAsia" w:hAnsi="宋体" w:cs="宋体"/>
          <w:color w:val="auto"/>
          <w:kern w:val="0"/>
          <w:highlight w:val="none"/>
        </w:rPr>
        <w:t>。因市场价格波动形成多个价格指数的，进度款按算术平均价格指数，过程结算及竣工结算采用</w:t>
      </w:r>
      <w:r>
        <w:rPr>
          <w:rFonts w:hint="eastAsia" w:hAnsi="宋体" w:cs="宋体"/>
          <w:color w:val="auto"/>
          <w:kern w:val="0"/>
          <w:highlight w:val="none"/>
        </w:rPr>
        <w:sym w:font="Wingdings 2" w:char="00A3"/>
      </w:r>
      <w:r>
        <w:rPr>
          <w:rFonts w:hint="eastAsia" w:hAnsi="宋体" w:cs="宋体"/>
          <w:color w:val="auto"/>
          <w:kern w:val="0"/>
          <w:highlight w:val="none"/>
        </w:rPr>
        <w:t>加权平均</w:t>
      </w:r>
      <w:r>
        <w:rPr>
          <w:rFonts w:hint="eastAsia" w:hAnsi="宋体" w:cs="宋体"/>
          <w:color w:val="auto"/>
          <w:kern w:val="0"/>
          <w:highlight w:val="none"/>
        </w:rPr>
        <w:sym w:font="Wingdings 2" w:char="00A3"/>
      </w:r>
      <w:r>
        <w:rPr>
          <w:rFonts w:hint="eastAsia" w:hAnsi="宋体" w:cs="宋体"/>
          <w:color w:val="auto"/>
          <w:kern w:val="0"/>
          <w:highlight w:val="none"/>
        </w:rPr>
        <w:t>算术平均价格指数。过程结算及竣工结算若采用加权平均价格指数，应按照历次进度款人工费占总进度款人工费总额比例和相应月份人工费价格指数计算人工费价格指数加权平均值。</w:t>
      </w:r>
    </w:p>
    <w:p w14:paraId="53FE9820">
      <w:pPr>
        <w:numPr>
          <w:ilvl w:val="0"/>
          <w:numId w:val="2"/>
        </w:numPr>
        <w:spacing w:line="360" w:lineRule="auto"/>
        <w:ind w:firstLine="420" w:firstLineChars="200"/>
        <w:jc w:val="left"/>
        <w:rPr>
          <w:rFonts w:hint="eastAsia" w:hAnsi="宋体" w:cs="宋体"/>
          <w:color w:val="auto"/>
          <w:kern w:val="0"/>
          <w:highlight w:val="none"/>
          <w:lang w:eastAsia="zh-CN"/>
        </w:rPr>
      </w:pPr>
      <w:r>
        <w:rPr>
          <w:rFonts w:hint="eastAsia" w:hAnsi="宋体" w:cs="宋体"/>
          <w:color w:val="auto"/>
          <w:kern w:val="0"/>
          <w:highlight w:val="none"/>
        </w:rPr>
        <w:t>计量周期内允许调整的主要材料工程量及其施工期间单价</w:t>
      </w:r>
      <w:r>
        <w:rPr>
          <w:rFonts w:hint="eastAsia" w:hAnsi="宋体" w:cs="宋体"/>
          <w:color w:val="auto"/>
          <w:kern w:val="0"/>
          <w:highlight w:val="none"/>
          <w:lang w:eastAsia="zh-CN"/>
        </w:rPr>
        <w:t>的确定方法选择：</w:t>
      </w:r>
    </w:p>
    <w:p w14:paraId="05A155E9">
      <w:pPr>
        <w:numPr>
          <w:ilvl w:val="0"/>
          <w:numId w:val="0"/>
        </w:numPr>
        <w:spacing w:line="360" w:lineRule="auto"/>
        <w:ind w:firstLine="630" w:firstLineChars="300"/>
        <w:jc w:val="left"/>
        <w:rPr>
          <w:rFonts w:hint="eastAsia" w:hAnsi="宋体" w:cs="宋体"/>
          <w:color w:val="auto"/>
          <w:kern w:val="0"/>
          <w:highlight w:val="none"/>
          <w:lang w:eastAsia="zh-CN"/>
        </w:rPr>
      </w:pPr>
      <w:r>
        <w:rPr>
          <w:rFonts w:hint="eastAsia" w:hAnsi="宋体" w:cs="宋体"/>
          <w:color w:val="auto"/>
          <w:kern w:val="0"/>
          <w:highlight w:val="none"/>
        </w:rPr>
        <w:sym w:font="Wingdings 2" w:char="00A3"/>
      </w:r>
      <w:r>
        <w:rPr>
          <w:rFonts w:hint="eastAsia" w:hAnsi="宋体" w:cs="宋体"/>
          <w:color w:val="auto"/>
          <w:kern w:val="0"/>
          <w:highlight w:val="none"/>
          <w:lang w:eastAsia="zh-CN"/>
        </w:rPr>
        <w:t>采用发包人认定的材料采购价格作为允许调整价格的主要材料施工期间市场价格的，承包人应在采购材料前将采购数量和新的材料单价报送发包人核对，确认用于本合同工程时，发包人应确认采购材料的数量和单价，分批采购时按权重取平均值计算。发包人在收到承包人报送的价格差额调整资料后3个工作日内不予答复的视为已经认可，作为进度款、过程结算、竣工结算的依据。如果承包人未报发包人核对即自行采购材料，再报发包人确认调整合同价格的，如发包人不同意，则不作调整。</w:t>
      </w:r>
    </w:p>
    <w:p w14:paraId="3357B97D">
      <w:pPr>
        <w:numPr>
          <w:ilvl w:val="0"/>
          <w:numId w:val="0"/>
        </w:num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sym w:font="Wingdings 2" w:char="0052"/>
      </w:r>
      <w:r>
        <w:rPr>
          <w:rFonts w:hint="eastAsia" w:hAnsi="宋体" w:cs="宋体"/>
          <w:color w:val="auto"/>
          <w:kern w:val="0"/>
          <w:highlight w:val="none"/>
          <w:lang w:eastAsia="zh-CN"/>
        </w:rPr>
        <w:t>采用建设工程造价管理机构发布的</w:t>
      </w:r>
      <w:r>
        <w:rPr>
          <w:rFonts w:hint="eastAsia" w:hAnsi="宋体" w:cs="宋体"/>
          <w:color w:val="auto"/>
          <w:kern w:val="0"/>
          <w:highlight w:val="none"/>
          <w:lang w:val="en-US" w:eastAsia="zh-CN"/>
        </w:rPr>
        <w:t>信息价</w:t>
      </w:r>
      <w:r>
        <w:rPr>
          <w:rFonts w:hint="eastAsia" w:hAnsi="宋体" w:cs="宋体"/>
          <w:color w:val="auto"/>
          <w:kern w:val="0"/>
          <w:highlight w:val="none"/>
          <w:lang w:eastAsia="zh-CN"/>
        </w:rPr>
        <w:t>作为允许调整价格的主要材料施工期间市场价格的，允许调整价格的主要材料数量按招标人提供的相应预算清单单位工程的主要材料消耗量乘以实际完成并予以计量的相应</w:t>
      </w:r>
      <w:r>
        <w:rPr>
          <w:rFonts w:hint="eastAsia" w:hAnsi="宋体" w:cs="宋体"/>
          <w:color w:val="auto"/>
          <w:kern w:val="0"/>
          <w:highlight w:val="none"/>
          <w:lang w:val="en-US" w:eastAsia="zh-CN"/>
        </w:rPr>
        <w:t>清单</w:t>
      </w:r>
      <w:r>
        <w:rPr>
          <w:rFonts w:hint="eastAsia" w:hAnsi="宋体" w:cs="宋体"/>
          <w:color w:val="auto"/>
          <w:kern w:val="0"/>
          <w:highlight w:val="none"/>
          <w:lang w:eastAsia="zh-CN"/>
        </w:rPr>
        <w:t>工程量计算；单价为该材料施工期间建设工程造价管理机构发布的信息价，</w:t>
      </w:r>
      <w:r>
        <w:rPr>
          <w:rFonts w:hint="eastAsia" w:hAnsi="宋体" w:cs="宋体"/>
          <w:color w:val="auto"/>
          <w:kern w:val="0"/>
          <w:highlight w:val="none"/>
        </w:rPr>
        <w:t>采用</w:t>
      </w:r>
      <w:r>
        <w:rPr>
          <w:rFonts w:hint="eastAsia" w:hAnsi="宋体" w:cs="宋体"/>
          <w:color w:val="auto"/>
          <w:kern w:val="0"/>
          <w:highlight w:val="none"/>
        </w:rPr>
        <w:sym w:font="Wingdings 2" w:char="00A3"/>
      </w:r>
      <w:r>
        <w:rPr>
          <w:rFonts w:hint="eastAsia" w:hAnsi="宋体" w:cs="宋体"/>
          <w:color w:val="auto"/>
          <w:kern w:val="0"/>
          <w:highlight w:val="none"/>
        </w:rPr>
        <w:t>加权平均</w:t>
      </w:r>
      <w:r>
        <w:rPr>
          <w:rFonts w:hint="eastAsia" w:hAnsi="宋体" w:cs="宋体"/>
          <w:color w:val="auto"/>
          <w:kern w:val="0"/>
          <w:highlight w:val="none"/>
          <w:lang w:eastAsia="zh-CN"/>
        </w:rPr>
        <w:t>价格</w:t>
      </w:r>
      <w:r>
        <w:rPr>
          <w:rFonts w:hint="eastAsia" w:hAnsi="宋体" w:cs="宋体"/>
          <w:color w:val="auto"/>
          <w:kern w:val="0"/>
          <w:highlight w:val="none"/>
        </w:rPr>
        <w:sym w:font="Wingdings 2" w:char="0052"/>
      </w:r>
      <w:r>
        <w:rPr>
          <w:rFonts w:hint="eastAsia" w:hAnsi="宋体" w:cs="宋体"/>
          <w:color w:val="auto"/>
          <w:kern w:val="0"/>
          <w:highlight w:val="none"/>
        </w:rPr>
        <w:t>算术平均价格</w:t>
      </w:r>
      <w:r>
        <w:rPr>
          <w:rFonts w:hint="eastAsia" w:hAnsi="宋体" w:cs="宋体"/>
          <w:color w:val="auto"/>
          <w:kern w:val="0"/>
          <w:highlight w:val="none"/>
          <w:lang w:val="en-US" w:eastAsia="zh-CN"/>
        </w:rPr>
        <w:t>计算</w:t>
      </w:r>
      <w:r>
        <w:rPr>
          <w:rFonts w:hint="eastAsia" w:hAnsi="宋体" w:cs="宋体"/>
          <w:color w:val="auto"/>
          <w:kern w:val="0"/>
          <w:highlight w:val="none"/>
          <w:lang w:eastAsia="zh-CN"/>
        </w:rPr>
        <w:t>。建设工程造价管理机构发布的信息价没有的</w:t>
      </w:r>
      <w:r>
        <w:rPr>
          <w:rFonts w:hint="eastAsia" w:hAnsi="宋体" w:cs="宋体"/>
          <w:color w:val="auto"/>
          <w:kern w:val="0"/>
          <w:highlight w:val="none"/>
          <w:lang w:val="en-US" w:eastAsia="zh-CN"/>
        </w:rPr>
        <w:t>材料</w:t>
      </w:r>
      <w:r>
        <w:rPr>
          <w:rFonts w:hint="eastAsia" w:hAnsi="宋体" w:cs="宋体"/>
          <w:color w:val="auto"/>
          <w:kern w:val="0"/>
          <w:highlight w:val="none"/>
          <w:lang w:eastAsia="zh-CN"/>
        </w:rPr>
        <w:t>由发承包双方根据市场行情及时确认</w:t>
      </w:r>
      <w:r>
        <w:rPr>
          <w:rFonts w:hint="eastAsia" w:hAnsi="宋体" w:cs="宋体"/>
          <w:color w:val="auto"/>
          <w:kern w:val="0"/>
          <w:highlight w:val="none"/>
          <w:lang w:val="en-US" w:eastAsia="zh-CN"/>
        </w:rPr>
        <w:t>价格</w:t>
      </w:r>
      <w:r>
        <w:rPr>
          <w:rFonts w:hint="eastAsia" w:hAnsi="宋体" w:cs="宋体"/>
          <w:color w:val="auto"/>
          <w:kern w:val="0"/>
          <w:highlight w:val="none"/>
          <w:lang w:eastAsia="zh-CN"/>
        </w:rPr>
        <w:t>。</w:t>
      </w:r>
    </w:p>
    <w:p w14:paraId="42E448C7">
      <w:pPr>
        <w:numPr>
          <w:ilvl w:val="0"/>
          <w:numId w:val="0"/>
        </w:num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lang w:eastAsia="zh-CN"/>
        </w:rPr>
        <w:t>（</w:t>
      </w:r>
      <w:r>
        <w:rPr>
          <w:rFonts w:hint="eastAsia" w:hAnsi="宋体" w:cs="宋体"/>
          <w:color w:val="auto"/>
          <w:kern w:val="0"/>
          <w:highlight w:val="none"/>
          <w:lang w:val="en-US" w:eastAsia="zh-CN"/>
        </w:rPr>
        <w:t>3</w:t>
      </w:r>
      <w:r>
        <w:rPr>
          <w:rFonts w:hint="eastAsia" w:hAnsi="宋体" w:cs="宋体"/>
          <w:color w:val="auto"/>
          <w:kern w:val="0"/>
          <w:highlight w:val="none"/>
          <w:lang w:eastAsia="zh-CN"/>
        </w:rPr>
        <w:t>）计量周期内</w:t>
      </w:r>
      <w:r>
        <w:rPr>
          <w:rFonts w:hint="eastAsia" w:hAnsi="宋体" w:cs="宋体"/>
          <w:color w:val="auto"/>
          <w:kern w:val="0"/>
          <w:highlight w:val="none"/>
        </w:rPr>
        <w:t>材料价差</w:t>
      </w:r>
      <w:r>
        <w:rPr>
          <w:rFonts w:hint="eastAsia" w:hAnsi="宋体" w:cs="宋体"/>
          <w:color w:val="auto"/>
          <w:kern w:val="0"/>
          <w:highlight w:val="none"/>
          <w:lang w:eastAsia="zh-CN"/>
        </w:rPr>
        <w:t>根据</w:t>
      </w:r>
      <w:r>
        <w:rPr>
          <w:rFonts w:hint="eastAsia" w:hAnsi="宋体" w:cs="宋体"/>
          <w:color w:val="auto"/>
          <w:kern w:val="0"/>
          <w:highlight w:val="none"/>
        </w:rPr>
        <w:t>本合同约定</w:t>
      </w:r>
      <w:r>
        <w:rPr>
          <w:rFonts w:hint="eastAsia" w:hAnsi="宋体" w:cs="宋体"/>
          <w:color w:val="auto"/>
          <w:kern w:val="0"/>
          <w:highlight w:val="none"/>
          <w:lang w:eastAsia="zh-CN"/>
        </w:rPr>
        <w:t>及全过程计价规范</w:t>
      </w:r>
      <w:r>
        <w:rPr>
          <w:rFonts w:hint="eastAsia" w:hAnsi="宋体" w:cs="宋体"/>
          <w:color w:val="auto"/>
          <w:kern w:val="0"/>
          <w:highlight w:val="none"/>
        </w:rPr>
        <w:t>《主要材料费价差计算表》</w:t>
      </w:r>
      <w:r>
        <w:rPr>
          <w:rFonts w:hint="eastAsia" w:hAnsi="宋体" w:cs="宋体"/>
          <w:color w:val="auto"/>
          <w:kern w:val="0"/>
          <w:highlight w:val="none"/>
          <w:lang w:eastAsia="zh-CN"/>
        </w:rPr>
        <w:t>按</w:t>
      </w:r>
      <w:r>
        <w:rPr>
          <w:rFonts w:hint="eastAsia" w:hAnsi="宋体" w:cs="宋体"/>
          <w:color w:val="auto"/>
          <w:kern w:val="0"/>
          <w:highlight w:val="none"/>
        </w:rPr>
        <w:t>以下方法计算：</w:t>
      </w:r>
    </w:p>
    <w:p w14:paraId="7F89A5B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①《允许调整价格的主要材料一览表》中载明的材料投标报价低于基准价格的：合同履行期间材料单价涨幅以基准价格为基础超过约定的风险范围时，或材料单价跌幅以投标报价为基础超过约定的风险范围时，对其超过部分进行价差调整，价差计算公式：价格上涨价差=施工期间价格-基准价</w:t>
      </w:r>
      <w:r>
        <w:rPr>
          <w:rFonts w:hint="eastAsia" w:hAnsi="宋体" w:cs="宋体"/>
          <w:color w:val="auto"/>
          <w:kern w:val="0"/>
          <w:highlight w:val="none"/>
          <w:lang w:val="en-US" w:eastAsia="zh-CN"/>
        </w:rPr>
        <w:t>×</w:t>
      </w:r>
      <w:r>
        <w:rPr>
          <w:rFonts w:hint="eastAsia" w:hAnsi="宋体" w:cs="宋体"/>
          <w:color w:val="auto"/>
          <w:kern w:val="0"/>
          <w:highlight w:val="none"/>
        </w:rPr>
        <w:t>（1+风险</w:t>
      </w:r>
      <w:r>
        <w:rPr>
          <w:rFonts w:hint="eastAsia" w:hAnsi="宋体" w:cs="宋体"/>
          <w:color w:val="auto"/>
          <w:kern w:val="0"/>
          <w:highlight w:val="none"/>
          <w:lang w:eastAsia="zh-CN"/>
        </w:rPr>
        <w:t>幅度</w:t>
      </w:r>
      <w:r>
        <w:rPr>
          <w:rFonts w:hint="eastAsia" w:hAnsi="宋体" w:cs="宋体"/>
          <w:color w:val="auto"/>
          <w:kern w:val="0"/>
          <w:highlight w:val="none"/>
        </w:rPr>
        <w:t>），价格下跌价差=投标报价</w:t>
      </w:r>
      <w:r>
        <w:rPr>
          <w:rFonts w:hint="eastAsia" w:hAnsi="宋体" w:cs="宋体"/>
          <w:color w:val="auto"/>
          <w:kern w:val="0"/>
          <w:highlight w:val="none"/>
          <w:lang w:val="en-US" w:eastAsia="zh-CN"/>
        </w:rPr>
        <w:t>×</w:t>
      </w:r>
      <w:r>
        <w:rPr>
          <w:rFonts w:hint="eastAsia" w:hAnsi="宋体" w:cs="宋体"/>
          <w:color w:val="auto"/>
          <w:kern w:val="0"/>
          <w:highlight w:val="none"/>
        </w:rPr>
        <w:t>（1+风险</w:t>
      </w:r>
      <w:r>
        <w:rPr>
          <w:rFonts w:hint="eastAsia" w:hAnsi="宋体" w:cs="宋体"/>
          <w:color w:val="auto"/>
          <w:kern w:val="0"/>
          <w:highlight w:val="none"/>
          <w:lang w:eastAsia="zh-CN"/>
        </w:rPr>
        <w:t>幅度</w:t>
      </w:r>
      <w:r>
        <w:rPr>
          <w:rFonts w:hint="eastAsia" w:hAnsi="宋体" w:cs="宋体"/>
          <w:color w:val="auto"/>
          <w:kern w:val="0"/>
          <w:highlight w:val="none"/>
        </w:rPr>
        <w:t>）-施工期间价格。</w:t>
      </w:r>
    </w:p>
    <w:p w14:paraId="1C9FCB8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②承包人在《允许调整价格的主要材料一览表》中载明的材料投标报价高于基准价格的：合同履行期间材料单价跌幅以基准价格为基础超过约定的风险范围时，或材料单价涨幅以投标报价为基础超过约定的风险范围时，对其超过部分进行价差调整。价差计算公式：价格上涨价差=施工期间价格-投标报价</w:t>
      </w:r>
      <w:r>
        <w:rPr>
          <w:rFonts w:hint="eastAsia" w:hAnsi="宋体" w:cs="宋体"/>
          <w:color w:val="auto"/>
          <w:kern w:val="0"/>
          <w:highlight w:val="none"/>
          <w:lang w:val="en-US" w:eastAsia="zh-CN"/>
        </w:rPr>
        <w:t>×</w:t>
      </w:r>
      <w:r>
        <w:rPr>
          <w:rFonts w:hint="eastAsia" w:hAnsi="宋体" w:cs="宋体"/>
          <w:color w:val="auto"/>
          <w:kern w:val="0"/>
          <w:highlight w:val="none"/>
        </w:rPr>
        <w:t>（1+风险</w:t>
      </w:r>
      <w:r>
        <w:rPr>
          <w:rFonts w:hint="eastAsia" w:hAnsi="宋体" w:cs="宋体"/>
          <w:color w:val="auto"/>
          <w:kern w:val="0"/>
          <w:highlight w:val="none"/>
          <w:lang w:eastAsia="zh-CN"/>
        </w:rPr>
        <w:t>幅度</w:t>
      </w:r>
      <w:r>
        <w:rPr>
          <w:rFonts w:hint="eastAsia" w:hAnsi="宋体" w:cs="宋体"/>
          <w:color w:val="auto"/>
          <w:kern w:val="0"/>
          <w:highlight w:val="none"/>
        </w:rPr>
        <w:t>），价格下跌价差=基准价</w:t>
      </w:r>
      <w:r>
        <w:rPr>
          <w:rFonts w:hint="eastAsia" w:hAnsi="宋体" w:cs="宋体"/>
          <w:color w:val="auto"/>
          <w:kern w:val="0"/>
          <w:highlight w:val="none"/>
          <w:lang w:val="en-US" w:eastAsia="zh-CN"/>
        </w:rPr>
        <w:t>×</w:t>
      </w:r>
      <w:r>
        <w:rPr>
          <w:rFonts w:hint="eastAsia" w:hAnsi="宋体" w:cs="宋体"/>
          <w:color w:val="auto"/>
          <w:kern w:val="0"/>
          <w:highlight w:val="none"/>
        </w:rPr>
        <w:t>（1+风险</w:t>
      </w:r>
      <w:r>
        <w:rPr>
          <w:rFonts w:hint="eastAsia" w:hAnsi="宋体" w:cs="宋体"/>
          <w:color w:val="auto"/>
          <w:kern w:val="0"/>
          <w:highlight w:val="none"/>
          <w:lang w:eastAsia="zh-CN"/>
        </w:rPr>
        <w:t>幅度</w:t>
      </w:r>
      <w:r>
        <w:rPr>
          <w:rFonts w:hint="eastAsia" w:hAnsi="宋体" w:cs="宋体"/>
          <w:color w:val="auto"/>
          <w:kern w:val="0"/>
          <w:highlight w:val="none"/>
        </w:rPr>
        <w:t>）-施工期间价格。</w:t>
      </w:r>
    </w:p>
    <w:p w14:paraId="1DFEED07">
      <w:pPr>
        <w:snapToGrid w:val="0"/>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③承包人在《允许调整价格的主要材料一览表》中载明的材料单价等于基准单价的：合同履行期间材料单价涨跌幅以基准单价为基础超过约定的风险范围时，对其超过部分进行价差调整。价差计算公式：价格上涨价差=施工期间价格-基准价</w:t>
      </w:r>
      <w:r>
        <w:rPr>
          <w:rFonts w:hint="eastAsia" w:hAnsi="宋体" w:cs="宋体"/>
          <w:color w:val="auto"/>
          <w:kern w:val="0"/>
          <w:highlight w:val="none"/>
          <w:lang w:val="en-US" w:eastAsia="zh-CN"/>
        </w:rPr>
        <w:t>×</w:t>
      </w:r>
      <w:r>
        <w:rPr>
          <w:rFonts w:hint="eastAsia" w:hAnsi="宋体" w:cs="宋体"/>
          <w:color w:val="auto"/>
          <w:kern w:val="0"/>
          <w:highlight w:val="none"/>
        </w:rPr>
        <w:t>（1+风险</w:t>
      </w:r>
      <w:r>
        <w:rPr>
          <w:rFonts w:hint="eastAsia" w:hAnsi="宋体" w:cs="宋体"/>
          <w:color w:val="auto"/>
          <w:kern w:val="0"/>
          <w:highlight w:val="none"/>
          <w:lang w:eastAsia="zh-CN"/>
        </w:rPr>
        <w:t>幅度</w:t>
      </w:r>
      <w:r>
        <w:rPr>
          <w:rFonts w:hint="eastAsia" w:hAnsi="宋体" w:cs="宋体"/>
          <w:color w:val="auto"/>
          <w:kern w:val="0"/>
          <w:highlight w:val="none"/>
        </w:rPr>
        <w:t>），价格下跌价差=基准价</w:t>
      </w:r>
      <w:r>
        <w:rPr>
          <w:rFonts w:hint="eastAsia" w:hAnsi="宋体" w:cs="宋体"/>
          <w:color w:val="auto"/>
          <w:kern w:val="0"/>
          <w:highlight w:val="none"/>
          <w:lang w:val="en-US" w:eastAsia="zh-CN"/>
        </w:rPr>
        <w:t>×</w:t>
      </w:r>
      <w:r>
        <w:rPr>
          <w:rFonts w:hint="eastAsia" w:hAnsi="宋体" w:cs="宋体"/>
          <w:color w:val="auto"/>
          <w:kern w:val="0"/>
          <w:highlight w:val="none"/>
        </w:rPr>
        <w:t>（1+风险</w:t>
      </w:r>
      <w:r>
        <w:rPr>
          <w:rFonts w:hint="eastAsia" w:hAnsi="宋体" w:cs="宋体"/>
          <w:color w:val="auto"/>
          <w:kern w:val="0"/>
          <w:highlight w:val="none"/>
          <w:lang w:eastAsia="zh-CN"/>
        </w:rPr>
        <w:t>幅度</w:t>
      </w:r>
      <w:r>
        <w:rPr>
          <w:rFonts w:hint="eastAsia" w:hAnsi="宋体" w:cs="宋体"/>
          <w:color w:val="auto"/>
          <w:kern w:val="0"/>
          <w:highlight w:val="none"/>
        </w:rPr>
        <w:t>）-施工期间价格。</w:t>
      </w:r>
    </w:p>
    <w:p w14:paraId="752E4C10">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11.2.</w:t>
      </w:r>
      <w:r>
        <w:rPr>
          <w:rFonts w:hint="eastAsia" w:hAnsi="宋体" w:cs="宋体"/>
          <w:color w:val="auto"/>
          <w:kern w:val="0"/>
          <w:highlight w:val="none"/>
          <w:lang w:eastAsia="zh-CN"/>
        </w:rPr>
        <w:t>4</w:t>
      </w:r>
      <w:r>
        <w:rPr>
          <w:rFonts w:hint="eastAsia" w:hAnsi="宋体" w:cs="宋体"/>
          <w:color w:val="auto"/>
          <w:kern w:val="0"/>
          <w:highlight w:val="none"/>
        </w:rPr>
        <w:t xml:space="preserve">  合同工程出现工期延长的，应按下列规定确定及调整合同履行期由于物价变化影响的价格：</w:t>
      </w:r>
    </w:p>
    <w:p w14:paraId="74A20C4E">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（1）因发包人原因导致工期延长的，计划进度日期后续工程的价格或价格指数，采用计划进度日期与实际进度日期两者的较高者。</w:t>
      </w:r>
    </w:p>
    <w:p w14:paraId="0AFC8400">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（2）因承包人原因导致工期延长的，计划进度日期后续工程的价格或价格指数，采用计划进度日期与实际进度日期两者的较低者。</w:t>
      </w:r>
    </w:p>
    <w:p w14:paraId="1A54AF08">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（3）因非发承包双方原因引起工期延长的，计划进度日期后续工程的价格应按本合同11.2.1的约定调整价格。</w:t>
      </w:r>
    </w:p>
    <w:p w14:paraId="1A44F31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11.2.</w:t>
      </w:r>
      <w:r>
        <w:rPr>
          <w:rFonts w:hint="eastAsia" w:hAnsi="宋体" w:cs="宋体"/>
          <w:color w:val="auto"/>
          <w:kern w:val="0"/>
          <w:highlight w:val="none"/>
          <w:lang w:val="en-US" w:eastAsia="zh-CN"/>
        </w:rPr>
        <w:t>5</w:t>
      </w:r>
      <w:r>
        <w:rPr>
          <w:rFonts w:hint="eastAsia" w:hAnsi="宋体" w:cs="宋体"/>
          <w:color w:val="auto"/>
          <w:kern w:val="0"/>
          <w:highlight w:val="none"/>
          <w:lang w:eastAsia="zh-CN"/>
        </w:rPr>
        <w:t>合同</w:t>
      </w:r>
      <w:r>
        <w:rPr>
          <w:rFonts w:hint="eastAsia" w:hAnsi="宋体" w:cs="宋体"/>
          <w:color w:val="auto"/>
          <w:kern w:val="0"/>
          <w:highlight w:val="none"/>
        </w:rPr>
        <w:t>约定之外的人工费、主要材料费市场价格出现异常变动，且是发承包双方在订立本合同时无法预见的重大变化，继续履行合同对于受不利影响的合同一方明显不公平的，发承包双方按风险合理分担原则，重新协商合同风险幅度，</w:t>
      </w:r>
      <w:r>
        <w:rPr>
          <w:rFonts w:hint="eastAsia" w:hAnsi="宋体" w:cs="宋体"/>
          <w:color w:val="auto"/>
          <w:kern w:val="0"/>
          <w:highlight w:val="none"/>
          <w:lang w:eastAsia="zh-CN"/>
        </w:rPr>
        <w:t>由发包人承担</w:t>
      </w:r>
      <w:r>
        <w:rPr>
          <w:rFonts w:hint="eastAsia" w:hAnsi="宋体" w:cs="宋体"/>
          <w:color w:val="auto"/>
          <w:kern w:val="0"/>
          <w:highlight w:val="none"/>
        </w:rPr>
        <w:t>超出协商后约定的合同</w:t>
      </w:r>
      <w:r>
        <w:rPr>
          <w:rFonts w:hint="eastAsia" w:hAnsi="宋体" w:cs="宋体"/>
          <w:color w:val="auto"/>
          <w:kern w:val="0"/>
          <w:highlight w:val="none"/>
          <w:lang w:eastAsia="zh-CN"/>
        </w:rPr>
        <w:t>风险</w:t>
      </w:r>
      <w:r>
        <w:rPr>
          <w:rFonts w:hint="eastAsia" w:hAnsi="宋体" w:cs="宋体"/>
          <w:color w:val="auto"/>
          <w:kern w:val="0"/>
          <w:highlight w:val="none"/>
        </w:rPr>
        <w:t>幅度的人工费、主要材料费价差。</w:t>
      </w:r>
    </w:p>
    <w:p w14:paraId="36672C6B">
      <w:pPr>
        <w:spacing w:line="360" w:lineRule="auto"/>
        <w:ind w:firstLine="420" w:firstLineChars="200"/>
        <w:jc w:val="left"/>
        <w:rPr>
          <w:rFonts w:hint="eastAsia" w:hAnsi="宋体" w:cs="宋体"/>
          <w:color w:val="auto"/>
          <w:kern w:val="0"/>
          <w:highlight w:val="none"/>
        </w:rPr>
      </w:pPr>
    </w:p>
    <w:p w14:paraId="47A262DC">
      <w:pPr>
        <w:spacing w:line="360" w:lineRule="auto"/>
        <w:ind w:firstLine="420" w:firstLineChars="200"/>
        <w:jc w:val="left"/>
        <w:rPr>
          <w:rFonts w:hint="eastAsia" w:hAnsi="宋体" w:cs="宋体"/>
          <w:color w:val="auto"/>
          <w:kern w:val="0"/>
          <w:highlight w:val="none"/>
        </w:rPr>
      </w:pPr>
    </w:p>
    <w:p w14:paraId="04321A35">
      <w:pPr>
        <w:pStyle w:val="5"/>
        <w:jc w:val="left"/>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11.3 法律法规及政策性变化引起的价格调整</w:t>
      </w:r>
    </w:p>
    <w:p w14:paraId="0089B538">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11.3.1 工程实施期间，在合同基准日后发生以下法律法规及政策性变化引起合同价款增减变化和（或）工期延误的，按照本合同约定和自治区建设行政主管部门及其授权的工程造价管理机构据此发布的规定调整合同价格及（或）工期：</w:t>
      </w:r>
    </w:p>
    <w:p w14:paraId="1B946B28">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（1）新增的法律法规及政策性规定；</w:t>
      </w:r>
    </w:p>
    <w:p w14:paraId="7894E98C">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（2）修改原有的法律法规及政策性规定；</w:t>
      </w:r>
    </w:p>
    <w:p w14:paraId="33FE2065">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（3）废止原有的法律法规及政策性规定；</w:t>
      </w:r>
    </w:p>
    <w:p w14:paraId="711F4C5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（4）政府对相关法律法规的解释发生了变化。</w:t>
      </w:r>
    </w:p>
    <w:p w14:paraId="2E0106A1">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11.3.2因承包人原因导致工期延长，在工期延长期间出现本合同约定的法律法规及政策性变化的，合同价格调增的不予调整，合同价格调减的予以调整。</w:t>
      </w:r>
    </w:p>
    <w:p w14:paraId="367298E0">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11.3.3因发包人原因导致工期延长，在工期延长期间出现本合同约定的法律法规及政策性变化的，合同价格调减的不予调整，合同价格调增的应予调整。</w:t>
      </w:r>
    </w:p>
    <w:p w14:paraId="761F294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11.3.4因非发承包双方原因导致工期延长，在工期延长期间出现本合同约定的法律法规及政策性变化的，合同价格应按实调整，法律法规及政策另有规定的除外。</w:t>
      </w:r>
    </w:p>
    <w:p w14:paraId="24F030E9">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11.3.5 法律法规及政策性变化引起合同价格调整的，其合同总价及合同单价内的管理费及利润不应做调整。</w:t>
      </w:r>
    </w:p>
    <w:p w14:paraId="48D0D9E5">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11.3.6合同履行中如国家财税政策变化调整增值税税率的，调整税率实施前已完成未开具发票工程价款及实施后工程计价应按调整后的税率计算增值税，工程进度款及工程结算价分别按以下公式调整：</w:t>
      </w:r>
    </w:p>
    <w:p w14:paraId="591480C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进度款=按基准日计算工程进度款÷（1＋基准日税率）×（1＋调整后税率）</w:t>
      </w:r>
    </w:p>
    <w:p w14:paraId="75B1E12B">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工程结算价款＝已按基准日税率开具发票的工程价款＋（按基准日税率计算的工程结算价－已按基准日税率开具发票的工程价款）÷（1＋基准日税率）×（1＋调整后税率）</w:t>
      </w:r>
    </w:p>
    <w:p w14:paraId="2FD7A14C">
      <w:pPr>
        <w:pStyle w:val="5"/>
        <w:jc w:val="both"/>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11.4 工程量清单缺陷引起的价格调整</w:t>
      </w:r>
    </w:p>
    <w:p w14:paraId="0BBEEBFC">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11.4.1 对于单价合同，</w:t>
      </w:r>
      <w:r>
        <w:rPr>
          <w:rFonts w:hint="eastAsia" w:hAnsi="宋体" w:cs="宋体"/>
          <w:color w:val="auto"/>
          <w:kern w:val="0"/>
          <w:highlight w:val="none"/>
          <w:lang w:eastAsia="zh-CN"/>
        </w:rPr>
        <w:t>应根据</w:t>
      </w:r>
      <w:r>
        <w:rPr>
          <w:rFonts w:hint="eastAsia" w:hAnsi="宋体" w:cs="宋体"/>
          <w:color w:val="auto"/>
          <w:kern w:val="0"/>
          <w:highlight w:val="none"/>
        </w:rPr>
        <w:t>合同图纸</w:t>
      </w:r>
      <w:r>
        <w:rPr>
          <w:rFonts w:hint="eastAsia" w:hAnsi="宋体" w:cs="宋体"/>
          <w:color w:val="auto"/>
          <w:kern w:val="0"/>
          <w:highlight w:val="none"/>
          <w:lang w:eastAsia="zh-CN"/>
        </w:rPr>
        <w:t>和工程变更指令重新计算</w:t>
      </w:r>
      <w:r>
        <w:rPr>
          <w:rFonts w:hint="eastAsia" w:hAnsi="宋体" w:cs="宋体"/>
          <w:color w:val="auto"/>
          <w:kern w:val="0"/>
          <w:highlight w:val="none"/>
        </w:rPr>
        <w:t>分部分项工程清单项目及工程量，并按</w:t>
      </w:r>
      <w:r>
        <w:rPr>
          <w:rFonts w:hint="eastAsia" w:hAnsi="宋体" w:cs="宋体"/>
          <w:color w:val="auto"/>
          <w:kern w:val="0"/>
          <w:highlight w:val="none"/>
          <w:lang w:val="en-US" w:eastAsia="zh-CN"/>
        </w:rPr>
        <w:t>10.4.1规定</w:t>
      </w:r>
      <w:r>
        <w:rPr>
          <w:rFonts w:hint="eastAsia" w:hAnsi="宋体" w:cs="宋体"/>
          <w:color w:val="auto"/>
          <w:kern w:val="0"/>
          <w:highlight w:val="none"/>
        </w:rPr>
        <w:t>调整合同单价。</w:t>
      </w:r>
    </w:p>
    <w:p w14:paraId="254240B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11.4.2 对于总价合同，</w:t>
      </w:r>
      <w:r>
        <w:rPr>
          <w:rFonts w:hint="eastAsia" w:ascii="宋体" w:hAnsi="宋体" w:cs="宋体"/>
          <w:bCs/>
          <w:color w:val="auto"/>
          <w:szCs w:val="21"/>
          <w:highlight w:val="none"/>
        </w:rPr>
        <w:t>合同价格</w:t>
      </w:r>
      <w:r>
        <w:rPr>
          <w:rFonts w:hint="eastAsia" w:ascii="宋体" w:hAnsi="宋体" w:cs="宋体"/>
          <w:bCs/>
          <w:color w:val="auto"/>
          <w:szCs w:val="21"/>
          <w:highlight w:val="none"/>
          <w:lang w:eastAsia="zh-CN"/>
        </w:rPr>
        <w:t>固定总价部分</w:t>
      </w:r>
      <w:r>
        <w:rPr>
          <w:rFonts w:hint="eastAsia" w:hAnsi="宋体" w:cs="宋体"/>
          <w:color w:val="auto"/>
          <w:kern w:val="0"/>
          <w:highlight w:val="none"/>
        </w:rPr>
        <w:t>不因</w:t>
      </w:r>
      <w:r>
        <w:rPr>
          <w:rFonts w:hint="default" w:hAnsi="宋体" w:cs="宋体"/>
          <w:color w:val="auto"/>
          <w:kern w:val="0"/>
          <w:highlight w:val="none"/>
          <w:lang w:val="en-US"/>
        </w:rPr>
        <w:t>合同</w:t>
      </w:r>
      <w:r>
        <w:rPr>
          <w:rFonts w:hint="eastAsia" w:hAnsi="宋体" w:cs="宋体"/>
          <w:color w:val="auto"/>
          <w:kern w:val="0"/>
          <w:highlight w:val="none"/>
          <w:lang w:val="en-US" w:eastAsia="zh-CN"/>
        </w:rPr>
        <w:t>工程量</w:t>
      </w:r>
      <w:r>
        <w:rPr>
          <w:rFonts w:hint="eastAsia" w:hAnsi="宋体" w:cs="宋体"/>
          <w:color w:val="auto"/>
          <w:kern w:val="0"/>
          <w:highlight w:val="none"/>
        </w:rPr>
        <w:t>清单缺陷而调整。</w:t>
      </w:r>
    </w:p>
    <w:p w14:paraId="00E6836E">
      <w:pPr>
        <w:pStyle w:val="5"/>
        <w:jc w:val="both"/>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11.5 工程变更引起的价格调整</w:t>
      </w:r>
    </w:p>
    <w:p w14:paraId="785E653E">
      <w:pPr>
        <w:spacing w:line="360" w:lineRule="auto"/>
        <w:ind w:firstLine="420" w:firstLineChars="200"/>
        <w:jc w:val="left"/>
        <w:rPr>
          <w:rFonts w:hint="eastAsia" w:ascii="Times New Roman" w:hAnsi="宋体" w:eastAsia="宋体" w:cs="宋体"/>
          <w:b w:val="0"/>
          <w:bCs w:val="0"/>
          <w:color w:val="auto"/>
          <w:kern w:val="0"/>
          <w:sz w:val="21"/>
          <w:szCs w:val="21"/>
          <w:highlight w:val="none"/>
          <w:lang w:val="en-US" w:eastAsia="zh-CN"/>
        </w:rPr>
      </w:pPr>
      <w:r>
        <w:rPr>
          <w:rFonts w:hint="eastAsia" w:ascii="Times New Roman" w:hAnsi="宋体" w:eastAsia="宋体" w:cs="宋体"/>
          <w:b w:val="0"/>
          <w:bCs w:val="0"/>
          <w:color w:val="auto"/>
          <w:kern w:val="0"/>
          <w:sz w:val="21"/>
          <w:szCs w:val="21"/>
          <w:highlight w:val="none"/>
          <w:lang w:val="zh-CN"/>
        </w:rPr>
        <w:t>按专用合同条款</w:t>
      </w:r>
      <w:r>
        <w:rPr>
          <w:rFonts w:hint="eastAsia" w:ascii="Times New Roman" w:hAnsi="宋体" w:eastAsia="宋体" w:cs="宋体"/>
          <w:b w:val="0"/>
          <w:bCs w:val="0"/>
          <w:color w:val="auto"/>
          <w:kern w:val="0"/>
          <w:sz w:val="21"/>
          <w:szCs w:val="21"/>
          <w:highlight w:val="none"/>
          <w:lang w:val="en-US" w:eastAsia="zh-CN"/>
        </w:rPr>
        <w:t>10.4约定执行。</w:t>
      </w:r>
    </w:p>
    <w:p w14:paraId="2EAD2540">
      <w:pPr>
        <w:pStyle w:val="5"/>
        <w:jc w:val="both"/>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11.6暂估价引起的价格调整</w:t>
      </w:r>
    </w:p>
    <w:p w14:paraId="6EFA7DEB">
      <w:pPr>
        <w:spacing w:line="360" w:lineRule="auto"/>
        <w:ind w:firstLine="210" w:firstLineChars="100"/>
        <w:jc w:val="left"/>
        <w:outlineLvl w:val="9"/>
        <w:rPr>
          <w:rFonts w:hint="eastAsia" w:ascii="Times New Roman" w:hAnsi="宋体" w:eastAsia="宋体" w:cs="宋体"/>
          <w:b w:val="0"/>
          <w:bCs w:val="0"/>
          <w:color w:val="auto"/>
          <w:kern w:val="0"/>
          <w:sz w:val="21"/>
          <w:szCs w:val="21"/>
          <w:highlight w:val="none"/>
          <w:lang w:val="zh-CN" w:eastAsia="zh-CN"/>
        </w:rPr>
      </w:pPr>
      <w:r>
        <w:rPr>
          <w:rFonts w:hint="eastAsia" w:ascii="Times New Roman" w:hAnsi="宋体" w:eastAsia="宋体" w:cs="宋体"/>
          <w:b w:val="0"/>
          <w:bCs w:val="0"/>
          <w:color w:val="auto"/>
          <w:kern w:val="0"/>
          <w:sz w:val="21"/>
          <w:szCs w:val="21"/>
          <w:highlight w:val="none"/>
          <w:lang w:val="zh-CN"/>
        </w:rPr>
        <w:t>按专用合同条款</w:t>
      </w:r>
      <w:r>
        <w:rPr>
          <w:rFonts w:hint="eastAsia" w:ascii="Times New Roman" w:hAnsi="宋体" w:eastAsia="宋体" w:cs="宋体"/>
          <w:b w:val="0"/>
          <w:bCs w:val="0"/>
          <w:color w:val="auto"/>
          <w:kern w:val="0"/>
          <w:sz w:val="21"/>
          <w:szCs w:val="21"/>
          <w:highlight w:val="none"/>
          <w:lang w:val="zh-CN" w:eastAsia="zh-CN"/>
        </w:rPr>
        <w:t>10.7约定执行。</w:t>
      </w:r>
    </w:p>
    <w:p w14:paraId="5D7C4EBF">
      <w:pPr>
        <w:pStyle w:val="5"/>
        <w:jc w:val="both"/>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11.7总承包服务费调整</w:t>
      </w:r>
    </w:p>
    <w:p w14:paraId="52A3CA3A">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11.7.1 发包人提供材料变更为承包人提供的，扣除合同总价中计取的相应发包人提供材料的总承包服务费。</w:t>
      </w:r>
    </w:p>
    <w:p w14:paraId="517988D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11.7.2 承包人提供的材料变更为发包人提供的，发包人应支付发包人提供材料需要承包人协助协调、材料保管等相应服务的总承包服务费。</w:t>
      </w:r>
    </w:p>
    <w:p w14:paraId="01BB5BDC">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11.7.3 若合同履行过程中发生暂估专业工程取消，或确定由承包人负责完成，或在承包人的合同工程已竣工且撤场后进行的，应扣除合同总价中计取的相应暂估专业工程总承包服务费。</w:t>
      </w:r>
    </w:p>
    <w:p w14:paraId="573684D7">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11.7.4总承包服务费除可按本合同约定及服务内容变化可调整外，作为风险包干，工程结算不作调整。</w:t>
      </w:r>
    </w:p>
    <w:p w14:paraId="43394EB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11.7.5 因发包人同意的暂估专业工程发生工程变更或发包人原因引起实质性工期改变，发承包双方按下式计算调整受影响的专业分包工程总承包服务费：</w:t>
      </w:r>
    </w:p>
    <w:p w14:paraId="7F312307">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总承包服务费调整价款=受影响专业分包工程延误的工期×受影响专业分包工程总承包服务费</w:t>
      </w:r>
      <w:r>
        <w:rPr>
          <w:rFonts w:hint="eastAsia" w:hAnsi="宋体" w:cs="宋体"/>
          <w:color w:val="auto"/>
          <w:kern w:val="0"/>
          <w:highlight w:val="none"/>
          <w:lang w:val="en-US" w:eastAsia="zh-CN"/>
        </w:rPr>
        <w:t>÷</w:t>
      </w:r>
      <w:r>
        <w:rPr>
          <w:rFonts w:hint="eastAsia" w:hAnsi="宋体" w:cs="宋体"/>
          <w:color w:val="auto"/>
          <w:kern w:val="0"/>
          <w:highlight w:val="none"/>
        </w:rPr>
        <w:t>受影响专业分包工程工期。</w:t>
      </w:r>
    </w:p>
    <w:p w14:paraId="069E820F">
      <w:pPr>
        <w:pStyle w:val="5"/>
        <w:jc w:val="both"/>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11.8 零星签证引起的价格调整</w:t>
      </w:r>
    </w:p>
    <w:p w14:paraId="2398CF54">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11.8.1采用零星签证方式进行计价的工程或工作，应按本合同12.3.</w:t>
      </w:r>
      <w:r>
        <w:rPr>
          <w:rFonts w:hint="eastAsia" w:hAnsi="宋体" w:cs="宋体"/>
          <w:color w:val="auto"/>
          <w:kern w:val="0"/>
          <w:highlight w:val="none"/>
          <w:lang w:val="en-US" w:eastAsia="zh-CN"/>
        </w:rPr>
        <w:t>1</w:t>
      </w:r>
      <w:r>
        <w:rPr>
          <w:rFonts w:hint="eastAsia" w:hAnsi="宋体" w:cs="宋体"/>
          <w:color w:val="auto"/>
          <w:kern w:val="0"/>
          <w:highlight w:val="none"/>
        </w:rPr>
        <w:t xml:space="preserve"> 的约定计量，按本合同</w:t>
      </w:r>
      <w:r>
        <w:rPr>
          <w:rFonts w:hint="eastAsia" w:hAnsi="宋体" w:cs="宋体"/>
          <w:color w:val="auto"/>
          <w:kern w:val="0"/>
          <w:highlight w:val="none"/>
          <w:lang w:eastAsia="zh-CN"/>
        </w:rPr>
        <w:t>附件</w:t>
      </w:r>
      <w:r>
        <w:rPr>
          <w:rFonts w:hint="eastAsia" w:hAnsi="宋体" w:cs="宋体"/>
          <w:color w:val="auto"/>
          <w:kern w:val="0"/>
          <w:highlight w:val="none"/>
          <w:lang w:val="en-US" w:eastAsia="zh-CN"/>
        </w:rPr>
        <w:t>16</w:t>
      </w:r>
      <w:r>
        <w:rPr>
          <w:rFonts w:hint="eastAsia" w:hAnsi="宋体" w:cs="宋体"/>
          <w:color w:val="auto"/>
          <w:kern w:val="0"/>
          <w:highlight w:val="none"/>
          <w:lang w:eastAsia="zh-CN"/>
        </w:rPr>
        <w:t>《</w:t>
      </w:r>
      <w:r>
        <w:rPr>
          <w:rFonts w:hint="eastAsia" w:hAnsi="宋体" w:cs="宋体"/>
          <w:color w:val="auto"/>
          <w:kern w:val="0"/>
          <w:highlight w:val="none"/>
        </w:rPr>
        <w:t>零星签证确认单</w:t>
      </w:r>
      <w:r>
        <w:rPr>
          <w:rFonts w:hint="eastAsia" w:hAnsi="宋体" w:cs="宋体"/>
          <w:color w:val="auto"/>
          <w:kern w:val="0"/>
          <w:highlight w:val="none"/>
          <w:lang w:eastAsia="zh-CN"/>
        </w:rPr>
        <w:t>》</w:t>
      </w:r>
      <w:r>
        <w:rPr>
          <w:rFonts w:hint="eastAsia" w:hAnsi="宋体" w:cs="宋体"/>
          <w:color w:val="auto"/>
          <w:kern w:val="0"/>
          <w:highlight w:val="none"/>
        </w:rPr>
        <w:t>格式要求签证费用。</w:t>
      </w:r>
    </w:p>
    <w:p w14:paraId="3B53940A">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11.8.2发承包双方按以下第</w:t>
      </w:r>
      <w:r>
        <w:rPr>
          <w:rFonts w:hint="eastAsia" w:hAnsi="宋体" w:cs="宋体"/>
          <w:color w:val="auto"/>
          <w:kern w:val="0"/>
          <w:highlight w:val="none"/>
          <w:u w:val="single"/>
        </w:rPr>
        <w:t xml:space="preserve">   </w:t>
      </w:r>
      <w:r>
        <w:rPr>
          <w:rFonts w:hint="eastAsia" w:hAnsi="宋体" w:cs="宋体"/>
          <w:color w:val="auto"/>
          <w:kern w:val="0"/>
          <w:highlight w:val="none"/>
          <w:u w:val="single"/>
          <w:lang w:eastAsia="zh-CN"/>
        </w:rPr>
        <w:t>一</w:t>
      </w:r>
      <w:r>
        <w:rPr>
          <w:rFonts w:hint="eastAsia" w:hAnsi="宋体" w:cs="宋体"/>
          <w:color w:val="auto"/>
          <w:kern w:val="0"/>
          <w:highlight w:val="none"/>
          <w:u w:val="single"/>
        </w:rPr>
        <w:t xml:space="preserve">     </w:t>
      </w:r>
      <w:r>
        <w:rPr>
          <w:rFonts w:hint="eastAsia" w:hAnsi="宋体" w:cs="宋体"/>
          <w:color w:val="auto"/>
          <w:kern w:val="0"/>
          <w:highlight w:val="none"/>
        </w:rPr>
        <w:t>种方式确定零星签证综合单价：</w:t>
      </w:r>
    </w:p>
    <w:p w14:paraId="6F64B59C">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 xml:space="preserve">第一种方式：人工费、材料费、施工机具使用费按《 </w:t>
      </w:r>
      <w:r>
        <w:rPr>
          <w:rFonts w:hint="eastAsia" w:hAnsi="宋体" w:cs="宋体"/>
          <w:color w:val="auto"/>
          <w:kern w:val="0"/>
          <w:highlight w:val="none"/>
          <w:u w:val="single"/>
          <w:lang w:eastAsia="zh-CN"/>
        </w:rPr>
        <w:t>来宾</w:t>
      </w:r>
      <w:r>
        <w:rPr>
          <w:rFonts w:hint="eastAsia" w:hAnsi="宋体" w:cs="宋体"/>
          <w:color w:val="auto"/>
          <w:kern w:val="0"/>
          <w:highlight w:val="none"/>
        </w:rPr>
        <w:t>市建设工程造价信息》所发布工程价格信息确定</w:t>
      </w:r>
      <w:r>
        <w:rPr>
          <w:rFonts w:hint="eastAsia" w:hAnsi="宋体" w:cs="宋体"/>
          <w:color w:val="auto"/>
          <w:kern w:val="0"/>
          <w:highlight w:val="none"/>
          <w:lang w:eastAsia="zh-CN"/>
        </w:rPr>
        <w:t>，</w:t>
      </w:r>
      <w:r>
        <w:rPr>
          <w:rFonts w:hint="eastAsia" w:hAnsi="宋体" w:cs="宋体"/>
          <w:color w:val="auto"/>
          <w:kern w:val="0"/>
          <w:highlight w:val="none"/>
        </w:rPr>
        <w:t>工程造价信息中没有相应价格的，依据发承包双方确认</w:t>
      </w:r>
      <w:r>
        <w:rPr>
          <w:rFonts w:hint="eastAsia" w:hAnsi="宋体" w:cs="宋体"/>
          <w:color w:val="auto"/>
          <w:kern w:val="0"/>
          <w:highlight w:val="none"/>
          <w:lang w:eastAsia="zh-CN"/>
        </w:rPr>
        <w:t>。零星签证综合单价应包含</w:t>
      </w:r>
      <w:r>
        <w:rPr>
          <w:rFonts w:hint="eastAsia" w:hAnsi="宋体" w:cs="宋体"/>
          <w:color w:val="auto"/>
          <w:kern w:val="0"/>
          <w:highlight w:val="none"/>
        </w:rPr>
        <w:t>相应的管理费、利润、增值税。</w:t>
      </w:r>
    </w:p>
    <w:p w14:paraId="2814E83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第二种方式：</w:t>
      </w:r>
      <w:r>
        <w:rPr>
          <w:rFonts w:hint="eastAsia" w:hAnsi="宋体" w:cs="宋体"/>
          <w:color w:val="auto"/>
          <w:kern w:val="0"/>
          <w:highlight w:val="none"/>
          <w:u w:val="single"/>
        </w:rPr>
        <w:t xml:space="preserve">               </w:t>
      </w:r>
      <w:r>
        <w:rPr>
          <w:rFonts w:hint="eastAsia" w:hAnsi="宋体" w:cs="宋体"/>
          <w:color w:val="auto"/>
          <w:kern w:val="0"/>
          <w:highlight w:val="none"/>
          <w:u w:val="single"/>
          <w:lang w:val="en-US" w:eastAsia="zh-CN"/>
        </w:rPr>
        <w:t>/</w:t>
      </w:r>
      <w:r>
        <w:rPr>
          <w:rFonts w:hint="eastAsia" w:hAnsi="宋体" w:cs="宋体"/>
          <w:color w:val="auto"/>
          <w:kern w:val="0"/>
          <w:highlight w:val="none"/>
          <w:u w:val="single"/>
        </w:rPr>
        <w:t xml:space="preserve">             </w:t>
      </w:r>
      <w:r>
        <w:rPr>
          <w:rFonts w:hint="eastAsia" w:hAnsi="宋体" w:cs="宋体"/>
          <w:color w:val="auto"/>
          <w:kern w:val="0"/>
          <w:highlight w:val="none"/>
        </w:rPr>
        <w:t>，</w:t>
      </w:r>
      <w:r>
        <w:rPr>
          <w:rFonts w:hint="eastAsia" w:hAnsi="宋体" w:cs="宋体"/>
          <w:color w:val="auto"/>
          <w:kern w:val="0"/>
          <w:highlight w:val="none"/>
          <w:lang w:eastAsia="zh-CN"/>
        </w:rPr>
        <w:t>零星签证综合单价应包含</w:t>
      </w:r>
      <w:r>
        <w:rPr>
          <w:rFonts w:hint="eastAsia" w:hAnsi="宋体" w:cs="宋体"/>
          <w:color w:val="auto"/>
          <w:kern w:val="0"/>
          <w:highlight w:val="none"/>
        </w:rPr>
        <w:t>相应的管理费、利润、增值税。</w:t>
      </w:r>
    </w:p>
    <w:p w14:paraId="2594A49E">
      <w:pPr>
        <w:spacing w:line="360" w:lineRule="auto"/>
        <w:ind w:firstLine="420" w:firstLineChars="200"/>
        <w:jc w:val="left"/>
        <w:rPr>
          <w:rFonts w:hint="default" w:ascii="Times New Roman" w:hAnsi="宋体" w:eastAsia="宋体" w:cs="宋体"/>
          <w:b w:val="0"/>
          <w:bCs w:val="0"/>
          <w:color w:val="auto"/>
          <w:kern w:val="0"/>
          <w:sz w:val="21"/>
          <w:szCs w:val="21"/>
          <w:highlight w:val="none"/>
          <w:lang w:val="en-US" w:eastAsia="zh-CN"/>
        </w:rPr>
      </w:pPr>
      <w:r>
        <w:rPr>
          <w:rFonts w:hint="eastAsia" w:hAnsi="宋体" w:cs="宋体"/>
          <w:color w:val="auto"/>
          <w:kern w:val="0"/>
          <w:highlight w:val="none"/>
        </w:rPr>
        <w:t>11.8.3采用零星签证计价的，零星签证综合单价包括零星签证项目随机发生、少量发生等特点造成的额外增加费用和零星签证项目发生的措施项目费用，合同总价中的措施项目费用不因零星签证的发生而调整。</w:t>
      </w:r>
    </w:p>
    <w:p w14:paraId="40CBED5B">
      <w:pPr>
        <w:pStyle w:val="5"/>
        <w:jc w:val="both"/>
        <w:rPr>
          <w:rFonts w:hint="eastAsia" w:ascii="Arial" w:hAnsi="Arial" w:eastAsia="黑体" w:cs="黑体"/>
          <w:b w:val="0"/>
          <w:bCs w:val="0"/>
          <w:kern w:val="0"/>
          <w:sz w:val="28"/>
          <w:szCs w:val="20"/>
          <w:highlight w:val="none"/>
          <w:lang w:val="en-US"/>
        </w:rPr>
      </w:pPr>
      <w:r>
        <w:rPr>
          <w:rFonts w:hint="eastAsia" w:ascii="Arial" w:hAnsi="Arial" w:eastAsia="黑体" w:cs="黑体"/>
          <w:b w:val="0"/>
          <w:bCs w:val="0"/>
          <w:kern w:val="0"/>
          <w:sz w:val="28"/>
          <w:szCs w:val="20"/>
          <w:highlight w:val="none"/>
          <w:lang w:val="en-US"/>
        </w:rPr>
        <w:t>11.</w:t>
      </w:r>
      <w:r>
        <w:rPr>
          <w:rFonts w:hint="eastAsia" w:ascii="Arial" w:hAnsi="Arial" w:eastAsia="黑体" w:cs="黑体"/>
          <w:b w:val="0"/>
          <w:bCs w:val="0"/>
          <w:kern w:val="0"/>
          <w:sz w:val="28"/>
          <w:szCs w:val="20"/>
          <w:highlight w:val="none"/>
          <w:lang w:val="en-US" w:eastAsia="zh-CN"/>
        </w:rPr>
        <w:t>9</w:t>
      </w:r>
      <w:r>
        <w:rPr>
          <w:rFonts w:hint="eastAsia" w:ascii="Arial" w:hAnsi="Arial" w:eastAsia="黑体" w:cs="黑体"/>
          <w:b w:val="0"/>
          <w:bCs w:val="0"/>
          <w:kern w:val="0"/>
          <w:sz w:val="28"/>
          <w:szCs w:val="20"/>
          <w:highlight w:val="none"/>
          <w:lang w:val="en-US"/>
        </w:rPr>
        <w:t>发包人提供</w:t>
      </w:r>
      <w:r>
        <w:rPr>
          <w:rFonts w:hint="eastAsia" w:ascii="Arial" w:hAnsi="Arial" w:eastAsia="黑体" w:cs="黑体"/>
          <w:b w:val="0"/>
          <w:bCs w:val="0"/>
          <w:kern w:val="0"/>
          <w:sz w:val="28"/>
          <w:szCs w:val="20"/>
          <w:highlight w:val="none"/>
          <w:lang w:val="en-US" w:eastAsia="zh-CN"/>
        </w:rPr>
        <w:t>材料事项</w:t>
      </w:r>
      <w:r>
        <w:rPr>
          <w:rFonts w:hint="eastAsia" w:ascii="Arial" w:hAnsi="Arial" w:eastAsia="黑体" w:cs="黑体"/>
          <w:b w:val="0"/>
          <w:bCs w:val="0"/>
          <w:kern w:val="0"/>
          <w:sz w:val="28"/>
          <w:szCs w:val="20"/>
          <w:highlight w:val="none"/>
          <w:lang w:val="en-US"/>
        </w:rPr>
        <w:t>引起的价格调整</w:t>
      </w:r>
    </w:p>
    <w:p w14:paraId="3636BD43">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11.9.1 合同履行过程中，因承包人原因引起实际领用发包人提供的材料数量超过单价合同的施工图纸计算的实际数量或总价合同的合同图纸计算的合理数量及合同约定的材料有效损耗时，超出部分的材料费用应由承包人承担，发包人可按相应供货合同的单价计算确定超领数量的材料费用，扣除的超领材料费用在其他项目清单的合同价格调整中列项。因发包人实际提供材料的规格型号与招标文件中规定的规格型号不同而引起材料实际损耗率超出有效损耗率的，超出部分应由发包人承担。</w:t>
      </w:r>
    </w:p>
    <w:p w14:paraId="021D7717">
      <w:pPr>
        <w:spacing w:line="360" w:lineRule="auto"/>
        <w:ind w:left="420" w:leftChars="200" w:firstLine="0" w:firstLineChars="0"/>
        <w:jc w:val="left"/>
        <w:rPr>
          <w:color w:val="auto"/>
          <w:highlight w:val="none"/>
          <w:u w:val="single"/>
        </w:rPr>
      </w:pPr>
      <w:r>
        <w:rPr>
          <w:rFonts w:hint="eastAsia" w:hAnsi="宋体" w:cs="宋体"/>
          <w:color w:val="auto"/>
          <w:kern w:val="0"/>
          <w:highlight w:val="none"/>
        </w:rPr>
        <w:t xml:space="preserve">11.9.2 </w:t>
      </w:r>
      <w:r>
        <w:rPr>
          <w:rFonts w:hint="eastAsia" w:ascii="Times New Roman" w:hAnsi="宋体" w:eastAsia="宋体" w:cs="宋体"/>
          <w:b w:val="0"/>
          <w:bCs w:val="0"/>
          <w:color w:val="auto"/>
          <w:kern w:val="0"/>
          <w:sz w:val="21"/>
          <w:szCs w:val="21"/>
          <w:highlight w:val="none"/>
          <w:lang w:val="en-US"/>
        </w:rPr>
        <w:t>其他调整事项：</w:t>
      </w:r>
      <w:r>
        <w:rPr>
          <w:rFonts w:hint="eastAsia" w:ascii="Times New Roman" w:hAnsi="宋体" w:eastAsia="宋体" w:cs="宋体"/>
          <w:b w:val="0"/>
          <w:bCs w:val="0"/>
          <w:color w:val="auto"/>
          <w:kern w:val="0"/>
          <w:sz w:val="21"/>
          <w:szCs w:val="21"/>
          <w:highlight w:val="none"/>
          <w:u w:val="single"/>
          <w:lang w:val="en-US"/>
        </w:rPr>
        <w:t xml:space="preserve">  </w:t>
      </w:r>
      <w:r>
        <w:rPr>
          <w:rFonts w:hint="eastAsia" w:hAnsi="宋体" w:cs="宋体"/>
          <w:b w:val="0"/>
          <w:bCs w:val="0"/>
          <w:color w:val="auto"/>
          <w:kern w:val="0"/>
          <w:sz w:val="21"/>
          <w:szCs w:val="21"/>
          <w:highlight w:val="none"/>
          <w:u w:val="single"/>
          <w:lang w:val="en-US" w:eastAsia="zh-CN"/>
        </w:rPr>
        <w:t xml:space="preserve">      /         </w:t>
      </w:r>
      <w:r>
        <w:rPr>
          <w:rFonts w:hint="eastAsia" w:hAnsi="宋体" w:cs="宋体"/>
          <w:color w:val="auto"/>
          <w:kern w:val="0"/>
          <w:highlight w:val="none"/>
          <w:u w:val="single"/>
        </w:rPr>
        <w:t xml:space="preserve"> </w:t>
      </w:r>
    </w:p>
    <w:p w14:paraId="184F93DF">
      <w:pPr>
        <w:pStyle w:val="4"/>
        <w:outlineLvl w:val="2"/>
        <w:rPr>
          <w:color w:val="auto"/>
          <w:highlight w:val="none"/>
        </w:rPr>
      </w:pPr>
      <w:bookmarkStart w:id="376" w:name="_Toc15051"/>
      <w:r>
        <w:rPr>
          <w:color w:val="auto"/>
          <w:highlight w:val="none"/>
        </w:rPr>
        <w:t xml:space="preserve">12. </w:t>
      </w:r>
      <w:r>
        <w:rPr>
          <w:rFonts w:hint="eastAsia" w:cs="黑体"/>
          <w:color w:val="auto"/>
          <w:highlight w:val="none"/>
        </w:rPr>
        <w:t>合同价格、计量与支付</w:t>
      </w:r>
      <w:bookmarkEnd w:id="376"/>
    </w:p>
    <w:p w14:paraId="0780BA75">
      <w:pPr>
        <w:pStyle w:val="5"/>
        <w:jc w:val="left"/>
        <w:rPr>
          <w:rFonts w:hint="eastAsia" w:ascii="Arial" w:hAnsi="Arial" w:cs="黑体"/>
          <w:highlight w:val="none"/>
        </w:rPr>
      </w:pPr>
      <w:bookmarkStart w:id="377" w:name="_Toc12368"/>
      <w:bookmarkStart w:id="378" w:name="_Toc20787"/>
      <w:r>
        <w:rPr>
          <w:rFonts w:hint="eastAsia" w:ascii="Arial" w:hAnsi="Arial" w:cs="黑体"/>
          <w:highlight w:val="none"/>
        </w:rPr>
        <w:t>12.1 合同价格形式</w:t>
      </w:r>
      <w:bookmarkEnd w:id="377"/>
      <w:bookmarkEnd w:id="378"/>
    </w:p>
    <w:p w14:paraId="2FAFF9F8">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12.1.1本工程采用第</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 一</w:t>
      </w:r>
      <w:r>
        <w:rPr>
          <w:rFonts w:hint="eastAsia" w:hAnsi="宋体" w:cs="宋体"/>
          <w:color w:val="auto"/>
          <w:highlight w:val="none"/>
          <w:u w:val="single"/>
        </w:rPr>
        <w:t xml:space="preserve">       </w:t>
      </w:r>
      <w:r>
        <w:rPr>
          <w:rFonts w:hint="eastAsia" w:hAnsi="宋体" w:cs="宋体"/>
          <w:color w:val="auto"/>
          <w:highlight w:val="none"/>
        </w:rPr>
        <w:t xml:space="preserve"> 种合同价格形式，合同价格包含增值税。</w:t>
      </w:r>
    </w:p>
    <w:p w14:paraId="32445347">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第一种方式：单价合同。</w:t>
      </w:r>
    </w:p>
    <w:p w14:paraId="2D2EF1F5">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第二种方式：总价合同。</w:t>
      </w:r>
    </w:p>
    <w:p w14:paraId="6D59EB15">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 xml:space="preserve">第三种方式：其他价格方式：  </w:t>
      </w:r>
      <w:r>
        <w:rPr>
          <w:rFonts w:hint="eastAsia" w:hAnsi="宋体" w:cs="宋体"/>
          <w:color w:val="auto"/>
          <w:highlight w:val="none"/>
          <w:u w:val="single"/>
        </w:rPr>
        <w:t xml:space="preserve">              </w:t>
      </w:r>
      <w:r>
        <w:rPr>
          <w:rFonts w:hint="eastAsia" w:hAnsi="宋体" w:cs="宋体"/>
          <w:color w:val="auto"/>
          <w:highlight w:val="none"/>
          <w:u w:val="single"/>
          <w:lang w:val="en-US" w:eastAsia="zh-CN"/>
        </w:rPr>
        <w:t>/</w:t>
      </w:r>
      <w:r>
        <w:rPr>
          <w:rFonts w:hint="eastAsia" w:hAnsi="宋体" w:cs="宋体"/>
          <w:color w:val="auto"/>
          <w:highlight w:val="none"/>
          <w:u w:val="single"/>
        </w:rPr>
        <w:t xml:space="preserve">               </w:t>
      </w:r>
      <w:r>
        <w:rPr>
          <w:rFonts w:hint="eastAsia" w:hAnsi="宋体" w:cs="宋体"/>
          <w:color w:val="auto"/>
          <w:highlight w:val="none"/>
          <w:lang w:eastAsia="zh-CN"/>
        </w:rPr>
        <w:t>（如果约定采用单价合同及总价合同以外的合同价格形式，应详细约定合同价格确定方法及合同价格调整法</w:t>
      </w:r>
      <w:r>
        <w:rPr>
          <w:rFonts w:hint="eastAsia" w:hAnsi="宋体" w:cs="宋体"/>
          <w:color w:val="auto"/>
          <w:highlight w:val="none"/>
        </w:rPr>
        <w:t xml:space="preserve"> </w:t>
      </w:r>
      <w:r>
        <w:rPr>
          <w:rFonts w:hint="eastAsia" w:hAnsi="宋体" w:cs="宋体"/>
          <w:color w:val="auto"/>
          <w:highlight w:val="none"/>
          <w:lang w:eastAsia="zh-CN"/>
        </w:rPr>
        <w:t>）</w:t>
      </w:r>
      <w:r>
        <w:rPr>
          <w:rFonts w:hint="eastAsia" w:hAnsi="宋体" w:cs="宋体"/>
          <w:color w:val="auto"/>
          <w:highlight w:val="none"/>
        </w:rPr>
        <w:t>。</w:t>
      </w:r>
    </w:p>
    <w:p w14:paraId="176C81EC">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12.1.2 合同价格调整事项</w:t>
      </w:r>
    </w:p>
    <w:p w14:paraId="44AEA673">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合同履行过</w:t>
      </w:r>
      <w:r>
        <w:rPr>
          <w:rFonts w:hint="eastAsia" w:hAnsi="宋体" w:cs="宋体"/>
          <w:color w:val="auto"/>
          <w:highlight w:val="none"/>
          <w:lang w:eastAsia="zh-CN"/>
        </w:rPr>
        <w:t>程中</w:t>
      </w:r>
      <w:r>
        <w:rPr>
          <w:rFonts w:hint="eastAsia" w:hAnsi="宋体" w:cs="宋体"/>
          <w:color w:val="auto"/>
          <w:highlight w:val="none"/>
        </w:rPr>
        <w:t>发生下列事项，发承包双方应按本合同相关条款约定调整合同价格：</w:t>
      </w:r>
    </w:p>
    <w:p w14:paraId="4A4811EC">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（1）工程量清单缺陷；（2）暂列金额；（3）暂估价；（4）总承包服务费；（5）零星签证；（6）物价变化；（7）法律法规及政策性变化；（8）工程变更；</w:t>
      </w:r>
      <w:r>
        <w:rPr>
          <w:rFonts w:hint="eastAsia" w:hAnsi="宋体" w:cs="宋体"/>
          <w:color w:val="auto"/>
          <w:highlight w:val="none"/>
          <w:lang w:eastAsia="zh-CN"/>
        </w:rPr>
        <w:t>（</w:t>
      </w:r>
      <w:r>
        <w:rPr>
          <w:rFonts w:hint="eastAsia" w:hAnsi="宋体" w:cs="宋体"/>
          <w:color w:val="auto"/>
          <w:highlight w:val="none"/>
          <w:lang w:val="en-US" w:eastAsia="zh-CN"/>
        </w:rPr>
        <w:t>9</w:t>
      </w:r>
      <w:r>
        <w:rPr>
          <w:rFonts w:hint="eastAsia" w:hAnsi="宋体" w:cs="宋体"/>
          <w:color w:val="auto"/>
          <w:highlight w:val="none"/>
          <w:lang w:eastAsia="zh-CN"/>
        </w:rPr>
        <w:t>）新增工程；</w:t>
      </w:r>
      <w:r>
        <w:rPr>
          <w:rFonts w:hint="eastAsia" w:hAnsi="宋体" w:cs="宋体"/>
          <w:color w:val="auto"/>
          <w:highlight w:val="none"/>
        </w:rPr>
        <w:t>（</w:t>
      </w:r>
      <w:r>
        <w:rPr>
          <w:rFonts w:hint="eastAsia" w:hAnsi="宋体" w:cs="宋体"/>
          <w:color w:val="auto"/>
          <w:highlight w:val="none"/>
          <w:lang w:val="en-US" w:eastAsia="zh-CN"/>
        </w:rPr>
        <w:t>10</w:t>
      </w:r>
      <w:r>
        <w:rPr>
          <w:rFonts w:hint="eastAsia" w:hAnsi="宋体" w:cs="宋体"/>
          <w:color w:val="auto"/>
          <w:highlight w:val="none"/>
        </w:rPr>
        <w:t>）工程索赔；（1</w:t>
      </w:r>
      <w:r>
        <w:rPr>
          <w:rFonts w:hint="eastAsia" w:hAnsi="宋体" w:cs="宋体"/>
          <w:color w:val="auto"/>
          <w:highlight w:val="none"/>
          <w:lang w:val="en-US" w:eastAsia="zh-CN"/>
        </w:rPr>
        <w:t>1</w:t>
      </w:r>
      <w:r>
        <w:rPr>
          <w:rFonts w:hint="eastAsia" w:hAnsi="宋体" w:cs="宋体"/>
          <w:color w:val="auto"/>
          <w:highlight w:val="none"/>
        </w:rPr>
        <w:t>） 发承包双方约定的其他调整事项：</w:t>
      </w:r>
      <w:r>
        <w:rPr>
          <w:rFonts w:hint="eastAsia" w:hAnsi="宋体" w:cs="宋体"/>
          <w:color w:val="auto"/>
          <w:highlight w:val="none"/>
          <w:u w:val="single"/>
        </w:rPr>
        <w:t xml:space="preserve">    </w:t>
      </w:r>
      <w:r>
        <w:rPr>
          <w:rFonts w:hint="eastAsia" w:hAnsi="宋体" w:cs="宋体"/>
          <w:color w:val="auto"/>
          <w:highlight w:val="none"/>
          <w:u w:val="single"/>
          <w:lang w:val="en-US" w:eastAsia="zh-CN"/>
        </w:rPr>
        <w:t>/</w:t>
      </w:r>
      <w:r>
        <w:rPr>
          <w:rFonts w:hint="eastAsia" w:hAnsi="宋体" w:cs="宋体"/>
          <w:color w:val="auto"/>
          <w:highlight w:val="none"/>
          <w:u w:val="single"/>
        </w:rPr>
        <w:t xml:space="preserve">          </w:t>
      </w:r>
      <w:r>
        <w:rPr>
          <w:rFonts w:hint="eastAsia" w:hAnsi="宋体" w:cs="宋体"/>
          <w:color w:val="auto"/>
          <w:highlight w:val="none"/>
        </w:rPr>
        <w:t>。</w:t>
      </w:r>
    </w:p>
    <w:p w14:paraId="7F7CE4FB">
      <w:pPr>
        <w:pStyle w:val="5"/>
        <w:jc w:val="left"/>
        <w:rPr>
          <w:rFonts w:hint="eastAsia" w:ascii="Arial" w:hAnsi="Arial" w:cs="黑体"/>
          <w:highlight w:val="none"/>
        </w:rPr>
      </w:pPr>
      <w:bookmarkStart w:id="379" w:name="_Toc20258"/>
      <w:bookmarkStart w:id="380" w:name="_Toc13852"/>
      <w:r>
        <w:rPr>
          <w:rFonts w:hint="eastAsia" w:ascii="Arial" w:hAnsi="Arial" w:cs="黑体"/>
          <w:highlight w:val="none"/>
        </w:rPr>
        <w:t>12.2 预付款</w:t>
      </w:r>
      <w:bookmarkEnd w:id="379"/>
      <w:bookmarkEnd w:id="380"/>
    </w:p>
    <w:p w14:paraId="3C17F01D">
      <w:pPr>
        <w:spacing w:line="360" w:lineRule="auto"/>
        <w:ind w:firstLine="420" w:firstLineChars="200"/>
        <w:jc w:val="left"/>
        <w:rPr>
          <w:color w:val="auto"/>
          <w:highlight w:val="none"/>
        </w:rPr>
      </w:pPr>
      <w:r>
        <w:rPr>
          <w:color w:val="auto"/>
          <w:highlight w:val="none"/>
        </w:rPr>
        <w:t xml:space="preserve">12.2.1 </w:t>
      </w:r>
      <w:r>
        <w:rPr>
          <w:rFonts w:hint="eastAsia" w:hAnsi="宋体" w:cs="宋体"/>
          <w:color w:val="auto"/>
          <w:highlight w:val="none"/>
        </w:rPr>
        <w:t>预付款的支付</w:t>
      </w:r>
    </w:p>
    <w:p w14:paraId="36411BBC">
      <w:pPr>
        <w:spacing w:line="360" w:lineRule="auto"/>
        <w:ind w:firstLine="420" w:firstLineChars="200"/>
        <w:jc w:val="left"/>
        <w:rPr>
          <w:color w:val="auto"/>
          <w:highlight w:val="none"/>
        </w:rPr>
      </w:pPr>
      <w:r>
        <w:rPr>
          <w:rFonts w:hint="eastAsia" w:hAnsi="宋体" w:cs="宋体"/>
          <w:color w:val="auto"/>
          <w:highlight w:val="none"/>
        </w:rPr>
        <w:t>预付款支付比例或金额：</w:t>
      </w:r>
      <w:r>
        <w:rPr>
          <w:rFonts w:hint="default" w:ascii="Times New Roman" w:hAnsi="Times New Roman" w:cs="Times New Roman"/>
          <w:color w:val="auto"/>
          <w:szCs w:val="21"/>
          <w:highlight w:val="none"/>
          <w:u w:val="none"/>
        </w:rPr>
        <w:t>按照签约合同价</w:t>
      </w:r>
      <w:r>
        <w:rPr>
          <w:rFonts w:hint="eastAsia" w:ascii="Times New Roman" w:hAnsi="Times New Roman" w:cs="Times New Roman"/>
          <w:color w:val="auto"/>
          <w:szCs w:val="21"/>
          <w:highlight w:val="none"/>
          <w:u w:val="none"/>
          <w:lang w:eastAsia="zh-CN"/>
        </w:rPr>
        <w:t>扣</w:t>
      </w:r>
      <w:r>
        <w:rPr>
          <w:rFonts w:hint="default" w:ascii="Times New Roman" w:hAnsi="Times New Roman" w:eastAsia="宋体" w:cs="Times New Roman"/>
          <w:color w:val="auto"/>
          <w:szCs w:val="21"/>
          <w:highlight w:val="none"/>
          <w:u w:val="none"/>
          <w:lang w:eastAsia="zh-CN"/>
        </w:rPr>
        <w:t>除</w:t>
      </w:r>
      <w:r>
        <w:rPr>
          <w:rFonts w:hint="default" w:ascii="Times New Roman" w:hAnsi="Times New Roman" w:eastAsia="宋体" w:cs="Times New Roman"/>
          <w:color w:val="auto"/>
          <w:szCs w:val="21"/>
          <w:highlight w:val="none"/>
          <w:u w:val="none"/>
          <w:lang w:val="zh-TW" w:eastAsia="zh-TW"/>
        </w:rPr>
        <w:t>暂列金额、专业工程暂估价及</w:t>
      </w:r>
      <w:r>
        <w:rPr>
          <w:rFonts w:hint="default" w:ascii="Times New Roman" w:hAnsi="Times New Roman" w:eastAsia="宋体" w:cs="Times New Roman"/>
          <w:color w:val="auto"/>
          <w:szCs w:val="21"/>
          <w:highlight w:val="none"/>
          <w:u w:val="none"/>
          <w:lang w:val="en" w:eastAsia="zh-TW"/>
        </w:rPr>
        <w:t>安全生产费</w:t>
      </w:r>
      <w:r>
        <w:rPr>
          <w:rFonts w:hint="default" w:eastAsia="宋体" w:cs="Times New Roman"/>
          <w:color w:val="auto"/>
          <w:szCs w:val="21"/>
          <w:highlight w:val="none"/>
          <w:u w:val="none"/>
          <w:lang w:val="en"/>
        </w:rPr>
        <w:t>后</w:t>
      </w:r>
      <w:r>
        <w:rPr>
          <w:rFonts w:hint="eastAsia" w:ascii="Times New Roman" w:hAnsi="Times New Roman" w:eastAsia="宋体" w:cs="Times New Roman"/>
          <w:color w:val="auto"/>
          <w:szCs w:val="21"/>
          <w:highlight w:val="none"/>
          <w:u w:val="none"/>
          <w:lang w:val="en-US" w:eastAsia="zh-CN"/>
        </w:rPr>
        <w:t xml:space="preserve">    </w:t>
      </w:r>
      <w:r>
        <w:rPr>
          <w:rFonts w:hint="default" w:eastAsia="宋体" w:cs="Times New Roman"/>
          <w:color w:val="auto"/>
          <w:szCs w:val="21"/>
          <w:highlight w:val="none"/>
          <w:u w:val="none"/>
          <w:lang w:val="en"/>
        </w:rPr>
        <w:t>的</w:t>
      </w:r>
      <w:r>
        <w:rPr>
          <w:rFonts w:hint="default" w:eastAsia="宋体" w:cs="Times New Roman"/>
          <w:color w:val="auto"/>
          <w:szCs w:val="21"/>
          <w:highlight w:val="none"/>
          <w:u w:val="single"/>
          <w:lang w:val="en"/>
        </w:rPr>
        <w:t xml:space="preserve"> </w:t>
      </w:r>
      <w:r>
        <w:rPr>
          <w:rFonts w:hint="eastAsia" w:eastAsia="宋体" w:cs="Times New Roman"/>
          <w:color w:val="auto"/>
          <w:szCs w:val="21"/>
          <w:highlight w:val="none"/>
          <w:u w:val="single"/>
          <w:lang w:val="en-US" w:eastAsia="zh-CN"/>
        </w:rPr>
        <w:t>30</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w:t>
      </w:r>
    </w:p>
    <w:p w14:paraId="1AE60873">
      <w:pPr>
        <w:spacing w:line="360" w:lineRule="auto"/>
        <w:ind w:firstLine="420" w:firstLineChars="200"/>
        <w:jc w:val="left"/>
        <w:rPr>
          <w:color w:val="auto"/>
          <w:highlight w:val="none"/>
        </w:rPr>
      </w:pPr>
      <w:r>
        <w:rPr>
          <w:rFonts w:hint="eastAsia" w:hAnsi="宋体" w:cs="宋体"/>
          <w:color w:val="auto"/>
          <w:highlight w:val="none"/>
        </w:rPr>
        <w:t>预付款支付期限：</w:t>
      </w:r>
      <w:r>
        <w:rPr>
          <w:rFonts w:hint="eastAsia"/>
          <w:color w:val="auto"/>
          <w:highlight w:val="none"/>
          <w:u w:val="single"/>
        </w:rPr>
        <w:t>合同签订后</w:t>
      </w:r>
      <w:r>
        <w:rPr>
          <w:rFonts w:hint="eastAsia"/>
          <w:color w:val="auto"/>
          <w:highlight w:val="none"/>
          <w:u w:val="single"/>
          <w:lang w:val="en-US" w:eastAsia="zh-CN"/>
        </w:rPr>
        <w:t>30</w:t>
      </w:r>
      <w:r>
        <w:rPr>
          <w:rFonts w:hint="eastAsia"/>
          <w:color w:val="auto"/>
          <w:highlight w:val="none"/>
          <w:u w:val="single"/>
        </w:rPr>
        <w:t>天之内</w:t>
      </w:r>
      <w:r>
        <w:rPr>
          <w:rFonts w:hint="eastAsia"/>
          <w:color w:val="auto"/>
          <w:highlight w:val="none"/>
          <w:u w:val="single"/>
          <w:lang w:val="en-US" w:eastAsia="zh-CN"/>
        </w:rPr>
        <w:t>支付</w:t>
      </w:r>
      <w:r>
        <w:rPr>
          <w:color w:val="auto"/>
          <w:highlight w:val="none"/>
          <w:u w:val="single"/>
        </w:rPr>
        <w:t xml:space="preserve"> </w:t>
      </w:r>
      <w:r>
        <w:rPr>
          <w:rFonts w:hint="eastAsia" w:hAnsi="宋体" w:cs="宋体"/>
          <w:color w:val="auto"/>
          <w:highlight w:val="none"/>
        </w:rPr>
        <w:t>。</w:t>
      </w:r>
    </w:p>
    <w:p w14:paraId="1EE45E5C">
      <w:pPr>
        <w:spacing w:line="360" w:lineRule="auto"/>
        <w:ind w:firstLine="420" w:firstLineChars="200"/>
        <w:jc w:val="left"/>
        <w:rPr>
          <w:rFonts w:hint="eastAsia"/>
          <w:color w:val="auto"/>
          <w:highlight w:val="none"/>
          <w:u w:val="none"/>
          <w:lang w:val="en-US" w:eastAsia="zh-CN"/>
        </w:rPr>
      </w:pPr>
      <w:r>
        <w:rPr>
          <w:rFonts w:hint="eastAsia" w:hAnsi="宋体" w:cs="宋体"/>
          <w:color w:val="auto"/>
          <w:highlight w:val="none"/>
        </w:rPr>
        <w:t>预付款扣回的方式：</w:t>
      </w:r>
      <w:r>
        <w:rPr>
          <w:rFonts w:hint="eastAsia"/>
          <w:color w:val="auto"/>
          <w:highlight w:val="none"/>
          <w:u w:val="single"/>
        </w:rPr>
        <w:t xml:space="preserve">进度款达到 </w:t>
      </w:r>
      <w:r>
        <w:rPr>
          <w:rFonts w:hint="eastAsia"/>
          <w:color w:val="auto"/>
          <w:highlight w:val="none"/>
          <w:u w:val="single"/>
          <w:lang w:val="en-US" w:eastAsia="zh-CN"/>
        </w:rPr>
        <w:t>60</w:t>
      </w:r>
      <w:r>
        <w:rPr>
          <w:rFonts w:hint="eastAsia"/>
          <w:color w:val="auto"/>
          <w:highlight w:val="none"/>
          <w:u w:val="single"/>
        </w:rPr>
        <w:t>%作为预付款起扣点，从此之后的每个</w:t>
      </w:r>
      <w:r>
        <w:rPr>
          <w:rFonts w:hint="eastAsia"/>
          <w:color w:val="auto"/>
          <w:highlight w:val="none"/>
          <w:u w:val="single"/>
          <w:lang w:eastAsia="zh-CN"/>
        </w:rPr>
        <w:t>计量周期</w:t>
      </w:r>
      <w:r>
        <w:rPr>
          <w:rFonts w:hint="eastAsia"/>
          <w:color w:val="auto"/>
          <w:highlight w:val="none"/>
          <w:u w:val="single"/>
        </w:rPr>
        <w:t>进度款中按预付款支付比例扣回</w:t>
      </w:r>
      <w:r>
        <w:rPr>
          <w:rFonts w:hint="eastAsia"/>
          <w:color w:val="auto"/>
          <w:highlight w:val="none"/>
          <w:u w:val="single"/>
          <w:lang w:eastAsia="zh-CN"/>
        </w:rPr>
        <w:t>，</w:t>
      </w:r>
      <w:r>
        <w:rPr>
          <w:rFonts w:hint="eastAsia"/>
          <w:color w:val="auto"/>
          <w:highlight w:val="none"/>
          <w:u w:val="single"/>
        </w:rPr>
        <w:t>扣回</w:t>
      </w:r>
      <w:r>
        <w:rPr>
          <w:rFonts w:hint="eastAsia"/>
          <w:color w:val="auto"/>
          <w:highlight w:val="none"/>
          <w:u w:val="none"/>
          <w:lang w:eastAsia="zh-CN"/>
        </w:rPr>
        <w:t>金额或计算办法：</w:t>
      </w:r>
      <w:r>
        <w:rPr>
          <w:rFonts w:hint="eastAsia"/>
          <w:color w:val="auto"/>
          <w:highlight w:val="none"/>
          <w:u w:val="none"/>
          <w:lang w:val="en-US" w:eastAsia="zh-CN"/>
        </w:rPr>
        <w:t xml:space="preserve"> </w:t>
      </w:r>
    </w:p>
    <w:p w14:paraId="6EC2A6D3">
      <w:pPr>
        <w:spacing w:line="360" w:lineRule="auto"/>
        <w:ind w:firstLine="420" w:firstLineChars="200"/>
        <w:jc w:val="left"/>
        <w:rPr>
          <w:rFonts w:hint="eastAsia"/>
          <w:color w:val="auto"/>
          <w:highlight w:val="none"/>
          <w:u w:val="none"/>
          <w:lang w:val="en-US" w:eastAsia="zh-CN"/>
        </w:rPr>
      </w:pPr>
      <w:r>
        <w:rPr>
          <w:rFonts w:hint="eastAsia"/>
          <w:color w:val="auto"/>
          <w:highlight w:val="none"/>
          <w:u w:val="none"/>
          <w:lang w:val="en-US" w:eastAsia="zh-CN"/>
        </w:rPr>
        <w:sym w:font="Wingdings 2" w:char="00A3"/>
      </w:r>
      <w:r>
        <w:rPr>
          <w:rFonts w:hint="eastAsia"/>
          <w:color w:val="auto"/>
          <w:highlight w:val="none"/>
          <w:u w:val="none"/>
          <w:lang w:val="en-US" w:eastAsia="zh-CN"/>
        </w:rPr>
        <w:t>按（预付款/剩余计量周期）计算每个计量周期扣回额；</w:t>
      </w:r>
    </w:p>
    <w:p w14:paraId="1F9F120A">
      <w:pPr>
        <w:spacing w:line="360" w:lineRule="auto"/>
        <w:ind w:firstLine="420" w:firstLineChars="200"/>
        <w:jc w:val="left"/>
        <w:rPr>
          <w:color w:val="auto"/>
          <w:highlight w:val="none"/>
        </w:rPr>
      </w:pPr>
      <w:r>
        <w:rPr>
          <w:rFonts w:hint="eastAsia"/>
          <w:color w:val="auto"/>
          <w:highlight w:val="none"/>
          <w:u w:val="none"/>
          <w:lang w:val="en-US" w:eastAsia="zh-CN"/>
        </w:rPr>
        <w:sym w:font="Wingdings 2" w:char="0052"/>
      </w:r>
      <w:r>
        <w:rPr>
          <w:rFonts w:hint="eastAsia"/>
          <w:color w:val="auto"/>
          <w:highlight w:val="none"/>
          <w:u w:val="none"/>
          <w:lang w:val="en-US" w:eastAsia="zh-CN"/>
        </w:rPr>
        <w:t xml:space="preserve">按预付款的30%扣回，扣完为止 </w:t>
      </w:r>
      <w:r>
        <w:rPr>
          <w:rFonts w:hint="eastAsia" w:hAnsi="宋体" w:cs="宋体"/>
          <w:color w:val="auto"/>
          <w:highlight w:val="none"/>
        </w:rPr>
        <w:t>。</w:t>
      </w:r>
    </w:p>
    <w:p w14:paraId="1B368D67">
      <w:pPr>
        <w:spacing w:line="360" w:lineRule="auto"/>
        <w:ind w:firstLine="420" w:firstLineChars="200"/>
        <w:jc w:val="left"/>
        <w:rPr>
          <w:color w:val="auto"/>
          <w:highlight w:val="none"/>
        </w:rPr>
      </w:pPr>
      <w:r>
        <w:rPr>
          <w:color w:val="auto"/>
          <w:highlight w:val="none"/>
        </w:rPr>
        <w:t xml:space="preserve">12.2.2 </w:t>
      </w:r>
      <w:r>
        <w:rPr>
          <w:rFonts w:hint="eastAsia" w:hAnsi="宋体" w:cs="宋体"/>
          <w:color w:val="auto"/>
          <w:highlight w:val="none"/>
        </w:rPr>
        <w:t>预付款担保</w:t>
      </w:r>
    </w:p>
    <w:p w14:paraId="2E618782">
      <w:pPr>
        <w:spacing w:line="360" w:lineRule="auto"/>
        <w:ind w:firstLine="420" w:firstLineChars="200"/>
        <w:jc w:val="left"/>
        <w:rPr>
          <w:color w:val="auto"/>
          <w:highlight w:val="none"/>
        </w:rPr>
      </w:pPr>
      <w:r>
        <w:rPr>
          <w:rFonts w:hint="eastAsia" w:hAnsi="宋体" w:cs="宋体"/>
          <w:color w:val="auto"/>
          <w:highlight w:val="none"/>
        </w:rPr>
        <w:t>承包人提交预付款担保的期限：</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035F9558">
      <w:pPr>
        <w:spacing w:line="360" w:lineRule="auto"/>
        <w:ind w:firstLine="420" w:firstLineChars="200"/>
        <w:jc w:val="left"/>
        <w:rPr>
          <w:rFonts w:hint="eastAsia" w:ascii="Times New Roman" w:hAnsi="宋体" w:eastAsia="宋体" w:cs="宋体"/>
          <w:color w:val="auto"/>
          <w:highlight w:val="none"/>
        </w:rPr>
      </w:pPr>
      <w:r>
        <w:rPr>
          <w:rFonts w:hint="eastAsia" w:hAnsi="宋体" w:cs="宋体"/>
          <w:color w:val="auto"/>
          <w:highlight w:val="none"/>
        </w:rPr>
        <w:t>预付款担保的形式为：</w:t>
      </w:r>
      <w:r>
        <w:rPr>
          <w:rFonts w:hint="eastAsia"/>
          <w:color w:val="auto"/>
          <w:highlight w:val="none"/>
          <w:u w:val="none"/>
          <w:lang w:eastAsia="zh-CN"/>
        </w:rPr>
        <w:t>可以是</w:t>
      </w:r>
      <w:r>
        <w:rPr>
          <w:rFonts w:hint="eastAsia" w:ascii="Times New Roman" w:hAnsi="宋体" w:eastAsia="宋体" w:cs="宋体"/>
          <w:color w:val="auto"/>
          <w:highlight w:val="none"/>
        </w:rPr>
        <w:t>银行转账、电汇或网上支付、保函（银行保函、电子保函、保证保险保函、工程担保保函）等</w:t>
      </w:r>
      <w:r>
        <w:rPr>
          <w:rFonts w:hint="eastAsia" w:ascii="Times New Roman" w:hAnsi="宋体" w:eastAsia="宋体" w:cs="宋体"/>
          <w:color w:val="auto"/>
          <w:highlight w:val="none"/>
          <w:lang w:eastAsia="zh-CN"/>
        </w:rPr>
        <w:t>形</w:t>
      </w:r>
      <w:r>
        <w:rPr>
          <w:rFonts w:hint="eastAsia" w:ascii="Times New Roman" w:hAnsi="宋体" w:eastAsia="宋体" w:cs="宋体"/>
          <w:color w:val="auto"/>
          <w:highlight w:val="none"/>
        </w:rPr>
        <w:t>式。工程担保保证人应将出具的保函相关信息录入</w:t>
      </w:r>
      <w:r>
        <w:rPr>
          <w:rFonts w:hint="eastAsia" w:hAnsi="宋体" w:cs="宋体"/>
          <w:color w:val="auto"/>
          <w:highlight w:val="none"/>
          <w:lang w:eastAsia="zh-CN"/>
        </w:rPr>
        <w:t>“</w:t>
      </w:r>
      <w:r>
        <w:rPr>
          <w:rFonts w:hint="eastAsia" w:ascii="Times New Roman" w:hAnsi="宋体" w:eastAsia="宋体" w:cs="宋体"/>
          <w:color w:val="auto"/>
          <w:highlight w:val="none"/>
        </w:rPr>
        <w:t>广西建筑市场监管云</w:t>
      </w:r>
      <w:r>
        <w:rPr>
          <w:rFonts w:hint="eastAsia" w:hAnsi="宋体" w:cs="宋体"/>
          <w:color w:val="auto"/>
          <w:highlight w:val="none"/>
          <w:lang w:eastAsia="zh-CN"/>
        </w:rPr>
        <w:t>”</w:t>
      </w:r>
      <w:r>
        <w:rPr>
          <w:rFonts w:hint="eastAsia" w:ascii="Times New Roman" w:hAnsi="宋体" w:eastAsia="宋体" w:cs="宋体"/>
          <w:color w:val="auto"/>
          <w:highlight w:val="none"/>
        </w:rPr>
        <w:t>平台（</w:t>
      </w:r>
      <w:r>
        <w:rPr>
          <w:rFonts w:hint="eastAsia" w:ascii="Times New Roman" w:hAnsi="宋体" w:eastAsia="宋体" w:cs="宋体"/>
          <w:color w:val="auto"/>
          <w:highlight w:val="none"/>
          <w:lang w:eastAsia="zh-CN"/>
        </w:rPr>
        <w:t>https://gxjzsc.gxcic.</w:t>
      </w:r>
      <w:r>
        <w:rPr>
          <w:rFonts w:hint="eastAsia" w:cs="宋体"/>
          <w:color w:val="auto"/>
          <w:highlight w:val="none"/>
          <w:lang w:val="en-US" w:eastAsia="zh-CN"/>
        </w:rPr>
        <w:t>cn</w:t>
      </w:r>
      <w:r>
        <w:rPr>
          <w:rFonts w:hint="eastAsia" w:hAnsi="宋体" w:cs="宋体"/>
          <w:color w:val="auto"/>
          <w:highlight w:val="none"/>
          <w:lang w:eastAsia="zh-CN"/>
        </w:rPr>
        <w:t>）</w:t>
      </w:r>
      <w:r>
        <w:rPr>
          <w:rFonts w:hint="eastAsia" w:ascii="Times New Roman" w:hAnsi="宋体" w:eastAsia="宋体" w:cs="宋体"/>
          <w:color w:val="auto"/>
          <w:highlight w:val="none"/>
        </w:rPr>
        <w:t>，以实现保函查询及验真功能</w:t>
      </w:r>
      <w:r>
        <w:rPr>
          <w:rFonts w:hint="eastAsia" w:ascii="Times New Roman" w:hAnsi="宋体" w:eastAsia="宋体" w:cs="宋体"/>
          <w:color w:val="auto"/>
          <w:highlight w:val="none"/>
          <w:lang w:eastAsia="zh-CN"/>
        </w:rPr>
        <w:t>。</w:t>
      </w:r>
    </w:p>
    <w:p w14:paraId="31B49325">
      <w:pPr>
        <w:spacing w:line="360" w:lineRule="auto"/>
        <w:ind w:firstLine="420" w:firstLineChars="200"/>
        <w:jc w:val="left"/>
        <w:rPr>
          <w:color w:val="auto"/>
          <w:highlight w:val="none"/>
        </w:rPr>
      </w:pPr>
      <w:r>
        <w:rPr>
          <w:rFonts w:hint="eastAsia" w:ascii="宋体" w:hAnsi="宋体" w:cs="宋体"/>
          <w:color w:val="auto"/>
          <w:highlight w:val="none"/>
        </w:rPr>
        <w:t>预付款担保格式见合同附件8。预付款支付申请（核准）表见合同附件10</w:t>
      </w:r>
    </w:p>
    <w:p w14:paraId="698B8F94">
      <w:pPr>
        <w:pStyle w:val="5"/>
        <w:jc w:val="left"/>
        <w:rPr>
          <w:color w:val="auto"/>
          <w:highlight w:val="none"/>
        </w:rPr>
      </w:pPr>
      <w:bookmarkStart w:id="381" w:name="_Toc12933"/>
      <w:bookmarkStart w:id="382" w:name="_Toc6734"/>
      <w:r>
        <w:rPr>
          <w:color w:val="auto"/>
          <w:highlight w:val="none"/>
        </w:rPr>
        <w:t xml:space="preserve">12.3 </w:t>
      </w:r>
      <w:r>
        <w:rPr>
          <w:rFonts w:hint="eastAsia" w:ascii="Arial" w:hAnsi="Arial" w:cs="黑体"/>
          <w:highlight w:val="none"/>
        </w:rPr>
        <w:t>计量</w:t>
      </w:r>
      <w:bookmarkEnd w:id="381"/>
      <w:bookmarkEnd w:id="382"/>
    </w:p>
    <w:p w14:paraId="072E51D6">
      <w:pPr>
        <w:spacing w:line="360" w:lineRule="auto"/>
        <w:ind w:firstLine="420" w:firstLineChars="200"/>
        <w:jc w:val="left"/>
        <w:rPr>
          <w:color w:val="auto"/>
          <w:highlight w:val="none"/>
        </w:rPr>
      </w:pPr>
      <w:r>
        <w:rPr>
          <w:color w:val="auto"/>
          <w:highlight w:val="none"/>
        </w:rPr>
        <w:t xml:space="preserve">12.3.1 </w:t>
      </w:r>
      <w:r>
        <w:rPr>
          <w:rFonts w:hint="eastAsia" w:hAnsi="宋体" w:cs="宋体"/>
          <w:color w:val="auto"/>
          <w:highlight w:val="none"/>
        </w:rPr>
        <w:t>计量原则</w:t>
      </w:r>
    </w:p>
    <w:p w14:paraId="36A9BC88">
      <w:pPr>
        <w:spacing w:line="360" w:lineRule="auto"/>
        <w:ind w:firstLine="420" w:firstLineChars="200"/>
        <w:jc w:val="left"/>
        <w:rPr>
          <w:color w:val="auto"/>
          <w:highlight w:val="none"/>
        </w:rPr>
      </w:pPr>
      <w:r>
        <w:rPr>
          <w:rFonts w:hint="eastAsia" w:hAnsi="宋体" w:cs="宋体"/>
          <w:color w:val="auto"/>
          <w:highlight w:val="none"/>
        </w:rPr>
        <w:t>合同工程应以承包人按合同要求已完成且应予计量的工程进行计量。工程量计算规则：工程的计量均以《广西壮族自治区建设工程全过程计价规范》《广西壮族自治区建设工程多层级工程量清单计算规范》及本工程补充项目清单计量规则为准。</w:t>
      </w:r>
    </w:p>
    <w:p w14:paraId="5B19943C">
      <w:pPr>
        <w:spacing w:line="360" w:lineRule="auto"/>
        <w:ind w:firstLine="420" w:firstLineChars="200"/>
        <w:jc w:val="left"/>
        <w:rPr>
          <w:rFonts w:hint="eastAsia" w:eastAsia="宋体"/>
          <w:color w:val="auto"/>
          <w:highlight w:val="none"/>
          <w:lang w:val="en-US" w:eastAsia="zh-CN"/>
        </w:rPr>
      </w:pPr>
      <w:r>
        <w:rPr>
          <w:color w:val="auto"/>
          <w:highlight w:val="none"/>
        </w:rPr>
        <w:t xml:space="preserve">12.3.2 </w:t>
      </w:r>
      <w:r>
        <w:rPr>
          <w:rFonts w:hint="eastAsia" w:hAnsi="宋体" w:cs="宋体"/>
          <w:color w:val="auto"/>
          <w:highlight w:val="none"/>
        </w:rPr>
        <w:t>计量周期</w:t>
      </w:r>
    </w:p>
    <w:p w14:paraId="3621FFD0">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发承包双方按以下第</w:t>
      </w:r>
      <w:r>
        <w:rPr>
          <w:rFonts w:hint="eastAsia" w:hAnsi="宋体" w:cs="宋体"/>
          <w:color w:val="auto"/>
          <w:highlight w:val="none"/>
          <w:u w:val="single"/>
        </w:rPr>
        <w:t xml:space="preserve">   </w:t>
      </w:r>
      <w:r>
        <w:rPr>
          <w:rFonts w:hint="eastAsia" w:hAnsi="宋体" w:cs="宋体"/>
          <w:color w:val="auto"/>
          <w:highlight w:val="none"/>
          <w:u w:val="single"/>
          <w:lang w:eastAsia="zh-CN"/>
        </w:rPr>
        <w:t>一</w:t>
      </w:r>
      <w:r>
        <w:rPr>
          <w:rFonts w:hint="eastAsia" w:hAnsi="宋体" w:cs="宋体"/>
          <w:color w:val="auto"/>
          <w:highlight w:val="none"/>
          <w:u w:val="single"/>
        </w:rPr>
        <w:t xml:space="preserve">  </w:t>
      </w:r>
      <w:r>
        <w:rPr>
          <w:rFonts w:hint="eastAsia" w:hAnsi="宋体" w:cs="宋体"/>
          <w:color w:val="auto"/>
          <w:highlight w:val="none"/>
        </w:rPr>
        <w:t>种方式</w:t>
      </w:r>
      <w:r>
        <w:rPr>
          <w:rFonts w:hint="eastAsia" w:hAnsi="宋体" w:cs="宋体"/>
          <w:color w:val="auto"/>
          <w:highlight w:val="none"/>
          <w:lang w:eastAsia="zh-CN"/>
        </w:rPr>
        <w:t>（总价合同推荐使用第三种方式）</w:t>
      </w:r>
      <w:r>
        <w:rPr>
          <w:rFonts w:hint="eastAsia" w:hAnsi="宋体" w:cs="宋体"/>
          <w:color w:val="auto"/>
          <w:highlight w:val="none"/>
        </w:rPr>
        <w:t>确定计量周期：</w:t>
      </w:r>
    </w:p>
    <w:p w14:paraId="292ECD28">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第一种方式：按月计量。承包人应于每月</w:t>
      </w:r>
      <w:r>
        <w:rPr>
          <w:rFonts w:hint="eastAsia" w:hAnsi="宋体" w:cs="宋体"/>
          <w:color w:val="auto"/>
          <w:highlight w:val="none"/>
          <w:u w:val="single"/>
        </w:rPr>
        <w:t xml:space="preserve"> </w:t>
      </w:r>
      <w:r>
        <w:rPr>
          <w:rFonts w:hint="eastAsia" w:hAnsi="宋体" w:cs="宋体"/>
          <w:color w:val="auto"/>
          <w:highlight w:val="none"/>
          <w:u w:val="single"/>
          <w:lang w:val="en-US" w:eastAsia="zh-CN"/>
        </w:rPr>
        <w:t>25</w:t>
      </w:r>
      <w:r>
        <w:rPr>
          <w:rFonts w:hint="eastAsia" w:hAnsi="宋体" w:cs="宋体"/>
          <w:color w:val="auto"/>
          <w:highlight w:val="none"/>
          <w:u w:val="single"/>
        </w:rPr>
        <w:t xml:space="preserve"> </w:t>
      </w:r>
      <w:r>
        <w:rPr>
          <w:rFonts w:hint="eastAsia" w:hAnsi="宋体" w:cs="宋体"/>
          <w:color w:val="auto"/>
          <w:highlight w:val="none"/>
        </w:rPr>
        <w:t>日前向发包人书面报送上月</w:t>
      </w:r>
      <w:r>
        <w:rPr>
          <w:rFonts w:hint="eastAsia" w:hAnsi="宋体" w:cs="宋体"/>
          <w:color w:val="auto"/>
          <w:highlight w:val="none"/>
          <w:u w:val="single"/>
        </w:rPr>
        <w:t xml:space="preserve"> </w:t>
      </w:r>
      <w:r>
        <w:rPr>
          <w:rFonts w:hint="eastAsia" w:hAnsi="宋体" w:cs="宋体"/>
          <w:color w:val="auto"/>
          <w:highlight w:val="none"/>
          <w:u w:val="single"/>
          <w:lang w:val="en-US" w:eastAsia="zh-CN"/>
        </w:rPr>
        <w:t>26</w:t>
      </w:r>
      <w:r>
        <w:rPr>
          <w:rFonts w:hint="eastAsia" w:hAnsi="宋体" w:cs="宋体"/>
          <w:color w:val="auto"/>
          <w:highlight w:val="none"/>
          <w:u w:val="single"/>
        </w:rPr>
        <w:t xml:space="preserve"> </w:t>
      </w:r>
      <w:r>
        <w:rPr>
          <w:rFonts w:hint="eastAsia" w:hAnsi="宋体" w:cs="宋体"/>
          <w:color w:val="auto"/>
          <w:highlight w:val="none"/>
        </w:rPr>
        <w:t>日至当月</w:t>
      </w:r>
      <w:r>
        <w:rPr>
          <w:rFonts w:hint="eastAsia" w:hAnsi="宋体" w:cs="宋体"/>
          <w:color w:val="auto"/>
          <w:highlight w:val="none"/>
          <w:u w:val="single"/>
        </w:rPr>
        <w:t xml:space="preserve">  </w:t>
      </w:r>
      <w:r>
        <w:rPr>
          <w:rFonts w:hint="eastAsia" w:hAnsi="宋体" w:cs="宋体"/>
          <w:color w:val="auto"/>
          <w:highlight w:val="none"/>
          <w:u w:val="single"/>
          <w:lang w:val="en-US" w:eastAsia="zh-CN"/>
        </w:rPr>
        <w:t>25</w:t>
      </w:r>
      <w:r>
        <w:rPr>
          <w:rFonts w:hint="eastAsia" w:hAnsi="宋体" w:cs="宋体"/>
          <w:color w:val="auto"/>
          <w:highlight w:val="none"/>
          <w:u w:val="single"/>
        </w:rPr>
        <w:t xml:space="preserve"> </w:t>
      </w:r>
      <w:r>
        <w:rPr>
          <w:rFonts w:hint="eastAsia" w:hAnsi="宋体" w:cs="宋体"/>
          <w:color w:val="auto"/>
          <w:highlight w:val="none"/>
        </w:rPr>
        <w:t>日已完成的工程量报告，并附进度付款申请单、已完成工程量报表和有关资料。</w:t>
      </w:r>
    </w:p>
    <w:p w14:paraId="34A6F27E">
      <w:pPr>
        <w:spacing w:line="360" w:lineRule="auto"/>
        <w:ind w:firstLine="420" w:firstLineChars="200"/>
        <w:jc w:val="left"/>
        <w:rPr>
          <w:rFonts w:hint="eastAsia" w:hAnsi="宋体" w:eastAsia="宋体" w:cs="宋体"/>
          <w:color w:val="auto"/>
          <w:highlight w:val="none"/>
          <w:lang w:eastAsia="zh-CN"/>
        </w:rPr>
      </w:pPr>
      <w:r>
        <w:rPr>
          <w:rFonts w:hint="eastAsia" w:hAnsi="宋体" w:cs="宋体"/>
          <w:color w:val="auto"/>
          <w:highlight w:val="none"/>
        </w:rPr>
        <w:t>第二种方式：</w:t>
      </w:r>
      <w:r>
        <w:rPr>
          <w:rFonts w:hint="eastAsia" w:hAnsi="宋体" w:cs="宋体"/>
          <w:color w:val="auto"/>
          <w:highlight w:val="none"/>
          <w:lang w:eastAsia="zh-CN"/>
        </w:rPr>
        <w:t>按工程形象目标进行工程计量。</w:t>
      </w:r>
      <w:r>
        <w:rPr>
          <w:rFonts w:hint="eastAsia" w:hAnsi="宋体" w:cs="宋体"/>
          <w:color w:val="auto"/>
          <w:highlight w:val="none"/>
        </w:rPr>
        <w:t>承包人应当</w:t>
      </w:r>
      <w:r>
        <w:rPr>
          <w:rFonts w:hint="eastAsia" w:hAnsi="宋体" w:cs="宋体"/>
          <w:color w:val="auto"/>
          <w:highlight w:val="none"/>
          <w:lang w:eastAsia="zh-CN"/>
        </w:rPr>
        <w:t>在工程形象目标任务完成后</w:t>
      </w:r>
      <w:r>
        <w:rPr>
          <w:rFonts w:hint="eastAsia" w:hAnsi="宋体" w:cs="宋体"/>
          <w:color w:val="auto"/>
          <w:highlight w:val="none"/>
        </w:rPr>
        <w:t>向发包人书面报送已完成的工程量报告，并附具进度付款申请单、已完成工程量报表和有关资料。</w:t>
      </w:r>
    </w:p>
    <w:p w14:paraId="62F040C1">
      <w:pPr>
        <w:spacing w:line="360" w:lineRule="auto"/>
        <w:ind w:firstLine="420" w:firstLineChars="200"/>
        <w:jc w:val="left"/>
        <w:rPr>
          <w:rFonts w:hint="eastAsia" w:hAnsi="宋体" w:cs="宋体"/>
          <w:color w:val="auto"/>
          <w:highlight w:val="none"/>
        </w:rPr>
      </w:pPr>
      <w:r>
        <w:rPr>
          <w:rFonts w:hint="eastAsia" w:hAnsi="宋体" w:cs="宋体"/>
          <w:color w:val="auto"/>
          <w:highlight w:val="none"/>
          <w:lang w:eastAsia="zh-CN"/>
        </w:rPr>
        <w:t>第三种方式：</w:t>
      </w:r>
      <w:r>
        <w:rPr>
          <w:rFonts w:hint="eastAsia" w:hAnsi="宋体" w:cs="宋体"/>
          <w:color w:val="auto"/>
          <w:highlight w:val="none"/>
        </w:rPr>
        <w:t>按照</w:t>
      </w:r>
      <w:r>
        <w:rPr>
          <w:rFonts w:hint="eastAsia" w:hAnsi="宋体" w:cs="宋体"/>
          <w:color w:val="auto"/>
          <w:highlight w:val="none"/>
          <w:lang w:eastAsia="zh-CN"/>
        </w:rPr>
        <w:t>支付分解表支付</w:t>
      </w:r>
      <w:r>
        <w:rPr>
          <w:rFonts w:hint="eastAsia" w:hAnsi="宋体" w:cs="宋体"/>
          <w:color w:val="auto"/>
          <w:highlight w:val="none"/>
        </w:rPr>
        <w:t>。承包人应</w:t>
      </w:r>
      <w:r>
        <w:rPr>
          <w:rFonts w:hint="eastAsia" w:hAnsi="宋体" w:cs="宋体"/>
          <w:color w:val="auto"/>
          <w:highlight w:val="none"/>
          <w:lang w:eastAsia="zh-CN"/>
        </w:rPr>
        <w:t>在支付分解表上要求的工程形象进度目标任务完成后</w:t>
      </w:r>
      <w:r>
        <w:rPr>
          <w:rFonts w:hint="eastAsia" w:hAnsi="宋体" w:cs="宋体"/>
          <w:color w:val="auto"/>
          <w:highlight w:val="none"/>
        </w:rPr>
        <w:t>向发包人书面报送进度付款申请单和有关资料。</w:t>
      </w:r>
    </w:p>
    <w:p w14:paraId="1D5ED20F">
      <w:pPr>
        <w:pStyle w:val="5"/>
        <w:jc w:val="left"/>
        <w:rPr>
          <w:color w:val="auto"/>
          <w:highlight w:val="none"/>
        </w:rPr>
      </w:pPr>
      <w:bookmarkStart w:id="383" w:name="_Toc4236"/>
      <w:bookmarkStart w:id="384" w:name="_Toc4691"/>
      <w:r>
        <w:rPr>
          <w:color w:val="auto"/>
          <w:highlight w:val="none"/>
        </w:rPr>
        <w:t xml:space="preserve">12.4 </w:t>
      </w:r>
      <w:r>
        <w:rPr>
          <w:rFonts w:hint="eastAsia" w:cs="黑体"/>
          <w:color w:val="auto"/>
          <w:highlight w:val="none"/>
        </w:rPr>
        <w:t>工程进度款支付</w:t>
      </w:r>
      <w:bookmarkEnd w:id="383"/>
      <w:bookmarkEnd w:id="384"/>
    </w:p>
    <w:p w14:paraId="7EB531CA">
      <w:pPr>
        <w:spacing w:line="400" w:lineRule="exact"/>
        <w:ind w:firstLine="420" w:firstLineChars="200"/>
        <w:jc w:val="left"/>
        <w:rPr>
          <w:color w:val="auto"/>
          <w:sz w:val="21"/>
          <w:szCs w:val="21"/>
          <w:highlight w:val="none"/>
        </w:rPr>
      </w:pPr>
      <w:r>
        <w:rPr>
          <w:rFonts w:ascii="宋体" w:hAnsi="宋体" w:eastAsia="宋体" w:cs="宋体"/>
          <w:color w:val="auto"/>
          <w:kern w:val="0"/>
          <w:sz w:val="21"/>
          <w:szCs w:val="21"/>
          <w:highlight w:val="none"/>
          <w:lang w:val="en-US" w:eastAsia="zh-CN" w:bidi="ar"/>
        </w:rPr>
        <w:t>政府机关、事业单位、国有企业建设工程进度款支付应不低于已完成工程价款的80%；同时，在确保不超出工程总概（预）算以及工程决（结）算工作顺利开展的前提下，除按合同约定保留不超过工程价款总额3%的质量保证金外，进度款支付比例可由发承包双方根据项目实际情况自行确定。在结算过程中，若发生进度款支付超出实际已完成工程价款的情况，承包单位应按规定在结算后30日内向发包单位返还多收到的工程进度款</w:t>
      </w:r>
      <w:r>
        <w:rPr>
          <w:rFonts w:hint="eastAsia" w:ascii="宋体" w:hAnsi="宋体" w:eastAsia="宋体" w:cs="宋体"/>
          <w:color w:val="auto"/>
          <w:kern w:val="0"/>
          <w:sz w:val="21"/>
          <w:szCs w:val="21"/>
          <w:highlight w:val="none"/>
          <w:lang w:val="en-US" w:eastAsia="zh-CN" w:bidi="ar"/>
        </w:rPr>
        <w:t>。</w:t>
      </w:r>
    </w:p>
    <w:p w14:paraId="640F1736">
      <w:pPr>
        <w:spacing w:line="400" w:lineRule="exact"/>
        <w:ind w:firstLine="420" w:firstLineChars="200"/>
        <w:jc w:val="left"/>
        <w:rPr>
          <w:rFonts w:ascii="宋体" w:hAnsi="宋体" w:eastAsia="宋体" w:cs="宋体"/>
          <w:color w:val="auto"/>
          <w:kern w:val="0"/>
          <w:sz w:val="21"/>
          <w:szCs w:val="21"/>
          <w:highlight w:val="none"/>
          <w:lang w:val="en-US" w:eastAsia="zh-CN" w:bidi="ar"/>
        </w:rPr>
      </w:pPr>
      <w:r>
        <w:rPr>
          <w:rFonts w:ascii="宋体" w:hAnsi="宋体" w:eastAsia="宋体" w:cs="宋体"/>
          <w:color w:val="auto"/>
          <w:kern w:val="0"/>
          <w:sz w:val="21"/>
          <w:szCs w:val="21"/>
          <w:highlight w:val="none"/>
          <w:lang w:val="en-US" w:eastAsia="zh-CN" w:bidi="ar"/>
        </w:rPr>
        <w:t xml:space="preserve">12.4.1 </w:t>
      </w:r>
      <w:r>
        <w:rPr>
          <w:rFonts w:hint="eastAsia" w:ascii="宋体" w:hAnsi="宋体" w:eastAsia="宋体" w:cs="宋体"/>
          <w:color w:val="auto"/>
          <w:kern w:val="0"/>
          <w:sz w:val="21"/>
          <w:szCs w:val="21"/>
          <w:highlight w:val="none"/>
          <w:lang w:val="en-US" w:eastAsia="zh-CN" w:bidi="ar"/>
        </w:rPr>
        <w:t>付款周期</w:t>
      </w:r>
    </w:p>
    <w:p w14:paraId="427CA548">
      <w:pPr>
        <w:spacing w:line="360" w:lineRule="auto"/>
        <w:ind w:left="10" w:leftChars="0" w:firstLine="409" w:firstLineChars="195"/>
        <w:jc w:val="left"/>
        <w:rPr>
          <w:rFonts w:hint="eastAsia" w:hAnsi="宋体" w:cs="宋体"/>
          <w:color w:val="auto"/>
          <w:sz w:val="21"/>
          <w:szCs w:val="21"/>
          <w:highlight w:val="none"/>
          <w:u w:val="none"/>
        </w:rPr>
      </w:pPr>
      <w:r>
        <w:rPr>
          <w:rFonts w:hint="eastAsia" w:hAnsi="宋体" w:cs="宋体"/>
          <w:color w:val="auto"/>
          <w:sz w:val="21"/>
          <w:szCs w:val="21"/>
          <w:highlight w:val="none"/>
          <w:u w:val="none"/>
        </w:rPr>
        <w:t>①</w:t>
      </w:r>
      <w:r>
        <w:rPr>
          <w:rFonts w:hint="eastAsia" w:hAnsi="宋体" w:cs="宋体"/>
          <w:color w:val="auto"/>
          <w:sz w:val="21"/>
          <w:szCs w:val="21"/>
          <w:highlight w:val="none"/>
          <w:u w:val="none"/>
          <w:lang w:val="zh-CN"/>
        </w:rPr>
        <w:t>本项目有预付款，承包人进场施工后支付30%预付款。工程款按进度款支付，完成工程量造价的</w:t>
      </w:r>
      <w:r>
        <w:rPr>
          <w:rFonts w:hint="eastAsia" w:hAnsi="宋体" w:cs="宋体"/>
          <w:color w:val="auto"/>
          <w:sz w:val="21"/>
          <w:szCs w:val="21"/>
          <w:highlight w:val="none"/>
          <w:u w:val="none"/>
          <w:lang w:val="en-US" w:eastAsia="zh-CN"/>
        </w:rPr>
        <w:t>7</w:t>
      </w:r>
      <w:r>
        <w:rPr>
          <w:rFonts w:hint="eastAsia" w:hAnsi="宋体" w:cs="宋体"/>
          <w:color w:val="auto"/>
          <w:sz w:val="21"/>
          <w:szCs w:val="21"/>
          <w:highlight w:val="none"/>
          <w:u w:val="none"/>
          <w:lang w:val="zh-CN"/>
        </w:rPr>
        <w:t>0%支付60%的工程款；完成工程量造价的</w:t>
      </w:r>
      <w:r>
        <w:rPr>
          <w:rFonts w:hint="eastAsia" w:hAnsi="宋体" w:cs="宋体"/>
          <w:color w:val="auto"/>
          <w:sz w:val="21"/>
          <w:szCs w:val="21"/>
          <w:highlight w:val="none"/>
          <w:u w:val="none"/>
          <w:lang w:val="en-US" w:eastAsia="zh-CN"/>
        </w:rPr>
        <w:t>90</w:t>
      </w:r>
      <w:r>
        <w:rPr>
          <w:rFonts w:hint="eastAsia" w:hAnsi="宋体" w:cs="宋体"/>
          <w:color w:val="auto"/>
          <w:sz w:val="21"/>
          <w:szCs w:val="21"/>
          <w:highlight w:val="none"/>
          <w:u w:val="none"/>
          <w:lang w:val="zh-CN"/>
        </w:rPr>
        <w:t>%支付</w:t>
      </w:r>
      <w:r>
        <w:rPr>
          <w:rFonts w:hint="eastAsia" w:hAnsi="宋体" w:cs="宋体"/>
          <w:color w:val="auto"/>
          <w:sz w:val="21"/>
          <w:szCs w:val="21"/>
          <w:highlight w:val="none"/>
          <w:u w:val="none"/>
          <w:lang w:val="en-US" w:eastAsia="zh-CN"/>
        </w:rPr>
        <w:t>80</w:t>
      </w:r>
      <w:r>
        <w:rPr>
          <w:rFonts w:hint="eastAsia" w:hAnsi="宋体" w:cs="宋体"/>
          <w:color w:val="auto"/>
          <w:sz w:val="21"/>
          <w:szCs w:val="21"/>
          <w:highlight w:val="none"/>
          <w:u w:val="none"/>
          <w:lang w:val="zh-CN"/>
        </w:rPr>
        <w:t>%的工程款；工程竣工验收合格后，工程款累计支付至经业主审定的实际完成工程量造价的90%。经审计部门结算审定后，工程进度款支付至工程结算价的97%，预留3%工程质量保修金待缺陷责任期（12个月）满后30天内，双方确认无质量返修问题后返还。</w:t>
      </w:r>
    </w:p>
    <w:p w14:paraId="2F1C699A">
      <w:pPr>
        <w:spacing w:line="360" w:lineRule="auto"/>
        <w:ind w:left="10" w:leftChars="0" w:firstLine="409" w:firstLineChars="195"/>
        <w:jc w:val="left"/>
        <w:rPr>
          <w:rFonts w:hint="eastAsia" w:hAnsi="宋体" w:cs="宋体"/>
          <w:color w:val="auto"/>
          <w:sz w:val="21"/>
          <w:szCs w:val="21"/>
          <w:highlight w:val="none"/>
          <w:u w:val="none"/>
        </w:rPr>
      </w:pPr>
      <w:r>
        <w:rPr>
          <w:rFonts w:hint="eastAsia" w:hAnsi="宋体" w:cs="宋体"/>
          <w:color w:val="auto"/>
          <w:sz w:val="21"/>
          <w:szCs w:val="21"/>
          <w:highlight w:val="none"/>
          <w:u w:val="none"/>
        </w:rPr>
        <w:t>②合同约定的工程质量缺陷责任期</w:t>
      </w:r>
      <w:r>
        <w:rPr>
          <w:rFonts w:hint="eastAsia" w:hAnsi="宋体" w:cs="宋体"/>
          <w:color w:val="auto"/>
          <w:sz w:val="21"/>
          <w:szCs w:val="21"/>
          <w:highlight w:val="none"/>
          <w:u w:val="none"/>
          <w:lang w:val="en-US" w:eastAsia="zh-CN"/>
        </w:rPr>
        <w:t>12个月</w:t>
      </w:r>
      <w:r>
        <w:rPr>
          <w:rFonts w:hint="eastAsia" w:hAnsi="宋体" w:cs="宋体"/>
          <w:color w:val="auto"/>
          <w:sz w:val="21"/>
          <w:szCs w:val="21"/>
          <w:highlight w:val="none"/>
          <w:u w:val="none"/>
        </w:rPr>
        <w:t>（最长不超过2年）满后由承包人向发包人提出返还保证金的申请，发包人在接到承包人返还保证金申请后，于14天内会同承包人按照合同约定的内容进行核实。如无异议，发包人在核实后14天内将保证金返还承包人，逾期未返还的，依法承担违约责任。发包人在接到承包人返还保证金申请后14天内不予答复，经催告后14天内仍不予答复，视同认可承包人的返还保证金申请。</w:t>
      </w:r>
    </w:p>
    <w:p w14:paraId="06DD8591">
      <w:pPr>
        <w:spacing w:line="400" w:lineRule="exact"/>
        <w:ind w:firstLine="420" w:firstLineChars="200"/>
        <w:jc w:val="left"/>
        <w:rPr>
          <w:color w:val="auto"/>
          <w:sz w:val="21"/>
          <w:szCs w:val="21"/>
          <w:highlight w:val="none"/>
        </w:rPr>
      </w:pPr>
      <w:r>
        <w:rPr>
          <w:rFonts w:ascii="宋体" w:hAnsi="宋体" w:eastAsia="宋体" w:cs="宋体"/>
          <w:color w:val="auto"/>
          <w:kern w:val="0"/>
          <w:sz w:val="21"/>
          <w:szCs w:val="21"/>
          <w:highlight w:val="none"/>
          <w:lang w:val="en-US" w:eastAsia="zh-CN" w:bidi="ar"/>
        </w:rPr>
        <w:t xml:space="preserve">12.4.2 </w:t>
      </w:r>
      <w:r>
        <w:rPr>
          <w:rFonts w:hint="eastAsia" w:ascii="宋体" w:hAnsi="宋体" w:eastAsia="宋体" w:cs="宋体"/>
          <w:color w:val="auto"/>
          <w:kern w:val="0"/>
          <w:sz w:val="21"/>
          <w:szCs w:val="21"/>
          <w:highlight w:val="none"/>
          <w:lang w:val="en-US" w:eastAsia="zh-CN" w:bidi="ar"/>
        </w:rPr>
        <w:t>进度付款申请单的编制</w:t>
      </w:r>
    </w:p>
    <w:p w14:paraId="6D03910B">
      <w:pPr>
        <w:spacing w:line="360" w:lineRule="auto"/>
        <w:ind w:firstLine="420" w:firstLineChars="200"/>
        <w:jc w:val="left"/>
        <w:rPr>
          <w:color w:val="auto"/>
          <w:highlight w:val="none"/>
          <w:u w:val="single"/>
        </w:rPr>
      </w:pPr>
      <w:r>
        <w:rPr>
          <w:rFonts w:hint="eastAsia" w:hAnsi="宋体" w:cs="宋体"/>
          <w:color w:val="auto"/>
          <w:highlight w:val="none"/>
        </w:rPr>
        <w:t>关于进度付款申请单编制的约定：</w:t>
      </w:r>
      <w:r>
        <w:rPr>
          <w:color w:val="auto"/>
          <w:highlight w:val="none"/>
          <w:u w:val="single"/>
        </w:rPr>
        <w:t xml:space="preserve">   按发包人要求版本进行编制     </w:t>
      </w:r>
      <w:r>
        <w:rPr>
          <w:rFonts w:hint="eastAsia" w:hAnsi="宋体" w:cs="宋体"/>
          <w:color w:val="auto"/>
          <w:highlight w:val="none"/>
        </w:rPr>
        <w:t>。</w:t>
      </w:r>
    </w:p>
    <w:p w14:paraId="09211141">
      <w:pPr>
        <w:spacing w:line="360" w:lineRule="auto"/>
        <w:ind w:firstLine="420" w:firstLineChars="200"/>
        <w:jc w:val="left"/>
        <w:rPr>
          <w:color w:val="auto"/>
          <w:highlight w:val="none"/>
        </w:rPr>
      </w:pPr>
      <w:r>
        <w:rPr>
          <w:color w:val="auto"/>
          <w:highlight w:val="none"/>
        </w:rPr>
        <w:t xml:space="preserve">12.4.3 </w:t>
      </w:r>
      <w:r>
        <w:rPr>
          <w:rFonts w:hint="eastAsia" w:hAnsi="宋体" w:cs="宋体"/>
          <w:color w:val="auto"/>
          <w:highlight w:val="none"/>
        </w:rPr>
        <w:t>进度付款申请单的提交</w:t>
      </w:r>
    </w:p>
    <w:p w14:paraId="1049AE3E">
      <w:pPr>
        <w:spacing w:line="360" w:lineRule="auto"/>
        <w:ind w:firstLine="420" w:firstLineChars="200"/>
        <w:jc w:val="left"/>
        <w:rPr>
          <w:b/>
          <w:bCs/>
          <w:color w:val="auto"/>
          <w:highlight w:val="none"/>
          <w:u w:val="single"/>
        </w:rPr>
      </w:pPr>
      <w:r>
        <w:rPr>
          <w:rFonts w:hint="eastAsia" w:hAnsi="宋体" w:cs="宋体"/>
          <w:color w:val="auto"/>
          <w:highlight w:val="none"/>
        </w:rPr>
        <w:t>（</w:t>
      </w:r>
      <w:r>
        <w:rPr>
          <w:color w:val="auto"/>
          <w:highlight w:val="none"/>
        </w:rPr>
        <w:t>1</w:t>
      </w:r>
      <w:r>
        <w:rPr>
          <w:rFonts w:hint="eastAsia" w:hAnsi="宋体" w:cs="宋体"/>
          <w:color w:val="auto"/>
          <w:highlight w:val="none"/>
        </w:rPr>
        <w:t>）单价合同进度付款申请单提交的约定：</w:t>
      </w:r>
    </w:p>
    <w:p w14:paraId="4ADD3C90">
      <w:pPr>
        <w:spacing w:line="360" w:lineRule="auto"/>
        <w:ind w:firstLine="420" w:firstLineChars="200"/>
        <w:jc w:val="left"/>
        <w:rPr>
          <w:rFonts w:hint="eastAsia" w:ascii="宋体" w:hAnsi="宋体" w:cs="宋体"/>
          <w:color w:val="auto"/>
          <w:szCs w:val="21"/>
          <w:highlight w:val="none"/>
          <w:lang w:val="zh-TW" w:eastAsia="zh-CN"/>
        </w:rPr>
      </w:pPr>
      <w:r>
        <w:rPr>
          <w:rFonts w:hint="eastAsia"/>
          <w:color w:val="auto"/>
          <w:highlight w:val="none"/>
          <w:u w:val="none"/>
          <w:lang w:val="en-US" w:eastAsia="zh-CN"/>
        </w:rPr>
        <w:t>1）</w:t>
      </w:r>
      <w:r>
        <w:rPr>
          <w:rFonts w:hint="eastAsia" w:ascii="宋体" w:hAnsi="宋体" w:cs="宋体"/>
          <w:color w:val="auto"/>
          <w:szCs w:val="21"/>
          <w:highlight w:val="none"/>
          <w:lang w:val="zh-TW"/>
        </w:rPr>
        <w:t>分部分项工程清单进度款</w:t>
      </w:r>
      <w:r>
        <w:rPr>
          <w:rFonts w:hint="eastAsia" w:ascii="宋体" w:hAnsi="宋体" w:cs="宋体"/>
          <w:color w:val="auto"/>
          <w:szCs w:val="21"/>
          <w:highlight w:val="none"/>
          <w:lang w:val="zh-TW" w:eastAsia="zh-CN"/>
        </w:rPr>
        <w:t>计算：</w:t>
      </w:r>
      <w:r>
        <w:rPr>
          <w:rFonts w:hint="eastAsia" w:ascii="宋体" w:hAnsi="宋体" w:cs="宋体"/>
          <w:color w:val="auto"/>
          <w:szCs w:val="21"/>
          <w:highlight w:val="none"/>
          <w:lang w:val="zh-TW"/>
        </w:rPr>
        <w:t>应按发包人提供的施工图纸、工程变更指令、合同约定</w:t>
      </w:r>
      <w:r>
        <w:rPr>
          <w:rFonts w:hint="eastAsia" w:ascii="宋体" w:hAnsi="宋体" w:cs="宋体"/>
          <w:color w:val="auto"/>
          <w:szCs w:val="21"/>
          <w:highlight w:val="none"/>
        </w:rPr>
        <w:t>的</w:t>
      </w:r>
      <w:r>
        <w:rPr>
          <w:rFonts w:hint="eastAsia" w:ascii="宋体" w:hAnsi="宋体" w:cs="宋体"/>
          <w:color w:val="auto"/>
          <w:szCs w:val="21"/>
          <w:highlight w:val="none"/>
          <w:lang w:eastAsia="zh-CN"/>
        </w:rPr>
        <w:t>计算规范</w:t>
      </w:r>
      <w:r>
        <w:rPr>
          <w:rFonts w:hint="eastAsia" w:ascii="宋体" w:hAnsi="宋体" w:cs="宋体"/>
          <w:color w:val="auto"/>
          <w:szCs w:val="21"/>
          <w:highlight w:val="none"/>
          <w:lang w:val="zh-TW"/>
        </w:rPr>
        <w:t>和</w:t>
      </w:r>
      <w:r>
        <w:rPr>
          <w:rFonts w:hint="eastAsia" w:ascii="宋体" w:hAnsi="宋体" w:cs="宋体"/>
          <w:color w:val="auto"/>
          <w:szCs w:val="21"/>
          <w:highlight w:val="none"/>
          <w:lang w:val="zh-TW" w:eastAsia="zh-CN"/>
        </w:rPr>
        <w:t>计价规范</w:t>
      </w:r>
      <w:r>
        <w:rPr>
          <w:rFonts w:hint="eastAsia" w:ascii="宋体" w:hAnsi="宋体" w:cs="宋体"/>
          <w:color w:val="auto"/>
          <w:szCs w:val="21"/>
          <w:highlight w:val="none"/>
          <w:lang w:val="zh-TW"/>
        </w:rPr>
        <w:t>规定，</w:t>
      </w:r>
      <w:r>
        <w:rPr>
          <w:rFonts w:hint="eastAsia" w:ascii="宋体" w:hAnsi="宋体" w:cs="宋体"/>
          <w:color w:val="auto"/>
          <w:szCs w:val="21"/>
          <w:highlight w:val="none"/>
          <w:lang w:val="zh-TW" w:eastAsia="zh-CN"/>
        </w:rPr>
        <w:t>计算</w:t>
      </w:r>
      <w:r>
        <w:rPr>
          <w:rFonts w:hint="default" w:ascii="宋体" w:hAnsi="宋体" w:cs="宋体"/>
          <w:color w:val="auto"/>
          <w:szCs w:val="21"/>
          <w:highlight w:val="none"/>
          <w:lang w:val="en" w:eastAsia="zh-CN"/>
        </w:rPr>
        <w:t>本</w:t>
      </w:r>
      <w:r>
        <w:rPr>
          <w:rFonts w:hint="eastAsia" w:ascii="宋体" w:hAnsi="宋体" w:cs="宋体"/>
          <w:color w:val="auto"/>
          <w:szCs w:val="21"/>
          <w:highlight w:val="none"/>
          <w:lang w:val="zh-TW" w:eastAsia="zh-CN"/>
        </w:rPr>
        <w:t>期实际</w:t>
      </w:r>
      <w:r>
        <w:rPr>
          <w:rFonts w:hint="eastAsia" w:ascii="宋体" w:hAnsi="宋体" w:cs="宋体"/>
          <w:color w:val="auto"/>
          <w:szCs w:val="21"/>
          <w:highlight w:val="none"/>
          <w:lang w:val="zh-TW"/>
        </w:rPr>
        <w:t>完成的相应清单项目工程量，乘以合同单价（合同单价发生调整的，</w:t>
      </w:r>
      <w:r>
        <w:rPr>
          <w:rFonts w:hint="eastAsia" w:ascii="宋体" w:hAnsi="宋体" w:cs="宋体"/>
          <w:color w:val="auto"/>
          <w:szCs w:val="21"/>
          <w:highlight w:val="none"/>
          <w:lang w:val="zh-TW" w:eastAsia="zh-CN"/>
        </w:rPr>
        <w:t>按调整后的</w:t>
      </w:r>
      <w:r>
        <w:rPr>
          <w:rFonts w:hint="eastAsia" w:ascii="宋体" w:hAnsi="宋体" w:cs="宋体"/>
          <w:color w:val="auto"/>
          <w:szCs w:val="21"/>
          <w:highlight w:val="none"/>
          <w:lang w:val="zh-TW"/>
        </w:rPr>
        <w:t>单价）</w:t>
      </w:r>
      <w:r>
        <w:rPr>
          <w:rFonts w:hint="eastAsia" w:ascii="宋体" w:hAnsi="宋体" w:cs="宋体"/>
          <w:color w:val="auto"/>
          <w:szCs w:val="21"/>
          <w:highlight w:val="none"/>
          <w:lang w:val="zh-TW" w:eastAsia="zh-CN"/>
        </w:rPr>
        <w:t>。</w:t>
      </w:r>
    </w:p>
    <w:p w14:paraId="64A21252">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bCs/>
          <w:color w:val="auto"/>
          <w:szCs w:val="21"/>
          <w:highlight w:val="none"/>
        </w:rPr>
        <w:t>措施项目进度款</w:t>
      </w:r>
      <w:r>
        <w:rPr>
          <w:rFonts w:hint="eastAsia" w:ascii="宋体" w:hAnsi="宋体" w:cs="宋体"/>
          <w:bCs/>
          <w:color w:val="auto"/>
          <w:szCs w:val="21"/>
          <w:highlight w:val="none"/>
          <w:lang w:eastAsia="zh-CN"/>
        </w:rPr>
        <w:t>计算：技术措施按照当期完成的技术措施项目工程量乘以承包人《技术措施项目清单综合单价分析表》中各子项技术措施项目综合单价计算，当该项技术措施项目累计进度款达到该项技术措施项目费合计金额时，不再计算该项技术措施项目进度款。综合</w:t>
      </w:r>
      <w:r>
        <w:rPr>
          <w:rFonts w:hint="eastAsia" w:ascii="宋体" w:hAnsi="宋体" w:cs="宋体"/>
          <w:bCs/>
          <w:color w:val="auto"/>
          <w:szCs w:val="21"/>
          <w:highlight w:val="none"/>
        </w:rPr>
        <w:t>措施项目</w:t>
      </w:r>
      <w:r>
        <w:rPr>
          <w:rFonts w:hint="eastAsia" w:ascii="宋体" w:hAnsi="宋体" w:cs="宋体"/>
          <w:bCs/>
          <w:color w:val="auto"/>
          <w:szCs w:val="21"/>
          <w:highlight w:val="none"/>
          <w:lang w:eastAsia="zh-CN"/>
        </w:rPr>
        <w:t>中的</w:t>
      </w:r>
      <w:r>
        <w:rPr>
          <w:rFonts w:hint="eastAsia" w:ascii="宋体" w:hAnsi="宋体" w:cs="宋体"/>
          <w:bCs/>
          <w:color w:val="auto"/>
          <w:szCs w:val="21"/>
          <w:highlight w:val="none"/>
        </w:rPr>
        <w:t>文明临设环保费</w:t>
      </w:r>
      <w:r>
        <w:rPr>
          <w:rFonts w:hint="eastAsia" w:ascii="宋体" w:hAnsi="宋体" w:cs="宋体"/>
          <w:bCs/>
          <w:color w:val="auto"/>
          <w:szCs w:val="21"/>
          <w:highlight w:val="none"/>
          <w:lang w:eastAsia="zh-CN"/>
        </w:rPr>
        <w:t>按合同附件</w:t>
      </w:r>
      <w:r>
        <w:rPr>
          <w:rFonts w:hint="eastAsia" w:ascii="宋体" w:hAnsi="宋体" w:cs="宋体"/>
          <w:bCs/>
          <w:color w:val="auto"/>
          <w:szCs w:val="21"/>
          <w:highlight w:val="none"/>
          <w:lang w:val="en-US" w:eastAsia="zh-CN"/>
        </w:rPr>
        <w:t>15《</w:t>
      </w:r>
      <w:r>
        <w:rPr>
          <w:rFonts w:hint="eastAsia" w:ascii="宋体" w:hAnsi="宋体" w:cs="宋体"/>
          <w:bCs/>
          <w:color w:val="auto"/>
          <w:szCs w:val="21"/>
          <w:highlight w:val="none"/>
          <w:lang w:eastAsia="zh-CN"/>
        </w:rPr>
        <w:t>措施项目分拆表</w:t>
      </w:r>
      <w:r>
        <w:rPr>
          <w:rFonts w:hint="eastAsia" w:ascii="宋体" w:hAnsi="宋体" w:cs="宋体"/>
          <w:bCs/>
          <w:color w:val="auto"/>
          <w:szCs w:val="21"/>
          <w:highlight w:val="none"/>
          <w:lang w:val="en-US" w:eastAsia="zh-CN"/>
        </w:rPr>
        <w:t>》</w:t>
      </w:r>
      <w:r>
        <w:rPr>
          <w:rFonts w:hint="eastAsia" w:ascii="宋体" w:hAnsi="宋体" w:cs="宋体"/>
          <w:bCs/>
          <w:color w:val="auto"/>
          <w:szCs w:val="21"/>
          <w:highlight w:val="none"/>
          <w:lang w:eastAsia="zh-CN"/>
        </w:rPr>
        <w:t>支付该部分进度款，其他综合措施项目按该项措施项目占签约合同价中分部分项及技术措施项目费比例乘以当期完成的分部分项及技术措施项目费计算，该项措施费用支付完毕后不再计取</w:t>
      </w:r>
      <w:r>
        <w:rPr>
          <w:rFonts w:hint="eastAsia" w:ascii="宋体" w:hAnsi="宋体" w:cs="宋体"/>
          <w:bCs/>
          <w:color w:val="auto"/>
          <w:szCs w:val="21"/>
          <w:highlight w:val="none"/>
        </w:rPr>
        <w:t>。</w:t>
      </w:r>
    </w:p>
    <w:p w14:paraId="6334E939">
      <w:pPr>
        <w:spacing w:after="0" w:line="360" w:lineRule="auto"/>
        <w:ind w:firstLine="420" w:firstLineChars="200"/>
        <w:jc w:val="left"/>
        <w:rPr>
          <w:rFonts w:hint="eastAsia" w:ascii="宋体" w:hAnsi="宋体" w:cs="宋体"/>
          <w:bCs w:val="0"/>
          <w:color w:val="auto"/>
          <w:szCs w:val="21"/>
          <w:highlight w:val="none"/>
        </w:rPr>
      </w:pPr>
      <w:r>
        <w:rPr>
          <w:rFonts w:hint="eastAsia" w:ascii="宋体" w:hAnsi="宋体" w:cs="宋体"/>
          <w:bCs w:val="0"/>
          <w:color w:val="auto"/>
          <w:szCs w:val="21"/>
          <w:highlight w:val="none"/>
          <w:lang w:val="en-US" w:eastAsia="zh-CN"/>
        </w:rPr>
        <w:t>3）</w:t>
      </w:r>
      <w:r>
        <w:rPr>
          <w:rFonts w:hint="eastAsia" w:ascii="宋体" w:hAnsi="宋体" w:cs="宋体"/>
          <w:bCs w:val="0"/>
          <w:color w:val="auto"/>
          <w:szCs w:val="21"/>
          <w:highlight w:val="none"/>
        </w:rPr>
        <w:t>其他项目</w:t>
      </w:r>
      <w:r>
        <w:rPr>
          <w:rFonts w:hint="eastAsia" w:ascii="宋体" w:hAnsi="宋体" w:cs="宋体"/>
          <w:bCs w:val="0"/>
          <w:color w:val="auto"/>
          <w:szCs w:val="21"/>
          <w:highlight w:val="none"/>
          <w:lang w:eastAsia="zh-CN"/>
        </w:rPr>
        <w:t>费</w:t>
      </w:r>
      <w:r>
        <w:rPr>
          <w:rFonts w:hint="eastAsia" w:ascii="宋体" w:hAnsi="宋体" w:cs="宋体"/>
          <w:bCs w:val="0"/>
          <w:color w:val="auto"/>
          <w:szCs w:val="21"/>
          <w:highlight w:val="none"/>
        </w:rPr>
        <w:t>进度款计算：总承包服务费</w:t>
      </w:r>
      <w:r>
        <w:rPr>
          <w:rFonts w:hint="eastAsia" w:ascii="宋体" w:hAnsi="宋体" w:cs="宋体"/>
          <w:bCs w:val="0"/>
          <w:color w:val="auto"/>
          <w:szCs w:val="21"/>
          <w:highlight w:val="none"/>
          <w:lang w:eastAsia="zh-CN"/>
        </w:rPr>
        <w:t>中的专业工程配合费</w:t>
      </w:r>
      <w:r>
        <w:rPr>
          <w:rFonts w:hint="eastAsia" w:ascii="宋体" w:hAnsi="宋体" w:cs="宋体"/>
          <w:bCs w:val="0"/>
          <w:color w:val="auto"/>
          <w:szCs w:val="21"/>
          <w:highlight w:val="none"/>
        </w:rPr>
        <w:t>应按当期发包人确认的专业分包工程进度款与专业分包合同价的比例乘以相应的服务费计算各分包工程</w:t>
      </w:r>
      <w:r>
        <w:rPr>
          <w:rFonts w:hint="eastAsia" w:ascii="宋体" w:hAnsi="宋体" w:cs="宋体"/>
          <w:bCs w:val="0"/>
          <w:color w:val="auto"/>
          <w:szCs w:val="21"/>
          <w:highlight w:val="none"/>
          <w:lang w:eastAsia="zh-CN"/>
        </w:rPr>
        <w:t>当期</w:t>
      </w:r>
      <w:r>
        <w:rPr>
          <w:rFonts w:hint="eastAsia" w:ascii="宋体" w:hAnsi="宋体" w:cs="宋体"/>
          <w:bCs w:val="0"/>
          <w:color w:val="auto"/>
          <w:szCs w:val="21"/>
          <w:highlight w:val="none"/>
        </w:rPr>
        <w:t>完成的总承包服务费</w:t>
      </w:r>
      <w:r>
        <w:rPr>
          <w:rFonts w:hint="eastAsia" w:ascii="宋体" w:hAnsi="宋体" w:cs="宋体"/>
          <w:bCs w:val="0"/>
          <w:color w:val="auto"/>
          <w:szCs w:val="21"/>
          <w:highlight w:val="none"/>
          <w:lang w:eastAsia="zh-CN"/>
        </w:rPr>
        <w:t>；</w:t>
      </w:r>
      <w:r>
        <w:rPr>
          <w:rFonts w:hint="eastAsia" w:ascii="宋体" w:hAnsi="宋体" w:cs="宋体"/>
          <w:bCs w:val="0"/>
          <w:color w:val="auto"/>
          <w:szCs w:val="21"/>
          <w:highlight w:val="none"/>
          <w:lang w:val="en-US" w:eastAsia="zh-CN"/>
        </w:rPr>
        <w:t>总承包服务费中的</w:t>
      </w:r>
      <w:r>
        <w:rPr>
          <w:rFonts w:hint="eastAsia" w:ascii="宋体" w:hAnsi="宋体" w:cs="宋体"/>
          <w:bCs w:val="0"/>
          <w:color w:val="auto"/>
          <w:szCs w:val="21"/>
          <w:highlight w:val="none"/>
        </w:rPr>
        <w:t>发包人提供材料</w:t>
      </w:r>
      <w:r>
        <w:rPr>
          <w:rFonts w:hint="eastAsia" w:ascii="宋体" w:hAnsi="宋体" w:cs="宋体"/>
          <w:bCs w:val="0"/>
          <w:color w:val="auto"/>
          <w:szCs w:val="21"/>
          <w:highlight w:val="none"/>
          <w:lang w:eastAsia="zh-CN"/>
        </w:rPr>
        <w:t>的保管费应在最后一期进度款一次性支付；</w:t>
      </w:r>
      <w:r>
        <w:rPr>
          <w:rFonts w:hint="eastAsia" w:ascii="宋体" w:hAnsi="宋体" w:cs="宋体"/>
          <w:bCs w:val="0"/>
          <w:color w:val="auto"/>
          <w:szCs w:val="21"/>
          <w:highlight w:val="none"/>
        </w:rPr>
        <w:t>专业工程暂估价项目应按当期发包人确认的专业工程项目完成的进度款计算</w:t>
      </w:r>
      <w:r>
        <w:rPr>
          <w:rFonts w:hint="eastAsia" w:ascii="宋体" w:hAnsi="宋体" w:cs="宋体"/>
          <w:bCs w:val="0"/>
          <w:color w:val="auto"/>
          <w:szCs w:val="21"/>
          <w:highlight w:val="none"/>
          <w:lang w:eastAsia="zh-CN"/>
        </w:rPr>
        <w:t>；</w:t>
      </w:r>
      <w:r>
        <w:rPr>
          <w:rFonts w:hint="eastAsia" w:ascii="宋体" w:hAnsi="宋体" w:cs="宋体"/>
          <w:bCs w:val="0"/>
          <w:color w:val="auto"/>
          <w:szCs w:val="21"/>
          <w:highlight w:val="none"/>
          <w:lang w:val="en-US"/>
        </w:rPr>
        <w:t>零星签证</w:t>
      </w:r>
      <w:r>
        <w:rPr>
          <w:rFonts w:hint="eastAsia" w:ascii="宋体" w:hAnsi="宋体" w:cs="宋体"/>
          <w:bCs w:val="0"/>
          <w:color w:val="auto"/>
          <w:szCs w:val="21"/>
          <w:highlight w:val="none"/>
        </w:rPr>
        <w:t>应按</w:t>
      </w:r>
      <w:r>
        <w:rPr>
          <w:rFonts w:hint="eastAsia" w:ascii="宋体" w:hAnsi="宋体" w:cs="宋体"/>
          <w:bCs w:val="0"/>
          <w:color w:val="auto"/>
          <w:szCs w:val="21"/>
          <w:highlight w:val="none"/>
          <w:lang w:eastAsia="zh-CN"/>
        </w:rPr>
        <w:t>当</w:t>
      </w:r>
      <w:r>
        <w:rPr>
          <w:rFonts w:hint="eastAsia" w:ascii="宋体" w:hAnsi="宋体" w:cs="宋体"/>
          <w:bCs w:val="0"/>
          <w:color w:val="auto"/>
          <w:szCs w:val="21"/>
          <w:highlight w:val="none"/>
        </w:rPr>
        <w:t>期完成的进度款进行计算</w:t>
      </w:r>
      <w:r>
        <w:rPr>
          <w:rFonts w:hint="eastAsia" w:ascii="宋体" w:hAnsi="宋体" w:cs="宋体"/>
          <w:bCs w:val="0"/>
          <w:color w:val="auto"/>
          <w:szCs w:val="21"/>
          <w:highlight w:val="none"/>
          <w:lang w:eastAsia="zh-CN"/>
        </w:rPr>
        <w:t>；</w:t>
      </w:r>
      <w:r>
        <w:rPr>
          <w:rFonts w:hint="eastAsia" w:ascii="宋体" w:hAnsi="宋体" w:cs="宋体"/>
          <w:color w:val="auto"/>
          <w:szCs w:val="21"/>
          <w:highlight w:val="none"/>
          <w:lang w:eastAsia="zh-CN"/>
        </w:rPr>
        <w:t>安全生产费按照</w:t>
      </w:r>
      <w:r>
        <w:rPr>
          <w:rFonts w:hint="default" w:ascii="宋体" w:hAnsi="宋体" w:cs="宋体"/>
          <w:color w:val="auto"/>
          <w:szCs w:val="21"/>
          <w:highlight w:val="none"/>
          <w:lang w:val="en" w:eastAsia="zh-CN"/>
        </w:rPr>
        <w:t>本合同6.1.6规定计算。</w:t>
      </w:r>
    </w:p>
    <w:p w14:paraId="4BCFDFE9">
      <w:pPr>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2</w:t>
      </w:r>
      <w:r>
        <w:rPr>
          <w:rFonts w:hint="eastAsia" w:hAnsi="宋体" w:cs="宋体"/>
          <w:color w:val="auto"/>
          <w:highlight w:val="none"/>
        </w:rPr>
        <w:t>）总价合同进度付款申请单提交的约定</w:t>
      </w:r>
      <w:r>
        <w:rPr>
          <w:rFonts w:hint="eastAsia" w:hAnsi="宋体" w:cs="宋体"/>
          <w:color w:val="auto"/>
          <w:highlight w:val="none"/>
          <w:lang w:eastAsia="zh-CN"/>
        </w:rPr>
        <w:t>：</w:t>
      </w:r>
      <w:r>
        <w:rPr>
          <w:rFonts w:hint="eastAsia" w:ascii="宋体" w:hAnsi="宋体" w:cs="宋体"/>
          <w:strike w:val="0"/>
          <w:color w:val="auto"/>
          <w:kern w:val="2"/>
          <w:sz w:val="21"/>
          <w:szCs w:val="21"/>
          <w:highlight w:val="none"/>
          <w:lang w:val="en-US" w:eastAsia="zh-CN" w:bidi="ar"/>
        </w:rPr>
        <w:t>承包人</w:t>
      </w:r>
      <w:r>
        <w:rPr>
          <w:rFonts w:hint="eastAsia" w:hAnsi="宋体" w:cs="宋体"/>
          <w:color w:val="auto"/>
          <w:highlight w:val="none"/>
          <w:lang w:eastAsia="zh-CN"/>
        </w:rPr>
        <w:t>按照</w:t>
      </w:r>
      <w:r>
        <w:rPr>
          <w:rFonts w:hint="eastAsia" w:ascii="宋体" w:hAnsi="宋体" w:cs="宋体"/>
          <w:color w:val="auto"/>
          <w:szCs w:val="21"/>
          <w:highlight w:val="none"/>
          <w:lang w:eastAsia="zh-CN"/>
        </w:rPr>
        <w:t>本合同附件</w:t>
      </w:r>
      <w:r>
        <w:rPr>
          <w:rFonts w:hint="eastAsia" w:ascii="宋体" w:hAnsi="宋体" w:cs="宋体"/>
          <w:color w:val="auto"/>
          <w:szCs w:val="21"/>
          <w:highlight w:val="none"/>
          <w:lang w:val="en-US" w:eastAsia="zh-CN"/>
        </w:rPr>
        <w:t>14《进度款</w:t>
      </w:r>
      <w:r>
        <w:rPr>
          <w:rFonts w:hint="eastAsia" w:hAnsi="宋体" w:cs="宋体"/>
          <w:color w:val="auto"/>
          <w:highlight w:val="none"/>
          <w:lang w:eastAsia="zh-CN"/>
        </w:rPr>
        <w:t>支付分解表》要求的工程形象进度目标任务完成后，</w:t>
      </w:r>
      <w:r>
        <w:rPr>
          <w:rFonts w:hint="eastAsia" w:hAnsi="宋体" w:cs="宋体"/>
          <w:color w:val="auto"/>
          <w:highlight w:val="none"/>
        </w:rPr>
        <w:t>向发包人书面报送</w:t>
      </w:r>
      <w:r>
        <w:rPr>
          <w:rFonts w:hint="eastAsia" w:hAnsi="宋体" w:cs="宋体"/>
          <w:color w:val="auto"/>
          <w:highlight w:val="none"/>
          <w:lang w:eastAsia="zh-CN"/>
        </w:rPr>
        <w:t>《</w:t>
      </w:r>
      <w:r>
        <w:rPr>
          <w:rFonts w:hint="eastAsia" w:hAnsi="宋体" w:cs="宋体"/>
          <w:color w:val="auto"/>
          <w:highlight w:val="none"/>
        </w:rPr>
        <w:t>进度款支付申请（核准）表</w:t>
      </w:r>
      <w:r>
        <w:rPr>
          <w:rFonts w:hint="eastAsia" w:hAnsi="宋体" w:cs="宋体"/>
          <w:color w:val="auto"/>
          <w:highlight w:val="none"/>
          <w:lang w:eastAsia="zh-CN"/>
        </w:rPr>
        <w:t>》</w:t>
      </w:r>
      <w:r>
        <w:rPr>
          <w:rFonts w:hint="eastAsia" w:hAnsi="宋体" w:cs="宋体"/>
          <w:color w:val="auto"/>
          <w:highlight w:val="none"/>
        </w:rPr>
        <w:t>和有关资料</w:t>
      </w:r>
      <w:r>
        <w:rPr>
          <w:rFonts w:hint="eastAsia" w:ascii="宋体" w:hAnsi="宋体" w:cs="宋体"/>
          <w:color w:val="auto"/>
          <w:szCs w:val="21"/>
          <w:highlight w:val="none"/>
          <w:lang w:eastAsia="zh-CN"/>
        </w:rPr>
        <w:t>。固定部分按照支付分解表金额，暂定工程量、暂估价按照实际完成的工程量计算，安全生产费按照</w:t>
      </w:r>
      <w:r>
        <w:rPr>
          <w:rFonts w:hint="default" w:ascii="宋体" w:hAnsi="宋体" w:cs="宋体"/>
          <w:color w:val="auto"/>
          <w:szCs w:val="21"/>
          <w:highlight w:val="none"/>
          <w:lang w:val="en" w:eastAsia="zh-CN"/>
        </w:rPr>
        <w:t>本合同6.1.6规定计算。</w:t>
      </w:r>
    </w:p>
    <w:p w14:paraId="6B966DF0">
      <w:pPr>
        <w:spacing w:line="360" w:lineRule="auto"/>
        <w:ind w:firstLine="420" w:firstLineChars="200"/>
        <w:jc w:val="left"/>
        <w:rPr>
          <w:color w:val="auto"/>
          <w:highlight w:val="none"/>
          <w:u w:val="single"/>
        </w:rPr>
      </w:pPr>
      <w:r>
        <w:rPr>
          <w:rFonts w:hint="eastAsia" w:hAnsi="宋体" w:cs="宋体"/>
          <w:color w:val="auto"/>
          <w:highlight w:val="none"/>
        </w:rPr>
        <w:t>（</w:t>
      </w:r>
      <w:r>
        <w:rPr>
          <w:color w:val="auto"/>
          <w:highlight w:val="none"/>
        </w:rPr>
        <w:t>3</w:t>
      </w:r>
      <w:r>
        <w:rPr>
          <w:rFonts w:hint="eastAsia" w:hAnsi="宋体" w:cs="宋体"/>
          <w:color w:val="auto"/>
          <w:highlight w:val="none"/>
        </w:rPr>
        <w:t>）</w:t>
      </w:r>
      <w:r>
        <w:rPr>
          <w:rFonts w:hint="eastAsia" w:ascii="宋体" w:hAnsi="宋体" w:cs="宋体"/>
          <w:b w:val="0"/>
          <w:bCs w:val="0"/>
          <w:color w:val="auto"/>
          <w:szCs w:val="21"/>
          <w:highlight w:val="none"/>
        </w:rPr>
        <w:t>发承包双方确认的按本规范规定计算的合同价款调整金额应列入</w:t>
      </w:r>
      <w:r>
        <w:rPr>
          <w:rFonts w:hint="eastAsia" w:ascii="宋体" w:hAnsi="宋体" w:cs="宋体"/>
          <w:b w:val="0"/>
          <w:bCs w:val="0"/>
          <w:color w:val="auto"/>
          <w:szCs w:val="21"/>
          <w:highlight w:val="none"/>
          <w:lang w:eastAsia="zh-CN"/>
        </w:rPr>
        <w:t>当</w:t>
      </w:r>
      <w:r>
        <w:rPr>
          <w:rFonts w:hint="eastAsia" w:ascii="宋体" w:hAnsi="宋体" w:cs="宋体"/>
          <w:b w:val="0"/>
          <w:bCs w:val="0"/>
          <w:color w:val="auto"/>
          <w:szCs w:val="21"/>
          <w:highlight w:val="none"/>
        </w:rPr>
        <w:t>期完成的进度款中。</w:t>
      </w:r>
    </w:p>
    <w:p w14:paraId="1918E38A">
      <w:pPr>
        <w:spacing w:line="360" w:lineRule="auto"/>
        <w:ind w:firstLine="420" w:firstLineChars="200"/>
        <w:jc w:val="left"/>
        <w:rPr>
          <w:color w:val="auto"/>
          <w:highlight w:val="none"/>
        </w:rPr>
      </w:pPr>
      <w:r>
        <w:rPr>
          <w:color w:val="auto"/>
          <w:highlight w:val="none"/>
        </w:rPr>
        <w:t xml:space="preserve">12.4.4 </w:t>
      </w:r>
      <w:r>
        <w:rPr>
          <w:rFonts w:hint="eastAsia" w:hAnsi="宋体" w:cs="宋体"/>
          <w:color w:val="auto"/>
          <w:highlight w:val="none"/>
        </w:rPr>
        <w:t>进度款审核和支付</w:t>
      </w:r>
    </w:p>
    <w:p w14:paraId="0EEDB37F">
      <w:pPr>
        <w:spacing w:line="360" w:lineRule="auto"/>
        <w:ind w:firstLine="420" w:firstLineChars="200"/>
        <w:jc w:val="left"/>
        <w:rPr>
          <w:color w:val="auto"/>
          <w:highlight w:val="none"/>
          <w:u w:val="single"/>
        </w:rPr>
      </w:pPr>
      <w:r>
        <w:rPr>
          <w:rFonts w:hint="eastAsia" w:hAnsi="宋体" w:cs="宋体"/>
          <w:color w:val="auto"/>
          <w:highlight w:val="none"/>
        </w:rPr>
        <w:t>（</w:t>
      </w:r>
      <w:r>
        <w:rPr>
          <w:color w:val="auto"/>
          <w:highlight w:val="none"/>
        </w:rPr>
        <w:t>1</w:t>
      </w:r>
      <w:r>
        <w:rPr>
          <w:rFonts w:hint="eastAsia" w:hAnsi="宋体" w:cs="宋体"/>
          <w:color w:val="auto"/>
          <w:highlight w:val="none"/>
        </w:rPr>
        <w:t>）监理人审查并报送发包人的期限：</w:t>
      </w:r>
      <w:r>
        <w:rPr>
          <w:color w:val="auto"/>
          <w:highlight w:val="none"/>
          <w:u w:val="single"/>
        </w:rPr>
        <w:t xml:space="preserve">                  </w:t>
      </w:r>
      <w:r>
        <w:rPr>
          <w:rFonts w:hint="eastAsia" w:hAnsi="宋体" w:cs="宋体"/>
          <w:color w:val="auto"/>
          <w:highlight w:val="none"/>
        </w:rPr>
        <w:t>。</w:t>
      </w:r>
    </w:p>
    <w:p w14:paraId="66AD1D7F">
      <w:pPr>
        <w:spacing w:line="360" w:lineRule="auto"/>
        <w:ind w:firstLine="420" w:firstLineChars="200"/>
        <w:jc w:val="left"/>
        <w:rPr>
          <w:color w:val="auto"/>
          <w:highlight w:val="none"/>
          <w:u w:val="single"/>
        </w:rPr>
      </w:pPr>
      <w:r>
        <w:rPr>
          <w:rFonts w:hint="eastAsia" w:hAnsi="宋体" w:cs="宋体"/>
          <w:color w:val="auto"/>
          <w:highlight w:val="none"/>
        </w:rPr>
        <w:t>发包人完成审批并签发进度款支付证书的期限：</w:t>
      </w:r>
      <w:r>
        <w:rPr>
          <w:color w:val="auto"/>
          <w:highlight w:val="none"/>
          <w:u w:val="single"/>
        </w:rPr>
        <w:t xml:space="preserve">                                  </w:t>
      </w:r>
      <w:r>
        <w:rPr>
          <w:rFonts w:hint="eastAsia" w:hAnsi="宋体" w:cs="宋体"/>
          <w:color w:val="auto"/>
          <w:highlight w:val="none"/>
        </w:rPr>
        <w:t>。</w:t>
      </w:r>
    </w:p>
    <w:p w14:paraId="2A96A3D7">
      <w:pPr>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2</w:t>
      </w:r>
      <w:r>
        <w:rPr>
          <w:rFonts w:hint="eastAsia" w:hAnsi="宋体" w:cs="宋体"/>
          <w:color w:val="auto"/>
          <w:highlight w:val="none"/>
        </w:rPr>
        <w:t>）发包人支付进度款的期限：</w:t>
      </w:r>
      <w:r>
        <w:rPr>
          <w:color w:val="auto"/>
          <w:highlight w:val="none"/>
          <w:u w:val="single"/>
        </w:rPr>
        <w:t xml:space="preserve">                        </w:t>
      </w:r>
      <w:r>
        <w:rPr>
          <w:rFonts w:hint="eastAsia" w:hAnsi="宋体" w:cs="宋体"/>
          <w:color w:val="auto"/>
          <w:highlight w:val="none"/>
        </w:rPr>
        <w:t>。</w:t>
      </w:r>
    </w:p>
    <w:p w14:paraId="4F2E22CD">
      <w:pPr>
        <w:spacing w:line="360" w:lineRule="auto"/>
        <w:ind w:firstLine="525" w:firstLineChars="250"/>
        <w:jc w:val="left"/>
        <w:rPr>
          <w:color w:val="auto"/>
          <w:highlight w:val="none"/>
        </w:rPr>
      </w:pPr>
      <w:r>
        <w:rPr>
          <w:rFonts w:hint="eastAsia" w:hAnsi="宋体" w:cs="宋体"/>
          <w:color w:val="auto"/>
          <w:highlight w:val="none"/>
        </w:rPr>
        <w:t>发包人逾期支付进度款的违约金的计算方式：</w:t>
      </w:r>
      <w:r>
        <w:rPr>
          <w:color w:val="auto"/>
          <w:highlight w:val="none"/>
          <w:u w:val="single"/>
        </w:rPr>
        <w:t xml:space="preserve">                                   </w:t>
      </w:r>
      <w:r>
        <w:rPr>
          <w:rFonts w:hint="eastAsia" w:hAnsi="宋体" w:cs="宋体"/>
          <w:color w:val="auto"/>
          <w:highlight w:val="none"/>
        </w:rPr>
        <w:t>。</w:t>
      </w:r>
    </w:p>
    <w:p w14:paraId="771538FA">
      <w:pPr>
        <w:spacing w:line="360" w:lineRule="auto"/>
        <w:ind w:firstLine="630" w:firstLineChars="300"/>
        <w:rPr>
          <w:rFonts w:hAnsi="宋体" w:cs="宋体"/>
          <w:color w:val="auto"/>
          <w:highlight w:val="none"/>
        </w:rPr>
      </w:pPr>
      <w:r>
        <w:rPr>
          <w:rFonts w:hint="eastAsia" w:hAnsi="宋体" w:cs="宋体"/>
          <w:color w:val="auto"/>
          <w:highlight w:val="none"/>
        </w:rPr>
        <w:t>进度款支付方式：</w:t>
      </w:r>
      <w:r>
        <w:rPr>
          <w:rFonts w:hint="eastAsia" w:hAnsi="宋体" w:cs="宋体"/>
          <w:color w:val="auto"/>
          <w:highlight w:val="none"/>
          <w:u w:val="single"/>
        </w:rPr>
        <w:t>银行转账</w:t>
      </w:r>
      <w:r>
        <w:rPr>
          <w:rFonts w:hint="eastAsia" w:hAnsi="宋体" w:cs="宋体"/>
          <w:color w:val="auto"/>
          <w:highlight w:val="none"/>
        </w:rPr>
        <w:t>。</w:t>
      </w:r>
      <w:r>
        <w:rPr>
          <w:rFonts w:hint="eastAsia"/>
          <w:color w:val="auto"/>
          <w:highlight w:val="none"/>
        </w:rPr>
        <w:t>进度款支付申请（核准）表见合同附件11。</w:t>
      </w:r>
    </w:p>
    <w:p w14:paraId="7EE5CCC6">
      <w:pPr>
        <w:spacing w:line="360" w:lineRule="auto"/>
        <w:ind w:firstLine="525" w:firstLineChars="250"/>
        <w:jc w:val="left"/>
        <w:rPr>
          <w:rFonts w:hint="eastAsia" w:hAnsi="宋体" w:cs="宋体"/>
          <w:color w:val="auto"/>
          <w:kern w:val="0"/>
          <w:highlight w:val="none"/>
        </w:rPr>
      </w:pPr>
      <w:r>
        <w:rPr>
          <w:rFonts w:hint="eastAsia" w:hAnsi="宋体"/>
          <w:color w:val="auto"/>
          <w:highlight w:val="none"/>
        </w:rPr>
        <w:t xml:space="preserve">（3） </w:t>
      </w:r>
      <w:r>
        <w:rPr>
          <w:rFonts w:hint="eastAsia" w:hAnsi="宋体"/>
          <w:color w:val="auto"/>
          <w:highlight w:val="none"/>
          <w:lang w:eastAsia="zh-CN"/>
        </w:rPr>
        <w:t>人工费</w:t>
      </w:r>
      <w:r>
        <w:rPr>
          <w:rFonts w:hint="eastAsia" w:hAnsi="宋体"/>
          <w:color w:val="auto"/>
          <w:highlight w:val="none"/>
        </w:rPr>
        <w:t>支付</w:t>
      </w:r>
    </w:p>
    <w:p w14:paraId="265A8740">
      <w:pPr>
        <w:spacing w:line="360" w:lineRule="auto"/>
        <w:ind w:firstLine="525" w:firstLineChars="250"/>
        <w:jc w:val="left"/>
        <w:rPr>
          <w:rFonts w:hint="eastAsia" w:hAnsi="宋体" w:cs="宋体"/>
          <w:color w:val="auto"/>
          <w:kern w:val="0"/>
          <w:highlight w:val="none"/>
        </w:rPr>
      </w:pPr>
      <w:r>
        <w:rPr>
          <w:rFonts w:hint="eastAsia" w:hAnsi="宋体" w:cs="宋体"/>
          <w:color w:val="auto"/>
          <w:kern w:val="0"/>
          <w:highlight w:val="none"/>
          <w:lang w:val="en-US" w:eastAsia="zh-CN"/>
        </w:rPr>
        <w:t>1</w:t>
      </w:r>
      <w:r>
        <w:rPr>
          <w:rFonts w:hint="eastAsia" w:hAnsi="宋体" w:cs="宋体"/>
          <w:color w:val="auto"/>
          <w:kern w:val="0"/>
          <w:highlight w:val="none"/>
        </w:rPr>
        <w:t>）人工费专款专用</w:t>
      </w:r>
      <w:r>
        <w:rPr>
          <w:rFonts w:hint="eastAsia" w:hAnsi="宋体" w:cs="宋体"/>
          <w:color w:val="auto"/>
          <w:kern w:val="0"/>
          <w:highlight w:val="none"/>
          <w:lang w:eastAsia="zh-CN"/>
        </w:rPr>
        <w:t>，</w:t>
      </w:r>
      <w:r>
        <w:rPr>
          <w:rFonts w:hint="eastAsia" w:hAnsi="宋体" w:cs="宋体"/>
          <w:color w:val="auto"/>
          <w:kern w:val="0"/>
          <w:highlight w:val="none"/>
        </w:rPr>
        <w:t>用于支付农民工工资</w:t>
      </w:r>
      <w:r>
        <w:rPr>
          <w:rFonts w:hint="eastAsia" w:hAnsi="宋体" w:cs="宋体"/>
          <w:color w:val="auto"/>
          <w:kern w:val="0"/>
          <w:highlight w:val="none"/>
          <w:lang w:eastAsia="zh-CN"/>
        </w:rPr>
        <w:t>，应</w:t>
      </w:r>
      <w:r>
        <w:rPr>
          <w:rFonts w:hint="eastAsia" w:hAnsi="宋体" w:cs="宋体"/>
          <w:color w:val="auto"/>
          <w:kern w:val="0"/>
          <w:highlight w:val="none"/>
        </w:rPr>
        <w:t>与工程进度款分</w:t>
      </w:r>
      <w:r>
        <w:rPr>
          <w:rFonts w:hint="eastAsia" w:hAnsi="宋体" w:cs="宋体"/>
          <w:color w:val="auto"/>
          <w:kern w:val="0"/>
          <w:highlight w:val="none"/>
          <w:lang w:eastAsia="zh-CN"/>
        </w:rPr>
        <w:t>账</w:t>
      </w:r>
      <w:r>
        <w:rPr>
          <w:rFonts w:hint="eastAsia" w:hAnsi="宋体" w:cs="宋体"/>
          <w:color w:val="auto"/>
          <w:kern w:val="0"/>
          <w:highlight w:val="none"/>
        </w:rPr>
        <w:t>管理。若因发包人未按照合同约定划拨工程款项导致拖欠工资的，由发包人以未结清的工程款项为限先行垫付所拖欠的工资；承包人向发包人申请工程进度款时必须把农民工工资部分单独列明，如果未单独列明，监理单位不得签支付证书等支付工程款的手续，发包人单位不得审批和支付工程款。发包人每月</w:t>
      </w:r>
      <w:r>
        <w:rPr>
          <w:rFonts w:hint="eastAsia" w:hAnsi="宋体" w:cs="宋体"/>
          <w:color w:val="auto"/>
          <w:kern w:val="0"/>
          <w:highlight w:val="none"/>
          <w:u w:val="single"/>
        </w:rPr>
        <w:t xml:space="preserve">   </w:t>
      </w:r>
      <w:r>
        <w:rPr>
          <w:rFonts w:hint="eastAsia" w:hAnsi="宋体" w:cs="宋体"/>
          <w:color w:val="auto"/>
          <w:kern w:val="0"/>
          <w:highlight w:val="none"/>
        </w:rPr>
        <w:t>日前将当月应付人工费转入承包人为本项目开立的农民工工资专用账户。</w:t>
      </w:r>
    </w:p>
    <w:p w14:paraId="085E3732">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lang w:val="en-US" w:eastAsia="zh-CN"/>
        </w:rPr>
        <w:t>2</w:t>
      </w:r>
      <w:r>
        <w:rPr>
          <w:rFonts w:hint="eastAsia" w:hAnsi="宋体" w:cs="宋体"/>
          <w:color w:val="auto"/>
          <w:kern w:val="0"/>
          <w:highlight w:val="none"/>
        </w:rPr>
        <w:t>）农民工工资专用账户：</w:t>
      </w:r>
      <w:r>
        <w:rPr>
          <w:rFonts w:hint="eastAsia" w:hAnsi="宋体" w:cs="宋体"/>
          <w:color w:val="auto"/>
          <w:kern w:val="0"/>
          <w:highlight w:val="none"/>
          <w:u w:val="single"/>
        </w:rPr>
        <w:t xml:space="preserve">  </w:t>
      </w:r>
      <w:r>
        <w:rPr>
          <w:rFonts w:hint="eastAsia" w:hAnsi="宋体" w:cs="宋体"/>
          <w:color w:val="auto"/>
          <w:kern w:val="0"/>
          <w:highlight w:val="none"/>
          <w:u w:val="single"/>
          <w:lang w:val="en-US" w:eastAsia="zh-CN"/>
        </w:rPr>
        <w:t xml:space="preserve">    </w:t>
      </w:r>
      <w:r>
        <w:rPr>
          <w:rFonts w:hint="eastAsia" w:hAnsi="宋体" w:cs="宋体"/>
          <w:color w:val="auto"/>
          <w:kern w:val="0"/>
          <w:highlight w:val="none"/>
          <w:u w:val="single"/>
        </w:rPr>
        <w:t xml:space="preserve"> </w:t>
      </w:r>
      <w:r>
        <w:rPr>
          <w:rFonts w:hint="eastAsia" w:hAnsi="宋体" w:cs="宋体"/>
          <w:color w:val="auto"/>
          <w:kern w:val="0"/>
          <w:highlight w:val="none"/>
        </w:rPr>
        <w:t>公司</w:t>
      </w:r>
      <w:r>
        <w:rPr>
          <w:rFonts w:hint="eastAsia" w:hAnsi="宋体" w:cs="宋体"/>
          <w:color w:val="auto"/>
          <w:kern w:val="0"/>
          <w:highlight w:val="none"/>
          <w:u w:val="single"/>
        </w:rPr>
        <w:t xml:space="preserve">  </w:t>
      </w:r>
      <w:r>
        <w:rPr>
          <w:rFonts w:hint="eastAsia" w:hAnsi="宋体" w:cs="宋体"/>
          <w:color w:val="auto"/>
          <w:kern w:val="0"/>
          <w:highlight w:val="none"/>
          <w:u w:val="single"/>
          <w:lang w:val="en-US" w:eastAsia="zh-CN"/>
        </w:rPr>
        <w:t xml:space="preserve">    </w:t>
      </w:r>
      <w:r>
        <w:rPr>
          <w:rFonts w:hint="eastAsia" w:hAnsi="宋体" w:cs="宋体"/>
          <w:color w:val="auto"/>
          <w:kern w:val="0"/>
          <w:highlight w:val="none"/>
          <w:u w:val="single"/>
        </w:rPr>
        <w:t xml:space="preserve"> </w:t>
      </w:r>
      <w:r>
        <w:rPr>
          <w:rFonts w:hint="eastAsia" w:hAnsi="宋体" w:cs="宋体"/>
          <w:color w:val="auto"/>
          <w:kern w:val="0"/>
          <w:highlight w:val="none"/>
        </w:rPr>
        <w:t>项目农民工工资专用账户。账号：</w:t>
      </w:r>
      <w:r>
        <w:rPr>
          <w:rFonts w:hint="eastAsia" w:hAnsi="宋体" w:cs="宋体"/>
          <w:color w:val="auto"/>
          <w:kern w:val="0"/>
          <w:highlight w:val="none"/>
          <w:u w:val="single"/>
        </w:rPr>
        <w:t xml:space="preserve"> </w:t>
      </w:r>
      <w:r>
        <w:rPr>
          <w:rFonts w:hint="eastAsia" w:hAnsi="宋体" w:cs="宋体"/>
          <w:color w:val="auto"/>
          <w:kern w:val="0"/>
          <w:highlight w:val="none"/>
          <w:u w:val="single"/>
          <w:lang w:val="en-US" w:eastAsia="zh-CN"/>
        </w:rPr>
        <w:t xml:space="preserve">      </w:t>
      </w:r>
      <w:r>
        <w:rPr>
          <w:rFonts w:hint="eastAsia" w:hAnsi="宋体" w:cs="宋体"/>
          <w:color w:val="auto"/>
          <w:kern w:val="0"/>
          <w:highlight w:val="none"/>
          <w:u w:val="single"/>
        </w:rPr>
        <w:t xml:space="preserve">  </w:t>
      </w:r>
      <w:r>
        <w:rPr>
          <w:rFonts w:hint="eastAsia" w:hAnsi="宋体" w:cs="宋体"/>
          <w:color w:val="auto"/>
          <w:kern w:val="0"/>
          <w:highlight w:val="none"/>
        </w:rPr>
        <w:t>。</w:t>
      </w:r>
    </w:p>
    <w:p w14:paraId="53FDF7F2">
      <w:pPr>
        <w:spacing w:line="360" w:lineRule="auto"/>
        <w:ind w:firstLine="525" w:firstLineChars="250"/>
        <w:jc w:val="left"/>
        <w:rPr>
          <w:rFonts w:hAnsi="宋体"/>
          <w:color w:val="auto"/>
          <w:highlight w:val="none"/>
        </w:rPr>
      </w:pPr>
      <w:r>
        <w:rPr>
          <w:color w:val="auto"/>
          <w:highlight w:val="none"/>
        </w:rPr>
        <w:t xml:space="preserve">12.4.6 </w:t>
      </w:r>
      <w:r>
        <w:rPr>
          <w:rFonts w:hint="eastAsia" w:hAnsi="宋体" w:cs="宋体"/>
          <w:color w:val="auto"/>
          <w:highlight w:val="none"/>
        </w:rPr>
        <w:t>支付分解表的编制</w:t>
      </w:r>
    </w:p>
    <w:p w14:paraId="53476A7A">
      <w:pPr>
        <w:spacing w:line="360" w:lineRule="auto"/>
        <w:ind w:firstLine="420" w:firstLineChars="200"/>
        <w:jc w:val="left"/>
        <w:rPr>
          <w:color w:val="auto"/>
          <w:highlight w:val="none"/>
          <w:u w:val="single"/>
        </w:rPr>
      </w:pPr>
      <w:r>
        <w:rPr>
          <w:rFonts w:hint="eastAsia"/>
          <w:color w:val="auto"/>
          <w:highlight w:val="none"/>
        </w:rPr>
        <w:t>（</w:t>
      </w:r>
      <w:r>
        <w:rPr>
          <w:color w:val="auto"/>
          <w:highlight w:val="none"/>
        </w:rPr>
        <w:t>1</w:t>
      </w:r>
      <w:r>
        <w:rPr>
          <w:rFonts w:hint="eastAsia"/>
          <w:color w:val="auto"/>
          <w:highlight w:val="none"/>
        </w:rPr>
        <w:t>）</w:t>
      </w:r>
      <w:r>
        <w:rPr>
          <w:rFonts w:hint="eastAsia" w:hAnsi="宋体" w:cs="宋体"/>
          <w:color w:val="auto"/>
          <w:highlight w:val="none"/>
        </w:rPr>
        <w:t>总价合同支付分解表的编制与审批：</w:t>
      </w:r>
      <w:r>
        <w:rPr>
          <w:rFonts w:hint="eastAsia"/>
          <w:color w:val="auto"/>
          <w:highlight w:val="none"/>
          <w:u w:val="none"/>
        </w:rPr>
        <w:t>总价合同支付</w:t>
      </w:r>
      <w:r>
        <w:rPr>
          <w:rFonts w:hint="eastAsia"/>
          <w:color w:val="auto"/>
          <w:highlight w:val="none"/>
          <w:u w:val="none"/>
          <w:lang w:eastAsia="zh-CN"/>
        </w:rPr>
        <w:t>分</w:t>
      </w:r>
      <w:r>
        <w:rPr>
          <w:rFonts w:hint="eastAsia"/>
          <w:color w:val="auto"/>
          <w:highlight w:val="none"/>
          <w:u w:val="none"/>
        </w:rPr>
        <w:t>解表在招标完成后由发包人和承包人共同编制</w:t>
      </w:r>
      <w:r>
        <w:rPr>
          <w:rFonts w:hint="eastAsia"/>
          <w:color w:val="auto"/>
          <w:highlight w:val="none"/>
          <w:u w:val="none"/>
          <w:lang w:eastAsia="zh-CN"/>
        </w:rPr>
        <w:t>，由</w:t>
      </w:r>
      <w:r>
        <w:rPr>
          <w:rFonts w:hint="eastAsia"/>
          <w:color w:val="auto"/>
          <w:highlight w:val="none"/>
          <w:u w:val="none"/>
        </w:rPr>
        <w:t>发包人审批，并作为本合同内容，具体详见合同附件14。</w:t>
      </w:r>
    </w:p>
    <w:p w14:paraId="37001088">
      <w:pPr>
        <w:spacing w:line="360" w:lineRule="auto"/>
        <w:ind w:firstLine="420" w:firstLineChars="200"/>
        <w:jc w:val="left"/>
        <w:rPr>
          <w:rFonts w:hint="eastAsia" w:hAnsi="宋体" w:cs="宋体"/>
          <w:color w:val="auto"/>
          <w:highlight w:val="none"/>
        </w:rPr>
      </w:pPr>
      <w:r>
        <w:rPr>
          <w:rFonts w:hint="eastAsia"/>
          <w:color w:val="auto"/>
          <w:highlight w:val="none"/>
        </w:rPr>
        <w:t>（2）</w:t>
      </w:r>
      <w:r>
        <w:rPr>
          <w:rFonts w:hint="eastAsia" w:hAnsi="宋体" w:cs="宋体"/>
          <w:color w:val="auto"/>
          <w:highlight w:val="none"/>
        </w:rPr>
        <w:t>单价合同的总价项目支付分解表的编制与审批：</w:t>
      </w:r>
      <w:r>
        <w:rPr>
          <w:rFonts w:hint="eastAsia" w:hAnsi="宋体" w:cs="宋体"/>
          <w:color w:val="auto"/>
          <w:highlight w:val="none"/>
          <w:lang w:eastAsia="zh-CN"/>
        </w:rPr>
        <w:t>单价合同的</w:t>
      </w:r>
      <w:r>
        <w:rPr>
          <w:rFonts w:hint="eastAsia" w:hAnsi="宋体" w:cs="宋体"/>
          <w:color w:val="auto"/>
          <w:highlight w:val="none"/>
        </w:rPr>
        <w:t>总价项目不采用支付分解表的方式计算</w:t>
      </w:r>
      <w:r>
        <w:rPr>
          <w:rFonts w:hint="eastAsia" w:hAnsi="宋体" w:cs="宋体"/>
          <w:color w:val="auto"/>
          <w:highlight w:val="none"/>
          <w:lang w:eastAsia="zh-CN"/>
        </w:rPr>
        <w:t>的，具体按</w:t>
      </w:r>
      <w:r>
        <w:rPr>
          <w:rFonts w:hint="eastAsia" w:hAnsi="宋体" w:cs="宋体"/>
          <w:color w:val="auto"/>
          <w:highlight w:val="none"/>
          <w:lang w:val="en-US" w:eastAsia="zh-CN"/>
        </w:rPr>
        <w:t>12.4.3约定计算</w:t>
      </w:r>
      <w:r>
        <w:rPr>
          <w:rFonts w:hint="eastAsia" w:hAnsi="宋体" w:cs="宋体"/>
          <w:color w:val="auto"/>
          <w:highlight w:val="none"/>
        </w:rPr>
        <w:t>。</w:t>
      </w:r>
    </w:p>
    <w:p w14:paraId="11FE5F16">
      <w:pPr>
        <w:spacing w:line="360" w:lineRule="auto"/>
        <w:ind w:firstLine="420" w:firstLineChars="200"/>
        <w:jc w:val="left"/>
        <w:rPr>
          <w:rFonts w:hint="eastAsia" w:hAnsi="宋体" w:cs="宋体"/>
          <w:color w:val="auto"/>
          <w:highlight w:val="none"/>
        </w:rPr>
      </w:pPr>
      <w:r>
        <w:rPr>
          <w:rFonts w:hint="eastAsia" w:hAnsi="宋体" w:cs="宋体"/>
          <w:color w:val="auto"/>
          <w:highlight w:val="none"/>
          <w:lang w:val="en-US" w:eastAsia="zh-CN"/>
        </w:rPr>
        <w:t>12.4.7</w:t>
      </w:r>
      <w:r>
        <w:rPr>
          <w:rFonts w:hint="eastAsia" w:hAnsi="宋体" w:cs="宋体"/>
          <w:color w:val="auto"/>
          <w:highlight w:val="none"/>
        </w:rPr>
        <w:t>发承包双方签署确认的进度款工程计量成果不作为工程结算依据。</w:t>
      </w:r>
    </w:p>
    <w:p w14:paraId="6DFA5E15">
      <w:pPr>
        <w:spacing w:line="360" w:lineRule="auto"/>
        <w:ind w:firstLine="525" w:firstLineChars="250"/>
        <w:jc w:val="left"/>
        <w:rPr>
          <w:rFonts w:hint="eastAsia" w:hAnsi="宋体" w:cs="宋体"/>
          <w:color w:val="auto"/>
          <w:highlight w:val="none"/>
        </w:rPr>
      </w:pPr>
    </w:p>
    <w:p w14:paraId="22B469C3">
      <w:pPr>
        <w:pStyle w:val="5"/>
        <w:jc w:val="both"/>
        <w:rPr>
          <w:rFonts w:hint="eastAsia" w:ascii="Arial" w:hAnsi="Arial" w:cs="黑体"/>
          <w:highlight w:val="none"/>
        </w:rPr>
      </w:pPr>
      <w:r>
        <w:rPr>
          <w:rFonts w:hint="eastAsia" w:ascii="Arial" w:hAnsi="Arial" w:eastAsia="黑体" w:cs="黑体"/>
          <w:b w:val="0"/>
          <w:bCs w:val="0"/>
          <w:sz w:val="28"/>
          <w:szCs w:val="20"/>
          <w:highlight w:val="none"/>
          <w:lang w:val="en-US" w:eastAsia="zh-CN"/>
        </w:rPr>
        <w:t>1</w:t>
      </w:r>
      <w:r>
        <w:rPr>
          <w:rFonts w:hint="eastAsia" w:ascii="Arial" w:hAnsi="Arial" w:eastAsia="黑体" w:cs="黑体"/>
          <w:b w:val="0"/>
          <w:bCs w:val="0"/>
          <w:sz w:val="28"/>
          <w:szCs w:val="20"/>
          <w:highlight w:val="none"/>
          <w:lang w:val="en-US"/>
        </w:rPr>
        <w:t>2.5过程结算</w:t>
      </w:r>
    </w:p>
    <w:p w14:paraId="65D9E1B7">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 xml:space="preserve">本工程是否实施过程结算：□是       </w:t>
      </w:r>
      <w:r>
        <w:rPr>
          <w:rFonts w:hint="eastAsia" w:hAnsi="宋体" w:cs="宋体"/>
          <w:color w:val="auto"/>
          <w:highlight w:val="none"/>
          <w:lang w:eastAsia="zh-CN"/>
        </w:rPr>
        <w:t>☑</w:t>
      </w:r>
      <w:r>
        <w:rPr>
          <w:rFonts w:hint="eastAsia" w:hAnsi="宋体" w:cs="宋体"/>
          <w:color w:val="auto"/>
          <w:highlight w:val="none"/>
        </w:rPr>
        <w:t>否。</w:t>
      </w:r>
    </w:p>
    <w:p w14:paraId="78E3E550">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 xml:space="preserve">12.5.1过程结算节点划分：                      </w:t>
      </w:r>
    </w:p>
    <w:p w14:paraId="62BC880C">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发承包双方对项目工程过程结算节点的划分如下：</w:t>
      </w:r>
    </w:p>
    <w:p w14:paraId="31568411">
      <w:pPr>
        <w:numPr>
          <w:ilvl w:val="0"/>
          <w:numId w:val="3"/>
        </w:numPr>
        <w:spacing w:line="360" w:lineRule="auto"/>
        <w:ind w:firstLine="525" w:firstLineChars="250"/>
        <w:jc w:val="left"/>
        <w:rPr>
          <w:rFonts w:hint="eastAsia" w:hAnsi="宋体" w:cs="宋体"/>
          <w:color w:val="auto"/>
          <w:highlight w:val="none"/>
          <w:u w:val="single"/>
        </w:rPr>
      </w:pPr>
      <w:r>
        <w:rPr>
          <w:rFonts w:hint="eastAsia" w:hAnsi="宋体" w:cs="宋体"/>
          <w:color w:val="auto"/>
          <w:highlight w:val="none"/>
          <w:u w:val="single"/>
          <w:lang w:val="en-US" w:eastAsia="zh-CN"/>
        </w:rPr>
        <w:t xml:space="preserve">                                    </w:t>
      </w:r>
    </w:p>
    <w:p w14:paraId="37255FF7">
      <w:pPr>
        <w:numPr>
          <w:ilvl w:val="0"/>
          <w:numId w:val="3"/>
        </w:numPr>
        <w:spacing w:line="360" w:lineRule="auto"/>
        <w:ind w:firstLine="525" w:firstLineChars="250"/>
        <w:jc w:val="left"/>
        <w:rPr>
          <w:rFonts w:hint="eastAsia" w:hAnsi="宋体" w:cs="宋体"/>
          <w:color w:val="auto"/>
          <w:highlight w:val="none"/>
        </w:rPr>
      </w:pPr>
      <w:r>
        <w:rPr>
          <w:rFonts w:hint="eastAsia" w:hAnsi="宋体" w:cs="宋体"/>
          <w:color w:val="auto"/>
          <w:highlight w:val="none"/>
          <w:u w:val="single"/>
          <w:lang w:val="en-US" w:eastAsia="zh-CN"/>
        </w:rPr>
        <w:t xml:space="preserve">                                    </w:t>
      </w:r>
    </w:p>
    <w:p w14:paraId="1A4D4A91">
      <w:pPr>
        <w:numPr>
          <w:ilvl w:val="0"/>
          <w:numId w:val="3"/>
        </w:numPr>
        <w:spacing w:line="360" w:lineRule="auto"/>
        <w:ind w:firstLine="525" w:firstLineChars="250"/>
        <w:jc w:val="left"/>
        <w:rPr>
          <w:rFonts w:hint="eastAsia" w:hAnsi="宋体" w:cs="宋体"/>
          <w:color w:val="auto"/>
          <w:highlight w:val="none"/>
          <w:u w:val="single"/>
        </w:rPr>
      </w:pPr>
      <w:r>
        <w:rPr>
          <w:rFonts w:hint="eastAsia" w:hAnsi="宋体" w:cs="宋体"/>
          <w:color w:val="auto"/>
          <w:highlight w:val="none"/>
          <w:u w:val="single"/>
          <w:lang w:val="en-US" w:eastAsia="zh-CN"/>
        </w:rPr>
        <w:t xml:space="preserve">                                    </w:t>
      </w:r>
    </w:p>
    <w:p w14:paraId="01B76D54">
      <w:pPr>
        <w:numPr>
          <w:ilvl w:val="0"/>
          <w:numId w:val="3"/>
        </w:numPr>
        <w:spacing w:line="360" w:lineRule="auto"/>
        <w:ind w:firstLine="525" w:firstLineChars="250"/>
        <w:jc w:val="left"/>
        <w:rPr>
          <w:rFonts w:hint="eastAsia" w:hAnsi="宋体" w:cs="宋体"/>
          <w:color w:val="auto"/>
          <w:highlight w:val="none"/>
          <w:u w:val="single"/>
        </w:rPr>
      </w:pPr>
      <w:r>
        <w:rPr>
          <w:rFonts w:hint="eastAsia" w:hAnsi="宋体" w:cs="宋体"/>
          <w:color w:val="auto"/>
          <w:highlight w:val="none"/>
          <w:u w:val="single"/>
          <w:lang w:val="en-US" w:eastAsia="zh-CN"/>
        </w:rPr>
        <w:t xml:space="preserve">                                    </w:t>
      </w:r>
    </w:p>
    <w:p w14:paraId="1422EAEC">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划分提示</w:t>
      </w:r>
      <w:r>
        <w:rPr>
          <w:rFonts w:hint="eastAsia" w:hAnsi="宋体" w:cs="宋体"/>
          <w:color w:val="auto"/>
          <w:highlight w:val="none"/>
          <w:lang w:eastAsia="zh-CN"/>
        </w:rPr>
        <w:t>：</w:t>
      </w:r>
      <w:r>
        <w:rPr>
          <w:rFonts w:hint="eastAsia" w:hAnsi="宋体" w:cs="宋体"/>
          <w:color w:val="auto"/>
          <w:highlight w:val="none"/>
        </w:rPr>
        <w:t>发承包双方可根据项目大小合理划分，房屋建筑工程施工过程结算节点可分为土方开挖及基坑支护、桩基工程、地下室工程、地上主体结构工程（可分段）和装饰装修及安装工程（可分专业）等。市政基础设施建筑工程施工过程结算节点可采用分段、分单项或分专业合理划分。</w:t>
      </w:r>
    </w:p>
    <w:p w14:paraId="240A4441">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12.5.2过程结算程序</w:t>
      </w:r>
    </w:p>
    <w:p w14:paraId="00BDD18C">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12.5.2.1过程结算应在结算节点工程质量验收合格后进行。</w:t>
      </w:r>
    </w:p>
    <w:p w14:paraId="43776530">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12.5.2.2发承包双方选择以下第</w:t>
      </w:r>
      <w:r>
        <w:rPr>
          <w:rFonts w:hint="eastAsia" w:hAnsi="宋体" w:cs="宋体"/>
          <w:color w:val="auto"/>
          <w:highlight w:val="none"/>
          <w:u w:val="single"/>
        </w:rPr>
        <w:t xml:space="preserve">    </w:t>
      </w:r>
      <w:r>
        <w:rPr>
          <w:rFonts w:hint="eastAsia" w:hAnsi="宋体" w:cs="宋体"/>
          <w:color w:val="auto"/>
          <w:highlight w:val="none"/>
        </w:rPr>
        <w:t>种方式完成工程项目的过程结算：</w:t>
      </w:r>
    </w:p>
    <w:p w14:paraId="13FE6E2D">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（1</w:t>
      </w:r>
      <w:r>
        <w:rPr>
          <w:rFonts w:hint="eastAsia" w:hAnsi="宋体" w:cs="宋体"/>
          <w:color w:val="auto"/>
          <w:highlight w:val="none"/>
          <w:lang w:eastAsia="zh-CN"/>
        </w:rPr>
        <w:t>）</w:t>
      </w:r>
      <w:r>
        <w:rPr>
          <w:rFonts w:hint="eastAsia" w:hAnsi="宋体" w:cs="宋体"/>
          <w:color w:val="auto"/>
          <w:highlight w:val="none"/>
        </w:rPr>
        <w:t>合同未约定竣工结算以财政部门意见为准时，承包方应在施工过程结算节点工程验收合格的</w:t>
      </w:r>
      <w:r>
        <w:rPr>
          <w:rFonts w:hint="eastAsia" w:hAnsi="宋体" w:cs="宋体"/>
          <w:color w:val="auto"/>
          <w:highlight w:val="none"/>
          <w:u w:val="single"/>
        </w:rPr>
        <w:t xml:space="preserve"> </w:t>
      </w:r>
      <w:r>
        <w:rPr>
          <w:rFonts w:hint="eastAsia" w:hAnsi="宋体" w:cs="宋体"/>
          <w:color w:val="auto"/>
          <w:highlight w:val="none"/>
          <w:u w:val="single"/>
          <w:lang w:val="en-US" w:eastAsia="zh-CN"/>
        </w:rPr>
        <w:t>50</w:t>
      </w:r>
      <w:r>
        <w:rPr>
          <w:rFonts w:hint="eastAsia" w:hAnsi="宋体" w:cs="宋体"/>
          <w:color w:val="auto"/>
          <w:highlight w:val="none"/>
          <w:u w:val="single"/>
        </w:rPr>
        <w:t xml:space="preserve"> </w:t>
      </w:r>
      <w:r>
        <w:rPr>
          <w:rFonts w:hint="eastAsia" w:hAnsi="宋体" w:cs="宋体"/>
          <w:color w:val="auto"/>
          <w:highlight w:val="none"/>
        </w:rPr>
        <w:t>日内（根据过程结算节点工程量约定，但不得超过50天）向发包方递交完整的施工过程结算文件及相应结算资料；发包方收到上述文件资料后应在</w:t>
      </w:r>
      <w:r>
        <w:rPr>
          <w:rFonts w:hint="eastAsia" w:hAnsi="宋体" w:cs="宋体"/>
          <w:color w:val="auto"/>
          <w:highlight w:val="none"/>
          <w:u w:val="single"/>
        </w:rPr>
        <w:t xml:space="preserve">  </w:t>
      </w:r>
      <w:r>
        <w:rPr>
          <w:rFonts w:hint="eastAsia" w:hAnsi="宋体" w:cs="宋体"/>
          <w:color w:val="auto"/>
          <w:highlight w:val="none"/>
          <w:u w:val="single"/>
          <w:lang w:val="en-US" w:eastAsia="zh-CN"/>
        </w:rPr>
        <w:t>14</w:t>
      </w:r>
      <w:r>
        <w:rPr>
          <w:rFonts w:hint="eastAsia" w:hAnsi="宋体" w:cs="宋体"/>
          <w:color w:val="auto"/>
          <w:highlight w:val="none"/>
          <w:u w:val="single"/>
        </w:rPr>
        <w:t xml:space="preserve"> </w:t>
      </w:r>
      <w:r>
        <w:rPr>
          <w:rFonts w:hint="eastAsia" w:hAnsi="宋体" w:cs="宋体"/>
          <w:color w:val="auto"/>
          <w:highlight w:val="none"/>
        </w:rPr>
        <w:t>日内（根据过程结算节点工程量约定，但审核时限不得超过附表规定的时间）完成施工过程结算的核对、确认。因发包方原因逾期未完成审核或已完成审核但是逾期向承包方提出异议的，可视同发包方认可承包方报送的施工过程结算文件。因承包方原因未在约定期限内 提交施工过程结算文件，发包方可以依据已有资料自行开展施工过程结算活动。</w:t>
      </w:r>
    </w:p>
    <w:p w14:paraId="336B5DF2">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施工过程结算发包方审核时限：</w:t>
      </w:r>
    </w:p>
    <w:tbl>
      <w:tblPr>
        <w:tblStyle w:val="54"/>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3"/>
        <w:gridCol w:w="3049"/>
      </w:tblGrid>
      <w:tr w14:paraId="0252D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3" w:type="dxa"/>
            <w:noWrap w:val="0"/>
            <w:vAlign w:val="center"/>
          </w:tcPr>
          <w:p w14:paraId="69187DB4">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过程结算金额</w:t>
            </w:r>
          </w:p>
        </w:tc>
        <w:tc>
          <w:tcPr>
            <w:tcW w:w="3049" w:type="dxa"/>
            <w:noWrap w:val="0"/>
            <w:vAlign w:val="center"/>
          </w:tcPr>
          <w:p w14:paraId="2CCE69C2">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审核时间</w:t>
            </w:r>
          </w:p>
        </w:tc>
      </w:tr>
      <w:tr w14:paraId="7B10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3" w:type="dxa"/>
            <w:noWrap w:val="0"/>
            <w:vAlign w:val="center"/>
          </w:tcPr>
          <w:p w14:paraId="75EBC5DB">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500</w:t>
            </w:r>
            <w:r>
              <w:rPr>
                <w:rFonts w:hint="eastAsia" w:ascii="Times New Roman" w:cs="Times New Roman"/>
                <w:color w:val="auto"/>
                <w:kern w:val="2"/>
                <w:sz w:val="21"/>
                <w:szCs w:val="21"/>
                <w:highlight w:val="none"/>
                <w:lang w:val="en-US" w:eastAsia="zh-CN" w:bidi="ar-SA"/>
              </w:rPr>
              <w:t>万元以下</w:t>
            </w:r>
          </w:p>
        </w:tc>
        <w:tc>
          <w:tcPr>
            <w:tcW w:w="3049" w:type="dxa"/>
            <w:noWrap w:val="0"/>
            <w:vAlign w:val="center"/>
          </w:tcPr>
          <w:p w14:paraId="2FD2A1C1">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20</w:t>
            </w:r>
            <w:r>
              <w:rPr>
                <w:rFonts w:hint="eastAsia" w:ascii="Times New Roman" w:cs="Times New Roman"/>
                <w:color w:val="auto"/>
                <w:kern w:val="2"/>
                <w:sz w:val="21"/>
                <w:szCs w:val="21"/>
                <w:highlight w:val="none"/>
                <w:lang w:val="en-US" w:eastAsia="zh-CN" w:bidi="ar-SA"/>
              </w:rPr>
              <w:t>天</w:t>
            </w:r>
          </w:p>
        </w:tc>
      </w:tr>
      <w:tr w14:paraId="07B5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3" w:type="dxa"/>
            <w:noWrap w:val="0"/>
            <w:vAlign w:val="center"/>
          </w:tcPr>
          <w:p w14:paraId="67E4D86E">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500</w:t>
            </w:r>
            <w:r>
              <w:rPr>
                <w:rFonts w:hint="eastAsia" w:ascii="Times New Roman" w:cs="Times New Roman"/>
                <w:color w:val="auto"/>
                <w:kern w:val="2"/>
                <w:sz w:val="21"/>
                <w:szCs w:val="21"/>
                <w:highlight w:val="none"/>
                <w:lang w:val="en-US" w:eastAsia="zh-CN" w:bidi="ar-SA"/>
              </w:rPr>
              <w:t>万元</w:t>
            </w:r>
            <w:r>
              <w:rPr>
                <w:rFonts w:hint="default" w:ascii="Times New Roman" w:cs="Times New Roman"/>
                <w:color w:val="auto"/>
                <w:kern w:val="2"/>
                <w:sz w:val="21"/>
                <w:szCs w:val="21"/>
                <w:highlight w:val="none"/>
                <w:lang w:val="en-US" w:eastAsia="zh-CN" w:bidi="ar-SA"/>
              </w:rPr>
              <w:t>-2000</w:t>
            </w:r>
            <w:r>
              <w:rPr>
                <w:rFonts w:hint="eastAsia" w:ascii="Times New Roman" w:cs="Times New Roman"/>
                <w:color w:val="auto"/>
                <w:kern w:val="2"/>
                <w:sz w:val="21"/>
                <w:szCs w:val="21"/>
                <w:highlight w:val="none"/>
                <w:lang w:val="en-US" w:eastAsia="zh-CN" w:bidi="ar-SA"/>
              </w:rPr>
              <w:t>万元</w:t>
            </w:r>
          </w:p>
        </w:tc>
        <w:tc>
          <w:tcPr>
            <w:tcW w:w="3049" w:type="dxa"/>
            <w:noWrap w:val="0"/>
            <w:vAlign w:val="center"/>
          </w:tcPr>
          <w:p w14:paraId="3EE1CA46">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30</w:t>
            </w:r>
            <w:r>
              <w:rPr>
                <w:rFonts w:hint="eastAsia" w:ascii="Times New Roman" w:cs="Times New Roman"/>
                <w:color w:val="auto"/>
                <w:kern w:val="2"/>
                <w:sz w:val="21"/>
                <w:szCs w:val="21"/>
                <w:highlight w:val="none"/>
                <w:lang w:val="en-US" w:eastAsia="zh-CN" w:bidi="ar-SA"/>
              </w:rPr>
              <w:t>天</w:t>
            </w:r>
          </w:p>
        </w:tc>
      </w:tr>
      <w:tr w14:paraId="2E773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3" w:type="dxa"/>
            <w:noWrap w:val="0"/>
            <w:vAlign w:val="center"/>
          </w:tcPr>
          <w:p w14:paraId="40D0FF92">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2000</w:t>
            </w:r>
            <w:r>
              <w:rPr>
                <w:rFonts w:hint="eastAsia" w:ascii="Times New Roman" w:cs="Times New Roman"/>
                <w:color w:val="auto"/>
                <w:kern w:val="2"/>
                <w:sz w:val="21"/>
                <w:szCs w:val="21"/>
                <w:highlight w:val="none"/>
                <w:lang w:val="en-US" w:eastAsia="zh-CN" w:bidi="ar-SA"/>
              </w:rPr>
              <w:t>万元</w:t>
            </w:r>
            <w:r>
              <w:rPr>
                <w:rFonts w:hint="default" w:ascii="Times New Roman" w:cs="Times New Roman"/>
                <w:color w:val="auto"/>
                <w:kern w:val="2"/>
                <w:sz w:val="21"/>
                <w:szCs w:val="21"/>
                <w:highlight w:val="none"/>
                <w:lang w:val="en-US" w:eastAsia="zh-CN" w:bidi="ar-SA"/>
              </w:rPr>
              <w:t>-5000</w:t>
            </w:r>
            <w:r>
              <w:rPr>
                <w:rFonts w:hint="eastAsia" w:ascii="Times New Roman" w:cs="Times New Roman"/>
                <w:color w:val="auto"/>
                <w:kern w:val="2"/>
                <w:sz w:val="21"/>
                <w:szCs w:val="21"/>
                <w:highlight w:val="none"/>
                <w:lang w:val="en-US" w:eastAsia="zh-CN" w:bidi="ar-SA"/>
              </w:rPr>
              <w:t>万元</w:t>
            </w:r>
          </w:p>
        </w:tc>
        <w:tc>
          <w:tcPr>
            <w:tcW w:w="3049" w:type="dxa"/>
            <w:noWrap w:val="0"/>
            <w:vAlign w:val="center"/>
          </w:tcPr>
          <w:p w14:paraId="04D45C97">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45</w:t>
            </w:r>
            <w:r>
              <w:rPr>
                <w:rFonts w:hint="eastAsia" w:ascii="Times New Roman" w:cs="Times New Roman"/>
                <w:color w:val="auto"/>
                <w:kern w:val="2"/>
                <w:sz w:val="21"/>
                <w:szCs w:val="21"/>
                <w:highlight w:val="none"/>
                <w:lang w:val="en-US" w:eastAsia="zh-CN" w:bidi="ar-SA"/>
              </w:rPr>
              <w:t>天</w:t>
            </w:r>
          </w:p>
        </w:tc>
      </w:tr>
      <w:tr w14:paraId="4B328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3" w:type="dxa"/>
            <w:noWrap w:val="0"/>
            <w:vAlign w:val="center"/>
          </w:tcPr>
          <w:p w14:paraId="42338252">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5000</w:t>
            </w:r>
            <w:r>
              <w:rPr>
                <w:rFonts w:hint="eastAsia" w:ascii="Times New Roman" w:cs="Times New Roman"/>
                <w:color w:val="auto"/>
                <w:kern w:val="2"/>
                <w:sz w:val="21"/>
                <w:szCs w:val="21"/>
                <w:highlight w:val="none"/>
                <w:lang w:val="en-US" w:eastAsia="zh-CN" w:bidi="ar-SA"/>
              </w:rPr>
              <w:t>万元以上</w:t>
            </w:r>
          </w:p>
        </w:tc>
        <w:tc>
          <w:tcPr>
            <w:tcW w:w="3049" w:type="dxa"/>
            <w:noWrap w:val="0"/>
            <w:vAlign w:val="center"/>
          </w:tcPr>
          <w:p w14:paraId="3D78B0E5">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60</w:t>
            </w:r>
            <w:r>
              <w:rPr>
                <w:rFonts w:hint="eastAsia" w:ascii="Times New Roman" w:cs="Times New Roman"/>
                <w:color w:val="auto"/>
                <w:kern w:val="2"/>
                <w:sz w:val="21"/>
                <w:szCs w:val="21"/>
                <w:highlight w:val="none"/>
                <w:lang w:val="en-US" w:eastAsia="zh-CN" w:bidi="ar-SA"/>
              </w:rPr>
              <w:t>天</w:t>
            </w:r>
          </w:p>
        </w:tc>
      </w:tr>
      <w:tr w14:paraId="57EF2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3" w:type="dxa"/>
            <w:noWrap w:val="0"/>
            <w:vAlign w:val="center"/>
          </w:tcPr>
          <w:p w14:paraId="1B279806">
            <w:pPr>
              <w:pStyle w:val="344"/>
              <w:keepNext w:val="0"/>
              <w:keepLines w:val="0"/>
              <w:suppressLineNumbers w:val="0"/>
              <w:spacing w:before="0" w:beforeAutospacing="0" w:after="0" w:afterAutospacing="0" w:line="360" w:lineRule="auto"/>
              <w:ind w:left="420" w:leftChars="200" w:right="0" w:firstLine="0"/>
              <w:jc w:val="both"/>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5000万以上每增加</w:t>
            </w:r>
            <w:r>
              <w:rPr>
                <w:rFonts w:hint="default" w:ascii="Times New Roman" w:cs="Times New Roman"/>
                <w:color w:val="auto"/>
                <w:kern w:val="2"/>
                <w:sz w:val="21"/>
                <w:szCs w:val="21"/>
                <w:highlight w:val="none"/>
                <w:lang w:val="en-US" w:eastAsia="zh-CN" w:bidi="ar-SA"/>
              </w:rPr>
              <w:t>0.5</w:t>
            </w:r>
            <w:r>
              <w:rPr>
                <w:rFonts w:hint="eastAsia" w:ascii="Times New Roman" w:cs="Times New Roman"/>
                <w:color w:val="auto"/>
                <w:kern w:val="2"/>
                <w:sz w:val="21"/>
                <w:szCs w:val="21"/>
                <w:highlight w:val="none"/>
                <w:lang w:val="en-US" w:eastAsia="zh-CN" w:bidi="ar-SA"/>
              </w:rPr>
              <w:t>亿（不足0.5亿不增加）</w:t>
            </w:r>
          </w:p>
        </w:tc>
        <w:tc>
          <w:tcPr>
            <w:tcW w:w="3049" w:type="dxa"/>
            <w:noWrap w:val="0"/>
            <w:vAlign w:val="center"/>
          </w:tcPr>
          <w:p w14:paraId="044AB19F">
            <w:pPr>
              <w:pStyle w:val="344"/>
              <w:keepNext w:val="0"/>
              <w:keepLines w:val="0"/>
              <w:suppressLineNumbers w:val="0"/>
              <w:spacing w:before="0" w:beforeAutospacing="0" w:after="0" w:afterAutospacing="0" w:line="360" w:lineRule="auto"/>
              <w:ind w:left="420" w:leftChars="200" w:right="0" w:firstLine="0"/>
              <w:jc w:val="both"/>
              <w:rPr>
                <w:rFonts w:hint="eastAsia"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增加10天</w:t>
            </w:r>
          </w:p>
        </w:tc>
      </w:tr>
    </w:tbl>
    <w:p w14:paraId="2388DFEE">
      <w:pPr>
        <w:spacing w:line="360" w:lineRule="auto"/>
        <w:ind w:firstLine="525" w:firstLineChars="250"/>
        <w:jc w:val="left"/>
        <w:rPr>
          <w:rFonts w:hint="eastAsia" w:hAnsi="宋体" w:cs="宋体"/>
          <w:color w:val="auto"/>
          <w:highlight w:val="none"/>
        </w:rPr>
      </w:pPr>
    </w:p>
    <w:p w14:paraId="08F22E0C">
      <w:pPr>
        <w:spacing w:line="360" w:lineRule="auto"/>
        <w:ind w:firstLine="0" w:firstLineChars="0"/>
        <w:jc w:val="left"/>
        <w:rPr>
          <w:rFonts w:hint="eastAsia" w:hAnsi="宋体" w:cs="宋体"/>
          <w:color w:val="auto"/>
          <w:highlight w:val="none"/>
        </w:rPr>
      </w:pPr>
      <w:r>
        <w:rPr>
          <w:rFonts w:hint="default" w:hAnsi="宋体" w:cs="宋体"/>
          <w:color w:val="auto"/>
          <w:highlight w:val="none"/>
          <w:lang w:val="en"/>
        </w:rPr>
        <w:t xml:space="preserve">    </w:t>
      </w:r>
      <w:r>
        <w:rPr>
          <w:rFonts w:hint="eastAsia" w:hAnsi="宋体" w:cs="宋体"/>
          <w:color w:val="auto"/>
          <w:highlight w:val="none"/>
        </w:rPr>
        <w:t>（2）合同约定竣工结算以财政部门意见为准时，承包方应在施工过程结算节点工程验收合格后的</w:t>
      </w:r>
      <w:r>
        <w:rPr>
          <w:rFonts w:hint="eastAsia" w:hAnsi="宋体" w:cs="宋体"/>
          <w:color w:val="auto"/>
          <w:highlight w:val="none"/>
          <w:u w:val="single"/>
        </w:rPr>
        <w:t xml:space="preserve"> </w:t>
      </w:r>
      <w:r>
        <w:rPr>
          <w:rFonts w:hint="eastAsia" w:hAnsi="宋体" w:cs="宋体"/>
          <w:color w:val="auto"/>
          <w:highlight w:val="none"/>
          <w:u w:val="single"/>
          <w:lang w:val="en-US" w:eastAsia="zh-CN"/>
        </w:rPr>
        <w:t>50</w:t>
      </w:r>
      <w:r>
        <w:rPr>
          <w:rFonts w:hint="eastAsia" w:hAnsi="宋体" w:cs="宋体"/>
          <w:color w:val="auto"/>
          <w:highlight w:val="none"/>
          <w:u w:val="single"/>
        </w:rPr>
        <w:t xml:space="preserve"> </w:t>
      </w:r>
      <w:r>
        <w:rPr>
          <w:rFonts w:hint="eastAsia" w:hAnsi="宋体" w:cs="宋体"/>
          <w:color w:val="auto"/>
          <w:highlight w:val="none"/>
        </w:rPr>
        <w:t>天内（根据过程结算节点工程量约定，但不得超过50天）向发包方递交完整的施工过程结算文件及相应结算资料；发包方和财政部门收到上述文件资料后应在</w:t>
      </w:r>
      <w:r>
        <w:rPr>
          <w:rFonts w:hint="eastAsia" w:hAnsi="宋体" w:cs="宋体"/>
          <w:color w:val="auto"/>
          <w:highlight w:val="none"/>
          <w:u w:val="single"/>
        </w:rPr>
        <w:t xml:space="preserve">  </w:t>
      </w:r>
      <w:r>
        <w:rPr>
          <w:rFonts w:hint="eastAsia" w:hAnsi="宋体" w:cs="宋体"/>
          <w:color w:val="auto"/>
          <w:highlight w:val="none"/>
          <w:u w:val="single"/>
          <w:lang w:val="en-US" w:eastAsia="zh-CN"/>
        </w:rPr>
        <w:t>14</w:t>
      </w:r>
      <w:r>
        <w:rPr>
          <w:rFonts w:hint="eastAsia" w:hAnsi="宋体" w:cs="宋体"/>
          <w:color w:val="auto"/>
          <w:highlight w:val="none"/>
          <w:u w:val="single"/>
        </w:rPr>
        <w:t xml:space="preserve"> </w:t>
      </w:r>
      <w:r>
        <w:rPr>
          <w:rFonts w:hint="eastAsia" w:hAnsi="宋体" w:cs="宋体"/>
          <w:color w:val="auto"/>
          <w:highlight w:val="none"/>
        </w:rPr>
        <w:t>天内（根据过程结算节点工程量约定，但共同审核时限不得超过附表规定的时间）完成施工过程结算的核对、确认。因发包方和财政部门原因逾期未完成审核或已完成审核但是逾期向承包方提出异议的，应当视同发包方认可承包方报送的施工过程结算文件。因承包方原因未在约定期限内 提交施工过程结算文件，发包方可以依据已有资料自行开展施工过程结算活动。</w:t>
      </w:r>
    </w:p>
    <w:p w14:paraId="74D9C41C">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施工过程结算发包方与财政部门共同审核时限</w:t>
      </w:r>
    </w:p>
    <w:tbl>
      <w:tblPr>
        <w:tblStyle w:val="54"/>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1"/>
        <w:gridCol w:w="2918"/>
      </w:tblGrid>
      <w:tr w14:paraId="51BC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01" w:type="dxa"/>
            <w:noWrap w:val="0"/>
            <w:vAlign w:val="center"/>
          </w:tcPr>
          <w:p w14:paraId="40100412">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过程结算金额</w:t>
            </w:r>
          </w:p>
        </w:tc>
        <w:tc>
          <w:tcPr>
            <w:tcW w:w="2918" w:type="dxa"/>
            <w:noWrap w:val="0"/>
            <w:vAlign w:val="center"/>
          </w:tcPr>
          <w:p w14:paraId="6D8A2371">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审核时间</w:t>
            </w:r>
          </w:p>
        </w:tc>
      </w:tr>
      <w:tr w14:paraId="0896E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01" w:type="dxa"/>
            <w:noWrap w:val="0"/>
            <w:vAlign w:val="center"/>
          </w:tcPr>
          <w:p w14:paraId="47C9E14A">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500</w:t>
            </w:r>
            <w:r>
              <w:rPr>
                <w:rFonts w:hint="eastAsia" w:ascii="Times New Roman" w:cs="Times New Roman"/>
                <w:color w:val="auto"/>
                <w:kern w:val="2"/>
                <w:sz w:val="21"/>
                <w:szCs w:val="21"/>
                <w:highlight w:val="none"/>
                <w:lang w:val="en-US" w:eastAsia="zh-CN" w:bidi="ar-SA"/>
              </w:rPr>
              <w:t>万元以下</w:t>
            </w:r>
          </w:p>
        </w:tc>
        <w:tc>
          <w:tcPr>
            <w:tcW w:w="2918" w:type="dxa"/>
            <w:noWrap w:val="0"/>
            <w:vAlign w:val="center"/>
          </w:tcPr>
          <w:p w14:paraId="7072CF17">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40天</w:t>
            </w:r>
          </w:p>
        </w:tc>
      </w:tr>
      <w:tr w14:paraId="68383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01" w:type="dxa"/>
            <w:noWrap w:val="0"/>
            <w:vAlign w:val="center"/>
          </w:tcPr>
          <w:p w14:paraId="7A926D91">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500</w:t>
            </w:r>
            <w:r>
              <w:rPr>
                <w:rFonts w:hint="eastAsia" w:ascii="Times New Roman" w:cs="Times New Roman"/>
                <w:color w:val="auto"/>
                <w:kern w:val="2"/>
                <w:sz w:val="21"/>
                <w:szCs w:val="21"/>
                <w:highlight w:val="none"/>
                <w:lang w:val="en-US" w:eastAsia="zh-CN" w:bidi="ar-SA"/>
              </w:rPr>
              <w:t>万元</w:t>
            </w:r>
            <w:r>
              <w:rPr>
                <w:rFonts w:hint="default" w:ascii="Times New Roman" w:cs="Times New Roman"/>
                <w:color w:val="auto"/>
                <w:kern w:val="2"/>
                <w:sz w:val="21"/>
                <w:szCs w:val="21"/>
                <w:highlight w:val="none"/>
                <w:lang w:val="en-US" w:eastAsia="zh-CN" w:bidi="ar-SA"/>
              </w:rPr>
              <w:t>-2000</w:t>
            </w:r>
            <w:r>
              <w:rPr>
                <w:rFonts w:hint="eastAsia" w:ascii="Times New Roman" w:cs="Times New Roman"/>
                <w:color w:val="auto"/>
                <w:kern w:val="2"/>
                <w:sz w:val="21"/>
                <w:szCs w:val="21"/>
                <w:highlight w:val="none"/>
                <w:lang w:val="en-US" w:eastAsia="zh-CN" w:bidi="ar-SA"/>
              </w:rPr>
              <w:t>万元</w:t>
            </w:r>
          </w:p>
        </w:tc>
        <w:tc>
          <w:tcPr>
            <w:tcW w:w="2918" w:type="dxa"/>
            <w:noWrap w:val="0"/>
            <w:vAlign w:val="center"/>
          </w:tcPr>
          <w:p w14:paraId="3ABAAFDD">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60天</w:t>
            </w:r>
          </w:p>
        </w:tc>
      </w:tr>
      <w:tr w14:paraId="29B83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01" w:type="dxa"/>
            <w:noWrap w:val="0"/>
            <w:vAlign w:val="center"/>
          </w:tcPr>
          <w:p w14:paraId="1F12E1F7">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2000</w:t>
            </w:r>
            <w:r>
              <w:rPr>
                <w:rFonts w:hint="eastAsia" w:ascii="Times New Roman" w:cs="Times New Roman"/>
                <w:color w:val="auto"/>
                <w:kern w:val="2"/>
                <w:sz w:val="21"/>
                <w:szCs w:val="21"/>
                <w:highlight w:val="none"/>
                <w:lang w:val="en-US" w:eastAsia="zh-CN" w:bidi="ar-SA"/>
              </w:rPr>
              <w:t>万元</w:t>
            </w:r>
            <w:r>
              <w:rPr>
                <w:rFonts w:hint="default" w:ascii="Times New Roman" w:cs="Times New Roman"/>
                <w:color w:val="auto"/>
                <w:kern w:val="2"/>
                <w:sz w:val="21"/>
                <w:szCs w:val="21"/>
                <w:highlight w:val="none"/>
                <w:lang w:val="en-US" w:eastAsia="zh-CN" w:bidi="ar-SA"/>
              </w:rPr>
              <w:t>-5000</w:t>
            </w:r>
            <w:r>
              <w:rPr>
                <w:rFonts w:hint="eastAsia" w:ascii="Times New Roman" w:cs="Times New Roman"/>
                <w:color w:val="auto"/>
                <w:kern w:val="2"/>
                <w:sz w:val="21"/>
                <w:szCs w:val="21"/>
                <w:highlight w:val="none"/>
                <w:lang w:val="en-US" w:eastAsia="zh-CN" w:bidi="ar-SA"/>
              </w:rPr>
              <w:t>万元</w:t>
            </w:r>
          </w:p>
        </w:tc>
        <w:tc>
          <w:tcPr>
            <w:tcW w:w="2918" w:type="dxa"/>
            <w:noWrap w:val="0"/>
            <w:vAlign w:val="center"/>
          </w:tcPr>
          <w:p w14:paraId="7D0E505C">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90天</w:t>
            </w:r>
          </w:p>
        </w:tc>
      </w:tr>
      <w:tr w14:paraId="6D305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101" w:type="dxa"/>
            <w:noWrap w:val="0"/>
            <w:vAlign w:val="center"/>
          </w:tcPr>
          <w:p w14:paraId="08394AE5">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default" w:ascii="Times New Roman" w:cs="Times New Roman"/>
                <w:color w:val="auto"/>
                <w:kern w:val="2"/>
                <w:sz w:val="21"/>
                <w:szCs w:val="21"/>
                <w:highlight w:val="none"/>
                <w:lang w:val="en-US" w:eastAsia="zh-CN" w:bidi="ar-SA"/>
              </w:rPr>
              <w:t>5000</w:t>
            </w:r>
            <w:r>
              <w:rPr>
                <w:rFonts w:hint="eastAsia" w:ascii="Times New Roman" w:cs="Times New Roman"/>
                <w:color w:val="auto"/>
                <w:kern w:val="2"/>
                <w:sz w:val="21"/>
                <w:szCs w:val="21"/>
                <w:highlight w:val="none"/>
                <w:lang w:val="en-US" w:eastAsia="zh-CN" w:bidi="ar-SA"/>
              </w:rPr>
              <w:t>万元以上</w:t>
            </w:r>
          </w:p>
        </w:tc>
        <w:tc>
          <w:tcPr>
            <w:tcW w:w="2918" w:type="dxa"/>
            <w:noWrap w:val="0"/>
            <w:vAlign w:val="center"/>
          </w:tcPr>
          <w:p w14:paraId="572E86E1">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120天</w:t>
            </w:r>
          </w:p>
        </w:tc>
      </w:tr>
      <w:tr w14:paraId="0FAB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101" w:type="dxa"/>
            <w:noWrap w:val="0"/>
            <w:vAlign w:val="center"/>
          </w:tcPr>
          <w:p w14:paraId="42B78A37">
            <w:pPr>
              <w:pStyle w:val="344"/>
              <w:keepNext w:val="0"/>
              <w:keepLines w:val="0"/>
              <w:suppressLineNumbers w:val="0"/>
              <w:spacing w:before="0" w:beforeAutospacing="0" w:after="0" w:afterAutospacing="0" w:line="360" w:lineRule="auto"/>
              <w:ind w:left="0" w:right="0" w:firstLine="620"/>
              <w:rPr>
                <w:rFonts w:hint="default"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5000万以上每增加</w:t>
            </w:r>
            <w:r>
              <w:rPr>
                <w:rFonts w:hint="default" w:ascii="Times New Roman" w:cs="Times New Roman"/>
                <w:color w:val="auto"/>
                <w:kern w:val="2"/>
                <w:sz w:val="21"/>
                <w:szCs w:val="21"/>
                <w:highlight w:val="none"/>
                <w:lang w:val="en-US" w:eastAsia="zh-CN" w:bidi="ar-SA"/>
              </w:rPr>
              <w:t>0.5</w:t>
            </w:r>
            <w:r>
              <w:rPr>
                <w:rFonts w:hint="eastAsia" w:ascii="Times New Roman" w:cs="Times New Roman"/>
                <w:color w:val="auto"/>
                <w:kern w:val="2"/>
                <w:sz w:val="21"/>
                <w:szCs w:val="21"/>
                <w:highlight w:val="none"/>
                <w:lang w:val="en-US" w:eastAsia="zh-CN" w:bidi="ar-SA"/>
              </w:rPr>
              <w:t>亿（不足0.5亿不增加）</w:t>
            </w:r>
          </w:p>
        </w:tc>
        <w:tc>
          <w:tcPr>
            <w:tcW w:w="2918" w:type="dxa"/>
            <w:noWrap w:val="0"/>
            <w:vAlign w:val="center"/>
          </w:tcPr>
          <w:p w14:paraId="052AE115">
            <w:pPr>
              <w:pStyle w:val="344"/>
              <w:keepNext w:val="0"/>
              <w:keepLines w:val="0"/>
              <w:suppressLineNumbers w:val="0"/>
              <w:spacing w:before="0" w:beforeAutospacing="0" w:after="0" w:afterAutospacing="0" w:line="360" w:lineRule="auto"/>
              <w:ind w:left="0" w:right="0" w:firstLine="620"/>
              <w:rPr>
                <w:rFonts w:hint="eastAsia" w:ascii="Times New Roman" w:cs="Times New Roman"/>
                <w:color w:val="auto"/>
                <w:kern w:val="2"/>
                <w:sz w:val="21"/>
                <w:szCs w:val="21"/>
                <w:highlight w:val="none"/>
                <w:lang w:val="en-US" w:eastAsia="zh-CN" w:bidi="ar-SA"/>
              </w:rPr>
            </w:pPr>
            <w:r>
              <w:rPr>
                <w:rFonts w:hint="eastAsia" w:ascii="Times New Roman" w:cs="Times New Roman"/>
                <w:color w:val="auto"/>
                <w:kern w:val="2"/>
                <w:sz w:val="21"/>
                <w:szCs w:val="21"/>
                <w:highlight w:val="none"/>
                <w:lang w:val="en-US" w:eastAsia="zh-CN" w:bidi="ar-SA"/>
              </w:rPr>
              <w:t>增加20天</w:t>
            </w:r>
          </w:p>
        </w:tc>
      </w:tr>
    </w:tbl>
    <w:p w14:paraId="792F7EEA">
      <w:pPr>
        <w:spacing w:line="360" w:lineRule="auto"/>
        <w:ind w:firstLine="525" w:firstLineChars="250"/>
        <w:jc w:val="left"/>
        <w:rPr>
          <w:rFonts w:hint="eastAsia" w:hAnsi="宋体" w:cs="宋体"/>
          <w:color w:val="auto"/>
          <w:highlight w:val="none"/>
        </w:rPr>
      </w:pPr>
    </w:p>
    <w:p w14:paraId="6D8B23BB">
      <w:pPr>
        <w:spacing w:line="360" w:lineRule="auto"/>
        <w:ind w:firstLine="525" w:firstLineChars="250"/>
        <w:jc w:val="left"/>
        <w:rPr>
          <w:rFonts w:hint="eastAsia" w:hAnsi="宋体" w:cs="宋体"/>
          <w:color w:val="auto"/>
          <w:highlight w:val="none"/>
        </w:rPr>
      </w:pPr>
    </w:p>
    <w:p w14:paraId="25F652E2">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 xml:space="preserve">12.5.3过程结算文件要求 </w:t>
      </w:r>
    </w:p>
    <w:p w14:paraId="5B98F1EB">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过程结算文件应按竣工结算文件要求进行编制，若合同约定竣工结算以财政部门意见为准，过程结算文件应当按照财政部门的要求进行编制。资料包括施工合同、补充协议、中标通知书、施工图纸、工程招标 投标文件、施工方案、工程量及其相应单价以及各项费用计算、经确认的工程变更、现场签证、工程索赔、扣款扣费文件等。过程结算文件经发承包双方签字认可或符合</w:t>
      </w:r>
      <w:r>
        <w:rPr>
          <w:rFonts w:hint="eastAsia" w:hAnsi="宋体" w:cs="宋体"/>
          <w:color w:val="auto"/>
          <w:highlight w:val="none"/>
          <w:lang w:eastAsia="zh-CN"/>
        </w:rPr>
        <w:t>“</w:t>
      </w:r>
      <w:r>
        <w:rPr>
          <w:rFonts w:hint="eastAsia" w:hAnsi="宋体" w:cs="宋体"/>
          <w:color w:val="auto"/>
          <w:highlight w:val="none"/>
        </w:rPr>
        <w:t>视同认可</w:t>
      </w:r>
      <w:r>
        <w:rPr>
          <w:rFonts w:hint="eastAsia" w:hAnsi="宋体" w:cs="宋体"/>
          <w:color w:val="auto"/>
          <w:highlight w:val="none"/>
          <w:lang w:eastAsia="zh-CN"/>
        </w:rPr>
        <w:t>”</w:t>
      </w:r>
      <w:r>
        <w:rPr>
          <w:rFonts w:hint="eastAsia" w:hAnsi="宋体" w:cs="宋体"/>
          <w:color w:val="auto"/>
          <w:highlight w:val="none"/>
        </w:rPr>
        <w:t>的条件后，直接作为编制竣工结算文件的依据，结算时发包人不得对上述过程结算文件重复审核。过程结算款</w:t>
      </w:r>
      <w:r>
        <w:rPr>
          <w:rFonts w:hint="eastAsia" w:ascii="宋体" w:hAnsi="宋体" w:cs="宋体"/>
          <w:color w:val="auto"/>
          <w:szCs w:val="21"/>
          <w:highlight w:val="none"/>
          <w:lang w:val="zh-TW"/>
        </w:rPr>
        <w:t>支付申请应</w:t>
      </w:r>
      <w:r>
        <w:rPr>
          <w:rFonts w:hint="eastAsia" w:ascii="宋体" w:hAnsi="宋体" w:cs="宋体"/>
          <w:color w:val="auto"/>
          <w:szCs w:val="21"/>
          <w:highlight w:val="none"/>
          <w:lang w:val="zh-TW" w:eastAsia="zh-CN"/>
        </w:rPr>
        <w:t>按</w:t>
      </w:r>
      <w:r>
        <w:rPr>
          <w:rFonts w:hint="default" w:ascii="宋体" w:hAnsi="宋体" w:cs="宋体"/>
          <w:color w:val="auto"/>
          <w:szCs w:val="21"/>
          <w:highlight w:val="none"/>
          <w:lang w:val="en" w:eastAsia="zh-CN"/>
        </w:rPr>
        <w:t>附</w:t>
      </w:r>
      <w:r>
        <w:rPr>
          <w:rFonts w:hint="eastAsia" w:ascii="宋体" w:hAnsi="宋体" w:cs="宋体"/>
          <w:color w:val="auto"/>
          <w:szCs w:val="21"/>
          <w:highlight w:val="none"/>
          <w:lang w:val="en" w:eastAsia="zh-CN"/>
        </w:rPr>
        <w:t>件</w:t>
      </w:r>
      <w:r>
        <w:rPr>
          <w:rFonts w:hint="eastAsia" w:ascii="宋体" w:hAnsi="宋体" w:cs="宋体"/>
          <w:color w:val="auto"/>
          <w:szCs w:val="21"/>
          <w:highlight w:val="none"/>
          <w:lang w:val="en-US" w:eastAsia="zh-CN"/>
        </w:rPr>
        <w:t>11进度款支付申请（核准）表填写</w:t>
      </w:r>
      <w:r>
        <w:rPr>
          <w:rFonts w:hint="eastAsia" w:hAnsi="宋体" w:cs="宋体"/>
          <w:color w:val="auto"/>
          <w:highlight w:val="none"/>
        </w:rPr>
        <w:t>。</w:t>
      </w:r>
    </w:p>
    <w:p w14:paraId="5044F400">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12.5.4过程结算支付时间及支付比例</w:t>
      </w:r>
    </w:p>
    <w:p w14:paraId="473283B1">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（1）支付时间：在发承包双方签字确认过程结算文件后</w:t>
      </w:r>
      <w:r>
        <w:rPr>
          <w:rFonts w:hint="eastAsia" w:hAnsi="宋体" w:cs="宋体"/>
          <w:color w:val="auto"/>
          <w:highlight w:val="none"/>
          <w:u w:val="single"/>
        </w:rPr>
        <w:t xml:space="preserve">  </w:t>
      </w:r>
      <w:r>
        <w:rPr>
          <w:rFonts w:hint="eastAsia" w:hAnsi="宋体" w:cs="宋体"/>
          <w:color w:val="auto"/>
          <w:highlight w:val="none"/>
        </w:rPr>
        <w:t>天内按照合同约定的付款比例支付；</w:t>
      </w:r>
    </w:p>
    <w:p w14:paraId="585D32A2">
      <w:pPr>
        <w:spacing w:line="360" w:lineRule="auto"/>
        <w:ind w:firstLine="525" w:firstLineChars="250"/>
        <w:jc w:val="left"/>
        <w:rPr>
          <w:rFonts w:hint="eastAsia" w:hAnsi="宋体" w:cs="宋体"/>
          <w:color w:val="auto"/>
          <w:highlight w:val="none"/>
        </w:rPr>
      </w:pPr>
      <w:r>
        <w:rPr>
          <w:rFonts w:hint="eastAsia" w:hAnsi="宋体" w:cs="宋体"/>
          <w:color w:val="auto"/>
          <w:highlight w:val="none"/>
        </w:rPr>
        <w:t>（2）支付比例：按过程结算工程造价的</w:t>
      </w:r>
      <w:r>
        <w:rPr>
          <w:rFonts w:hint="eastAsia" w:hAnsi="宋体" w:cs="宋体"/>
          <w:color w:val="auto"/>
          <w:highlight w:val="none"/>
          <w:u w:val="single"/>
        </w:rPr>
        <w:t xml:space="preserve">   </w:t>
      </w:r>
      <w:r>
        <w:rPr>
          <w:rFonts w:hint="eastAsia" w:hAnsi="宋体" w:cs="宋体"/>
          <w:color w:val="auto"/>
          <w:highlight w:val="none"/>
        </w:rPr>
        <w:t>%（取值区间</w:t>
      </w:r>
      <w:r>
        <w:rPr>
          <w:rFonts w:hint="eastAsia" w:hAnsi="宋体" w:cs="宋体"/>
          <w:color w:val="auto"/>
          <w:highlight w:val="none"/>
          <w:lang w:eastAsia="zh-CN"/>
        </w:rPr>
        <w:t>90%—97%</w:t>
      </w:r>
      <w:r>
        <w:rPr>
          <w:rFonts w:hint="eastAsia" w:hAnsi="宋体" w:cs="宋体"/>
          <w:color w:val="auto"/>
          <w:highlight w:val="none"/>
        </w:rPr>
        <w:t>）</w:t>
      </w:r>
    </w:p>
    <w:p w14:paraId="6BD32D19">
      <w:pPr>
        <w:pStyle w:val="4"/>
        <w:outlineLvl w:val="2"/>
        <w:rPr>
          <w:color w:val="auto"/>
          <w:highlight w:val="none"/>
        </w:rPr>
      </w:pPr>
      <w:bookmarkStart w:id="385" w:name="_Toc29308"/>
      <w:r>
        <w:rPr>
          <w:color w:val="auto"/>
          <w:highlight w:val="none"/>
        </w:rPr>
        <w:t xml:space="preserve">13. </w:t>
      </w:r>
      <w:r>
        <w:rPr>
          <w:rFonts w:hint="eastAsia" w:cs="黑体"/>
          <w:color w:val="auto"/>
          <w:highlight w:val="none"/>
        </w:rPr>
        <w:t>验收和工程试车</w:t>
      </w:r>
      <w:bookmarkEnd w:id="385"/>
    </w:p>
    <w:p w14:paraId="1EAC7135">
      <w:pPr>
        <w:pStyle w:val="5"/>
        <w:jc w:val="left"/>
        <w:rPr>
          <w:rFonts w:hint="eastAsia" w:ascii="Arial" w:hAnsi="Arial" w:cs="黑体"/>
          <w:highlight w:val="none"/>
        </w:rPr>
      </w:pPr>
      <w:bookmarkStart w:id="386" w:name="_Toc23263"/>
      <w:bookmarkStart w:id="387" w:name="_Toc26423"/>
      <w:r>
        <w:rPr>
          <w:rFonts w:hint="eastAsia" w:ascii="Arial" w:hAnsi="Arial" w:cs="黑体"/>
          <w:highlight w:val="none"/>
        </w:rPr>
        <w:t>13.1 分部分项工程验收</w:t>
      </w:r>
      <w:bookmarkEnd w:id="386"/>
      <w:bookmarkEnd w:id="387"/>
    </w:p>
    <w:p w14:paraId="44F61444">
      <w:pPr>
        <w:spacing w:line="360" w:lineRule="auto"/>
        <w:ind w:firstLine="420" w:firstLineChars="200"/>
        <w:jc w:val="left"/>
        <w:rPr>
          <w:color w:val="auto"/>
          <w:highlight w:val="none"/>
        </w:rPr>
      </w:pPr>
      <w:r>
        <w:rPr>
          <w:color w:val="auto"/>
          <w:highlight w:val="none"/>
        </w:rPr>
        <w:t>13.1.2</w:t>
      </w:r>
      <w:r>
        <w:rPr>
          <w:rFonts w:hint="eastAsia" w:hAnsi="宋体" w:cs="宋体"/>
          <w:color w:val="auto"/>
          <w:highlight w:val="none"/>
        </w:rPr>
        <w:t>监理人不能按时进行验收时，应提前</w:t>
      </w:r>
      <w:r>
        <w:rPr>
          <w:color w:val="auto"/>
          <w:highlight w:val="none"/>
          <w:u w:val="single"/>
        </w:rPr>
        <w:t xml:space="preserve">  </w:t>
      </w:r>
      <w:r>
        <w:rPr>
          <w:rFonts w:hint="eastAsia"/>
          <w:color w:val="auto"/>
          <w:highlight w:val="none"/>
          <w:u w:val="single"/>
          <w:lang w:val="en-US" w:eastAsia="zh-CN"/>
        </w:rPr>
        <w:t>24</w:t>
      </w:r>
      <w:r>
        <w:rPr>
          <w:rFonts w:hint="eastAsia" w:hAnsi="宋体" w:cs="宋体"/>
          <w:color w:val="auto"/>
          <w:highlight w:val="none"/>
        </w:rPr>
        <w:t>小时提交书面延期要求。</w:t>
      </w:r>
    </w:p>
    <w:p w14:paraId="72B8F514">
      <w:pPr>
        <w:spacing w:line="360" w:lineRule="auto"/>
        <w:ind w:firstLine="420" w:firstLineChars="200"/>
        <w:jc w:val="left"/>
        <w:rPr>
          <w:b/>
          <w:bCs/>
          <w:color w:val="auto"/>
          <w:highlight w:val="none"/>
        </w:rPr>
      </w:pPr>
      <w:r>
        <w:rPr>
          <w:rFonts w:hint="eastAsia" w:hAnsi="宋体" w:cs="宋体"/>
          <w:color w:val="auto"/>
          <w:highlight w:val="none"/>
        </w:rPr>
        <w:t>关于延期最长不得超过：</w:t>
      </w:r>
      <w:r>
        <w:rPr>
          <w:color w:val="auto"/>
          <w:highlight w:val="none"/>
          <w:u w:val="single"/>
        </w:rPr>
        <w:t xml:space="preserve">  </w:t>
      </w:r>
      <w:r>
        <w:rPr>
          <w:rFonts w:hint="eastAsia"/>
          <w:color w:val="auto"/>
          <w:highlight w:val="none"/>
          <w:u w:val="single"/>
          <w:lang w:val="en-US" w:eastAsia="zh-CN"/>
        </w:rPr>
        <w:t>48</w:t>
      </w:r>
      <w:r>
        <w:rPr>
          <w:color w:val="auto"/>
          <w:highlight w:val="none"/>
          <w:u w:val="single"/>
        </w:rPr>
        <w:t xml:space="preserve">   </w:t>
      </w:r>
      <w:r>
        <w:rPr>
          <w:rFonts w:hint="eastAsia" w:hAnsi="宋体" w:cs="宋体"/>
          <w:color w:val="auto"/>
          <w:highlight w:val="none"/>
        </w:rPr>
        <w:t>小时。</w:t>
      </w:r>
    </w:p>
    <w:p w14:paraId="60FD03BD">
      <w:pPr>
        <w:pStyle w:val="5"/>
        <w:jc w:val="left"/>
        <w:rPr>
          <w:rFonts w:hint="eastAsia" w:ascii="Arial" w:hAnsi="Arial" w:cs="黑体"/>
          <w:highlight w:val="none"/>
        </w:rPr>
      </w:pPr>
      <w:bookmarkStart w:id="388" w:name="_Toc8842"/>
      <w:bookmarkStart w:id="389" w:name="_Toc24981"/>
      <w:r>
        <w:rPr>
          <w:rFonts w:hint="eastAsia" w:ascii="Arial" w:hAnsi="Arial" w:cs="黑体"/>
          <w:highlight w:val="none"/>
        </w:rPr>
        <w:t>13.2 竣工验收</w:t>
      </w:r>
      <w:bookmarkEnd w:id="388"/>
      <w:bookmarkEnd w:id="389"/>
    </w:p>
    <w:p w14:paraId="6785AC7D">
      <w:pPr>
        <w:spacing w:line="360" w:lineRule="auto"/>
        <w:ind w:firstLine="420" w:firstLineChars="200"/>
        <w:jc w:val="left"/>
        <w:rPr>
          <w:color w:val="auto"/>
          <w:highlight w:val="none"/>
        </w:rPr>
      </w:pPr>
      <w:r>
        <w:rPr>
          <w:color w:val="auto"/>
          <w:highlight w:val="none"/>
        </w:rPr>
        <w:t>13.2.1</w:t>
      </w:r>
      <w:r>
        <w:rPr>
          <w:rFonts w:hint="eastAsia" w:hAnsi="宋体" w:cs="宋体"/>
          <w:color w:val="auto"/>
          <w:highlight w:val="none"/>
        </w:rPr>
        <w:t>竣工验收条件</w:t>
      </w:r>
    </w:p>
    <w:p w14:paraId="3F95AAEA">
      <w:pPr>
        <w:spacing w:line="360" w:lineRule="auto"/>
        <w:ind w:firstLine="420" w:firstLineChars="200"/>
        <w:rPr>
          <w:color w:val="auto"/>
          <w:highlight w:val="none"/>
        </w:rPr>
      </w:pPr>
      <w:r>
        <w:rPr>
          <w:rFonts w:hint="eastAsia" w:cs="宋体"/>
          <w:color w:val="auto"/>
          <w:highlight w:val="none"/>
        </w:rPr>
        <w:t>（</w:t>
      </w:r>
      <w:r>
        <w:rPr>
          <w:color w:val="auto"/>
          <w:highlight w:val="none"/>
        </w:rPr>
        <w:t>3</w:t>
      </w:r>
      <w:r>
        <w:rPr>
          <w:rFonts w:hint="eastAsia" w:cs="宋体"/>
          <w:color w:val="auto"/>
          <w:highlight w:val="none"/>
        </w:rPr>
        <w:t>）</w:t>
      </w:r>
      <w:r>
        <w:rPr>
          <w:rFonts w:hint="eastAsia" w:hAnsi="宋体" w:cs="宋体"/>
          <w:color w:val="auto"/>
          <w:highlight w:val="none"/>
        </w:rPr>
        <w:t>承包人负责整理和提交的竣工验收资料应当符合工程所在地建设行政主管部门和</w:t>
      </w:r>
      <w:r>
        <w:rPr>
          <w:rFonts w:hint="eastAsia" w:hAnsi="宋体" w:cs="宋体"/>
          <w:color w:val="auto"/>
          <w:highlight w:val="none"/>
          <w:lang w:eastAsia="zh-CN"/>
        </w:rPr>
        <w:t>（</w:t>
      </w:r>
      <w:r>
        <w:rPr>
          <w:rFonts w:hint="eastAsia" w:hAnsi="宋体" w:cs="宋体"/>
          <w:color w:val="auto"/>
          <w:highlight w:val="none"/>
        </w:rPr>
        <w:t>或</w:t>
      </w:r>
      <w:r>
        <w:rPr>
          <w:rFonts w:hint="eastAsia" w:hAnsi="宋体" w:cs="宋体"/>
          <w:color w:val="auto"/>
          <w:highlight w:val="none"/>
          <w:lang w:eastAsia="zh-CN"/>
        </w:rPr>
        <w:t>）</w:t>
      </w:r>
      <w:r>
        <w:rPr>
          <w:rFonts w:hint="eastAsia" w:hAnsi="宋体" w:cs="宋体"/>
          <w:color w:val="auto"/>
          <w:highlight w:val="none"/>
        </w:rPr>
        <w:t>城市建设档案管理机构有关施工资料的要求，具体内容包括：</w:t>
      </w:r>
      <w:r>
        <w:rPr>
          <w:color w:val="auto"/>
          <w:highlight w:val="none"/>
          <w:u w:val="single"/>
        </w:rPr>
        <w:t xml:space="preserve">   符合要求的完整施工资料     </w:t>
      </w:r>
      <w:r>
        <w:rPr>
          <w:rFonts w:hint="eastAsia" w:hAnsi="宋体" w:cs="宋体"/>
          <w:color w:val="auto"/>
          <w:highlight w:val="none"/>
        </w:rPr>
        <w:t>。</w:t>
      </w:r>
    </w:p>
    <w:p w14:paraId="45F613D6">
      <w:pPr>
        <w:spacing w:line="360" w:lineRule="auto"/>
        <w:ind w:firstLine="420" w:firstLineChars="200"/>
        <w:rPr>
          <w:color w:val="auto"/>
          <w:highlight w:val="none"/>
        </w:rPr>
      </w:pPr>
      <w:r>
        <w:rPr>
          <w:rFonts w:hint="eastAsia" w:hAnsi="宋体" w:cs="宋体"/>
          <w:color w:val="auto"/>
          <w:highlight w:val="none"/>
        </w:rPr>
        <w:t>竣工验收资料的份数：</w:t>
      </w:r>
      <w:r>
        <w:rPr>
          <w:color w:val="auto"/>
          <w:highlight w:val="none"/>
          <w:u w:val="single"/>
        </w:rPr>
        <w:t xml:space="preserve"> 一式捌份  </w:t>
      </w:r>
      <w:r>
        <w:rPr>
          <w:rFonts w:hint="eastAsia" w:hAnsi="宋体" w:cs="宋体"/>
          <w:color w:val="auto"/>
          <w:highlight w:val="none"/>
        </w:rPr>
        <w:t>。</w:t>
      </w:r>
    </w:p>
    <w:p w14:paraId="27F3A752">
      <w:pPr>
        <w:spacing w:line="360" w:lineRule="auto"/>
        <w:ind w:firstLine="420" w:firstLineChars="200"/>
        <w:jc w:val="left"/>
        <w:rPr>
          <w:color w:val="auto"/>
          <w:highlight w:val="none"/>
        </w:rPr>
      </w:pPr>
      <w:r>
        <w:rPr>
          <w:rFonts w:hint="eastAsia" w:hAnsi="宋体" w:cs="宋体"/>
          <w:color w:val="auto"/>
          <w:highlight w:val="none"/>
        </w:rPr>
        <w:t>承包人提供竣工图的约定：</w:t>
      </w:r>
      <w:r>
        <w:rPr>
          <w:rFonts w:hint="eastAsia" w:hAnsi="宋体" w:cs="宋体"/>
          <w:color w:val="auto"/>
          <w:highlight w:val="none"/>
          <w:u w:val="single"/>
        </w:rPr>
        <w:t>竣工验收正式通过后</w:t>
      </w:r>
      <w:r>
        <w:rPr>
          <w:color w:val="auto"/>
          <w:highlight w:val="none"/>
          <w:u w:val="single"/>
        </w:rPr>
        <w:t>5</w:t>
      </w:r>
      <w:r>
        <w:rPr>
          <w:rFonts w:hint="eastAsia" w:hAnsi="宋体" w:cs="宋体"/>
          <w:color w:val="auto"/>
          <w:highlight w:val="none"/>
          <w:u w:val="single"/>
        </w:rPr>
        <w:t>天（工程造价在</w:t>
      </w:r>
      <w:r>
        <w:rPr>
          <w:color w:val="auto"/>
          <w:highlight w:val="none"/>
          <w:u w:val="single"/>
        </w:rPr>
        <w:t>500</w:t>
      </w:r>
      <w:r>
        <w:rPr>
          <w:rFonts w:hint="eastAsia" w:hAnsi="宋体" w:cs="宋体"/>
          <w:color w:val="auto"/>
          <w:highlight w:val="none"/>
          <w:u w:val="single"/>
        </w:rPr>
        <w:t>万元以下含</w:t>
      </w:r>
      <w:r>
        <w:rPr>
          <w:color w:val="auto"/>
          <w:highlight w:val="none"/>
          <w:u w:val="single"/>
        </w:rPr>
        <w:t>500</w:t>
      </w:r>
      <w:r>
        <w:rPr>
          <w:rFonts w:hint="eastAsia" w:hAnsi="宋体" w:cs="宋体"/>
          <w:color w:val="auto"/>
          <w:highlight w:val="none"/>
          <w:u w:val="single"/>
        </w:rPr>
        <w:t>万元）、</w:t>
      </w:r>
      <w:r>
        <w:rPr>
          <w:color w:val="auto"/>
          <w:highlight w:val="none"/>
          <w:u w:val="single"/>
        </w:rPr>
        <w:t>10</w:t>
      </w:r>
      <w:r>
        <w:rPr>
          <w:rFonts w:hint="eastAsia" w:hAnsi="宋体" w:cs="宋体"/>
          <w:color w:val="auto"/>
          <w:highlight w:val="none"/>
          <w:u w:val="single"/>
        </w:rPr>
        <w:t>天（工程造价在</w:t>
      </w:r>
      <w:r>
        <w:rPr>
          <w:color w:val="auto"/>
          <w:highlight w:val="none"/>
          <w:u w:val="single"/>
        </w:rPr>
        <w:t>500</w:t>
      </w:r>
      <w:r>
        <w:rPr>
          <w:rFonts w:hint="eastAsia" w:hAnsi="宋体" w:cs="宋体"/>
          <w:color w:val="auto"/>
          <w:highlight w:val="none"/>
          <w:u w:val="single"/>
        </w:rPr>
        <w:t>万元至</w:t>
      </w:r>
      <w:r>
        <w:rPr>
          <w:color w:val="auto"/>
          <w:highlight w:val="none"/>
          <w:u w:val="single"/>
        </w:rPr>
        <w:t>1000</w:t>
      </w:r>
      <w:r>
        <w:rPr>
          <w:rFonts w:hint="eastAsia" w:hAnsi="宋体" w:cs="宋体"/>
          <w:color w:val="auto"/>
          <w:highlight w:val="none"/>
          <w:u w:val="single"/>
        </w:rPr>
        <w:t>万元之间含</w:t>
      </w:r>
      <w:r>
        <w:rPr>
          <w:color w:val="auto"/>
          <w:highlight w:val="none"/>
          <w:u w:val="single"/>
        </w:rPr>
        <w:t>1000</w:t>
      </w:r>
      <w:r>
        <w:rPr>
          <w:rFonts w:hint="eastAsia" w:hAnsi="宋体" w:cs="宋体"/>
          <w:color w:val="auto"/>
          <w:highlight w:val="none"/>
          <w:u w:val="single"/>
        </w:rPr>
        <w:t>万元）、</w:t>
      </w:r>
      <w:r>
        <w:rPr>
          <w:color w:val="auto"/>
          <w:highlight w:val="none"/>
          <w:u w:val="single"/>
        </w:rPr>
        <w:t>15</w:t>
      </w:r>
      <w:r>
        <w:rPr>
          <w:rFonts w:hint="eastAsia" w:hAnsi="宋体" w:cs="宋体"/>
          <w:color w:val="auto"/>
          <w:highlight w:val="none"/>
          <w:u w:val="single"/>
        </w:rPr>
        <w:t>天（工程造价在</w:t>
      </w:r>
      <w:r>
        <w:rPr>
          <w:color w:val="auto"/>
          <w:highlight w:val="none"/>
          <w:u w:val="single"/>
        </w:rPr>
        <w:t>1000</w:t>
      </w:r>
      <w:r>
        <w:rPr>
          <w:rFonts w:hint="eastAsia" w:hAnsi="宋体" w:cs="宋体"/>
          <w:color w:val="auto"/>
          <w:highlight w:val="none"/>
          <w:u w:val="single"/>
        </w:rPr>
        <w:t>万元以上），提供竣工图的数量分别为</w:t>
      </w:r>
      <w:r>
        <w:rPr>
          <w:color w:val="auto"/>
          <w:highlight w:val="none"/>
          <w:u w:val="single"/>
        </w:rPr>
        <w:t>2</w:t>
      </w:r>
      <w:r>
        <w:rPr>
          <w:rFonts w:hint="eastAsia" w:hAnsi="宋体" w:cs="宋体"/>
          <w:color w:val="auto"/>
          <w:highlight w:val="none"/>
          <w:u w:val="single"/>
        </w:rPr>
        <w:t>套、</w:t>
      </w:r>
      <w:r>
        <w:rPr>
          <w:color w:val="auto"/>
          <w:highlight w:val="none"/>
          <w:u w:val="single"/>
        </w:rPr>
        <w:t>4</w:t>
      </w:r>
      <w:r>
        <w:rPr>
          <w:rFonts w:hint="eastAsia" w:hAnsi="宋体" w:cs="宋体"/>
          <w:color w:val="auto"/>
          <w:highlight w:val="none"/>
          <w:u w:val="single"/>
        </w:rPr>
        <w:t>套、</w:t>
      </w:r>
      <w:r>
        <w:rPr>
          <w:color w:val="auto"/>
          <w:highlight w:val="none"/>
          <w:u w:val="single"/>
        </w:rPr>
        <w:t>6</w:t>
      </w:r>
      <w:r>
        <w:rPr>
          <w:rFonts w:hint="eastAsia" w:hAnsi="宋体" w:cs="宋体"/>
          <w:color w:val="auto"/>
          <w:highlight w:val="none"/>
          <w:u w:val="single"/>
        </w:rPr>
        <w:t>套。</w:t>
      </w:r>
    </w:p>
    <w:p w14:paraId="2BC8BC69">
      <w:pPr>
        <w:spacing w:line="360" w:lineRule="auto"/>
        <w:ind w:firstLine="420" w:firstLineChars="200"/>
        <w:jc w:val="left"/>
        <w:rPr>
          <w:color w:val="auto"/>
          <w:highlight w:val="none"/>
        </w:rPr>
      </w:pPr>
      <w:r>
        <w:rPr>
          <w:color w:val="auto"/>
          <w:highlight w:val="none"/>
        </w:rPr>
        <w:t>13.2.2</w:t>
      </w:r>
      <w:r>
        <w:rPr>
          <w:rFonts w:hint="eastAsia" w:hAnsi="宋体" w:cs="宋体"/>
          <w:color w:val="auto"/>
          <w:highlight w:val="none"/>
        </w:rPr>
        <w:t>竣工验收程序</w:t>
      </w:r>
    </w:p>
    <w:p w14:paraId="70F8C1D9">
      <w:pPr>
        <w:spacing w:line="360" w:lineRule="auto"/>
        <w:ind w:firstLine="420" w:firstLineChars="200"/>
        <w:jc w:val="left"/>
        <w:rPr>
          <w:color w:val="auto"/>
          <w:highlight w:val="none"/>
          <w:u w:val="single"/>
        </w:rPr>
      </w:pPr>
      <w:r>
        <w:rPr>
          <w:rFonts w:hint="eastAsia" w:hAnsi="宋体" w:cs="宋体"/>
          <w:color w:val="auto"/>
          <w:kern w:val="0"/>
          <w:highlight w:val="none"/>
        </w:rPr>
        <w:t>关于竣工验收程序的约定：</w:t>
      </w:r>
      <w:r>
        <w:rPr>
          <w:color w:val="auto"/>
          <w:highlight w:val="none"/>
          <w:u w:val="single"/>
        </w:rPr>
        <w:t xml:space="preserve">  </w:t>
      </w:r>
      <w:r>
        <w:rPr>
          <w:rFonts w:ascii="Arial" w:hAnsi="Arial" w:cs="Arial"/>
          <w:color w:val="000000"/>
          <w:highlight w:val="none"/>
          <w:u w:val="single"/>
        </w:rPr>
        <w:t>按国家有关验收规范执行</w:t>
      </w:r>
      <w:r>
        <w:rPr>
          <w:color w:val="auto"/>
          <w:highlight w:val="none"/>
          <w:u w:val="single"/>
        </w:rPr>
        <w:t xml:space="preserve">      </w:t>
      </w:r>
      <w:r>
        <w:rPr>
          <w:rFonts w:hint="eastAsia" w:hAnsi="宋体" w:cs="宋体"/>
          <w:color w:val="auto"/>
          <w:highlight w:val="none"/>
        </w:rPr>
        <w:t>。</w:t>
      </w:r>
    </w:p>
    <w:p w14:paraId="5E1F2025">
      <w:pPr>
        <w:spacing w:line="360" w:lineRule="auto"/>
        <w:jc w:val="left"/>
        <w:rPr>
          <w:color w:val="auto"/>
          <w:highlight w:val="none"/>
        </w:rPr>
      </w:pPr>
      <w:r>
        <w:rPr>
          <w:rFonts w:hint="eastAsia" w:hAnsi="宋体" w:cs="宋体"/>
          <w:color w:val="auto"/>
          <w:kern w:val="0"/>
          <w:highlight w:val="none"/>
        </w:rPr>
        <w:t>发包人不按照本项约定组织竣工验收、颁发工程接收证书的违约金的计算方法：</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2BCC290B">
      <w:pPr>
        <w:spacing w:line="360" w:lineRule="auto"/>
        <w:ind w:firstLine="420" w:firstLineChars="200"/>
        <w:jc w:val="left"/>
        <w:rPr>
          <w:color w:val="auto"/>
          <w:highlight w:val="none"/>
        </w:rPr>
      </w:pPr>
      <w:r>
        <w:rPr>
          <w:color w:val="auto"/>
          <w:highlight w:val="none"/>
        </w:rPr>
        <w:t>13.2.5</w:t>
      </w:r>
      <w:r>
        <w:rPr>
          <w:rFonts w:hint="eastAsia" w:hAnsi="宋体" w:cs="宋体"/>
          <w:color w:val="auto"/>
          <w:highlight w:val="none"/>
        </w:rPr>
        <w:t>移交、接收全部与部分工程</w:t>
      </w:r>
    </w:p>
    <w:p w14:paraId="1706F84F">
      <w:pPr>
        <w:spacing w:line="360" w:lineRule="auto"/>
        <w:ind w:firstLine="420" w:firstLineChars="200"/>
        <w:jc w:val="left"/>
        <w:rPr>
          <w:color w:val="auto"/>
          <w:kern w:val="0"/>
          <w:highlight w:val="none"/>
        </w:rPr>
      </w:pPr>
      <w:r>
        <w:rPr>
          <w:rFonts w:hint="eastAsia" w:hAnsi="宋体" w:cs="宋体"/>
          <w:color w:val="auto"/>
          <w:kern w:val="0"/>
          <w:highlight w:val="none"/>
        </w:rPr>
        <w:t>承包人向发包人移交工程的期限：</w:t>
      </w:r>
      <w:r>
        <w:rPr>
          <w:color w:val="auto"/>
          <w:highlight w:val="none"/>
          <w:u w:val="single"/>
        </w:rPr>
        <w:t xml:space="preserve">  </w:t>
      </w:r>
      <w:r>
        <w:rPr>
          <w:rFonts w:ascii="Arial" w:hAnsi="Arial" w:cs="Arial"/>
          <w:color w:val="000000"/>
          <w:highlight w:val="none"/>
          <w:u w:val="single"/>
        </w:rPr>
        <w:t>颁发工程接收合格证书后7天内</w:t>
      </w:r>
      <w:r>
        <w:rPr>
          <w:color w:val="auto"/>
          <w:highlight w:val="none"/>
          <w:u w:val="single"/>
        </w:rPr>
        <w:t xml:space="preserve">   </w:t>
      </w:r>
      <w:r>
        <w:rPr>
          <w:rFonts w:hint="eastAsia" w:hAnsi="宋体" w:cs="宋体"/>
          <w:color w:val="auto"/>
          <w:highlight w:val="none"/>
        </w:rPr>
        <w:t>。</w:t>
      </w:r>
    </w:p>
    <w:p w14:paraId="50CDB27A">
      <w:pPr>
        <w:spacing w:line="360" w:lineRule="auto"/>
        <w:ind w:firstLine="420" w:firstLineChars="200"/>
        <w:jc w:val="left"/>
        <w:rPr>
          <w:color w:val="auto"/>
          <w:highlight w:val="none"/>
          <w:u w:val="single"/>
        </w:rPr>
      </w:pPr>
      <w:r>
        <w:rPr>
          <w:rFonts w:hint="eastAsia" w:hAnsi="宋体" w:cs="宋体"/>
          <w:color w:val="auto"/>
          <w:kern w:val="0"/>
          <w:highlight w:val="none"/>
        </w:rPr>
        <w:t>发包人未按本合同约定接收全部或部分工程的，违约金的计算方法为：</w:t>
      </w:r>
      <w:r>
        <w:rPr>
          <w:color w:val="auto"/>
          <w:highlight w:val="none"/>
          <w:u w:val="single"/>
        </w:rPr>
        <w:t xml:space="preserve">  </w:t>
      </w:r>
      <w:r>
        <w:rPr>
          <w:rFonts w:hint="eastAsia"/>
          <w:color w:val="auto"/>
          <w:highlight w:val="none"/>
          <w:u w:val="single"/>
          <w:lang w:eastAsia="zh-CN"/>
        </w:rPr>
        <w:t>无</w:t>
      </w:r>
      <w:r>
        <w:rPr>
          <w:color w:val="auto"/>
          <w:highlight w:val="none"/>
          <w:u w:val="single"/>
        </w:rPr>
        <w:t xml:space="preserve">   </w:t>
      </w:r>
      <w:r>
        <w:rPr>
          <w:rFonts w:hint="eastAsia" w:hAnsi="宋体" w:cs="宋体"/>
          <w:color w:val="auto"/>
          <w:highlight w:val="none"/>
        </w:rPr>
        <w:t>。</w:t>
      </w:r>
    </w:p>
    <w:p w14:paraId="7A6B9C76">
      <w:pPr>
        <w:spacing w:line="360" w:lineRule="auto"/>
        <w:ind w:firstLine="420" w:firstLineChars="200"/>
        <w:jc w:val="left"/>
        <w:rPr>
          <w:color w:val="auto"/>
          <w:highlight w:val="none"/>
          <w:u w:val="single"/>
        </w:rPr>
      </w:pPr>
      <w:r>
        <w:rPr>
          <w:rFonts w:hint="eastAsia" w:hAnsi="宋体" w:cs="宋体"/>
          <w:color w:val="auto"/>
          <w:highlight w:val="none"/>
        </w:rPr>
        <w:t>承包人未按时移交工程的，违约金的计算方法为：</w:t>
      </w:r>
      <w:r>
        <w:rPr>
          <w:color w:val="auto"/>
          <w:highlight w:val="none"/>
          <w:u w:val="single"/>
        </w:rPr>
        <w:t xml:space="preserve">  承包人承担工程照管、成品保护、保管等与工程有关的各项费用，每逾期1天，承包人还应按合同总价的2‰/日向发包人支付违约金，限额为合同价的</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w:t>
      </w:r>
    </w:p>
    <w:p w14:paraId="4532862C">
      <w:pPr>
        <w:pStyle w:val="5"/>
        <w:jc w:val="left"/>
        <w:rPr>
          <w:color w:val="auto"/>
          <w:highlight w:val="none"/>
        </w:rPr>
      </w:pPr>
      <w:bookmarkStart w:id="390" w:name="_Toc24630"/>
      <w:bookmarkStart w:id="391" w:name="_Toc1727"/>
      <w:r>
        <w:rPr>
          <w:rFonts w:hint="eastAsia" w:ascii="Arial" w:hAnsi="Arial" w:cs="黑体"/>
          <w:highlight w:val="none"/>
        </w:rPr>
        <w:t>13.3 工程试车</w:t>
      </w:r>
      <w:bookmarkEnd w:id="390"/>
      <w:bookmarkEnd w:id="391"/>
    </w:p>
    <w:p w14:paraId="643FE70A">
      <w:pPr>
        <w:spacing w:line="360" w:lineRule="auto"/>
        <w:ind w:firstLine="420" w:firstLineChars="200"/>
        <w:jc w:val="left"/>
        <w:rPr>
          <w:color w:val="auto"/>
          <w:kern w:val="0"/>
          <w:highlight w:val="none"/>
        </w:rPr>
      </w:pPr>
      <w:r>
        <w:rPr>
          <w:color w:val="auto"/>
          <w:kern w:val="0"/>
          <w:highlight w:val="none"/>
        </w:rPr>
        <w:t xml:space="preserve">13.3.1 </w:t>
      </w:r>
      <w:r>
        <w:rPr>
          <w:rFonts w:hint="eastAsia" w:hAnsi="宋体" w:cs="宋体"/>
          <w:color w:val="auto"/>
          <w:kern w:val="0"/>
          <w:highlight w:val="none"/>
        </w:rPr>
        <w:t>试车程序</w:t>
      </w:r>
    </w:p>
    <w:p w14:paraId="2C916DD4">
      <w:pPr>
        <w:spacing w:line="360" w:lineRule="auto"/>
        <w:ind w:firstLine="420" w:firstLineChars="200"/>
        <w:jc w:val="left"/>
        <w:rPr>
          <w:color w:val="auto"/>
          <w:highlight w:val="none"/>
          <w:u w:val="single"/>
        </w:rPr>
      </w:pPr>
      <w:r>
        <w:rPr>
          <w:rFonts w:hint="eastAsia" w:hAnsi="宋体" w:cs="宋体"/>
          <w:color w:val="auto"/>
          <w:kern w:val="0"/>
          <w:highlight w:val="none"/>
        </w:rPr>
        <w:t>工程试车内容：</w:t>
      </w:r>
      <w:r>
        <w:rPr>
          <w:color w:val="auto"/>
          <w:highlight w:val="none"/>
          <w:u w:val="single"/>
        </w:rPr>
        <w:t xml:space="preserve">    按通用合同条款执行        </w:t>
      </w:r>
      <w:r>
        <w:rPr>
          <w:rFonts w:hint="eastAsia" w:hAnsi="宋体" w:cs="宋体"/>
          <w:color w:val="auto"/>
          <w:highlight w:val="none"/>
        </w:rPr>
        <w:t>。</w:t>
      </w:r>
    </w:p>
    <w:p w14:paraId="10FF7B10">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1</w:t>
      </w:r>
      <w:r>
        <w:rPr>
          <w:rFonts w:hint="eastAsia" w:hAnsi="宋体" w:cs="宋体"/>
          <w:color w:val="auto"/>
          <w:kern w:val="0"/>
          <w:highlight w:val="none"/>
        </w:rPr>
        <w:t>）单机无负荷试车费用由</w:t>
      </w:r>
      <w:r>
        <w:rPr>
          <w:color w:val="auto"/>
          <w:highlight w:val="none"/>
          <w:u w:val="single"/>
        </w:rPr>
        <w:t xml:space="preserve">   </w:t>
      </w:r>
      <w:r>
        <w:rPr>
          <w:rFonts w:ascii="Arial" w:hAnsi="Arial" w:cs="Arial"/>
          <w:color w:val="000000"/>
          <w:highlight w:val="none"/>
          <w:u w:val="single"/>
        </w:rPr>
        <w:t>承包人</w:t>
      </w:r>
      <w:r>
        <w:rPr>
          <w:color w:val="auto"/>
          <w:highlight w:val="none"/>
          <w:u w:val="single"/>
        </w:rPr>
        <w:t xml:space="preserve">     </w:t>
      </w:r>
      <w:r>
        <w:rPr>
          <w:rFonts w:hint="eastAsia" w:hAnsi="宋体" w:cs="宋体"/>
          <w:color w:val="auto"/>
          <w:kern w:val="0"/>
          <w:highlight w:val="none"/>
        </w:rPr>
        <w:t>承担；</w:t>
      </w:r>
    </w:p>
    <w:p w14:paraId="73D6FB1B">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2</w:t>
      </w:r>
      <w:r>
        <w:rPr>
          <w:rFonts w:hint="eastAsia" w:hAnsi="宋体" w:cs="宋体"/>
          <w:color w:val="auto"/>
          <w:kern w:val="0"/>
          <w:highlight w:val="none"/>
        </w:rPr>
        <w:t>）无负荷联动试车费用由</w:t>
      </w:r>
      <w:r>
        <w:rPr>
          <w:color w:val="auto"/>
          <w:highlight w:val="none"/>
          <w:u w:val="single"/>
        </w:rPr>
        <w:t xml:space="preserve">    </w:t>
      </w:r>
      <w:r>
        <w:rPr>
          <w:rFonts w:ascii="Arial" w:hAnsi="Arial" w:cs="Arial"/>
          <w:color w:val="000000"/>
          <w:highlight w:val="none"/>
          <w:u w:val="single"/>
        </w:rPr>
        <w:t>承包人</w:t>
      </w:r>
      <w:r>
        <w:rPr>
          <w:color w:val="auto"/>
          <w:highlight w:val="none"/>
          <w:u w:val="single"/>
        </w:rPr>
        <w:t xml:space="preserve">     </w:t>
      </w:r>
      <w:r>
        <w:rPr>
          <w:rFonts w:hint="eastAsia" w:hAnsi="宋体" w:cs="宋体"/>
          <w:color w:val="auto"/>
          <w:kern w:val="0"/>
          <w:highlight w:val="none"/>
        </w:rPr>
        <w:t>承担。</w:t>
      </w:r>
    </w:p>
    <w:p w14:paraId="2C74C361">
      <w:pPr>
        <w:spacing w:line="360" w:lineRule="auto"/>
        <w:ind w:firstLine="420" w:firstLineChars="200"/>
        <w:jc w:val="left"/>
        <w:rPr>
          <w:color w:val="auto"/>
          <w:kern w:val="0"/>
          <w:highlight w:val="none"/>
        </w:rPr>
      </w:pPr>
      <w:r>
        <w:rPr>
          <w:color w:val="auto"/>
          <w:kern w:val="0"/>
          <w:highlight w:val="none"/>
        </w:rPr>
        <w:t xml:space="preserve">13.3.3 </w:t>
      </w:r>
      <w:r>
        <w:rPr>
          <w:rFonts w:hint="eastAsia" w:hAnsi="宋体" w:cs="宋体"/>
          <w:color w:val="auto"/>
          <w:kern w:val="0"/>
          <w:highlight w:val="none"/>
        </w:rPr>
        <w:t>投料试车</w:t>
      </w:r>
    </w:p>
    <w:p w14:paraId="6AD39003">
      <w:pPr>
        <w:spacing w:line="360" w:lineRule="auto"/>
        <w:ind w:firstLine="420" w:firstLineChars="200"/>
        <w:jc w:val="left"/>
        <w:rPr>
          <w:color w:val="auto"/>
          <w:highlight w:val="none"/>
          <w:u w:val="single"/>
        </w:rPr>
      </w:pPr>
      <w:r>
        <w:rPr>
          <w:rFonts w:hint="eastAsia" w:hAnsi="宋体" w:cs="宋体"/>
          <w:color w:val="auto"/>
          <w:kern w:val="0"/>
          <w:highlight w:val="none"/>
        </w:rPr>
        <w:t>关于投料试车相关事项的约定：</w:t>
      </w:r>
      <w:r>
        <w:rPr>
          <w:color w:val="auto"/>
          <w:highlight w:val="none"/>
          <w:u w:val="single"/>
        </w:rPr>
        <w:t xml:space="preserve">   </w:t>
      </w:r>
      <w:r>
        <w:rPr>
          <w:rFonts w:ascii="Arial" w:hAnsi="Arial" w:cs="Arial"/>
          <w:color w:val="000000"/>
          <w:highlight w:val="none"/>
          <w:u w:val="single"/>
        </w:rPr>
        <w:t>按通用合同条款</w:t>
      </w:r>
      <w:r>
        <w:rPr>
          <w:color w:val="auto"/>
          <w:highlight w:val="none"/>
          <w:u w:val="single"/>
        </w:rPr>
        <w:t xml:space="preserve">    </w:t>
      </w:r>
      <w:r>
        <w:rPr>
          <w:rFonts w:hint="eastAsia" w:hAnsi="宋体" w:cs="宋体"/>
          <w:color w:val="auto"/>
          <w:highlight w:val="none"/>
        </w:rPr>
        <w:t>。</w:t>
      </w:r>
    </w:p>
    <w:p w14:paraId="69DDCDA9">
      <w:pPr>
        <w:pStyle w:val="5"/>
        <w:jc w:val="left"/>
        <w:rPr>
          <w:color w:val="auto"/>
          <w:highlight w:val="none"/>
        </w:rPr>
      </w:pPr>
      <w:bookmarkStart w:id="392" w:name="_Toc22225"/>
      <w:bookmarkStart w:id="393" w:name="_Toc12147"/>
      <w:r>
        <w:rPr>
          <w:rFonts w:hint="eastAsia" w:ascii="Arial" w:hAnsi="Arial" w:cs="黑体"/>
          <w:highlight w:val="none"/>
        </w:rPr>
        <w:t>13.6 竣工退场</w:t>
      </w:r>
      <w:bookmarkEnd w:id="392"/>
      <w:bookmarkEnd w:id="393"/>
    </w:p>
    <w:p w14:paraId="5CBDAFF8">
      <w:pPr>
        <w:spacing w:line="360" w:lineRule="auto"/>
        <w:ind w:firstLine="420" w:firstLineChars="200"/>
        <w:jc w:val="left"/>
        <w:outlineLvl w:val="9"/>
        <w:rPr>
          <w:color w:val="auto"/>
          <w:kern w:val="0"/>
          <w:highlight w:val="none"/>
        </w:rPr>
      </w:pPr>
      <w:r>
        <w:rPr>
          <w:color w:val="auto"/>
          <w:kern w:val="0"/>
          <w:highlight w:val="none"/>
        </w:rPr>
        <w:t xml:space="preserve">13.6.1 </w:t>
      </w:r>
      <w:r>
        <w:rPr>
          <w:rFonts w:hint="eastAsia" w:hAnsi="宋体" w:cs="宋体"/>
          <w:color w:val="auto"/>
          <w:kern w:val="0"/>
          <w:highlight w:val="none"/>
        </w:rPr>
        <w:t>竣工退场</w:t>
      </w:r>
    </w:p>
    <w:p w14:paraId="47036F6A">
      <w:pPr>
        <w:spacing w:line="360" w:lineRule="auto"/>
        <w:ind w:firstLine="420" w:firstLineChars="200"/>
        <w:jc w:val="left"/>
        <w:rPr>
          <w:color w:val="auto"/>
          <w:kern w:val="0"/>
          <w:highlight w:val="none"/>
        </w:rPr>
      </w:pPr>
      <w:r>
        <w:rPr>
          <w:rFonts w:hint="eastAsia" w:hAnsi="宋体" w:cs="宋体"/>
          <w:color w:val="auto"/>
          <w:kern w:val="0"/>
          <w:highlight w:val="none"/>
        </w:rPr>
        <w:t>承包人完成竣工退场的期限：</w:t>
      </w:r>
      <w:r>
        <w:rPr>
          <w:color w:val="auto"/>
          <w:highlight w:val="none"/>
          <w:u w:val="single"/>
        </w:rPr>
        <w:t xml:space="preserve"> 监理人颁发（出具）工程接收证书后7日内，承包人负责按照通用合同条款本项约定的要求对施工场地进行清理并承担相关费用，如承包人到期后不退场，发包人有权安排其他人员进行清理，费用从承包人工程款中扣除，因此造成承包人财物损失的，由承包人自行承担  </w:t>
      </w:r>
      <w:r>
        <w:rPr>
          <w:rFonts w:hint="eastAsia" w:hAnsi="宋体" w:cs="宋体"/>
          <w:color w:val="auto"/>
          <w:kern w:val="0"/>
          <w:highlight w:val="none"/>
        </w:rPr>
        <w:t>。</w:t>
      </w:r>
    </w:p>
    <w:p w14:paraId="0F47C4A9">
      <w:pPr>
        <w:pStyle w:val="4"/>
        <w:outlineLvl w:val="2"/>
        <w:rPr>
          <w:color w:val="auto"/>
          <w:highlight w:val="none"/>
        </w:rPr>
      </w:pPr>
      <w:bookmarkStart w:id="394" w:name="_Toc24722"/>
      <w:r>
        <w:rPr>
          <w:color w:val="auto"/>
          <w:highlight w:val="none"/>
        </w:rPr>
        <w:t xml:space="preserve">14. </w:t>
      </w:r>
      <w:r>
        <w:rPr>
          <w:rFonts w:hint="eastAsia" w:ascii="Times New Roman" w:hAnsi="Times New Roman" w:eastAsia="宋体" w:cs="黑体"/>
          <w:color w:val="auto"/>
          <w:highlight w:val="none"/>
        </w:rPr>
        <w:t>竣工</w:t>
      </w:r>
      <w:r>
        <w:rPr>
          <w:rFonts w:hint="eastAsia" w:hAnsi="宋体" w:cs="黑体"/>
          <w:color w:val="auto"/>
          <w:highlight w:val="none"/>
        </w:rPr>
        <w:t>结算</w:t>
      </w:r>
      <w:bookmarkEnd w:id="394"/>
    </w:p>
    <w:p w14:paraId="160B4632">
      <w:pPr>
        <w:pStyle w:val="5"/>
        <w:jc w:val="left"/>
        <w:rPr>
          <w:rFonts w:hint="eastAsia" w:ascii="Arial" w:hAnsi="Arial" w:cs="黑体"/>
          <w:highlight w:val="none"/>
        </w:rPr>
      </w:pPr>
      <w:bookmarkStart w:id="395" w:name="_Toc2542"/>
      <w:bookmarkStart w:id="396" w:name="_Toc11356"/>
      <w:r>
        <w:rPr>
          <w:rFonts w:hint="eastAsia" w:ascii="Arial" w:hAnsi="Arial" w:cs="黑体"/>
          <w:highlight w:val="none"/>
        </w:rPr>
        <w:t>14.1 竣工付款申请</w:t>
      </w:r>
      <w:bookmarkEnd w:id="395"/>
      <w:bookmarkEnd w:id="396"/>
    </w:p>
    <w:p w14:paraId="16C7FCA0">
      <w:pPr>
        <w:spacing w:line="360" w:lineRule="auto"/>
        <w:ind w:firstLine="420" w:firstLineChars="200"/>
        <w:jc w:val="left"/>
        <w:rPr>
          <w:color w:val="auto"/>
          <w:highlight w:val="none"/>
        </w:rPr>
      </w:pPr>
      <w:r>
        <w:rPr>
          <w:rFonts w:hint="eastAsia" w:hAnsi="宋体" w:cs="宋体"/>
          <w:color w:val="auto"/>
          <w:highlight w:val="none"/>
        </w:rPr>
        <w:t>承包人提交竣工付款申请单的期限：</w:t>
      </w:r>
      <w:r>
        <w:rPr>
          <w:color w:val="auto"/>
          <w:highlight w:val="none"/>
          <w:u w:val="single"/>
        </w:rPr>
        <w:t xml:space="preserve">  </w:t>
      </w:r>
      <w:r>
        <w:rPr>
          <w:rFonts w:hint="eastAsia"/>
          <w:color w:val="auto"/>
          <w:highlight w:val="none"/>
          <w:u w:val="single"/>
          <w:lang w:eastAsia="zh-CN"/>
        </w:rPr>
        <w:t>工程竣工验收报告经发包人认可后28工作日内，承包人向发包人递交竣工结算报告及完整的结算资料（一式六份），双方按照协议书约定的合同价款及专用条款约定的合同价款调整内容，进行工程竣工结算</w:t>
      </w:r>
      <w:r>
        <w:rPr>
          <w:color w:val="auto"/>
          <w:highlight w:val="none"/>
          <w:u w:val="single"/>
        </w:rPr>
        <w:t>。</w:t>
      </w:r>
    </w:p>
    <w:p w14:paraId="4CA79A8A">
      <w:pPr>
        <w:spacing w:line="360" w:lineRule="auto"/>
        <w:ind w:firstLine="420" w:firstLineChars="200"/>
        <w:jc w:val="left"/>
        <w:rPr>
          <w:color w:val="auto"/>
          <w:highlight w:val="none"/>
          <w:u w:val="single"/>
        </w:rPr>
      </w:pPr>
      <w:r>
        <w:rPr>
          <w:rFonts w:hint="eastAsia" w:hAnsi="宋体" w:cs="宋体"/>
          <w:color w:val="auto"/>
          <w:highlight w:val="none"/>
        </w:rPr>
        <w:t>竣工付款申请单应包括的内容：</w:t>
      </w:r>
      <w:r>
        <w:rPr>
          <w:color w:val="auto"/>
          <w:highlight w:val="none"/>
          <w:u w:val="single"/>
        </w:rPr>
        <w:t xml:space="preserve">  </w:t>
      </w:r>
      <w:r>
        <w:rPr>
          <w:rFonts w:hint="eastAsia"/>
          <w:color w:val="auto"/>
          <w:highlight w:val="none"/>
          <w:u w:val="single"/>
          <w:lang w:eastAsia="zh-CN"/>
        </w:rPr>
        <w:t>合同、施工图及会议纪要，设计变更资料，签证单及与投资变化有关的所有资料，发包人审核签章的竣工图（自收到之日起两个工作日返回承包人）。开工、竣工报告、竣工验收单，竞争性磋商文件及承包人商务标，财政部门审核合同外的预算或发包人预算部审核合同外的预算、结算书及计算底稿（含电子文档）</w:t>
      </w:r>
      <w:r>
        <w:rPr>
          <w:color w:val="auto"/>
          <w:highlight w:val="none"/>
          <w:u w:val="single"/>
        </w:rPr>
        <w:t xml:space="preserve">    </w:t>
      </w:r>
      <w:r>
        <w:rPr>
          <w:rFonts w:hint="eastAsia" w:hAnsi="宋体" w:cs="宋体"/>
          <w:color w:val="auto"/>
          <w:highlight w:val="none"/>
        </w:rPr>
        <w:t>。竣工结算款支付申请（核准）表见合同附件12。</w:t>
      </w:r>
    </w:p>
    <w:p w14:paraId="59F87AF6">
      <w:pPr>
        <w:pStyle w:val="5"/>
        <w:jc w:val="left"/>
        <w:rPr>
          <w:rFonts w:hint="eastAsia" w:ascii="Arial" w:hAnsi="Arial" w:cs="黑体"/>
          <w:highlight w:val="none"/>
        </w:rPr>
      </w:pPr>
      <w:bookmarkStart w:id="397" w:name="_Toc10913"/>
      <w:bookmarkStart w:id="398" w:name="_Toc23646"/>
      <w:r>
        <w:rPr>
          <w:rFonts w:hint="eastAsia" w:ascii="Arial" w:hAnsi="Arial" w:cs="黑体"/>
          <w:highlight w:val="none"/>
        </w:rPr>
        <w:t>14.2 竣工结算审核</w:t>
      </w:r>
      <w:bookmarkEnd w:id="397"/>
      <w:bookmarkEnd w:id="398"/>
    </w:p>
    <w:p w14:paraId="0BAC28EB">
      <w:pPr>
        <w:spacing w:line="400" w:lineRule="exact"/>
        <w:ind w:firstLine="420" w:firstLineChars="200"/>
        <w:jc w:val="left"/>
        <w:rPr>
          <w:rFonts w:hint="eastAsia" w:ascii="Times New Roman" w:hAnsi="宋体" w:eastAsia="宋体" w:cs="宋体"/>
          <w:i w:val="0"/>
          <w:caps w:val="0"/>
          <w:color w:val="auto"/>
          <w:spacing w:val="0"/>
          <w:sz w:val="21"/>
          <w:szCs w:val="21"/>
          <w:highlight w:val="none"/>
          <w:lang w:val="en-US" w:eastAsia="zh-CN"/>
        </w:rPr>
      </w:pPr>
      <w:r>
        <w:rPr>
          <w:rFonts w:hint="eastAsia" w:ascii="Times New Roman" w:hAnsi="宋体" w:eastAsia="宋体" w:cs="宋体"/>
          <w:i w:val="0"/>
          <w:caps w:val="0"/>
          <w:color w:val="auto"/>
          <w:spacing w:val="0"/>
          <w:sz w:val="21"/>
          <w:szCs w:val="21"/>
          <w:highlight w:val="none"/>
          <w:lang w:val="en-US" w:eastAsia="zh-CN"/>
        </w:rPr>
        <w:t>14.2.1承包人</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 xml:space="preserve">是 </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否</w:t>
      </w:r>
      <w:r>
        <w:rPr>
          <w:rFonts w:hint="eastAsia" w:ascii="Times New Roman" w:hAnsi="宋体" w:eastAsia="宋体" w:cs="宋体"/>
          <w:i w:val="0"/>
          <w:caps w:val="0"/>
          <w:color w:val="auto"/>
          <w:spacing w:val="0"/>
          <w:sz w:val="21"/>
          <w:szCs w:val="21"/>
          <w:highlight w:val="none"/>
          <w:lang w:val="en-US" w:eastAsia="zh-CN"/>
        </w:rPr>
        <w:t>属于中小微企业。</w:t>
      </w:r>
    </w:p>
    <w:p w14:paraId="70805680">
      <w:pPr>
        <w:spacing w:line="400" w:lineRule="exact"/>
        <w:ind w:firstLine="420" w:firstLineChars="200"/>
        <w:jc w:val="left"/>
        <w:rPr>
          <w:rFonts w:hint="eastAsia" w:ascii="Times New Roman" w:hAnsi="宋体" w:eastAsia="宋体" w:cs="宋体"/>
          <w:i w:val="0"/>
          <w:caps w:val="0"/>
          <w:color w:val="auto"/>
          <w:spacing w:val="0"/>
          <w:sz w:val="21"/>
          <w:szCs w:val="21"/>
          <w:highlight w:val="none"/>
          <w:lang w:val="en-US" w:eastAsia="zh-CN"/>
        </w:rPr>
      </w:pPr>
      <w:r>
        <w:rPr>
          <w:rFonts w:hint="eastAsia" w:ascii="Times New Roman" w:hAnsi="宋体" w:eastAsia="宋体" w:cs="宋体"/>
          <w:i w:val="0"/>
          <w:caps w:val="0"/>
          <w:color w:val="auto"/>
          <w:spacing w:val="0"/>
          <w:sz w:val="21"/>
          <w:szCs w:val="21"/>
          <w:highlight w:val="none"/>
          <w:lang w:val="en-US" w:eastAsia="zh-CN"/>
        </w:rPr>
        <w:t>14.2.2</w:t>
      </w:r>
      <w:r>
        <w:rPr>
          <w:rFonts w:hint="eastAsia" w:ascii="宋体" w:hAnsi="宋体" w:eastAsia="宋体" w:cs="宋体"/>
          <w:color w:val="auto"/>
          <w:szCs w:val="21"/>
          <w:highlight w:val="none"/>
          <w:lang w:val="en-US" w:eastAsia="zh-CN"/>
        </w:rPr>
        <w:t>项目推行过程结算的，</w:t>
      </w:r>
      <w:r>
        <w:rPr>
          <w:rFonts w:hint="eastAsia" w:ascii="宋体" w:hAnsi="宋体" w:cs="宋体"/>
          <w:color w:val="auto"/>
          <w:szCs w:val="21"/>
          <w:highlight w:val="none"/>
          <w:lang w:val="zh-TW"/>
        </w:rPr>
        <w:t>承包人应在经发承包双方确认的施工过程结算的基础上，</w:t>
      </w:r>
      <w:r>
        <w:rPr>
          <w:rFonts w:hint="eastAsia" w:ascii="宋体" w:hAnsi="宋体" w:cs="宋体"/>
          <w:color w:val="auto"/>
          <w:szCs w:val="21"/>
          <w:highlight w:val="none"/>
        </w:rPr>
        <w:t>补充完善相关质量合格验收证明等资料，</w:t>
      </w:r>
      <w:r>
        <w:rPr>
          <w:rFonts w:hint="eastAsia" w:ascii="宋体" w:hAnsi="宋体" w:cs="宋体"/>
          <w:color w:val="auto"/>
          <w:szCs w:val="21"/>
          <w:highlight w:val="none"/>
          <w:lang w:val="zh-TW"/>
        </w:rPr>
        <w:t>按合同约定及相关规定编制并向发包人提交完整的工程竣工结算文件。</w:t>
      </w:r>
      <w:r>
        <w:rPr>
          <w:rFonts w:hint="eastAsia" w:ascii="Times New Roman" w:hAnsi="宋体" w:eastAsia="宋体" w:cs="宋体"/>
          <w:i w:val="0"/>
          <w:caps w:val="0"/>
          <w:color w:val="auto"/>
          <w:spacing w:val="0"/>
          <w:sz w:val="21"/>
          <w:szCs w:val="21"/>
          <w:highlight w:val="none"/>
        </w:rPr>
        <w:t>经发承包双方签署确认的施工过程结算文件作为竣工结算文件的组成部分。</w:t>
      </w:r>
      <w:r>
        <w:rPr>
          <w:rFonts w:hint="eastAsia" w:ascii="Times New Roman" w:hAnsi="宋体" w:eastAsia="宋体" w:cs="宋体"/>
          <w:i w:val="0"/>
          <w:caps w:val="0"/>
          <w:color w:val="auto"/>
          <w:spacing w:val="0"/>
          <w:sz w:val="21"/>
          <w:szCs w:val="21"/>
          <w:highlight w:val="none"/>
          <w:lang w:val="en-US" w:eastAsia="zh-CN"/>
        </w:rPr>
        <w:t>根据合同约定具有过程结算效力的过程结算文件作为竣工结算文件的组成部分，竣工后原则上不再重复审核。</w:t>
      </w:r>
    </w:p>
    <w:p w14:paraId="4EFD9288">
      <w:pPr>
        <w:spacing w:line="400" w:lineRule="exact"/>
        <w:ind w:firstLine="420" w:firstLineChars="200"/>
        <w:jc w:val="left"/>
        <w:outlineLvl w:val="9"/>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14.2.3</w:t>
      </w:r>
      <w:r>
        <w:rPr>
          <w:rFonts w:hint="default" w:ascii="Times New Roman" w:hAnsi="Times New Roman" w:cs="Times New Roman"/>
          <w:color w:val="auto"/>
          <w:szCs w:val="21"/>
          <w:highlight w:val="none"/>
        </w:rPr>
        <w:t>发包</w:t>
      </w:r>
      <w:r>
        <w:rPr>
          <w:rFonts w:hint="default" w:ascii="Times New Roman" w:hAnsi="Times New Roman" w:cs="Times New Roman"/>
          <w:color w:val="auto"/>
          <w:szCs w:val="21"/>
          <w:highlight w:val="none"/>
          <w:u w:val="none"/>
        </w:rPr>
        <w:t>人</w:t>
      </w:r>
      <w:r>
        <w:rPr>
          <w:rFonts w:hint="eastAsia" w:ascii="Times New Roman" w:hAnsi="Times New Roman" w:cs="Times New Roman"/>
          <w:color w:val="auto"/>
          <w:szCs w:val="21"/>
          <w:highlight w:val="none"/>
          <w:u w:val="none"/>
          <w:lang w:val="en-US" w:eastAsia="zh-CN"/>
        </w:rPr>
        <w:t>在期限内</w:t>
      </w:r>
      <w:r>
        <w:rPr>
          <w:rFonts w:hint="eastAsia" w:ascii="Times New Roman" w:hAnsi="Times New Roman" w:cs="Times New Roman"/>
          <w:color w:val="auto"/>
          <w:szCs w:val="21"/>
          <w:highlight w:val="none"/>
          <w:lang w:val="en-US" w:eastAsia="zh-CN"/>
        </w:rPr>
        <w:t>按照第</w:t>
      </w:r>
      <w:r>
        <w:rPr>
          <w:rFonts w:hint="default"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lang w:eastAsia="zh-CN"/>
        </w:rPr>
        <w:t>（</w:t>
      </w:r>
      <w:r>
        <w:rPr>
          <w:rFonts w:hint="eastAsia" w:ascii="Times New Roman" w:hAnsi="Times New Roman" w:cs="Times New Roman"/>
          <w:color w:val="auto"/>
          <w:szCs w:val="21"/>
          <w:highlight w:val="none"/>
          <w:u w:val="single"/>
          <w:lang w:val="en-US" w:eastAsia="zh-CN"/>
        </w:rPr>
        <w:t>1</w:t>
      </w:r>
      <w:r>
        <w:rPr>
          <w:rFonts w:hint="eastAsia"/>
          <w:color w:val="auto"/>
          <w:highlight w:val="none"/>
          <w:u w:val="single"/>
          <w:lang w:eastAsia="zh-CN"/>
        </w:rPr>
        <w:t>）</w:t>
      </w:r>
      <w:r>
        <w:rPr>
          <w:rFonts w:hint="default"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none"/>
          <w:lang w:val="en-US" w:eastAsia="zh-CN"/>
        </w:rPr>
        <w:t>种方式</w:t>
      </w:r>
      <w:r>
        <w:rPr>
          <w:rFonts w:hint="eastAsia" w:ascii="Times New Roman" w:hAnsi="Times New Roman" w:cs="Times New Roman"/>
          <w:color w:val="auto"/>
          <w:szCs w:val="21"/>
          <w:highlight w:val="none"/>
          <w:lang w:val="en-US" w:eastAsia="zh-CN"/>
        </w:rPr>
        <w:t>进行</w:t>
      </w:r>
      <w:r>
        <w:rPr>
          <w:rFonts w:hint="default" w:ascii="Times New Roman" w:hAnsi="Times New Roman" w:cs="Times New Roman"/>
          <w:color w:val="auto"/>
          <w:szCs w:val="21"/>
          <w:highlight w:val="none"/>
        </w:rPr>
        <w:t>竣工</w:t>
      </w:r>
      <w:r>
        <w:rPr>
          <w:rFonts w:hint="eastAsia" w:ascii="Times New Roman" w:hAnsi="Times New Roman" w:cs="Times New Roman"/>
          <w:color w:val="auto"/>
          <w:szCs w:val="21"/>
          <w:highlight w:val="none"/>
          <w:lang w:val="en-US" w:eastAsia="zh-CN"/>
        </w:rPr>
        <w:t>结算文件审核</w:t>
      </w:r>
      <w:r>
        <w:rPr>
          <w:rFonts w:hint="default" w:ascii="Times New Roman" w:hAnsi="Times New Roman" w:cs="Times New Roman"/>
          <w:color w:val="auto"/>
          <w:szCs w:val="21"/>
          <w:highlight w:val="none"/>
        </w:rPr>
        <w:t>。</w:t>
      </w:r>
    </w:p>
    <w:p w14:paraId="3CD54BA6">
      <w:pPr>
        <w:numPr>
          <w:ilvl w:val="0"/>
          <w:numId w:val="4"/>
        </w:numPr>
        <w:spacing w:line="400" w:lineRule="exact"/>
        <w:ind w:firstLine="420" w:firstLineChars="200"/>
        <w:jc w:val="left"/>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本工程项目</w:t>
      </w:r>
      <w:r>
        <w:rPr>
          <w:rFonts w:hint="eastAsia" w:cs="Times New Roman"/>
          <w:color w:val="auto"/>
          <w:szCs w:val="21"/>
          <w:highlight w:val="none"/>
          <w:lang w:val="en-US" w:eastAsia="zh-CN"/>
        </w:rPr>
        <w:t>的</w:t>
      </w:r>
      <w:r>
        <w:rPr>
          <w:rFonts w:hint="eastAsia" w:ascii="Times New Roman" w:hAnsi="Times New Roman" w:eastAsia="宋体" w:cs="Times New Roman"/>
          <w:color w:val="auto"/>
          <w:szCs w:val="21"/>
          <w:highlight w:val="none"/>
          <w:lang w:val="en-US" w:eastAsia="zh-CN"/>
        </w:rPr>
        <w:t>竣工结算以发包人</w:t>
      </w:r>
      <w:r>
        <w:rPr>
          <w:rFonts w:hint="eastAsia" w:ascii="Times New Roman" w:hAnsi="Times New Roman" w:eastAsia="宋体" w:cs="Times New Roman"/>
          <w:b w:val="0"/>
          <w:bCs w:val="0"/>
          <w:color w:val="auto"/>
          <w:szCs w:val="21"/>
          <w:highlight w:val="none"/>
          <w:lang w:val="en-US" w:eastAsia="zh-CN"/>
        </w:rPr>
        <w:t>审核的结论为准。</w:t>
      </w:r>
    </w:p>
    <w:p w14:paraId="23836A6C">
      <w:pPr>
        <w:spacing w:line="360" w:lineRule="auto"/>
        <w:ind w:firstLine="420" w:firstLineChars="200"/>
        <w:jc w:val="left"/>
        <w:rPr>
          <w:rFonts w:hint="eastAsia" w:hAnsi="宋体" w:cs="宋体"/>
          <w:color w:val="auto"/>
          <w:highlight w:val="none"/>
        </w:rPr>
      </w:pPr>
      <w:r>
        <w:rPr>
          <w:rFonts w:hint="eastAsia" w:ascii="Times New Roman" w:hAnsi="宋体" w:eastAsia="宋体" w:cs="宋体"/>
          <w:i w:val="0"/>
          <w:caps w:val="0"/>
          <w:color w:val="auto"/>
          <w:spacing w:val="0"/>
          <w:sz w:val="21"/>
          <w:szCs w:val="21"/>
          <w:highlight w:val="none"/>
        </w:rPr>
        <w:t>发承包双方</w:t>
      </w:r>
      <w:r>
        <w:rPr>
          <w:rFonts w:hint="eastAsia" w:ascii="Times New Roman" w:hAnsi="宋体" w:eastAsia="宋体" w:cs="宋体"/>
          <w:i w:val="0"/>
          <w:caps w:val="0"/>
          <w:color w:val="auto"/>
          <w:spacing w:val="0"/>
          <w:sz w:val="21"/>
          <w:szCs w:val="21"/>
          <w:highlight w:val="none"/>
          <w:lang w:val="en-US" w:eastAsia="zh-CN"/>
        </w:rPr>
        <w:t>可参照下表，约定发包人审核竣工结算文件</w:t>
      </w:r>
      <w:r>
        <w:rPr>
          <w:rFonts w:hint="eastAsia" w:ascii="Times New Roman" w:hAnsi="宋体" w:eastAsia="宋体" w:cs="宋体"/>
          <w:i w:val="0"/>
          <w:caps w:val="0"/>
          <w:color w:val="auto"/>
          <w:spacing w:val="0"/>
          <w:sz w:val="21"/>
          <w:szCs w:val="21"/>
          <w:highlight w:val="none"/>
        </w:rPr>
        <w:t>的期限</w:t>
      </w:r>
      <w:r>
        <w:rPr>
          <w:rFonts w:hint="eastAsia" w:hAnsi="宋体" w:cs="宋体"/>
          <w:color w:val="auto"/>
          <w:highlight w:val="none"/>
          <w:lang w:val="en-US" w:eastAsia="zh-CN"/>
        </w:rPr>
        <w:t>。</w:t>
      </w:r>
    </w:p>
    <w:p w14:paraId="2F51C4E2">
      <w:pPr>
        <w:spacing w:line="360" w:lineRule="auto"/>
        <w:ind w:firstLine="420" w:firstLineChars="200"/>
        <w:jc w:val="left"/>
        <w:rPr>
          <w:color w:val="auto"/>
          <w:highlight w:val="none"/>
        </w:rPr>
      </w:pP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466"/>
        <w:gridCol w:w="5967"/>
      </w:tblGrid>
      <w:tr w14:paraId="3C87D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2B98B449">
            <w:pPr>
              <w:keepNext w:val="0"/>
              <w:keepLines w:val="0"/>
              <w:suppressLineNumbers w:val="0"/>
              <w:spacing w:before="0" w:beforeAutospacing="0" w:after="0" w:afterAutospacing="0" w:line="360" w:lineRule="auto"/>
              <w:ind w:left="0" w:right="0"/>
              <w:rPr>
                <w:rFonts w:hint="default" w:ascii="Calibri" w:hAnsi="Calibri" w:eastAsia="宋体" w:cs="Times New Roman"/>
                <w:color w:val="auto"/>
                <w:highlight w:val="none"/>
              </w:rPr>
            </w:pPr>
          </w:p>
        </w:tc>
        <w:tc>
          <w:tcPr>
            <w:tcW w:w="2466" w:type="dxa"/>
            <w:noWrap w:val="0"/>
            <w:vAlign w:val="center"/>
          </w:tcPr>
          <w:p w14:paraId="0ABD04AD">
            <w:pPr>
              <w:keepNext w:val="0"/>
              <w:keepLines w:val="0"/>
              <w:suppressLineNumbers w:val="0"/>
              <w:spacing w:before="0" w:beforeAutospacing="0" w:after="0" w:afterAutospacing="0" w:line="360" w:lineRule="auto"/>
              <w:ind w:left="0" w:right="0" w:firstLine="27" w:firstLineChars="13"/>
              <w:jc w:val="center"/>
              <w:rPr>
                <w:rFonts w:hint="default" w:ascii="Calibri" w:hAnsi="Calibri" w:eastAsia="宋体" w:cs="Times New Roman"/>
                <w:color w:val="auto"/>
                <w:highlight w:val="none"/>
              </w:rPr>
            </w:pPr>
            <w:r>
              <w:rPr>
                <w:rFonts w:hint="eastAsia" w:ascii="Calibri" w:hAnsi="宋体" w:eastAsia="宋体" w:cs="宋体"/>
                <w:color w:val="auto"/>
                <w:highlight w:val="none"/>
              </w:rPr>
              <w:t>工程竣工结算</w:t>
            </w:r>
            <w:r>
              <w:rPr>
                <w:rFonts w:hint="eastAsia" w:ascii="Calibri" w:hAnsi="宋体" w:eastAsia="宋体" w:cs="宋体"/>
                <w:color w:val="auto"/>
                <w:highlight w:val="none"/>
                <w:lang w:eastAsia="zh-CN"/>
              </w:rPr>
              <w:t>申请</w:t>
            </w:r>
            <w:r>
              <w:rPr>
                <w:rFonts w:hint="eastAsia" w:ascii="Calibri" w:hAnsi="宋体" w:eastAsia="宋体" w:cs="宋体"/>
                <w:color w:val="auto"/>
                <w:highlight w:val="none"/>
              </w:rPr>
              <w:t>金额</w:t>
            </w:r>
          </w:p>
        </w:tc>
        <w:tc>
          <w:tcPr>
            <w:tcW w:w="5967" w:type="dxa"/>
            <w:noWrap w:val="0"/>
            <w:vAlign w:val="center"/>
          </w:tcPr>
          <w:p w14:paraId="653BF206">
            <w:pPr>
              <w:keepNext w:val="0"/>
              <w:keepLines w:val="0"/>
              <w:suppressLineNumbers w:val="0"/>
              <w:spacing w:before="0" w:beforeAutospacing="0" w:after="0" w:afterAutospacing="0" w:line="360" w:lineRule="auto"/>
              <w:ind w:left="0" w:right="0" w:firstLine="441" w:firstLineChars="210"/>
              <w:jc w:val="center"/>
              <w:rPr>
                <w:rFonts w:hint="default" w:ascii="Calibri" w:hAnsi="Calibri" w:eastAsia="宋体" w:cs="Times New Roman"/>
                <w:color w:val="auto"/>
                <w:highlight w:val="none"/>
              </w:rPr>
            </w:pPr>
            <w:r>
              <w:rPr>
                <w:rFonts w:hint="eastAsia" w:ascii="Calibri" w:hAnsi="宋体" w:eastAsia="宋体" w:cs="宋体"/>
                <w:color w:val="auto"/>
                <w:highlight w:val="none"/>
              </w:rPr>
              <w:t>发包人</w:t>
            </w:r>
            <w:r>
              <w:rPr>
                <w:rFonts w:hint="eastAsia" w:ascii="Calibri" w:hAnsi="宋体" w:eastAsia="宋体" w:cs="宋体"/>
                <w:color w:val="auto"/>
                <w:highlight w:val="none"/>
                <w:lang w:val="en-US" w:eastAsia="zh-CN"/>
              </w:rPr>
              <w:t>审核</w:t>
            </w:r>
            <w:r>
              <w:rPr>
                <w:rFonts w:hint="eastAsia" w:ascii="Times New Roman" w:hAnsi="宋体" w:eastAsia="宋体" w:cs="宋体"/>
                <w:i w:val="0"/>
                <w:caps w:val="0"/>
                <w:color w:val="auto"/>
                <w:spacing w:val="0"/>
                <w:sz w:val="21"/>
                <w:szCs w:val="21"/>
                <w:highlight w:val="none"/>
                <w:lang w:val="en-US" w:eastAsia="zh-CN"/>
              </w:rPr>
              <w:t>竣工结算文件</w:t>
            </w:r>
            <w:r>
              <w:rPr>
                <w:rFonts w:hint="eastAsia" w:ascii="Times New Roman" w:hAnsi="宋体" w:eastAsia="宋体" w:cs="宋体"/>
                <w:i w:val="0"/>
                <w:caps w:val="0"/>
                <w:color w:val="auto"/>
                <w:spacing w:val="0"/>
                <w:sz w:val="21"/>
                <w:szCs w:val="21"/>
                <w:highlight w:val="none"/>
              </w:rPr>
              <w:t>的</w:t>
            </w:r>
            <w:r>
              <w:rPr>
                <w:rFonts w:hint="eastAsia" w:ascii="Calibri" w:hAnsi="宋体" w:eastAsia="宋体" w:cs="宋体"/>
                <w:color w:val="auto"/>
                <w:highlight w:val="none"/>
              </w:rPr>
              <w:t>时间</w:t>
            </w:r>
          </w:p>
        </w:tc>
      </w:tr>
      <w:tr w14:paraId="5FA1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553EEBB5">
            <w:pPr>
              <w:keepNext w:val="0"/>
              <w:keepLines w:val="0"/>
              <w:suppressLineNumbers w:val="0"/>
              <w:spacing w:before="0" w:beforeAutospacing="0" w:after="0" w:afterAutospacing="0" w:line="360" w:lineRule="auto"/>
              <w:ind w:left="0" w:right="0"/>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1</w:t>
            </w:r>
          </w:p>
        </w:tc>
        <w:tc>
          <w:tcPr>
            <w:tcW w:w="2466" w:type="dxa"/>
            <w:noWrap w:val="0"/>
            <w:vAlign w:val="center"/>
          </w:tcPr>
          <w:p w14:paraId="21A2459A">
            <w:pPr>
              <w:keepNext w:val="0"/>
              <w:keepLines w:val="0"/>
              <w:suppressLineNumbers w:val="0"/>
              <w:spacing w:before="0" w:beforeAutospacing="0" w:after="0" w:afterAutospacing="0" w:line="360" w:lineRule="auto"/>
              <w:ind w:left="0" w:right="0" w:firstLine="27" w:firstLineChars="13"/>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500</w:t>
            </w:r>
            <w:r>
              <w:rPr>
                <w:rFonts w:hint="eastAsia" w:ascii="Calibri" w:hAnsi="宋体" w:eastAsia="宋体" w:cs="宋体"/>
                <w:color w:val="auto"/>
                <w:highlight w:val="none"/>
              </w:rPr>
              <w:t>万元以下</w:t>
            </w:r>
          </w:p>
        </w:tc>
        <w:tc>
          <w:tcPr>
            <w:tcW w:w="5967" w:type="dxa"/>
            <w:noWrap w:val="0"/>
            <w:vAlign w:val="center"/>
          </w:tcPr>
          <w:p w14:paraId="5315445D">
            <w:pPr>
              <w:keepNext w:val="0"/>
              <w:keepLines w:val="0"/>
              <w:suppressLineNumbers w:val="0"/>
              <w:spacing w:before="0" w:beforeAutospacing="0" w:after="0" w:afterAutospacing="0" w:line="360" w:lineRule="auto"/>
              <w:ind w:left="0" w:right="0" w:firstLine="441" w:firstLineChars="210"/>
              <w:jc w:val="center"/>
              <w:rPr>
                <w:rFonts w:hint="default" w:ascii="Calibri" w:hAnsi="Calibri" w:eastAsia="宋体" w:cs="Times New Roman"/>
                <w:color w:val="auto"/>
                <w:highlight w:val="none"/>
              </w:rPr>
            </w:pPr>
            <w:r>
              <w:rPr>
                <w:rFonts w:hint="eastAsia" w:ascii="Calibri" w:hAnsi="宋体" w:eastAsia="宋体" w:cs="宋体"/>
                <w:color w:val="auto"/>
                <w:highlight w:val="none"/>
              </w:rPr>
              <w:t>从接到竣工结算报告和完整的竣工结算资料之日起</w:t>
            </w:r>
            <w:r>
              <w:rPr>
                <w:rFonts w:hint="default" w:ascii="Calibri" w:hAnsi="Calibri" w:eastAsia="宋体" w:cs="Times New Roman"/>
                <w:color w:val="auto"/>
                <w:highlight w:val="none"/>
              </w:rPr>
              <w:t>20</w:t>
            </w:r>
            <w:r>
              <w:rPr>
                <w:rFonts w:hint="eastAsia" w:ascii="Calibri" w:hAnsi="宋体" w:eastAsia="宋体" w:cs="宋体"/>
                <w:color w:val="auto"/>
                <w:highlight w:val="none"/>
              </w:rPr>
              <w:t>天</w:t>
            </w:r>
          </w:p>
        </w:tc>
      </w:tr>
      <w:tr w14:paraId="2B69B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100115D2">
            <w:pPr>
              <w:keepNext w:val="0"/>
              <w:keepLines w:val="0"/>
              <w:suppressLineNumbers w:val="0"/>
              <w:spacing w:before="0" w:beforeAutospacing="0" w:after="0" w:afterAutospacing="0" w:line="360" w:lineRule="auto"/>
              <w:ind w:left="0" w:right="0"/>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2</w:t>
            </w:r>
          </w:p>
        </w:tc>
        <w:tc>
          <w:tcPr>
            <w:tcW w:w="2466" w:type="dxa"/>
            <w:noWrap w:val="0"/>
            <w:vAlign w:val="center"/>
          </w:tcPr>
          <w:p w14:paraId="2998B96A">
            <w:pPr>
              <w:keepNext w:val="0"/>
              <w:keepLines w:val="0"/>
              <w:suppressLineNumbers w:val="0"/>
              <w:spacing w:before="0" w:beforeAutospacing="0" w:after="0" w:afterAutospacing="0" w:line="360" w:lineRule="auto"/>
              <w:ind w:left="0" w:right="0" w:firstLine="27" w:firstLineChars="13"/>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500</w:t>
            </w:r>
            <w:r>
              <w:rPr>
                <w:rFonts w:hint="eastAsia" w:ascii="Calibri" w:hAnsi="宋体" w:eastAsia="宋体" w:cs="宋体"/>
                <w:color w:val="auto"/>
                <w:highlight w:val="none"/>
              </w:rPr>
              <w:t>万元</w:t>
            </w:r>
            <w:r>
              <w:rPr>
                <w:rFonts w:hint="default" w:ascii="Calibri" w:hAnsi="Calibri" w:eastAsia="宋体" w:cs="Times New Roman"/>
                <w:color w:val="auto"/>
                <w:highlight w:val="none"/>
              </w:rPr>
              <w:t>-2000</w:t>
            </w:r>
            <w:r>
              <w:rPr>
                <w:rFonts w:hint="eastAsia" w:ascii="Calibri" w:hAnsi="宋体" w:eastAsia="宋体" w:cs="宋体"/>
                <w:color w:val="auto"/>
                <w:highlight w:val="none"/>
              </w:rPr>
              <w:t>万元</w:t>
            </w:r>
          </w:p>
        </w:tc>
        <w:tc>
          <w:tcPr>
            <w:tcW w:w="5967" w:type="dxa"/>
            <w:noWrap w:val="0"/>
            <w:vAlign w:val="center"/>
          </w:tcPr>
          <w:p w14:paraId="5A598472">
            <w:pPr>
              <w:keepNext w:val="0"/>
              <w:keepLines w:val="0"/>
              <w:suppressLineNumbers w:val="0"/>
              <w:spacing w:before="0" w:beforeAutospacing="0" w:after="0" w:afterAutospacing="0" w:line="360" w:lineRule="auto"/>
              <w:ind w:left="0" w:right="0" w:firstLine="441" w:firstLineChars="210"/>
              <w:jc w:val="center"/>
              <w:rPr>
                <w:rFonts w:hint="default" w:ascii="Calibri" w:hAnsi="Calibri" w:eastAsia="宋体" w:cs="Times New Roman"/>
                <w:color w:val="auto"/>
                <w:highlight w:val="none"/>
              </w:rPr>
            </w:pPr>
            <w:r>
              <w:rPr>
                <w:rFonts w:hint="eastAsia" w:ascii="Calibri" w:hAnsi="宋体" w:eastAsia="宋体" w:cs="宋体"/>
                <w:color w:val="auto"/>
                <w:highlight w:val="none"/>
              </w:rPr>
              <w:t>从接到竣工结算报告和完整的竣工结算资料之日起</w:t>
            </w:r>
            <w:r>
              <w:rPr>
                <w:rFonts w:hint="default" w:ascii="Calibri" w:hAnsi="Calibri" w:eastAsia="宋体" w:cs="Times New Roman"/>
                <w:color w:val="auto"/>
                <w:highlight w:val="none"/>
              </w:rPr>
              <w:t>30</w:t>
            </w:r>
            <w:r>
              <w:rPr>
                <w:rFonts w:hint="eastAsia" w:ascii="Calibri" w:hAnsi="宋体" w:eastAsia="宋体" w:cs="宋体"/>
                <w:color w:val="auto"/>
                <w:highlight w:val="none"/>
              </w:rPr>
              <w:t>天</w:t>
            </w:r>
          </w:p>
        </w:tc>
      </w:tr>
      <w:tr w14:paraId="1780E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7E9498A1">
            <w:pPr>
              <w:keepNext w:val="0"/>
              <w:keepLines w:val="0"/>
              <w:suppressLineNumbers w:val="0"/>
              <w:spacing w:before="0" w:beforeAutospacing="0" w:after="0" w:afterAutospacing="0" w:line="360" w:lineRule="auto"/>
              <w:ind w:left="0" w:right="0"/>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3</w:t>
            </w:r>
          </w:p>
        </w:tc>
        <w:tc>
          <w:tcPr>
            <w:tcW w:w="2466" w:type="dxa"/>
            <w:noWrap w:val="0"/>
            <w:vAlign w:val="center"/>
          </w:tcPr>
          <w:p w14:paraId="4171E8DA">
            <w:pPr>
              <w:keepNext w:val="0"/>
              <w:keepLines w:val="0"/>
              <w:suppressLineNumbers w:val="0"/>
              <w:spacing w:before="0" w:beforeAutospacing="0" w:after="0" w:afterAutospacing="0" w:line="360" w:lineRule="auto"/>
              <w:ind w:left="0" w:right="0" w:firstLine="27" w:firstLineChars="13"/>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2000</w:t>
            </w:r>
            <w:r>
              <w:rPr>
                <w:rFonts w:hint="eastAsia" w:ascii="Calibri" w:hAnsi="宋体" w:eastAsia="宋体" w:cs="宋体"/>
                <w:color w:val="auto"/>
                <w:highlight w:val="none"/>
              </w:rPr>
              <w:t>万元</w:t>
            </w:r>
            <w:r>
              <w:rPr>
                <w:rFonts w:hint="default" w:ascii="Calibri" w:hAnsi="Calibri" w:eastAsia="宋体" w:cs="Times New Roman"/>
                <w:color w:val="auto"/>
                <w:highlight w:val="none"/>
              </w:rPr>
              <w:t>-5000</w:t>
            </w:r>
            <w:r>
              <w:rPr>
                <w:rFonts w:hint="eastAsia" w:ascii="Calibri" w:hAnsi="宋体" w:eastAsia="宋体" w:cs="宋体"/>
                <w:color w:val="auto"/>
                <w:highlight w:val="none"/>
              </w:rPr>
              <w:t>万元</w:t>
            </w:r>
          </w:p>
        </w:tc>
        <w:tc>
          <w:tcPr>
            <w:tcW w:w="5967" w:type="dxa"/>
            <w:noWrap w:val="0"/>
            <w:vAlign w:val="center"/>
          </w:tcPr>
          <w:p w14:paraId="067265F1">
            <w:pPr>
              <w:keepNext w:val="0"/>
              <w:keepLines w:val="0"/>
              <w:suppressLineNumbers w:val="0"/>
              <w:spacing w:before="0" w:beforeAutospacing="0" w:after="0" w:afterAutospacing="0" w:line="360" w:lineRule="auto"/>
              <w:ind w:left="0" w:right="0" w:firstLine="441" w:firstLineChars="210"/>
              <w:jc w:val="center"/>
              <w:rPr>
                <w:rFonts w:hint="default" w:ascii="Calibri" w:hAnsi="Calibri" w:eastAsia="宋体" w:cs="Times New Roman"/>
                <w:color w:val="auto"/>
                <w:highlight w:val="none"/>
              </w:rPr>
            </w:pPr>
            <w:r>
              <w:rPr>
                <w:rFonts w:hint="eastAsia" w:ascii="Calibri" w:hAnsi="宋体" w:eastAsia="宋体" w:cs="宋体"/>
                <w:color w:val="auto"/>
                <w:highlight w:val="none"/>
              </w:rPr>
              <w:t>从接到竣工结算报告和完整的竣工结算资料之日起</w:t>
            </w:r>
            <w:r>
              <w:rPr>
                <w:rFonts w:hint="default" w:ascii="Calibri" w:hAnsi="Calibri" w:eastAsia="宋体" w:cs="Times New Roman"/>
                <w:color w:val="auto"/>
                <w:highlight w:val="none"/>
              </w:rPr>
              <w:t>45</w:t>
            </w:r>
            <w:r>
              <w:rPr>
                <w:rFonts w:hint="eastAsia" w:ascii="Calibri" w:hAnsi="宋体" w:eastAsia="宋体" w:cs="宋体"/>
                <w:color w:val="auto"/>
                <w:highlight w:val="none"/>
              </w:rPr>
              <w:t>天</w:t>
            </w:r>
          </w:p>
        </w:tc>
      </w:tr>
      <w:tr w14:paraId="1774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3ABF083C">
            <w:pPr>
              <w:keepNext w:val="0"/>
              <w:keepLines w:val="0"/>
              <w:suppressLineNumbers w:val="0"/>
              <w:spacing w:before="0" w:beforeAutospacing="0" w:after="0" w:afterAutospacing="0" w:line="360" w:lineRule="auto"/>
              <w:ind w:left="0" w:right="0"/>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4</w:t>
            </w:r>
          </w:p>
        </w:tc>
        <w:tc>
          <w:tcPr>
            <w:tcW w:w="2466" w:type="dxa"/>
            <w:noWrap w:val="0"/>
            <w:vAlign w:val="center"/>
          </w:tcPr>
          <w:p w14:paraId="411C1C5A">
            <w:pPr>
              <w:keepNext w:val="0"/>
              <w:keepLines w:val="0"/>
              <w:suppressLineNumbers w:val="0"/>
              <w:spacing w:before="0" w:beforeAutospacing="0" w:after="0" w:afterAutospacing="0" w:line="360" w:lineRule="auto"/>
              <w:ind w:left="0" w:right="0" w:firstLine="27" w:firstLineChars="13"/>
              <w:jc w:val="center"/>
              <w:rPr>
                <w:rFonts w:hint="default" w:ascii="Calibri" w:hAnsi="Calibri" w:eastAsia="宋体" w:cs="Times New Roman"/>
                <w:color w:val="auto"/>
                <w:highlight w:val="none"/>
              </w:rPr>
            </w:pPr>
            <w:r>
              <w:rPr>
                <w:rFonts w:hint="default" w:ascii="Calibri" w:hAnsi="Calibri" w:eastAsia="宋体" w:cs="Times New Roman"/>
                <w:color w:val="auto"/>
                <w:highlight w:val="none"/>
              </w:rPr>
              <w:t>5000</w:t>
            </w:r>
            <w:r>
              <w:rPr>
                <w:rFonts w:hint="eastAsia" w:ascii="Calibri" w:hAnsi="宋体" w:eastAsia="宋体" w:cs="宋体"/>
                <w:color w:val="auto"/>
                <w:highlight w:val="none"/>
              </w:rPr>
              <w:t>万元以上</w:t>
            </w:r>
          </w:p>
        </w:tc>
        <w:tc>
          <w:tcPr>
            <w:tcW w:w="5967" w:type="dxa"/>
            <w:noWrap w:val="0"/>
            <w:vAlign w:val="center"/>
          </w:tcPr>
          <w:p w14:paraId="65639EE3">
            <w:pPr>
              <w:keepNext w:val="0"/>
              <w:keepLines w:val="0"/>
              <w:suppressLineNumbers w:val="0"/>
              <w:spacing w:before="0" w:beforeAutospacing="0" w:after="0" w:afterAutospacing="0" w:line="360" w:lineRule="auto"/>
              <w:ind w:left="0" w:right="0" w:firstLine="441" w:firstLineChars="210"/>
              <w:jc w:val="center"/>
              <w:rPr>
                <w:rFonts w:hint="default" w:ascii="Calibri" w:hAnsi="Calibri" w:eastAsia="宋体" w:cs="Times New Roman"/>
                <w:color w:val="auto"/>
                <w:highlight w:val="none"/>
              </w:rPr>
            </w:pPr>
            <w:r>
              <w:rPr>
                <w:rFonts w:hint="eastAsia" w:ascii="Calibri" w:hAnsi="宋体" w:eastAsia="宋体" w:cs="宋体"/>
                <w:color w:val="auto"/>
                <w:highlight w:val="none"/>
              </w:rPr>
              <w:t>从接到竣工结算报告和完整的竣工结算资料之日起</w:t>
            </w:r>
            <w:r>
              <w:rPr>
                <w:rFonts w:hint="default" w:ascii="Calibri" w:hAnsi="Calibri" w:eastAsia="宋体" w:cs="Times New Roman"/>
                <w:color w:val="auto"/>
                <w:highlight w:val="none"/>
              </w:rPr>
              <w:t>60</w:t>
            </w:r>
            <w:r>
              <w:rPr>
                <w:rFonts w:hint="eastAsia" w:ascii="Calibri" w:hAnsi="宋体" w:eastAsia="宋体" w:cs="宋体"/>
                <w:color w:val="auto"/>
                <w:highlight w:val="none"/>
              </w:rPr>
              <w:t>天</w:t>
            </w:r>
          </w:p>
        </w:tc>
      </w:tr>
      <w:tr w14:paraId="3B260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2793835D">
            <w:pPr>
              <w:keepNext w:val="0"/>
              <w:keepLines w:val="0"/>
              <w:suppressLineNumbers w:val="0"/>
              <w:spacing w:before="0" w:beforeAutospacing="0" w:after="0" w:afterAutospacing="0" w:line="360" w:lineRule="auto"/>
              <w:ind w:left="0" w:right="0"/>
              <w:jc w:val="center"/>
              <w:rPr>
                <w:rFonts w:hint="default" w:ascii="Calibri" w:hAnsi="Calibri" w:eastAsia="宋体" w:cs="Times New Roman"/>
                <w:color w:val="auto"/>
                <w:highlight w:val="none"/>
              </w:rPr>
            </w:pPr>
            <w:r>
              <w:rPr>
                <w:rFonts w:hint="eastAsia" w:ascii="Calibri" w:hAnsi="Calibri" w:eastAsia="宋体" w:cs="Times New Roman"/>
                <w:color w:val="auto"/>
                <w:highlight w:val="none"/>
              </w:rPr>
              <w:t>5</w:t>
            </w:r>
          </w:p>
        </w:tc>
        <w:tc>
          <w:tcPr>
            <w:tcW w:w="2466" w:type="dxa"/>
            <w:noWrap w:val="0"/>
            <w:vAlign w:val="center"/>
          </w:tcPr>
          <w:p w14:paraId="753929C0">
            <w:pPr>
              <w:keepNext w:val="0"/>
              <w:keepLines w:val="0"/>
              <w:suppressLineNumbers w:val="0"/>
              <w:spacing w:before="0" w:beforeAutospacing="0" w:after="0" w:afterAutospacing="0" w:line="360" w:lineRule="auto"/>
              <w:ind w:left="0" w:right="0" w:firstLine="27" w:firstLineChars="13"/>
              <w:jc w:val="center"/>
              <w:rPr>
                <w:rFonts w:hint="default" w:ascii="Calibri" w:hAnsi="Calibri" w:eastAsia="宋体" w:cs="Times New Roman"/>
                <w:color w:val="auto"/>
                <w:highlight w:val="none"/>
              </w:rPr>
            </w:pPr>
            <w:r>
              <w:rPr>
                <w:rFonts w:hint="eastAsia" w:ascii="Calibri" w:hAnsi="Calibri" w:eastAsia="宋体" w:cs="Times New Roman"/>
                <w:color w:val="auto"/>
                <w:highlight w:val="none"/>
              </w:rPr>
              <w:t>5000万以上每增加</w:t>
            </w:r>
            <w:r>
              <w:rPr>
                <w:rFonts w:hint="default" w:ascii="Calibri" w:hAnsi="Calibri" w:eastAsia="宋体" w:cs="Times New Roman"/>
                <w:color w:val="auto"/>
                <w:highlight w:val="none"/>
              </w:rPr>
              <w:t>0.5</w:t>
            </w:r>
            <w:r>
              <w:rPr>
                <w:rFonts w:hint="eastAsia" w:ascii="Calibri" w:hAnsi="Calibri" w:eastAsia="宋体" w:cs="Times New Roman"/>
                <w:color w:val="auto"/>
                <w:highlight w:val="none"/>
              </w:rPr>
              <w:t>亿</w:t>
            </w:r>
            <w:r>
              <w:rPr>
                <w:rFonts w:hint="eastAsia" w:ascii="Calibri" w:hAnsi="Calibri" w:cs="Times New Roman"/>
                <w:color w:val="auto"/>
                <w:highlight w:val="none"/>
                <w:lang w:eastAsia="zh-CN"/>
              </w:rPr>
              <w:t>（</w:t>
            </w:r>
            <w:r>
              <w:rPr>
                <w:rFonts w:hint="eastAsia" w:ascii="Calibri" w:hAnsi="Calibri" w:eastAsia="宋体" w:cs="Times New Roman"/>
                <w:color w:val="auto"/>
                <w:highlight w:val="none"/>
              </w:rPr>
              <w:t>不足0.5亿不增加</w:t>
            </w:r>
            <w:r>
              <w:rPr>
                <w:rFonts w:hint="eastAsia" w:ascii="Calibri" w:hAnsi="Calibri" w:cs="Times New Roman"/>
                <w:color w:val="auto"/>
                <w:highlight w:val="none"/>
                <w:lang w:eastAsia="zh-CN"/>
              </w:rPr>
              <w:t>）</w:t>
            </w:r>
          </w:p>
        </w:tc>
        <w:tc>
          <w:tcPr>
            <w:tcW w:w="5967" w:type="dxa"/>
            <w:noWrap w:val="0"/>
            <w:vAlign w:val="center"/>
          </w:tcPr>
          <w:p w14:paraId="62699C9B">
            <w:pPr>
              <w:keepNext w:val="0"/>
              <w:keepLines w:val="0"/>
              <w:suppressLineNumbers w:val="0"/>
              <w:spacing w:before="0" w:beforeAutospacing="0" w:after="0" w:afterAutospacing="0" w:line="360" w:lineRule="auto"/>
              <w:ind w:left="0" w:right="0" w:firstLine="441" w:firstLineChars="210"/>
              <w:jc w:val="center"/>
              <w:rPr>
                <w:rFonts w:hint="eastAsia" w:ascii="Calibri" w:hAnsi="宋体" w:eastAsia="宋体" w:cs="宋体"/>
                <w:color w:val="auto"/>
                <w:highlight w:val="none"/>
              </w:rPr>
            </w:pPr>
            <w:r>
              <w:rPr>
                <w:rFonts w:hint="eastAsia" w:ascii="Calibri" w:hAnsi="宋体" w:eastAsia="宋体" w:cs="宋体"/>
                <w:color w:val="auto"/>
                <w:highlight w:val="none"/>
              </w:rPr>
              <w:t>增加10天</w:t>
            </w:r>
          </w:p>
        </w:tc>
      </w:tr>
    </w:tbl>
    <w:p w14:paraId="6D8956FA">
      <w:pPr>
        <w:spacing w:line="400" w:lineRule="exact"/>
        <w:ind w:left="0" w:leftChars="0" w:firstLine="0" w:firstLineChars="0"/>
        <w:outlineLvl w:val="9"/>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附注：推行施工过程结算的竣工结算审核时限按本表审核时间的</w:t>
      </w:r>
      <w:r>
        <w:rPr>
          <w:rFonts w:hint="eastAsia" w:ascii="Times New Roman" w:hAnsi="Times New Roman" w:eastAsia="宋体" w:cs="Times New Roman"/>
          <w:color w:val="auto"/>
          <w:szCs w:val="21"/>
          <w:highlight w:val="none"/>
          <w:lang w:val="en-US" w:eastAsia="zh-CN"/>
        </w:rPr>
        <w:t>50%计算。</w:t>
      </w:r>
    </w:p>
    <w:p w14:paraId="67E447F1">
      <w:pPr>
        <w:spacing w:line="360" w:lineRule="auto"/>
        <w:ind w:firstLine="420" w:firstLineChars="200"/>
        <w:jc w:val="left"/>
        <w:rPr>
          <w:rFonts w:hint="eastAsia" w:hAnsi="宋体" w:cs="宋体"/>
          <w:color w:val="auto"/>
          <w:highlight w:val="none"/>
        </w:rPr>
      </w:pPr>
    </w:p>
    <w:p w14:paraId="0992F01F">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发包人约定审核竣工结算申请文件的期限：从接到竣工结算报告和完整的竣工结算资料之日</w:t>
      </w:r>
    </w:p>
    <w:p w14:paraId="00405D14">
      <w:pPr>
        <w:spacing w:line="360" w:lineRule="auto"/>
        <w:ind w:firstLine="0" w:firstLineChars="0"/>
        <w:jc w:val="left"/>
        <w:rPr>
          <w:rFonts w:hint="eastAsia" w:hAnsi="宋体" w:cs="宋体"/>
          <w:color w:val="auto"/>
          <w:highlight w:val="none"/>
        </w:rPr>
      </w:pPr>
      <w:r>
        <w:rPr>
          <w:rFonts w:hint="eastAsia" w:hAnsi="宋体" w:cs="宋体"/>
          <w:color w:val="auto"/>
          <w:highlight w:val="none"/>
        </w:rPr>
        <w:t>起</w:t>
      </w:r>
      <w:r>
        <w:rPr>
          <w:rFonts w:hint="eastAsia" w:hAnsi="宋体" w:cs="宋体"/>
          <w:color w:val="auto"/>
          <w:highlight w:val="none"/>
          <w:u w:val="single"/>
        </w:rPr>
        <w:t xml:space="preserve">  </w:t>
      </w:r>
      <w:r>
        <w:rPr>
          <w:rFonts w:hint="eastAsia" w:hAnsi="宋体" w:cs="宋体"/>
          <w:color w:val="auto"/>
          <w:highlight w:val="none"/>
          <w:u w:val="single"/>
          <w:lang w:val="en-US" w:eastAsia="zh-CN"/>
        </w:rPr>
        <w:t>28</w:t>
      </w:r>
      <w:r>
        <w:rPr>
          <w:rFonts w:hint="eastAsia" w:hAnsi="宋体" w:cs="宋体"/>
          <w:color w:val="auto"/>
          <w:highlight w:val="none"/>
          <w:u w:val="single"/>
        </w:rPr>
        <w:t xml:space="preserve"> </w:t>
      </w:r>
      <w:r>
        <w:rPr>
          <w:rFonts w:hint="eastAsia" w:hAnsi="宋体" w:cs="宋体"/>
          <w:color w:val="auto"/>
          <w:highlight w:val="none"/>
        </w:rPr>
        <w:t>天内审核完毕。没有约定期限的，发包人应当在收到承包人提交的竣工结算申请与竣工结算文件之日起的28天内完成竣工结算审核。</w:t>
      </w:r>
    </w:p>
    <w:p w14:paraId="67494222">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工程结算应由承包人或受其委托的工程造价咨询人编制，由发包人或受其委托的工程造价咨询人核对。受其委托的工程造价咨询人编制或核对的结果，经委托人确认后应视为委托人的结果。经发包人或发包人委托的工程造价咨询单位与承包人核对后无异议的竣工结算文件，发承包双方应签字并盖章确认。如其中一方不签认的，应承担违约责任，并承担由此造成的损失。</w:t>
      </w:r>
    </w:p>
    <w:p w14:paraId="0F9F2523">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除发承包双方共同约定以财政评审结论作为竣工结算的依据以外，不应以财政评审结论作为竣工结算的依据。</w:t>
      </w:r>
    </w:p>
    <w:p w14:paraId="5A077F45">
      <w:pPr>
        <w:spacing w:line="360" w:lineRule="auto"/>
        <w:ind w:firstLine="420" w:firstLineChars="200"/>
        <w:jc w:val="left"/>
        <w:rPr>
          <w:rFonts w:hint="eastAsia" w:ascii="Times New Roman" w:hAnsi="宋体" w:eastAsia="宋体" w:cs="宋体"/>
          <w:color w:val="auto"/>
          <w:highlight w:val="none"/>
          <w:lang w:val="en-US" w:eastAsia="zh-CN"/>
        </w:rPr>
      </w:pPr>
      <w:r>
        <w:rPr>
          <w:rFonts w:hint="eastAsia" w:ascii="Times New Roman" w:hAnsi="宋体" w:eastAsia="宋体" w:cs="宋体"/>
          <w:color w:val="auto"/>
          <w:highlight w:val="none"/>
          <w:lang w:eastAsia="zh-CN"/>
        </w:rPr>
        <w:t>（</w:t>
      </w:r>
      <w:r>
        <w:rPr>
          <w:rFonts w:hint="eastAsia" w:ascii="Times New Roman" w:hAnsi="宋体" w:eastAsia="宋体" w:cs="宋体"/>
          <w:color w:val="auto"/>
          <w:highlight w:val="none"/>
          <w:lang w:val="en-US" w:eastAsia="zh-CN"/>
        </w:rPr>
        <w:t>2</w:t>
      </w:r>
      <w:r>
        <w:rPr>
          <w:rFonts w:hint="eastAsia" w:ascii="Times New Roman" w:hAnsi="宋体" w:eastAsia="宋体" w:cs="宋体"/>
          <w:color w:val="auto"/>
          <w:highlight w:val="none"/>
          <w:lang w:eastAsia="zh-CN"/>
        </w:rPr>
        <w:t>）</w:t>
      </w:r>
      <w:r>
        <w:rPr>
          <w:rFonts w:hint="eastAsia" w:ascii="Times New Roman" w:hAnsi="宋体" w:eastAsia="宋体" w:cs="宋体"/>
          <w:color w:val="auto"/>
          <w:highlight w:val="none"/>
          <w:lang w:val="en-US" w:eastAsia="zh-CN"/>
        </w:rPr>
        <w:t>本工程项目的竣工结算以</w:t>
      </w:r>
      <w:r>
        <w:rPr>
          <w:rFonts w:hint="eastAsia" w:ascii="Times New Roman" w:hAnsi="宋体" w:eastAsia="宋体" w:cs="宋体"/>
          <w:color w:val="auto"/>
          <w:highlight w:val="none"/>
          <w:u w:val="single"/>
          <w:lang w:val="en-US" w:eastAsia="zh-CN"/>
        </w:rPr>
        <w:t xml:space="preserve">   武宣县   </w:t>
      </w:r>
      <w:r>
        <w:rPr>
          <w:rFonts w:hint="eastAsia" w:ascii="Times New Roman" w:hAnsi="宋体" w:eastAsia="宋体" w:cs="宋体"/>
          <w:color w:val="auto"/>
          <w:highlight w:val="none"/>
          <w:lang w:val="en-US" w:eastAsia="zh-CN"/>
        </w:rPr>
        <w:t>财政投资评审的结论为准。</w:t>
      </w:r>
    </w:p>
    <w:p w14:paraId="51A2596D">
      <w:pPr>
        <w:spacing w:line="360" w:lineRule="auto"/>
        <w:ind w:firstLine="420" w:firstLineChars="200"/>
        <w:jc w:val="left"/>
        <w:rPr>
          <w:rFonts w:hint="eastAsia" w:ascii="Times New Roman" w:hAnsi="宋体" w:eastAsia="宋体" w:cs="宋体"/>
          <w:color w:val="auto"/>
          <w:highlight w:val="none"/>
          <w:lang w:val="en-US" w:eastAsia="zh-CN"/>
        </w:rPr>
      </w:pPr>
      <w:r>
        <w:rPr>
          <w:rFonts w:hint="eastAsia" w:ascii="Times New Roman" w:hAnsi="宋体" w:eastAsia="宋体" w:cs="宋体"/>
          <w:color w:val="auto"/>
          <w:highlight w:val="none"/>
          <w:lang w:val="en-US" w:eastAsia="zh-CN"/>
        </w:rPr>
        <w:t>承包人应配合发包人按财政投资评审规定，及时报送的工程竣工结算资料，财政投资评审机构应在规定期限内完成项目竣工结算评审。</w:t>
      </w:r>
    </w:p>
    <w:p w14:paraId="2742F4E0">
      <w:pPr>
        <w:spacing w:line="400" w:lineRule="exact"/>
        <w:ind w:firstLine="420" w:firstLineChars="200"/>
        <w:jc w:val="left"/>
        <w:outlineLvl w:val="9"/>
        <w:rPr>
          <w:rFonts w:hint="default" w:hAnsi="宋体" w:cs="宋体"/>
          <w:color w:val="auto"/>
          <w:highlight w:val="none"/>
          <w:lang w:val="en-US" w:eastAsia="zh-CN"/>
        </w:rPr>
      </w:pPr>
      <w:r>
        <w:rPr>
          <w:rFonts w:hint="eastAsia" w:hAnsi="宋体" w:cs="宋体"/>
          <w:color w:val="auto"/>
          <w:highlight w:val="none"/>
          <w:lang w:val="en-US" w:eastAsia="zh-CN"/>
        </w:rPr>
        <w:t>14.2.4审核异议处理</w:t>
      </w:r>
    </w:p>
    <w:p w14:paraId="126D3E07">
      <w:pPr>
        <w:spacing w:line="360" w:lineRule="auto"/>
        <w:ind w:firstLine="420" w:firstLineChars="200"/>
        <w:jc w:val="left"/>
        <w:outlineLvl w:val="9"/>
        <w:rPr>
          <w:rFonts w:hint="eastAsia" w:hAnsi="宋体" w:cs="宋体"/>
          <w:color w:val="auto"/>
          <w:highlight w:val="none"/>
        </w:rPr>
      </w:pPr>
      <w:r>
        <w:rPr>
          <w:rFonts w:hint="eastAsia" w:ascii="Times New Roman" w:hAnsi="宋体" w:eastAsia="宋体" w:cs="宋体"/>
          <w:i w:val="0"/>
          <w:caps w:val="0"/>
          <w:color w:val="auto"/>
          <w:spacing w:val="0"/>
          <w:sz w:val="21"/>
          <w:szCs w:val="21"/>
          <w:highlight w:val="none"/>
          <w:lang w:val="en-US" w:eastAsia="zh-CN"/>
        </w:rPr>
        <w:t>发包人或财政</w:t>
      </w:r>
      <w:r>
        <w:rPr>
          <w:rFonts w:hint="eastAsia" w:ascii="Times New Roman" w:hAnsi="Times New Roman" w:eastAsia="宋体" w:cs="Times New Roman"/>
          <w:i w:val="0"/>
          <w:caps w:val="0"/>
          <w:color w:val="auto"/>
          <w:spacing w:val="0"/>
          <w:sz w:val="21"/>
          <w:szCs w:val="21"/>
          <w:highlight w:val="none"/>
          <w:lang w:val="en-US" w:eastAsia="zh-CN"/>
        </w:rPr>
        <w:t>部门</w:t>
      </w:r>
      <w:r>
        <w:rPr>
          <w:rFonts w:hint="eastAsia" w:ascii="Times New Roman" w:hAnsi="宋体" w:eastAsia="宋体" w:cs="宋体"/>
          <w:i w:val="0"/>
          <w:caps w:val="0"/>
          <w:color w:val="auto"/>
          <w:spacing w:val="0"/>
          <w:sz w:val="21"/>
          <w:szCs w:val="21"/>
          <w:highlight w:val="none"/>
          <w:lang w:val="en-US" w:eastAsia="zh-CN"/>
        </w:rPr>
        <w:t>就竣工结算文件提出异议需要补充资料文件的，应一次性告知承包人应当补充的遗漏资料文件。承包人应当在收到发包人或财政部门提出的竣工结算审核异议之日起的14天内予以答复、回应，并及时补充相应的资料文件。</w:t>
      </w:r>
      <w:r>
        <w:rPr>
          <w:rFonts w:hint="eastAsia" w:hAnsi="宋体" w:cs="宋体"/>
          <w:color w:val="auto"/>
          <w:highlight w:val="none"/>
        </w:rPr>
        <w:t>因承包人提供的</w:t>
      </w:r>
      <w:r>
        <w:rPr>
          <w:rFonts w:hint="eastAsia" w:hAnsi="宋体" w:cs="宋体"/>
          <w:color w:val="auto"/>
          <w:highlight w:val="none"/>
          <w:lang w:val="en-US" w:eastAsia="zh-CN"/>
        </w:rPr>
        <w:t>竣工</w:t>
      </w:r>
      <w:r>
        <w:rPr>
          <w:rFonts w:hint="eastAsia" w:hAnsi="宋体" w:cs="宋体"/>
          <w:color w:val="auto"/>
          <w:highlight w:val="none"/>
        </w:rPr>
        <w:t>结算资料不完整而需要补充或承包人不按时对账耽误时间时，</w:t>
      </w:r>
      <w:r>
        <w:rPr>
          <w:rFonts w:hint="eastAsia" w:hAnsi="宋体" w:cs="宋体"/>
          <w:color w:val="auto"/>
          <w:highlight w:val="none"/>
          <w:lang w:val="en-US" w:eastAsia="zh-CN"/>
        </w:rPr>
        <w:t>审核</w:t>
      </w:r>
      <w:r>
        <w:rPr>
          <w:rFonts w:hint="eastAsia" w:hAnsi="宋体" w:cs="宋体"/>
          <w:color w:val="auto"/>
          <w:highlight w:val="none"/>
        </w:rPr>
        <w:t>时间应相应顺延。</w:t>
      </w:r>
    </w:p>
    <w:p w14:paraId="3684FA3E">
      <w:pPr>
        <w:numPr>
          <w:ilvl w:val="0"/>
          <w:numId w:val="0"/>
        </w:numPr>
        <w:spacing w:line="400" w:lineRule="exact"/>
        <w:ind w:firstLine="420" w:firstLineChars="200"/>
        <w:rPr>
          <w:rFonts w:hint="eastAsia" w:hAnsi="宋体" w:cs="宋体"/>
          <w:color w:val="auto"/>
          <w:highlight w:val="none"/>
          <w:u w:val="none"/>
        </w:rPr>
      </w:pPr>
      <w:r>
        <w:rPr>
          <w:rFonts w:hint="eastAsia" w:hAnsi="宋体" w:cs="宋体"/>
          <w:color w:val="auto"/>
          <w:highlight w:val="none"/>
          <w:u w:val="none"/>
        </w:rPr>
        <w:t>承包人对发包人</w:t>
      </w:r>
      <w:r>
        <w:rPr>
          <w:rFonts w:hint="eastAsia" w:hAnsi="宋体" w:cs="宋体"/>
          <w:color w:val="auto"/>
          <w:highlight w:val="none"/>
          <w:u w:val="none"/>
          <w:lang w:val="en-US" w:eastAsia="zh-CN"/>
        </w:rPr>
        <w:t>或财政部门</w:t>
      </w:r>
      <w:r>
        <w:rPr>
          <w:rFonts w:hint="eastAsia" w:hAnsi="宋体" w:cs="宋体"/>
          <w:color w:val="auto"/>
          <w:highlight w:val="none"/>
          <w:u w:val="none"/>
        </w:rPr>
        <w:t>确认的结算价款或审核意见有异议的，应在收到发包人</w:t>
      </w:r>
      <w:r>
        <w:rPr>
          <w:rFonts w:hint="eastAsia" w:hAnsi="宋体" w:cs="宋体"/>
          <w:color w:val="auto"/>
          <w:highlight w:val="none"/>
          <w:u w:val="none"/>
          <w:lang w:val="en-US" w:eastAsia="zh-CN"/>
        </w:rPr>
        <w:t>或财政部门</w:t>
      </w:r>
      <w:r>
        <w:rPr>
          <w:rFonts w:hint="eastAsia" w:hAnsi="宋体" w:cs="宋体"/>
          <w:color w:val="auto"/>
          <w:highlight w:val="none"/>
          <w:u w:val="none"/>
        </w:rPr>
        <w:t>确认的价款或审核意见之日起</w:t>
      </w:r>
      <w:r>
        <w:rPr>
          <w:rFonts w:hAnsi="宋体" w:cs="宋体"/>
          <w:color w:val="auto"/>
          <w:highlight w:val="none"/>
          <w:u w:val="single"/>
        </w:rPr>
        <w:t xml:space="preserve">  </w:t>
      </w:r>
      <w:r>
        <w:rPr>
          <w:rFonts w:hint="eastAsia" w:hAnsi="宋体" w:cs="宋体"/>
          <w:color w:val="auto"/>
          <w:highlight w:val="none"/>
          <w:u w:val="single"/>
          <w:lang w:val="en-US" w:eastAsia="zh-CN"/>
        </w:rPr>
        <w:t xml:space="preserve">7  </w:t>
      </w:r>
      <w:r>
        <w:rPr>
          <w:rFonts w:hint="eastAsia" w:hAnsi="宋体" w:cs="宋体"/>
          <w:color w:val="auto"/>
          <w:highlight w:val="none"/>
          <w:u w:val="none"/>
        </w:rPr>
        <w:t>天内提出异议，必要时合同当事人要当面核对，直至完成工程竣工结算。除非有特殊情形，否则从承包人递交竣工结算报告到完成竣工结算的时间应控制在</w:t>
      </w:r>
      <w:r>
        <w:rPr>
          <w:rFonts w:hint="eastAsia" w:hAnsi="宋体" w:cs="宋体"/>
          <w:color w:val="auto"/>
          <w:highlight w:val="none"/>
          <w:u w:val="none"/>
          <w:lang w:val="en-US" w:eastAsia="zh-CN"/>
        </w:rPr>
        <w:t>审核竣工结算文件</w:t>
      </w:r>
      <w:r>
        <w:rPr>
          <w:rFonts w:hint="eastAsia" w:hAnsi="宋体" w:cs="宋体"/>
          <w:color w:val="auto"/>
          <w:highlight w:val="none"/>
          <w:u w:val="none"/>
        </w:rPr>
        <w:t>期限</w:t>
      </w:r>
      <w:r>
        <w:rPr>
          <w:rFonts w:hint="eastAsia" w:hAnsi="宋体" w:cs="宋体"/>
          <w:color w:val="auto"/>
          <w:highlight w:val="none"/>
          <w:u w:val="none"/>
          <w:lang w:val="en-US" w:eastAsia="zh-CN"/>
        </w:rPr>
        <w:t>之</w:t>
      </w:r>
      <w:r>
        <w:rPr>
          <w:rFonts w:hint="eastAsia" w:hAnsi="宋体" w:cs="宋体"/>
          <w:color w:val="auto"/>
          <w:highlight w:val="none"/>
          <w:u w:val="none"/>
        </w:rPr>
        <w:t>内。</w:t>
      </w:r>
    </w:p>
    <w:p w14:paraId="19A04CA4">
      <w:pPr>
        <w:numPr>
          <w:ilvl w:val="0"/>
          <w:numId w:val="0"/>
        </w:numPr>
        <w:spacing w:line="400" w:lineRule="exact"/>
        <w:ind w:firstLine="420" w:firstLineChars="200"/>
        <w:outlineLvl w:val="9"/>
        <w:rPr>
          <w:rFonts w:hint="eastAsia" w:hAnsi="宋体" w:cs="宋体"/>
          <w:color w:val="auto"/>
          <w:highlight w:val="none"/>
        </w:rPr>
      </w:pPr>
      <w:r>
        <w:rPr>
          <w:rFonts w:hint="eastAsia" w:ascii="Times New Roman" w:hAnsi="Times New Roman" w:eastAsia="宋体" w:cs="Times New Roman"/>
          <w:color w:val="auto"/>
          <w:szCs w:val="21"/>
          <w:highlight w:val="none"/>
          <w:lang w:val="en-US" w:eastAsia="zh-CN"/>
        </w:rPr>
        <w:t>竣工结算审核期限届满，</w:t>
      </w:r>
      <w:r>
        <w:rPr>
          <w:rFonts w:hint="eastAsia" w:ascii="Times New Roman" w:hAnsi="Times New Roman" w:eastAsia="宋体" w:cs="Times New Roman"/>
          <w:color w:val="auto"/>
          <w:szCs w:val="21"/>
          <w:highlight w:val="none"/>
          <w:lang w:val="en-US"/>
        </w:rPr>
        <w:t>发包人</w:t>
      </w:r>
      <w:r>
        <w:rPr>
          <w:rFonts w:hint="eastAsia" w:ascii="Times New Roman" w:hAnsi="Times New Roman" w:eastAsia="宋体" w:cs="Times New Roman"/>
          <w:color w:val="auto"/>
          <w:szCs w:val="21"/>
          <w:highlight w:val="none"/>
          <w:lang w:val="en-US" w:eastAsia="zh-CN"/>
        </w:rPr>
        <w:t>（财政部门）</w:t>
      </w:r>
      <w:r>
        <w:rPr>
          <w:rFonts w:hint="eastAsia" w:ascii="Times New Roman" w:hAnsi="Times New Roman" w:eastAsia="宋体" w:cs="Times New Roman"/>
          <w:color w:val="auto"/>
          <w:szCs w:val="21"/>
          <w:highlight w:val="none"/>
          <w:lang w:val="en-US"/>
        </w:rPr>
        <w:t>或承包人对</w:t>
      </w:r>
      <w:r>
        <w:rPr>
          <w:rFonts w:hint="eastAsia" w:ascii="Times New Roman" w:hAnsi="Times New Roman" w:eastAsia="宋体" w:cs="Times New Roman"/>
          <w:color w:val="auto"/>
          <w:szCs w:val="21"/>
          <w:highlight w:val="none"/>
          <w:lang w:val="en-US" w:eastAsia="zh-CN"/>
        </w:rPr>
        <w:t>审核</w:t>
      </w:r>
      <w:r>
        <w:rPr>
          <w:rFonts w:hint="eastAsia" w:ascii="Times New Roman" w:hAnsi="Times New Roman" w:eastAsia="宋体" w:cs="Times New Roman"/>
          <w:color w:val="auto"/>
          <w:szCs w:val="21"/>
          <w:highlight w:val="none"/>
          <w:lang w:val="en-US"/>
        </w:rPr>
        <w:t>结果</w:t>
      </w:r>
      <w:r>
        <w:rPr>
          <w:rFonts w:hint="eastAsia" w:ascii="Times New Roman" w:hAnsi="Times New Roman" w:eastAsia="宋体" w:cs="Times New Roman"/>
          <w:color w:val="auto"/>
          <w:szCs w:val="21"/>
          <w:highlight w:val="none"/>
          <w:lang w:val="en-US" w:eastAsia="zh-CN"/>
        </w:rPr>
        <w:t>部分</w:t>
      </w:r>
      <w:r>
        <w:rPr>
          <w:rFonts w:hint="eastAsia" w:ascii="Times New Roman" w:hAnsi="Times New Roman" w:eastAsia="宋体" w:cs="Times New Roman"/>
          <w:color w:val="auto"/>
          <w:szCs w:val="21"/>
          <w:highlight w:val="none"/>
          <w:lang w:val="en-US"/>
        </w:rPr>
        <w:t>存有异议的，</w:t>
      </w:r>
      <w:r>
        <w:rPr>
          <w:rFonts w:hint="eastAsia" w:ascii="Times New Roman" w:hAnsi="Times New Roman" w:eastAsia="宋体" w:cs="Times New Roman"/>
          <w:color w:val="auto"/>
          <w:szCs w:val="21"/>
          <w:highlight w:val="none"/>
          <w:lang w:val="en-US" w:eastAsia="zh-CN"/>
        </w:rPr>
        <w:t>就</w:t>
      </w:r>
      <w:r>
        <w:rPr>
          <w:rFonts w:hint="eastAsia" w:ascii="Times New Roman" w:hAnsi="Times New Roman" w:eastAsia="宋体" w:cs="Times New Roman"/>
          <w:color w:val="auto"/>
          <w:szCs w:val="21"/>
          <w:highlight w:val="none"/>
          <w:lang w:val="en-US"/>
        </w:rPr>
        <w:t>无异议部分办理不完全竣工结算</w:t>
      </w:r>
      <w:r>
        <w:rPr>
          <w:rFonts w:hint="eastAsia" w:ascii="Times New Roman" w:hAnsi="Times New Roman" w:eastAsia="宋体" w:cs="Times New Roman"/>
          <w:color w:val="auto"/>
          <w:szCs w:val="21"/>
          <w:highlight w:val="none"/>
          <w:lang w:val="en-US" w:eastAsia="zh-CN"/>
        </w:rPr>
        <w:t>，发包人应按照不完全竣工结算金额依约向承包人支付对应的工程款</w:t>
      </w:r>
      <w:r>
        <w:rPr>
          <w:rFonts w:hint="eastAsia" w:ascii="Times New Roman" w:hAnsi="Times New Roman" w:eastAsia="宋体" w:cs="Times New Roman"/>
          <w:color w:val="auto"/>
          <w:szCs w:val="21"/>
          <w:highlight w:val="none"/>
          <w:lang w:val="en-US"/>
        </w:rPr>
        <w:t>；</w:t>
      </w:r>
      <w:r>
        <w:rPr>
          <w:rFonts w:hint="eastAsia" w:ascii="Times New Roman" w:hAnsi="Times New Roman" w:eastAsia="宋体" w:cs="Times New Roman"/>
          <w:color w:val="auto"/>
          <w:szCs w:val="21"/>
          <w:highlight w:val="none"/>
          <w:lang w:val="en-US" w:eastAsia="zh-CN"/>
        </w:rPr>
        <w:t>就</w:t>
      </w:r>
      <w:r>
        <w:rPr>
          <w:rFonts w:hint="eastAsia" w:ascii="Times New Roman" w:hAnsi="Times New Roman" w:eastAsia="宋体" w:cs="Times New Roman"/>
          <w:color w:val="auto"/>
          <w:szCs w:val="21"/>
          <w:highlight w:val="none"/>
          <w:lang w:val="en-US"/>
        </w:rPr>
        <w:t>有异议部分</w:t>
      </w:r>
      <w:r>
        <w:rPr>
          <w:rFonts w:hint="eastAsia" w:ascii="Times New Roman" w:hAnsi="Times New Roman" w:eastAsia="宋体" w:cs="Times New Roman"/>
          <w:color w:val="auto"/>
          <w:szCs w:val="21"/>
          <w:highlight w:val="none"/>
          <w:lang w:val="en-US" w:eastAsia="zh-CN"/>
        </w:rPr>
        <w:t>发承包</w:t>
      </w:r>
      <w:r>
        <w:rPr>
          <w:rFonts w:hint="eastAsia" w:ascii="Times New Roman" w:hAnsi="Times New Roman" w:eastAsia="宋体" w:cs="Times New Roman"/>
          <w:color w:val="auto"/>
          <w:szCs w:val="21"/>
          <w:highlight w:val="none"/>
          <w:lang w:val="en-US"/>
        </w:rPr>
        <w:t>双方按</w:t>
      </w:r>
      <w:r>
        <w:rPr>
          <w:rFonts w:hint="eastAsia" w:ascii="Times New Roman" w:hAnsi="Times New Roman" w:eastAsia="宋体" w:cs="Times New Roman"/>
          <w:color w:val="auto"/>
          <w:szCs w:val="21"/>
          <w:highlight w:val="none"/>
          <w:lang w:val="en-US" w:eastAsia="zh-CN"/>
        </w:rPr>
        <w:t>本合同约定的</w:t>
      </w:r>
      <w:r>
        <w:rPr>
          <w:rFonts w:hint="eastAsia" w:ascii="Times New Roman" w:hAnsi="Times New Roman" w:eastAsia="宋体" w:cs="Times New Roman"/>
          <w:color w:val="auto"/>
          <w:szCs w:val="21"/>
          <w:highlight w:val="none"/>
          <w:lang w:val="en-US"/>
        </w:rPr>
        <w:t>争议解决方式处理</w:t>
      </w:r>
      <w:r>
        <w:rPr>
          <w:rFonts w:hint="eastAsia" w:ascii="Times New Roman" w:hAnsi="Times New Roman" w:eastAsia="宋体" w:cs="Times New Roman"/>
          <w:color w:val="auto"/>
          <w:szCs w:val="21"/>
          <w:highlight w:val="none"/>
          <w:lang w:val="en-US" w:eastAsia="zh-CN"/>
        </w:rPr>
        <w:t>，达成一致后，按争议部分的结算金额依约向承包人支付对应的工程款</w:t>
      </w:r>
      <w:r>
        <w:rPr>
          <w:rFonts w:hint="eastAsia" w:ascii="Times New Roman" w:hAnsi="Times New Roman" w:eastAsia="宋体" w:cs="Times New Roman"/>
          <w:color w:val="auto"/>
          <w:szCs w:val="21"/>
          <w:highlight w:val="none"/>
          <w:lang w:val="en-US"/>
        </w:rPr>
        <w:t>。</w:t>
      </w:r>
    </w:p>
    <w:p w14:paraId="3639828A">
      <w:pPr>
        <w:numPr>
          <w:ilvl w:val="0"/>
          <w:numId w:val="0"/>
        </w:numPr>
        <w:spacing w:line="360" w:lineRule="auto"/>
        <w:ind w:firstLine="420" w:firstLineChars="200"/>
        <w:jc w:val="left"/>
        <w:rPr>
          <w:rFonts w:hint="eastAsia" w:hAnsi="宋体" w:cs="宋体"/>
          <w:color w:val="auto"/>
          <w:highlight w:val="none"/>
          <w:u w:val="single"/>
        </w:rPr>
      </w:pPr>
      <w:r>
        <w:rPr>
          <w:rFonts w:hint="eastAsia" w:ascii="宋体" w:hAnsi="宋体" w:cs="宋体"/>
          <w:color w:val="auto"/>
          <w:szCs w:val="21"/>
          <w:highlight w:val="none"/>
          <w:lang w:val="zh-TW"/>
        </w:rPr>
        <w:t>发包人</w:t>
      </w:r>
      <w:r>
        <w:rPr>
          <w:rFonts w:hint="eastAsia" w:ascii="宋体" w:hAnsi="宋体" w:cs="宋体"/>
          <w:color w:val="auto"/>
          <w:szCs w:val="21"/>
          <w:highlight w:val="none"/>
          <w:lang w:val="en-US" w:eastAsia="zh-CN"/>
        </w:rPr>
        <w:t>或财政部门</w:t>
      </w:r>
      <w:r>
        <w:rPr>
          <w:rFonts w:hint="eastAsia" w:ascii="宋体" w:hAnsi="宋体" w:cs="宋体"/>
          <w:color w:val="auto"/>
          <w:szCs w:val="21"/>
          <w:highlight w:val="none"/>
          <w:lang w:val="zh-TW"/>
        </w:rPr>
        <w:t>在收到承包人竣工结算文件后约定</w:t>
      </w:r>
      <w:r>
        <w:rPr>
          <w:rFonts w:hint="eastAsia" w:ascii="宋体" w:hAnsi="宋体" w:cs="宋体"/>
          <w:color w:val="auto"/>
          <w:szCs w:val="21"/>
          <w:highlight w:val="none"/>
          <w:lang w:val="en-US" w:eastAsia="zh-CN"/>
        </w:rPr>
        <w:t>审核期限</w:t>
      </w:r>
      <w:r>
        <w:rPr>
          <w:rFonts w:hint="eastAsia" w:ascii="宋体" w:hAnsi="宋体" w:cs="宋体"/>
          <w:color w:val="auto"/>
          <w:szCs w:val="21"/>
          <w:highlight w:val="none"/>
          <w:lang w:val="zh-TW"/>
        </w:rPr>
        <w:t>内，未按合同约定或财政投资评审规定核对竣工结算或未提出核对意见的，应视为承包人提交的竣工结算文件已被发包人认可，竣工结算确认完毕。承包人在收到发包人</w:t>
      </w:r>
      <w:r>
        <w:rPr>
          <w:rFonts w:hint="eastAsia" w:ascii="宋体" w:hAnsi="宋体" w:cs="宋体"/>
          <w:color w:val="auto"/>
          <w:szCs w:val="21"/>
          <w:highlight w:val="none"/>
          <w:lang w:val="en-US" w:eastAsia="zh-CN"/>
        </w:rPr>
        <w:t>或财政部门</w:t>
      </w:r>
      <w:r>
        <w:rPr>
          <w:rFonts w:hint="eastAsia" w:ascii="宋体" w:hAnsi="宋体" w:cs="宋体"/>
          <w:color w:val="auto"/>
          <w:szCs w:val="21"/>
          <w:highlight w:val="none"/>
          <w:lang w:val="zh-TW"/>
        </w:rPr>
        <w:t>提出的核对（或复核）意见后，在约定的时间内未按合同约定确认也未提出异议的，应视为发包人</w:t>
      </w:r>
      <w:r>
        <w:rPr>
          <w:rFonts w:hint="eastAsia" w:ascii="宋体" w:hAnsi="宋体" w:cs="宋体"/>
          <w:color w:val="auto"/>
          <w:szCs w:val="21"/>
          <w:highlight w:val="none"/>
          <w:lang w:val="en-US" w:eastAsia="zh-CN"/>
        </w:rPr>
        <w:t>或财政部门</w:t>
      </w:r>
      <w:r>
        <w:rPr>
          <w:rFonts w:hint="eastAsia" w:ascii="宋体" w:hAnsi="宋体" w:cs="宋体"/>
          <w:color w:val="auto"/>
          <w:szCs w:val="21"/>
          <w:highlight w:val="none"/>
          <w:lang w:val="zh-TW"/>
        </w:rPr>
        <w:t>提出的核对意见已被承包人认可，竣工结算确认完毕。</w:t>
      </w:r>
    </w:p>
    <w:p w14:paraId="2FDAFF0E">
      <w:pPr>
        <w:spacing w:line="400" w:lineRule="exact"/>
        <w:ind w:firstLine="411" w:firstLineChars="196"/>
        <w:jc w:val="left"/>
        <w:rPr>
          <w:rFonts w:hint="eastAsia" w:hAnsi="宋体" w:cs="宋体"/>
          <w:color w:val="auto"/>
          <w:highlight w:val="none"/>
          <w:u w:val="none"/>
        </w:rPr>
      </w:pPr>
      <w:r>
        <w:rPr>
          <w:rFonts w:hint="eastAsia" w:hAnsi="宋体" w:cs="宋体"/>
          <w:color w:val="auto"/>
          <w:highlight w:val="none"/>
          <w:u w:val="none"/>
          <w:lang w:val="en-US" w:eastAsia="zh-CN"/>
        </w:rPr>
        <w:t>14.2.5</w:t>
      </w:r>
      <w:r>
        <w:rPr>
          <w:rFonts w:hint="eastAsia" w:hAnsi="宋体" w:cs="宋体"/>
          <w:color w:val="auto"/>
          <w:highlight w:val="none"/>
          <w:u w:val="none"/>
        </w:rPr>
        <w:t>自竣工结算</w:t>
      </w:r>
      <w:r>
        <w:rPr>
          <w:rFonts w:hint="eastAsia" w:hAnsi="宋体" w:cs="宋体"/>
          <w:color w:val="auto"/>
          <w:highlight w:val="none"/>
          <w:u w:val="none"/>
          <w:lang w:eastAsia="zh-CN"/>
        </w:rPr>
        <w:t>（</w:t>
      </w:r>
      <w:r>
        <w:rPr>
          <w:rFonts w:hint="eastAsia" w:hAnsi="宋体" w:cs="宋体"/>
          <w:color w:val="auto"/>
          <w:highlight w:val="none"/>
          <w:u w:val="none"/>
          <w:lang w:val="en-US" w:eastAsia="zh-CN"/>
        </w:rPr>
        <w:t>或办理不完全竣工结算</w:t>
      </w:r>
      <w:r>
        <w:rPr>
          <w:rFonts w:hint="eastAsia" w:hAnsi="宋体" w:cs="宋体"/>
          <w:color w:val="auto"/>
          <w:highlight w:val="none"/>
          <w:u w:val="none"/>
          <w:lang w:eastAsia="zh-CN"/>
        </w:rPr>
        <w:t>）</w:t>
      </w:r>
      <w:r>
        <w:rPr>
          <w:rFonts w:hint="eastAsia" w:hAnsi="宋体" w:cs="宋体"/>
          <w:color w:val="auto"/>
          <w:highlight w:val="none"/>
          <w:u w:val="none"/>
        </w:rPr>
        <w:t>完毕之日起</w:t>
      </w:r>
      <w:r>
        <w:rPr>
          <w:rFonts w:hint="eastAsia" w:hAnsi="宋体"/>
          <w:color w:val="auto"/>
          <w:highlight w:val="none"/>
          <w:u w:val="single"/>
          <w:lang w:val="en-US" w:eastAsia="zh-CN"/>
        </w:rPr>
        <w:t xml:space="preserve"> 28  </w:t>
      </w:r>
      <w:r>
        <w:rPr>
          <w:rFonts w:hint="eastAsia" w:hAnsi="宋体" w:cs="宋体"/>
          <w:color w:val="auto"/>
          <w:highlight w:val="none"/>
          <w:u w:val="none"/>
        </w:rPr>
        <w:t>天内，发包人按审定的结算</w:t>
      </w:r>
      <w:r>
        <w:rPr>
          <w:rFonts w:hint="eastAsia" w:hAnsi="宋体" w:cs="宋体"/>
          <w:color w:val="auto"/>
          <w:highlight w:val="none"/>
          <w:u w:val="none"/>
          <w:lang w:val="en-US" w:eastAsia="zh-CN"/>
        </w:rPr>
        <w:t>金额</w:t>
      </w:r>
      <w:r>
        <w:rPr>
          <w:rFonts w:hint="eastAsia" w:hAnsi="宋体" w:cs="宋体"/>
          <w:color w:val="auto"/>
          <w:highlight w:val="none"/>
          <w:u w:val="none"/>
        </w:rPr>
        <w:t>向承包人支付结算价款。</w:t>
      </w:r>
    </w:p>
    <w:p w14:paraId="6A87DB57">
      <w:pPr>
        <w:pStyle w:val="52"/>
        <w:ind w:firstLineChars="200"/>
        <w:rPr>
          <w:rFonts w:hint="default"/>
          <w:color w:val="auto"/>
          <w:highlight w:val="none"/>
        </w:rPr>
      </w:pPr>
      <w:r>
        <w:rPr>
          <w:rFonts w:hint="default"/>
          <w:color w:val="auto"/>
          <w:highlight w:val="none"/>
        </w:rPr>
        <w:t>14.2.</w:t>
      </w:r>
      <w:r>
        <w:rPr>
          <w:rFonts w:hint="eastAsia"/>
          <w:color w:val="auto"/>
          <w:highlight w:val="none"/>
          <w:lang w:val="en-US" w:eastAsia="zh-CN"/>
        </w:rPr>
        <w:t>6</w:t>
      </w:r>
      <w:r>
        <w:rPr>
          <w:rFonts w:hint="default"/>
          <w:color w:val="auto"/>
          <w:highlight w:val="none"/>
        </w:rPr>
        <w:t xml:space="preserve"> 承包人必须提供完整、真实的隐蔽工程原始施工、验收记录。如发现施工单位提供的隐蔽工程资料与实际不符时，按不利于施工单位原则结算。</w:t>
      </w:r>
    </w:p>
    <w:p w14:paraId="5D680B62">
      <w:pPr>
        <w:pStyle w:val="5"/>
        <w:jc w:val="left"/>
        <w:rPr>
          <w:color w:val="auto"/>
          <w:highlight w:val="none"/>
        </w:rPr>
      </w:pPr>
      <w:bookmarkStart w:id="399" w:name="_Toc29846"/>
      <w:bookmarkStart w:id="400" w:name="_Toc11123"/>
      <w:r>
        <w:rPr>
          <w:color w:val="auto"/>
          <w:highlight w:val="none"/>
        </w:rPr>
        <w:t xml:space="preserve">14.4 </w:t>
      </w:r>
      <w:r>
        <w:rPr>
          <w:rFonts w:hint="eastAsia" w:hAnsi="宋体" w:cs="黑体"/>
          <w:color w:val="auto"/>
          <w:highlight w:val="none"/>
        </w:rPr>
        <w:t>最</w:t>
      </w:r>
      <w:r>
        <w:rPr>
          <w:rFonts w:hint="eastAsia" w:ascii="Arial" w:hAnsi="Arial" w:cs="黑体"/>
          <w:highlight w:val="none"/>
        </w:rPr>
        <w:t>终结</w:t>
      </w:r>
      <w:r>
        <w:rPr>
          <w:rFonts w:hint="eastAsia" w:hAnsi="宋体" w:cs="黑体"/>
          <w:color w:val="auto"/>
          <w:highlight w:val="none"/>
        </w:rPr>
        <w:t>清</w:t>
      </w:r>
      <w:bookmarkEnd w:id="399"/>
      <w:bookmarkEnd w:id="400"/>
    </w:p>
    <w:p w14:paraId="5A31BE3A">
      <w:pPr>
        <w:spacing w:line="360" w:lineRule="auto"/>
        <w:ind w:firstLine="420" w:firstLineChars="200"/>
        <w:jc w:val="left"/>
        <w:rPr>
          <w:color w:val="auto"/>
          <w:kern w:val="0"/>
          <w:highlight w:val="none"/>
        </w:rPr>
      </w:pPr>
      <w:r>
        <w:rPr>
          <w:color w:val="auto"/>
          <w:kern w:val="0"/>
          <w:highlight w:val="none"/>
        </w:rPr>
        <w:t xml:space="preserve">14.4.1 </w:t>
      </w:r>
      <w:r>
        <w:rPr>
          <w:rFonts w:hint="eastAsia" w:hAnsi="宋体" w:cs="宋体"/>
          <w:color w:val="auto"/>
          <w:kern w:val="0"/>
          <w:highlight w:val="none"/>
        </w:rPr>
        <w:t>最终结清申请单</w:t>
      </w:r>
    </w:p>
    <w:p w14:paraId="5674A004">
      <w:pPr>
        <w:spacing w:line="360" w:lineRule="auto"/>
        <w:ind w:firstLine="420" w:firstLineChars="200"/>
        <w:jc w:val="left"/>
        <w:rPr>
          <w:color w:val="auto"/>
          <w:kern w:val="0"/>
          <w:highlight w:val="none"/>
        </w:rPr>
      </w:pPr>
      <w:r>
        <w:rPr>
          <w:rFonts w:hint="eastAsia" w:hAnsi="宋体" w:cs="宋体"/>
          <w:color w:val="auto"/>
          <w:kern w:val="0"/>
          <w:highlight w:val="none"/>
        </w:rPr>
        <w:t>承包人提交最终结清申请单的份数：一式陆份</w:t>
      </w:r>
      <w:r>
        <w:rPr>
          <w:color w:val="auto"/>
          <w:highlight w:val="none"/>
          <w:u w:val="single"/>
        </w:rPr>
        <w:t xml:space="preserve">      </w:t>
      </w:r>
      <w:r>
        <w:rPr>
          <w:rFonts w:hint="eastAsia" w:hAnsi="宋体" w:cs="宋体"/>
          <w:color w:val="auto"/>
          <w:highlight w:val="none"/>
        </w:rPr>
        <w:t>。</w:t>
      </w:r>
    </w:p>
    <w:p w14:paraId="2A61F06B">
      <w:pPr>
        <w:spacing w:line="360" w:lineRule="auto"/>
        <w:ind w:firstLine="420" w:firstLineChars="200"/>
        <w:jc w:val="left"/>
        <w:rPr>
          <w:color w:val="auto"/>
          <w:highlight w:val="none"/>
        </w:rPr>
      </w:pPr>
      <w:r>
        <w:rPr>
          <w:rFonts w:hint="eastAsia" w:hAnsi="宋体" w:cs="宋体"/>
          <w:color w:val="auto"/>
          <w:kern w:val="0"/>
          <w:highlight w:val="none"/>
        </w:rPr>
        <w:t>承包人提交最终结算申请单的期限：</w:t>
      </w:r>
      <w:r>
        <w:rPr>
          <w:color w:val="auto"/>
          <w:highlight w:val="none"/>
          <w:u w:val="single"/>
        </w:rPr>
        <w:t xml:space="preserve">  </w:t>
      </w:r>
      <w:r>
        <w:rPr>
          <w:rFonts w:ascii="Arial" w:hAnsi="Arial" w:cs="Arial"/>
          <w:color w:val="000000"/>
          <w:highlight w:val="none"/>
          <w:u w:val="single"/>
        </w:rPr>
        <w:t>按照通用合同条款</w:t>
      </w:r>
      <w:r>
        <w:rPr>
          <w:color w:val="auto"/>
          <w:highlight w:val="none"/>
          <w:u w:val="single"/>
        </w:rPr>
        <w:t xml:space="preserve">   </w:t>
      </w:r>
      <w:r>
        <w:rPr>
          <w:rFonts w:hint="eastAsia" w:hAnsi="宋体" w:cs="宋体"/>
          <w:color w:val="auto"/>
          <w:highlight w:val="none"/>
        </w:rPr>
        <w:t>。</w:t>
      </w:r>
      <w:r>
        <w:rPr>
          <w:color w:val="auto"/>
          <w:highlight w:val="none"/>
        </w:rPr>
        <w:t xml:space="preserve"> </w:t>
      </w:r>
    </w:p>
    <w:p w14:paraId="661852C0">
      <w:pPr>
        <w:spacing w:line="360" w:lineRule="auto"/>
        <w:ind w:firstLine="420" w:firstLineChars="200"/>
        <w:jc w:val="left"/>
        <w:rPr>
          <w:color w:val="auto"/>
          <w:highlight w:val="none"/>
        </w:rPr>
      </w:pPr>
      <w:r>
        <w:rPr>
          <w:rFonts w:hint="eastAsia"/>
          <w:color w:val="auto"/>
          <w:highlight w:val="none"/>
          <w:lang w:eastAsia="zh-CN"/>
        </w:rPr>
        <w:t>《</w:t>
      </w:r>
      <w:r>
        <w:rPr>
          <w:rFonts w:hint="eastAsia"/>
          <w:color w:val="auto"/>
          <w:highlight w:val="none"/>
        </w:rPr>
        <w:t>工程保修与结清结算款支付申请（核准）表</w:t>
      </w:r>
      <w:r>
        <w:rPr>
          <w:rFonts w:hint="eastAsia"/>
          <w:color w:val="auto"/>
          <w:highlight w:val="none"/>
          <w:lang w:eastAsia="zh-CN"/>
        </w:rPr>
        <w:t>》</w:t>
      </w:r>
      <w:r>
        <w:rPr>
          <w:rFonts w:hint="eastAsia"/>
          <w:color w:val="auto"/>
          <w:highlight w:val="none"/>
        </w:rPr>
        <w:t>见合同附件13。</w:t>
      </w:r>
    </w:p>
    <w:p w14:paraId="77C6DD2D">
      <w:pPr>
        <w:spacing w:line="360" w:lineRule="auto"/>
        <w:ind w:firstLine="420" w:firstLineChars="200"/>
        <w:jc w:val="left"/>
        <w:rPr>
          <w:color w:val="auto"/>
          <w:highlight w:val="none"/>
        </w:rPr>
      </w:pPr>
      <w:r>
        <w:rPr>
          <w:color w:val="auto"/>
          <w:highlight w:val="none"/>
        </w:rPr>
        <w:t xml:space="preserve">14.4.2 </w:t>
      </w:r>
      <w:r>
        <w:rPr>
          <w:rFonts w:hint="eastAsia" w:hAnsi="宋体" w:cs="宋体"/>
          <w:color w:val="auto"/>
          <w:highlight w:val="none"/>
        </w:rPr>
        <w:t>最终结清证书和支付</w:t>
      </w:r>
    </w:p>
    <w:p w14:paraId="0643DEB2">
      <w:pPr>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1</w:t>
      </w:r>
      <w:r>
        <w:rPr>
          <w:rFonts w:hint="eastAsia" w:hAnsi="宋体" w:cs="宋体"/>
          <w:color w:val="auto"/>
          <w:highlight w:val="none"/>
        </w:rPr>
        <w:t>）发包人完成最终结清申请单的审批并颁发最终结清证书的期限：</w:t>
      </w:r>
      <w:r>
        <w:rPr>
          <w:color w:val="auto"/>
          <w:highlight w:val="none"/>
          <w:u w:val="single"/>
        </w:rPr>
        <w:t xml:space="preserve"> </w:t>
      </w:r>
      <w:r>
        <w:rPr>
          <w:rFonts w:ascii="Arial" w:hAnsi="Arial" w:cs="Arial"/>
          <w:color w:val="000000"/>
          <w:highlight w:val="none"/>
          <w:u w:val="single"/>
        </w:rPr>
        <w:t>收到该申请 14 天内</w:t>
      </w:r>
      <w:r>
        <w:rPr>
          <w:color w:val="auto"/>
          <w:highlight w:val="none"/>
          <w:u w:val="single"/>
        </w:rPr>
        <w:t xml:space="preserve">  </w:t>
      </w:r>
      <w:r>
        <w:rPr>
          <w:rFonts w:hint="eastAsia" w:hAnsi="宋体" w:cs="宋体"/>
          <w:color w:val="auto"/>
          <w:highlight w:val="none"/>
        </w:rPr>
        <w:t>。</w:t>
      </w:r>
    </w:p>
    <w:p w14:paraId="077DB614">
      <w:pPr>
        <w:spacing w:line="360" w:lineRule="auto"/>
        <w:ind w:firstLine="420" w:firstLineChars="200"/>
        <w:jc w:val="left"/>
        <w:rPr>
          <w:color w:val="auto"/>
          <w:highlight w:val="none"/>
        </w:rPr>
      </w:pPr>
      <w:r>
        <w:rPr>
          <w:rFonts w:hint="eastAsia" w:hAnsi="宋体" w:cs="宋体"/>
          <w:color w:val="auto"/>
          <w:highlight w:val="none"/>
        </w:rPr>
        <w:t>（</w:t>
      </w:r>
      <w:r>
        <w:rPr>
          <w:color w:val="auto"/>
          <w:highlight w:val="none"/>
        </w:rPr>
        <w:t>2</w:t>
      </w:r>
      <w:r>
        <w:rPr>
          <w:rFonts w:hint="eastAsia" w:hAnsi="宋体" w:cs="宋体"/>
          <w:color w:val="auto"/>
          <w:highlight w:val="none"/>
        </w:rPr>
        <w:t>）发包人完成支付的期限：</w:t>
      </w:r>
      <w:r>
        <w:rPr>
          <w:color w:val="auto"/>
          <w:highlight w:val="none"/>
          <w:u w:val="single"/>
        </w:rPr>
        <w:t xml:space="preserve">   </w:t>
      </w:r>
      <w:r>
        <w:rPr>
          <w:rFonts w:ascii="Arial" w:hAnsi="Arial" w:cs="Arial"/>
          <w:color w:val="000000"/>
          <w:highlight w:val="none"/>
          <w:u w:val="single"/>
        </w:rPr>
        <w:t>收到该申请 14 天内</w:t>
      </w:r>
      <w:r>
        <w:rPr>
          <w:color w:val="auto"/>
          <w:highlight w:val="none"/>
          <w:u w:val="single"/>
        </w:rPr>
        <w:t xml:space="preserve">    </w:t>
      </w:r>
      <w:r>
        <w:rPr>
          <w:rFonts w:hint="eastAsia" w:hAnsi="宋体" w:cs="宋体"/>
          <w:color w:val="auto"/>
          <w:highlight w:val="none"/>
        </w:rPr>
        <w:t>。</w:t>
      </w:r>
    </w:p>
    <w:p w14:paraId="5524FCC5">
      <w:pPr>
        <w:pStyle w:val="4"/>
        <w:outlineLvl w:val="2"/>
        <w:rPr>
          <w:color w:val="auto"/>
          <w:highlight w:val="none"/>
        </w:rPr>
      </w:pPr>
      <w:bookmarkStart w:id="401" w:name="_Toc5429"/>
      <w:r>
        <w:rPr>
          <w:color w:val="auto"/>
          <w:highlight w:val="none"/>
        </w:rPr>
        <w:t xml:space="preserve">15. </w:t>
      </w:r>
      <w:r>
        <w:rPr>
          <w:rFonts w:hint="eastAsia" w:cs="黑体"/>
          <w:color w:val="auto"/>
          <w:highlight w:val="none"/>
        </w:rPr>
        <w:t>缺陷责任期与保修</w:t>
      </w:r>
      <w:bookmarkEnd w:id="401"/>
    </w:p>
    <w:p w14:paraId="6C50AB16">
      <w:pPr>
        <w:pStyle w:val="5"/>
        <w:jc w:val="left"/>
        <w:rPr>
          <w:color w:val="auto"/>
          <w:highlight w:val="none"/>
        </w:rPr>
      </w:pPr>
      <w:bookmarkStart w:id="402" w:name="_Toc5211"/>
      <w:bookmarkStart w:id="403" w:name="_Toc14431"/>
      <w:r>
        <w:rPr>
          <w:color w:val="auto"/>
          <w:highlight w:val="none"/>
        </w:rPr>
        <w:t xml:space="preserve">15.2 </w:t>
      </w:r>
      <w:r>
        <w:rPr>
          <w:rFonts w:hint="eastAsia" w:ascii="Arial" w:hAnsi="Arial" w:cs="黑体"/>
          <w:highlight w:val="none"/>
        </w:rPr>
        <w:t>缺陷</w:t>
      </w:r>
      <w:r>
        <w:rPr>
          <w:rFonts w:hint="eastAsia" w:hAnsi="宋体" w:cs="黑体"/>
          <w:color w:val="auto"/>
          <w:highlight w:val="none"/>
        </w:rPr>
        <w:t>责任期</w:t>
      </w:r>
      <w:bookmarkEnd w:id="402"/>
      <w:bookmarkEnd w:id="403"/>
    </w:p>
    <w:p w14:paraId="2498E5C8">
      <w:pPr>
        <w:spacing w:line="360" w:lineRule="auto"/>
        <w:ind w:firstLine="420" w:firstLineChars="200"/>
        <w:jc w:val="left"/>
        <w:rPr>
          <w:color w:val="auto"/>
          <w:highlight w:val="none"/>
          <w:u w:val="single"/>
        </w:rPr>
      </w:pPr>
      <w:r>
        <w:rPr>
          <w:rFonts w:hint="eastAsia" w:hAnsi="宋体" w:cs="宋体"/>
          <w:color w:val="auto"/>
          <w:highlight w:val="none"/>
        </w:rPr>
        <w:t>缺陷责任期的具体期限：</w:t>
      </w:r>
      <w:r>
        <w:rPr>
          <w:color w:val="auto"/>
          <w:highlight w:val="none"/>
          <w:u w:val="single"/>
        </w:rPr>
        <w:t xml:space="preserve">  </w:t>
      </w:r>
      <w:r>
        <w:rPr>
          <w:rFonts w:hint="eastAsia" w:ascii="Arial" w:hAnsi="Arial" w:cs="Arial"/>
          <w:color w:val="000000"/>
          <w:highlight w:val="none"/>
          <w:u w:val="single"/>
          <w:lang w:val="en-US" w:eastAsia="zh-CN"/>
        </w:rPr>
        <w:t>12</w:t>
      </w:r>
      <w:r>
        <w:rPr>
          <w:rFonts w:ascii="Arial" w:hAnsi="Arial" w:cs="Arial"/>
          <w:color w:val="000000"/>
          <w:highlight w:val="none"/>
          <w:u w:val="single"/>
        </w:rPr>
        <w:t>个月</w:t>
      </w:r>
      <w:r>
        <w:rPr>
          <w:color w:val="auto"/>
          <w:highlight w:val="none"/>
          <w:u w:val="single"/>
        </w:rPr>
        <w:t xml:space="preserve"> </w:t>
      </w:r>
      <w:r>
        <w:rPr>
          <w:rFonts w:hint="eastAsia" w:hAnsi="宋体" w:cs="宋体"/>
          <w:color w:val="auto"/>
          <w:highlight w:val="none"/>
        </w:rPr>
        <w:t>。</w:t>
      </w:r>
    </w:p>
    <w:p w14:paraId="006C48E3">
      <w:pPr>
        <w:pStyle w:val="5"/>
        <w:jc w:val="left"/>
        <w:rPr>
          <w:color w:val="auto"/>
          <w:highlight w:val="none"/>
        </w:rPr>
      </w:pPr>
      <w:bookmarkStart w:id="404" w:name="_Toc13775"/>
      <w:bookmarkStart w:id="405" w:name="_Toc23897"/>
      <w:r>
        <w:rPr>
          <w:color w:val="auto"/>
          <w:highlight w:val="none"/>
        </w:rPr>
        <w:t xml:space="preserve">15.3 </w:t>
      </w:r>
      <w:r>
        <w:rPr>
          <w:rFonts w:hint="eastAsia" w:hAnsi="宋体" w:cs="黑体"/>
          <w:color w:val="auto"/>
          <w:highlight w:val="none"/>
        </w:rPr>
        <w:t>质量保证金</w:t>
      </w:r>
      <w:bookmarkEnd w:id="404"/>
      <w:bookmarkEnd w:id="405"/>
    </w:p>
    <w:p w14:paraId="70CAA467">
      <w:pPr>
        <w:spacing w:line="360" w:lineRule="auto"/>
        <w:ind w:firstLine="420" w:firstLineChars="200"/>
        <w:jc w:val="left"/>
        <w:outlineLvl w:val="9"/>
        <w:rPr>
          <w:color w:val="auto"/>
          <w:highlight w:val="none"/>
        </w:rPr>
      </w:pPr>
      <w:r>
        <w:rPr>
          <w:color w:val="auto"/>
          <w:highlight w:val="none"/>
        </w:rPr>
        <w:t xml:space="preserve">15.3.1 </w:t>
      </w:r>
      <w:r>
        <w:rPr>
          <w:rFonts w:hint="eastAsia" w:hAnsi="宋体" w:cs="宋体"/>
          <w:color w:val="auto"/>
          <w:highlight w:val="none"/>
        </w:rPr>
        <w:t>承包人提供质量保证金的方式</w:t>
      </w:r>
    </w:p>
    <w:p w14:paraId="7B7879EF">
      <w:pPr>
        <w:spacing w:line="360" w:lineRule="auto"/>
        <w:ind w:firstLine="420" w:firstLineChars="200"/>
        <w:jc w:val="left"/>
        <w:rPr>
          <w:color w:val="auto"/>
          <w:highlight w:val="none"/>
        </w:rPr>
      </w:pPr>
      <w:r>
        <w:rPr>
          <w:rFonts w:hint="eastAsia" w:hAnsi="宋体" w:cs="宋体"/>
          <w:color w:val="auto"/>
          <w:highlight w:val="none"/>
        </w:rPr>
        <w:t>质量保证金采用以下第</w:t>
      </w:r>
      <w:r>
        <w:rPr>
          <w:color w:val="auto"/>
          <w:highlight w:val="none"/>
          <w:u w:val="single"/>
        </w:rPr>
        <w:t xml:space="preserve">   </w:t>
      </w:r>
      <w:r>
        <w:rPr>
          <w:rFonts w:hint="eastAsia"/>
          <w:color w:val="auto"/>
          <w:highlight w:val="none"/>
          <w:u w:val="single"/>
          <w:lang w:eastAsia="zh-CN"/>
        </w:rPr>
        <w:t>（</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种方式：</w:t>
      </w:r>
    </w:p>
    <w:p w14:paraId="21AF06F6">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1</w:t>
      </w:r>
      <w:r>
        <w:rPr>
          <w:rFonts w:hint="eastAsia" w:hAnsi="宋体" w:cs="宋体"/>
          <w:color w:val="auto"/>
          <w:kern w:val="0"/>
          <w:highlight w:val="none"/>
        </w:rPr>
        <w:t>）质量保证金保函</w:t>
      </w:r>
      <w:r>
        <w:rPr>
          <w:rFonts w:hint="eastAsia" w:ascii="Times New Roman" w:hAnsi="宋体" w:eastAsia="宋体" w:cs="宋体"/>
          <w:color w:val="auto"/>
          <w:highlight w:val="none"/>
        </w:rPr>
        <w:t>（银行保函、电子保函、保证保险保函、工程担保保函</w:t>
      </w:r>
      <w:r>
        <w:rPr>
          <w:rFonts w:hint="eastAsia" w:ascii="Times New Roman" w:hAnsi="宋体" w:eastAsia="宋体" w:cs="宋体"/>
          <w:color w:val="auto"/>
          <w:highlight w:val="none"/>
          <w:lang w:eastAsia="zh-CN"/>
        </w:rPr>
        <w:t>，</w:t>
      </w:r>
      <w:r>
        <w:rPr>
          <w:rFonts w:hint="eastAsia" w:hAnsi="宋体" w:cs="宋体"/>
          <w:color w:val="auto"/>
          <w:kern w:val="0"/>
          <w:highlight w:val="none"/>
        </w:rPr>
        <w:t>工程担保保证人应将出具的保函相关信息录入</w:t>
      </w:r>
      <w:r>
        <w:rPr>
          <w:rFonts w:hint="eastAsia" w:hAnsi="宋体" w:cs="宋体"/>
          <w:color w:val="auto"/>
          <w:kern w:val="0"/>
          <w:highlight w:val="none"/>
          <w:lang w:eastAsia="zh-CN"/>
        </w:rPr>
        <w:t>“</w:t>
      </w:r>
      <w:r>
        <w:rPr>
          <w:rFonts w:hint="eastAsia" w:hAnsi="宋体" w:cs="宋体"/>
          <w:color w:val="auto"/>
          <w:kern w:val="0"/>
          <w:highlight w:val="none"/>
        </w:rPr>
        <w:t>广西建筑市场监管云</w:t>
      </w:r>
      <w:r>
        <w:rPr>
          <w:rFonts w:hint="eastAsia" w:hAnsi="宋体" w:cs="宋体"/>
          <w:color w:val="auto"/>
          <w:kern w:val="0"/>
          <w:highlight w:val="none"/>
          <w:lang w:eastAsia="zh-CN"/>
        </w:rPr>
        <w:t>”</w:t>
      </w:r>
      <w:r>
        <w:rPr>
          <w:rFonts w:hint="eastAsia" w:hAnsi="宋体" w:cs="宋体"/>
          <w:color w:val="auto"/>
          <w:kern w:val="0"/>
          <w:highlight w:val="none"/>
        </w:rPr>
        <w:t>平台（</w:t>
      </w:r>
      <w:r>
        <w:rPr>
          <w:rFonts w:hint="eastAsia" w:hAnsi="宋体" w:cs="宋体"/>
          <w:color w:val="auto"/>
          <w:kern w:val="0"/>
          <w:highlight w:val="none"/>
          <w:lang w:eastAsia="zh-CN"/>
        </w:rPr>
        <w:t>https://gxjzsc.gxcic.</w:t>
      </w:r>
      <w:r>
        <w:rPr>
          <w:rFonts w:hint="eastAsia" w:cs="宋体"/>
          <w:color w:val="auto"/>
          <w:highlight w:val="none"/>
          <w:lang w:val="en-US" w:eastAsia="zh-CN"/>
        </w:rPr>
        <w:t>cn</w:t>
      </w:r>
      <w:r>
        <w:rPr>
          <w:rFonts w:hint="eastAsia" w:hAnsi="宋体" w:cs="宋体"/>
          <w:color w:val="auto"/>
          <w:kern w:val="0"/>
          <w:highlight w:val="none"/>
          <w:lang w:eastAsia="zh-CN"/>
        </w:rPr>
        <w:t>）</w:t>
      </w:r>
      <w:r>
        <w:rPr>
          <w:rFonts w:hint="eastAsia" w:hAnsi="宋体" w:cs="宋体"/>
          <w:color w:val="auto"/>
          <w:kern w:val="0"/>
          <w:highlight w:val="none"/>
        </w:rPr>
        <w:t>，以实现保函查询及验真功能</w:t>
      </w:r>
      <w:r>
        <w:rPr>
          <w:rFonts w:hint="eastAsia" w:hAnsi="宋体" w:cs="宋体"/>
          <w:color w:val="auto"/>
          <w:kern w:val="0"/>
          <w:highlight w:val="none"/>
          <w:lang w:eastAsia="zh-CN"/>
        </w:rPr>
        <w:t>。</w:t>
      </w:r>
      <w:r>
        <w:rPr>
          <w:rFonts w:hint="eastAsia" w:ascii="Times New Roman" w:hAnsi="宋体" w:eastAsia="宋体" w:cs="宋体"/>
          <w:color w:val="auto"/>
          <w:highlight w:val="none"/>
        </w:rPr>
        <w:t>）</w:t>
      </w:r>
      <w:r>
        <w:rPr>
          <w:rFonts w:hint="eastAsia" w:hAnsi="宋体" w:cs="宋体"/>
          <w:color w:val="auto"/>
          <w:kern w:val="0"/>
          <w:highlight w:val="none"/>
        </w:rPr>
        <w:t>，保证金额</w:t>
      </w:r>
      <w:r>
        <w:rPr>
          <w:rFonts w:hint="eastAsia" w:hAnsi="宋体" w:cs="宋体"/>
          <w:color w:val="auto"/>
          <w:kern w:val="0"/>
          <w:highlight w:val="none"/>
          <w:lang w:val="en-US" w:eastAsia="zh-CN"/>
        </w:rPr>
        <w:t>度</w:t>
      </w:r>
      <w:r>
        <w:rPr>
          <w:rFonts w:hint="eastAsia" w:hAnsi="宋体" w:cs="宋体"/>
          <w:color w:val="auto"/>
          <w:kern w:val="0"/>
          <w:highlight w:val="none"/>
        </w:rPr>
        <w:t>为：</w:t>
      </w:r>
      <w:r>
        <w:rPr>
          <w:color w:val="auto"/>
          <w:kern w:val="0"/>
          <w:highlight w:val="none"/>
          <w:u w:val="single"/>
        </w:rPr>
        <w:t xml:space="preserve">                   </w:t>
      </w:r>
      <w:r>
        <w:rPr>
          <w:rFonts w:hint="eastAsia" w:hAnsi="宋体" w:cs="宋体"/>
          <w:color w:val="auto"/>
          <w:kern w:val="0"/>
          <w:highlight w:val="none"/>
        </w:rPr>
        <w:t>；</w:t>
      </w:r>
    </w:p>
    <w:p w14:paraId="3D13A408">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2</w:t>
      </w:r>
      <w:r>
        <w:rPr>
          <w:rFonts w:hint="eastAsia" w:hAnsi="宋体" w:cs="宋体"/>
          <w:color w:val="auto"/>
          <w:kern w:val="0"/>
          <w:highlight w:val="none"/>
        </w:rPr>
        <w:t>）</w:t>
      </w:r>
      <w:r>
        <w:rPr>
          <w:rFonts w:hint="eastAsia" w:hAnsi="宋体" w:cs="宋体"/>
          <w:color w:val="auto"/>
          <w:highlight w:val="none"/>
        </w:rPr>
        <w:t>发包人按工程价款结算总额的</w:t>
      </w:r>
      <w:r>
        <w:rPr>
          <w:rFonts w:hAnsi="宋体"/>
          <w:color w:val="auto"/>
          <w:highlight w:val="none"/>
          <w:u w:val="single"/>
        </w:rPr>
        <w:t xml:space="preserve"> </w:t>
      </w:r>
      <w:r>
        <w:rPr>
          <w:rFonts w:hint="eastAsia" w:hAnsi="宋体"/>
          <w:color w:val="auto"/>
          <w:highlight w:val="none"/>
          <w:u w:val="single"/>
          <w:lang w:val="en-US" w:eastAsia="zh-CN"/>
        </w:rPr>
        <w:t>3</w:t>
      </w:r>
      <w:r>
        <w:rPr>
          <w:rFonts w:hAnsi="宋体"/>
          <w:color w:val="auto"/>
          <w:highlight w:val="none"/>
          <w:u w:val="single"/>
        </w:rPr>
        <w:t xml:space="preserve"> </w:t>
      </w:r>
      <w:r>
        <w:rPr>
          <w:color w:val="auto"/>
          <w:highlight w:val="none"/>
        </w:rPr>
        <w:t>%</w:t>
      </w:r>
      <w:r>
        <w:rPr>
          <w:rFonts w:hint="eastAsia" w:cs="宋体"/>
          <w:color w:val="auto"/>
          <w:highlight w:val="none"/>
        </w:rPr>
        <w:t>（不得超过</w:t>
      </w:r>
      <w:r>
        <w:rPr>
          <w:color w:val="auto"/>
          <w:highlight w:val="none"/>
        </w:rPr>
        <w:t>3%</w:t>
      </w:r>
      <w:r>
        <w:rPr>
          <w:rFonts w:hint="eastAsia" w:cs="宋体"/>
          <w:color w:val="auto"/>
          <w:highlight w:val="none"/>
        </w:rPr>
        <w:t>）</w:t>
      </w:r>
      <w:r>
        <w:rPr>
          <w:rFonts w:hint="eastAsia" w:hAnsi="宋体" w:cs="宋体"/>
          <w:color w:val="auto"/>
          <w:highlight w:val="none"/>
        </w:rPr>
        <w:t>预留工程质量保证金，待缺陷责任期满后返还</w:t>
      </w:r>
      <w:r>
        <w:rPr>
          <w:rFonts w:hint="eastAsia" w:hAnsi="宋体" w:cs="宋体"/>
          <w:color w:val="auto"/>
          <w:kern w:val="0"/>
          <w:highlight w:val="none"/>
        </w:rPr>
        <w:t>；</w:t>
      </w:r>
    </w:p>
    <w:p w14:paraId="6634FE29">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3</w:t>
      </w:r>
      <w:r>
        <w:rPr>
          <w:rFonts w:hint="eastAsia" w:hAnsi="宋体" w:cs="宋体"/>
          <w:color w:val="auto"/>
          <w:kern w:val="0"/>
          <w:highlight w:val="none"/>
        </w:rPr>
        <w:t>）其他方式</w:t>
      </w:r>
      <w:r>
        <w:rPr>
          <w:rFonts w:hint="eastAsia" w:cs="宋体"/>
          <w:color w:val="auto"/>
          <w:kern w:val="0"/>
          <w:highlight w:val="none"/>
        </w:rPr>
        <w:t>：</w:t>
      </w:r>
      <w:r>
        <w:rPr>
          <w:rFonts w:hint="eastAsia" w:ascii="Times New Roman" w:hAnsi="宋体" w:eastAsia="宋体" w:cs="宋体"/>
          <w:color w:val="auto"/>
          <w:highlight w:val="none"/>
        </w:rPr>
        <w:t>银行转账、电汇或网上支付等</w:t>
      </w:r>
      <w:r>
        <w:rPr>
          <w:rFonts w:hint="eastAsia" w:ascii="Times New Roman" w:hAnsi="宋体" w:eastAsia="宋体" w:cs="宋体"/>
          <w:color w:val="auto"/>
          <w:highlight w:val="none"/>
          <w:lang w:eastAsia="zh-CN"/>
        </w:rPr>
        <w:t>形</w:t>
      </w:r>
      <w:r>
        <w:rPr>
          <w:rFonts w:hint="eastAsia" w:ascii="Times New Roman" w:hAnsi="宋体" w:eastAsia="宋体" w:cs="宋体"/>
          <w:color w:val="auto"/>
          <w:highlight w:val="none"/>
        </w:rPr>
        <w:t>式</w:t>
      </w:r>
      <w:r>
        <w:rPr>
          <w:rFonts w:hint="eastAsia" w:hAnsi="宋体" w:cs="宋体"/>
          <w:color w:val="auto"/>
          <w:highlight w:val="none"/>
        </w:rPr>
        <w:t>。</w:t>
      </w:r>
    </w:p>
    <w:p w14:paraId="44DD9500">
      <w:pPr>
        <w:spacing w:line="360" w:lineRule="auto"/>
        <w:ind w:firstLine="420" w:firstLineChars="200"/>
        <w:jc w:val="left"/>
        <w:rPr>
          <w:color w:val="auto"/>
          <w:highlight w:val="none"/>
        </w:rPr>
      </w:pPr>
      <w:r>
        <w:rPr>
          <w:color w:val="auto"/>
          <w:highlight w:val="none"/>
        </w:rPr>
        <w:t xml:space="preserve">15.3.2 </w:t>
      </w:r>
      <w:r>
        <w:rPr>
          <w:rFonts w:hint="eastAsia" w:hAnsi="宋体" w:cs="宋体"/>
          <w:color w:val="auto"/>
          <w:highlight w:val="none"/>
        </w:rPr>
        <w:t>质量保证金的扣留</w:t>
      </w:r>
    </w:p>
    <w:p w14:paraId="4AA6F011">
      <w:pPr>
        <w:spacing w:line="360" w:lineRule="auto"/>
        <w:ind w:firstLine="420" w:firstLineChars="200"/>
        <w:jc w:val="left"/>
        <w:rPr>
          <w:color w:val="auto"/>
          <w:highlight w:val="none"/>
        </w:rPr>
      </w:pPr>
      <w:r>
        <w:rPr>
          <w:rFonts w:hint="eastAsia" w:hAnsi="宋体" w:cs="宋体"/>
          <w:color w:val="auto"/>
          <w:highlight w:val="none"/>
        </w:rPr>
        <w:t>质量保证金的扣留采取以下第</w:t>
      </w:r>
      <w:r>
        <w:rPr>
          <w:color w:val="auto"/>
          <w:highlight w:val="none"/>
          <w:u w:val="single"/>
        </w:rPr>
        <w:t xml:space="preserve">   </w:t>
      </w:r>
      <w:r>
        <w:rPr>
          <w:rFonts w:hint="eastAsia"/>
          <w:color w:val="auto"/>
          <w:highlight w:val="none"/>
          <w:u w:val="single"/>
          <w:lang w:eastAsia="zh-CN"/>
        </w:rPr>
        <w:t>（</w:t>
      </w:r>
      <w:r>
        <w:rPr>
          <w:rFonts w:hint="eastAsia"/>
          <w:color w:val="auto"/>
          <w:highlight w:val="none"/>
          <w:u w:val="single"/>
          <w:lang w:val="en-US" w:eastAsia="zh-CN"/>
        </w:rPr>
        <w:t>2）</w:t>
      </w:r>
      <w:r>
        <w:rPr>
          <w:color w:val="auto"/>
          <w:highlight w:val="none"/>
          <w:u w:val="single"/>
        </w:rPr>
        <w:t xml:space="preserve">  </w:t>
      </w:r>
      <w:r>
        <w:rPr>
          <w:rFonts w:hint="eastAsia" w:hAnsi="宋体" w:cs="宋体"/>
          <w:color w:val="auto"/>
          <w:highlight w:val="none"/>
        </w:rPr>
        <w:t>种方式：</w:t>
      </w:r>
    </w:p>
    <w:p w14:paraId="2317F7A0">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1</w:t>
      </w:r>
      <w:r>
        <w:rPr>
          <w:rFonts w:hint="eastAsia" w:hAnsi="宋体" w:cs="宋体"/>
          <w:color w:val="auto"/>
          <w:kern w:val="0"/>
          <w:highlight w:val="none"/>
        </w:rPr>
        <w:t>）在</w:t>
      </w:r>
      <w:r>
        <w:rPr>
          <w:rFonts w:hAnsi="宋体" w:cs="宋体"/>
          <w:color w:val="auto"/>
          <w:kern w:val="0"/>
          <w:highlight w:val="none"/>
        </w:rPr>
        <w:t>不缴纳</w:t>
      </w:r>
      <w:r>
        <w:rPr>
          <w:rFonts w:hint="eastAsia" w:hAnsi="宋体" w:cs="宋体"/>
          <w:color w:val="auto"/>
          <w:kern w:val="0"/>
          <w:highlight w:val="none"/>
          <w:lang w:eastAsia="zh-CN"/>
        </w:rPr>
        <w:t>履约</w:t>
      </w:r>
      <w:r>
        <w:rPr>
          <w:rFonts w:hint="eastAsia" w:hAnsi="宋体" w:cs="宋体"/>
          <w:color w:val="auto"/>
          <w:kern w:val="0"/>
          <w:highlight w:val="none"/>
        </w:rPr>
        <w:t>保</w:t>
      </w:r>
      <w:r>
        <w:rPr>
          <w:rFonts w:hAnsi="宋体" w:cs="宋体"/>
          <w:color w:val="auto"/>
          <w:kern w:val="0"/>
          <w:highlight w:val="none"/>
        </w:rPr>
        <w:t>证金情况下</w:t>
      </w:r>
      <w:r>
        <w:rPr>
          <w:rFonts w:hint="eastAsia" w:hAnsi="宋体" w:cs="宋体"/>
          <w:color w:val="auto"/>
          <w:kern w:val="0"/>
          <w:highlight w:val="none"/>
        </w:rPr>
        <w:t>，按支付工程进度款时逐次扣留，质量保证金的计算基数不包括预付款的支付、扣回以及价格调整的金额</w:t>
      </w:r>
      <w:r>
        <w:rPr>
          <w:rFonts w:hint="eastAsia" w:hAnsi="宋体" w:cs="宋体"/>
          <w:color w:val="auto"/>
          <w:kern w:val="0"/>
          <w:highlight w:val="none"/>
          <w:lang w:eastAsia="zh-CN"/>
        </w:rPr>
        <w:t>。</w:t>
      </w:r>
      <w:r>
        <w:rPr>
          <w:rFonts w:hint="eastAsia" w:hAnsi="宋体" w:cs="宋体"/>
          <w:color w:val="auto"/>
          <w:highlight w:val="none"/>
        </w:rPr>
        <w:t>在工程项目竣工前，承包人按专用合同条款第3.7条提供履约担保的，发包人不得同时预留工程质量保证金</w:t>
      </w:r>
      <w:r>
        <w:rPr>
          <w:rFonts w:hint="eastAsia" w:hAnsi="宋体" w:cs="宋体"/>
          <w:color w:val="auto"/>
          <w:highlight w:val="none"/>
          <w:lang w:eastAsia="zh-CN"/>
        </w:rPr>
        <w:t>。</w:t>
      </w:r>
    </w:p>
    <w:p w14:paraId="0ED22045">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2</w:t>
      </w:r>
      <w:r>
        <w:rPr>
          <w:rFonts w:hint="eastAsia" w:hAnsi="宋体" w:cs="宋体"/>
          <w:color w:val="auto"/>
          <w:kern w:val="0"/>
          <w:highlight w:val="none"/>
        </w:rPr>
        <w:t>）工程竣工结算时，一次性扣留质量保证金，</w:t>
      </w:r>
      <w:r>
        <w:rPr>
          <w:rFonts w:hAnsi="宋体" w:cs="宋体"/>
          <w:color w:val="auto"/>
          <w:kern w:val="0"/>
          <w:highlight w:val="none"/>
        </w:rPr>
        <w:t>由承包人以银行保函</w:t>
      </w:r>
      <w:r>
        <w:rPr>
          <w:rFonts w:hint="eastAsia" w:hAnsi="宋体" w:cs="宋体"/>
          <w:color w:val="auto"/>
          <w:kern w:val="0"/>
          <w:highlight w:val="none"/>
        </w:rPr>
        <w:t>、保证保险</w:t>
      </w:r>
      <w:r>
        <w:rPr>
          <w:rFonts w:hAnsi="宋体" w:cs="宋体"/>
          <w:color w:val="auto"/>
          <w:kern w:val="0"/>
          <w:highlight w:val="none"/>
        </w:rPr>
        <w:t>替代预留</w:t>
      </w:r>
      <w:r>
        <w:rPr>
          <w:rFonts w:hint="eastAsia" w:hAnsi="宋体" w:cs="宋体"/>
          <w:color w:val="auto"/>
          <w:kern w:val="0"/>
          <w:highlight w:val="none"/>
        </w:rPr>
        <w:t>质量</w:t>
      </w:r>
      <w:r>
        <w:rPr>
          <w:rFonts w:hAnsi="宋体" w:cs="宋体"/>
          <w:color w:val="auto"/>
          <w:kern w:val="0"/>
          <w:highlight w:val="none"/>
        </w:rPr>
        <w:t>保证金</w:t>
      </w:r>
      <w:r>
        <w:rPr>
          <w:rFonts w:hint="eastAsia" w:hAnsi="宋体" w:cs="宋体"/>
          <w:color w:val="auto"/>
          <w:kern w:val="0"/>
          <w:highlight w:val="none"/>
        </w:rPr>
        <w:t>，</w:t>
      </w:r>
      <w:r>
        <w:rPr>
          <w:rFonts w:hAnsi="宋体" w:cs="宋体"/>
          <w:color w:val="auto"/>
          <w:kern w:val="0"/>
          <w:highlight w:val="none"/>
        </w:rPr>
        <w:t>保函金额不得高</w:t>
      </w:r>
      <w:r>
        <w:rPr>
          <w:rFonts w:hint="eastAsia" w:hAnsi="宋体" w:cs="宋体"/>
          <w:color w:val="auto"/>
          <w:kern w:val="0"/>
          <w:highlight w:val="none"/>
        </w:rPr>
        <w:t>于</w:t>
      </w:r>
      <w:r>
        <w:rPr>
          <w:rFonts w:hAnsi="宋体" w:cs="宋体"/>
          <w:color w:val="auto"/>
          <w:kern w:val="0"/>
          <w:highlight w:val="none"/>
        </w:rPr>
        <w:t>工程价款结算总额的</w:t>
      </w:r>
      <w:r>
        <w:rPr>
          <w:rFonts w:hint="eastAsia" w:hAnsi="宋体" w:cs="宋体"/>
          <w:color w:val="auto"/>
          <w:kern w:val="0"/>
          <w:highlight w:val="none"/>
        </w:rPr>
        <w:t>3</w:t>
      </w:r>
      <w:r>
        <w:rPr>
          <w:rFonts w:hAnsi="宋体" w:cs="宋体"/>
          <w:color w:val="auto"/>
          <w:kern w:val="0"/>
          <w:highlight w:val="none"/>
        </w:rPr>
        <w:t>%</w:t>
      </w:r>
      <w:r>
        <w:rPr>
          <w:rFonts w:hint="eastAsia" w:hAnsi="宋体" w:cs="宋体"/>
          <w:color w:val="auto"/>
          <w:kern w:val="0"/>
          <w:highlight w:val="none"/>
        </w:rPr>
        <w:t>；</w:t>
      </w:r>
    </w:p>
    <w:p w14:paraId="5624C4B8">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3</w:t>
      </w:r>
      <w:r>
        <w:rPr>
          <w:rFonts w:hint="eastAsia" w:hAnsi="宋体" w:cs="宋体"/>
          <w:color w:val="auto"/>
          <w:kern w:val="0"/>
          <w:highlight w:val="none"/>
        </w:rPr>
        <w:t>）其他扣留方式</w:t>
      </w:r>
      <w:r>
        <w:rPr>
          <w:rFonts w:hint="eastAsia" w:hAnsi="宋体" w:cs="宋体"/>
          <w:color w:val="auto"/>
          <w:kern w:val="0"/>
          <w:highlight w:val="none"/>
          <w:lang w:eastAsia="zh-CN"/>
        </w:rPr>
        <w:t>：</w:t>
      </w:r>
      <w:r>
        <w:rPr>
          <w:rFonts w:hint="eastAsia" w:cs="宋体"/>
          <w:color w:val="auto"/>
          <w:kern w:val="0"/>
          <w:highlight w:val="none"/>
          <w:u w:val="single"/>
          <w:lang w:val="en-US" w:eastAsia="zh-CN"/>
        </w:rPr>
        <w:t xml:space="preserve">        </w:t>
      </w:r>
      <w:r>
        <w:rPr>
          <w:rFonts w:hint="eastAsia" w:cs="宋体"/>
          <w:color w:val="auto"/>
          <w:kern w:val="0"/>
          <w:highlight w:val="none"/>
          <w:u w:val="none"/>
          <w:lang w:val="en-US" w:eastAsia="zh-CN"/>
        </w:rPr>
        <w:t>（如</w:t>
      </w:r>
      <w:r>
        <w:rPr>
          <w:rFonts w:hint="eastAsia" w:ascii="Times New Roman" w:hAnsi="宋体" w:eastAsia="宋体" w:cs="宋体"/>
          <w:color w:val="auto"/>
          <w:highlight w:val="none"/>
        </w:rPr>
        <w:t>银行转账、电汇或网上支付等</w:t>
      </w:r>
      <w:r>
        <w:rPr>
          <w:rFonts w:hint="eastAsia" w:ascii="Times New Roman" w:hAnsi="宋体" w:eastAsia="宋体" w:cs="宋体"/>
          <w:color w:val="auto"/>
          <w:highlight w:val="none"/>
          <w:lang w:eastAsia="zh-CN"/>
        </w:rPr>
        <w:t>形</w:t>
      </w:r>
      <w:r>
        <w:rPr>
          <w:rFonts w:hint="eastAsia" w:ascii="Times New Roman" w:hAnsi="宋体" w:eastAsia="宋体" w:cs="宋体"/>
          <w:color w:val="auto"/>
          <w:highlight w:val="none"/>
        </w:rPr>
        <w:t>式</w:t>
      </w:r>
      <w:r>
        <w:rPr>
          <w:rFonts w:hint="eastAsia" w:hAnsi="宋体" w:cs="宋体"/>
          <w:color w:val="auto"/>
          <w:highlight w:val="none"/>
          <w:lang w:eastAsia="zh-CN"/>
        </w:rPr>
        <w:t>）。</w:t>
      </w:r>
    </w:p>
    <w:p w14:paraId="1910940F">
      <w:pPr>
        <w:spacing w:line="360" w:lineRule="auto"/>
        <w:ind w:firstLine="420" w:firstLineChars="200"/>
        <w:jc w:val="left"/>
        <w:rPr>
          <w:color w:val="auto"/>
          <w:kern w:val="0"/>
          <w:highlight w:val="none"/>
          <w:u w:val="single"/>
        </w:rPr>
      </w:pPr>
      <w:r>
        <w:rPr>
          <w:rFonts w:hint="eastAsia" w:hAnsi="宋体" w:cs="宋体"/>
          <w:color w:val="auto"/>
          <w:highlight w:val="none"/>
        </w:rPr>
        <w:t>关于质量保证金的补充约定：</w:t>
      </w:r>
      <w:r>
        <w:rPr>
          <w:color w:val="auto"/>
          <w:kern w:val="0"/>
          <w:highlight w:val="none"/>
          <w:u w:val="single"/>
        </w:rPr>
        <w:t xml:space="preserve">      </w:t>
      </w:r>
      <w:r>
        <w:rPr>
          <w:rFonts w:hint="eastAsia"/>
          <w:color w:val="auto"/>
          <w:kern w:val="0"/>
          <w:highlight w:val="none"/>
          <w:u w:val="single"/>
          <w:lang w:eastAsia="zh-CN"/>
        </w:rPr>
        <w:t>无</w:t>
      </w:r>
      <w:r>
        <w:rPr>
          <w:color w:val="auto"/>
          <w:kern w:val="0"/>
          <w:highlight w:val="none"/>
          <w:u w:val="single"/>
        </w:rPr>
        <w:t xml:space="preserve">              </w:t>
      </w:r>
      <w:r>
        <w:rPr>
          <w:rFonts w:hint="eastAsia" w:hAnsi="宋体" w:cs="宋体"/>
          <w:color w:val="auto"/>
          <w:kern w:val="0"/>
          <w:highlight w:val="none"/>
        </w:rPr>
        <w:t>。</w:t>
      </w:r>
    </w:p>
    <w:p w14:paraId="1BAA6354">
      <w:pPr>
        <w:pStyle w:val="5"/>
        <w:jc w:val="left"/>
        <w:rPr>
          <w:rFonts w:hint="eastAsia" w:ascii="Arial" w:hAnsi="宋体" w:eastAsia="黑体" w:cs="黑体"/>
          <w:color w:val="auto"/>
          <w:kern w:val="0"/>
          <w:sz w:val="28"/>
          <w:szCs w:val="20"/>
          <w:highlight w:val="none"/>
        </w:rPr>
      </w:pPr>
      <w:bookmarkStart w:id="406" w:name="_Toc31747"/>
      <w:bookmarkStart w:id="407" w:name="_Toc26279"/>
      <w:r>
        <w:rPr>
          <w:rFonts w:hint="eastAsia" w:ascii="Arial" w:hAnsi="宋体" w:eastAsia="黑体" w:cs="黑体"/>
          <w:color w:val="auto"/>
          <w:kern w:val="0"/>
          <w:sz w:val="28"/>
          <w:szCs w:val="20"/>
          <w:highlight w:val="none"/>
        </w:rPr>
        <w:t xml:space="preserve">15.4 </w:t>
      </w:r>
      <w:r>
        <w:rPr>
          <w:rFonts w:hint="eastAsia" w:ascii="Arial" w:hAnsi="宋体" w:cs="黑体"/>
          <w:color w:val="auto"/>
          <w:highlight w:val="none"/>
        </w:rPr>
        <w:t>保修</w:t>
      </w:r>
      <w:bookmarkEnd w:id="406"/>
      <w:bookmarkEnd w:id="407"/>
    </w:p>
    <w:p w14:paraId="3655E6A7">
      <w:pPr>
        <w:spacing w:line="360" w:lineRule="auto"/>
        <w:ind w:firstLine="409" w:firstLineChars="195"/>
        <w:jc w:val="left"/>
        <w:outlineLvl w:val="9"/>
        <w:rPr>
          <w:color w:val="auto"/>
          <w:highlight w:val="none"/>
        </w:rPr>
      </w:pPr>
      <w:r>
        <w:rPr>
          <w:color w:val="auto"/>
          <w:highlight w:val="none"/>
        </w:rPr>
        <w:t xml:space="preserve">15.4.1 </w:t>
      </w:r>
      <w:r>
        <w:rPr>
          <w:rFonts w:hint="default" w:ascii="Times New Roman" w:hAnsi="Times New Roman" w:eastAsia="宋体" w:cs="Times New Roman"/>
          <w:color w:val="auto"/>
          <w:highlight w:val="none"/>
        </w:rPr>
        <w:t>保修</w:t>
      </w:r>
      <w:r>
        <w:rPr>
          <w:rFonts w:hint="eastAsia" w:hAnsi="宋体" w:cs="宋体"/>
          <w:color w:val="auto"/>
          <w:highlight w:val="none"/>
        </w:rPr>
        <w:t>责任</w:t>
      </w:r>
    </w:p>
    <w:p w14:paraId="3079D9C7">
      <w:pPr>
        <w:spacing w:line="360" w:lineRule="auto"/>
        <w:ind w:firstLine="409" w:firstLineChars="195"/>
        <w:jc w:val="left"/>
        <w:rPr>
          <w:rFonts w:hAnsi="宋体"/>
          <w:color w:val="auto"/>
          <w:kern w:val="0"/>
          <w:highlight w:val="none"/>
        </w:rPr>
      </w:pPr>
      <w:r>
        <w:rPr>
          <w:rFonts w:hint="eastAsia" w:hAnsi="宋体" w:cs="宋体"/>
          <w:color w:val="auto"/>
          <w:highlight w:val="none"/>
        </w:rPr>
        <w:t>工程保修期为：</w:t>
      </w:r>
      <w:r>
        <w:rPr>
          <w:color w:val="auto"/>
          <w:kern w:val="0"/>
          <w:highlight w:val="none"/>
          <w:u w:val="single"/>
        </w:rPr>
        <w:t xml:space="preserve">     按合同附件工程质量保修书规定执行          </w:t>
      </w:r>
      <w:r>
        <w:rPr>
          <w:rFonts w:hint="eastAsia" w:hAnsi="宋体" w:cs="宋体"/>
          <w:color w:val="auto"/>
          <w:kern w:val="0"/>
          <w:highlight w:val="none"/>
        </w:rPr>
        <w:t>。</w:t>
      </w:r>
    </w:p>
    <w:p w14:paraId="153AD2C7">
      <w:pPr>
        <w:spacing w:line="360" w:lineRule="auto"/>
        <w:ind w:firstLine="409" w:firstLineChars="195"/>
        <w:jc w:val="left"/>
        <w:rPr>
          <w:color w:val="auto"/>
          <w:kern w:val="0"/>
          <w:highlight w:val="none"/>
          <w:u w:val="single"/>
        </w:rPr>
      </w:pPr>
      <w:r>
        <w:rPr>
          <w:rFonts w:hint="eastAsia" w:ascii="宋体" w:hAnsi="宋体" w:cs="宋体"/>
          <w:color w:val="auto"/>
          <w:highlight w:val="none"/>
        </w:rPr>
        <w:t>工程保修书具体内容见合同附件2。</w:t>
      </w:r>
    </w:p>
    <w:p w14:paraId="3A3AE778">
      <w:pPr>
        <w:spacing w:line="360" w:lineRule="auto"/>
        <w:ind w:firstLine="409" w:firstLineChars="195"/>
        <w:jc w:val="left"/>
        <w:rPr>
          <w:color w:val="auto"/>
          <w:highlight w:val="none"/>
        </w:rPr>
      </w:pPr>
      <w:r>
        <w:rPr>
          <w:color w:val="auto"/>
          <w:highlight w:val="none"/>
        </w:rPr>
        <w:t xml:space="preserve">15.4.3 </w:t>
      </w:r>
      <w:r>
        <w:rPr>
          <w:rFonts w:hint="eastAsia" w:hAnsi="宋体" w:cs="宋体"/>
          <w:color w:val="auto"/>
          <w:highlight w:val="none"/>
        </w:rPr>
        <w:t>修复通知</w:t>
      </w:r>
    </w:p>
    <w:p w14:paraId="33AE1B09">
      <w:pPr>
        <w:spacing w:line="360" w:lineRule="auto"/>
        <w:ind w:firstLine="409" w:firstLineChars="195"/>
        <w:jc w:val="left"/>
        <w:rPr>
          <w:color w:val="auto"/>
          <w:kern w:val="0"/>
          <w:highlight w:val="none"/>
          <w:u w:val="single"/>
        </w:rPr>
      </w:pPr>
      <w:r>
        <w:rPr>
          <w:rFonts w:hint="eastAsia" w:hAnsi="宋体" w:cs="宋体"/>
          <w:color w:val="auto"/>
          <w:kern w:val="0"/>
          <w:highlight w:val="none"/>
        </w:rPr>
        <w:t>承包人收到保修通知并到达工程现场的合理时间：</w:t>
      </w:r>
      <w:r>
        <w:rPr>
          <w:color w:val="auto"/>
          <w:kern w:val="0"/>
          <w:highlight w:val="none"/>
          <w:u w:val="single"/>
        </w:rPr>
        <w:t xml:space="preserve"> 24小时内    </w:t>
      </w:r>
      <w:r>
        <w:rPr>
          <w:rFonts w:hint="eastAsia" w:hAnsi="宋体" w:cs="宋体"/>
          <w:color w:val="auto"/>
          <w:kern w:val="0"/>
          <w:highlight w:val="none"/>
        </w:rPr>
        <w:t>。</w:t>
      </w:r>
    </w:p>
    <w:p w14:paraId="1C3457B7">
      <w:pPr>
        <w:pStyle w:val="4"/>
        <w:outlineLvl w:val="2"/>
        <w:rPr>
          <w:color w:val="auto"/>
          <w:highlight w:val="none"/>
        </w:rPr>
      </w:pPr>
      <w:bookmarkStart w:id="408" w:name="_Toc3143"/>
      <w:r>
        <w:rPr>
          <w:color w:val="auto"/>
          <w:highlight w:val="none"/>
        </w:rPr>
        <w:t xml:space="preserve">16. </w:t>
      </w:r>
      <w:r>
        <w:rPr>
          <w:rFonts w:hint="eastAsia" w:hAnsi="宋体" w:cs="黑体"/>
          <w:color w:val="auto"/>
          <w:highlight w:val="none"/>
        </w:rPr>
        <w:t>违约</w:t>
      </w:r>
      <w:bookmarkEnd w:id="408"/>
    </w:p>
    <w:p w14:paraId="0D7FCA6A">
      <w:pPr>
        <w:pStyle w:val="5"/>
        <w:jc w:val="left"/>
        <w:rPr>
          <w:rFonts w:hint="eastAsia" w:ascii="Arial" w:hAnsi="宋体" w:eastAsia="黑体" w:cs="黑体"/>
          <w:b w:val="0"/>
          <w:bCs w:val="0"/>
          <w:color w:val="auto"/>
          <w:kern w:val="0"/>
          <w:sz w:val="28"/>
          <w:szCs w:val="20"/>
          <w:highlight w:val="none"/>
        </w:rPr>
      </w:pPr>
      <w:bookmarkStart w:id="409" w:name="_Toc19236"/>
      <w:bookmarkStart w:id="410" w:name="_Toc7570"/>
      <w:r>
        <w:rPr>
          <w:rFonts w:hint="eastAsia" w:ascii="Arial" w:hAnsi="宋体" w:eastAsia="黑体" w:cs="黑体"/>
          <w:b w:val="0"/>
          <w:bCs w:val="0"/>
          <w:color w:val="auto"/>
          <w:kern w:val="0"/>
          <w:sz w:val="28"/>
          <w:szCs w:val="20"/>
          <w:highlight w:val="none"/>
        </w:rPr>
        <w:t>16.1 发包人违约</w:t>
      </w:r>
      <w:bookmarkEnd w:id="409"/>
      <w:bookmarkEnd w:id="410"/>
    </w:p>
    <w:p w14:paraId="0D474B2E">
      <w:pPr>
        <w:spacing w:line="360" w:lineRule="auto"/>
        <w:ind w:firstLine="420" w:firstLineChars="200"/>
        <w:jc w:val="left"/>
        <w:rPr>
          <w:color w:val="auto"/>
          <w:highlight w:val="none"/>
        </w:rPr>
      </w:pPr>
      <w:r>
        <w:rPr>
          <w:color w:val="auto"/>
          <w:highlight w:val="none"/>
        </w:rPr>
        <w:t>16.1.1</w:t>
      </w:r>
      <w:r>
        <w:rPr>
          <w:rFonts w:hint="eastAsia" w:hAnsi="宋体" w:cs="宋体"/>
          <w:color w:val="auto"/>
          <w:highlight w:val="none"/>
        </w:rPr>
        <w:t>发包人违约的情形</w:t>
      </w:r>
    </w:p>
    <w:p w14:paraId="6B260914">
      <w:pPr>
        <w:spacing w:line="360" w:lineRule="auto"/>
        <w:ind w:firstLine="420" w:firstLineChars="200"/>
        <w:jc w:val="left"/>
        <w:rPr>
          <w:rFonts w:hAnsi="宋体"/>
          <w:color w:val="auto"/>
          <w:kern w:val="0"/>
          <w:highlight w:val="none"/>
        </w:rPr>
      </w:pPr>
      <w:r>
        <w:rPr>
          <w:rFonts w:hint="eastAsia" w:hAnsi="宋体" w:cs="宋体"/>
          <w:color w:val="auto"/>
          <w:kern w:val="0"/>
          <w:highlight w:val="none"/>
        </w:rPr>
        <w:t>发包人违约的其他情形：</w:t>
      </w:r>
      <w:r>
        <w:rPr>
          <w:color w:val="auto"/>
          <w:kern w:val="0"/>
          <w:highlight w:val="none"/>
          <w:u w:val="single"/>
        </w:rPr>
        <w:t xml:space="preserve">  </w:t>
      </w:r>
      <w:r>
        <w:rPr>
          <w:rFonts w:ascii="Arial" w:hAnsi="Arial" w:cs="Arial"/>
          <w:color w:val="000000"/>
          <w:highlight w:val="none"/>
          <w:u w:val="single"/>
        </w:rPr>
        <w:t>按本合同通用条款</w:t>
      </w:r>
      <w:r>
        <w:rPr>
          <w:color w:val="auto"/>
          <w:kern w:val="0"/>
          <w:highlight w:val="none"/>
          <w:u w:val="single"/>
        </w:rPr>
        <w:t xml:space="preserve">     </w:t>
      </w:r>
      <w:r>
        <w:rPr>
          <w:rFonts w:hint="eastAsia" w:hAnsi="宋体" w:cs="宋体"/>
          <w:color w:val="auto"/>
          <w:kern w:val="0"/>
          <w:highlight w:val="none"/>
        </w:rPr>
        <w:t>。</w:t>
      </w:r>
    </w:p>
    <w:p w14:paraId="2E02E422">
      <w:pPr>
        <w:spacing w:line="360" w:lineRule="auto"/>
        <w:ind w:firstLine="420" w:firstLineChars="200"/>
        <w:jc w:val="left"/>
        <w:outlineLvl w:val="9"/>
        <w:rPr>
          <w:color w:val="auto"/>
          <w:kern w:val="0"/>
          <w:highlight w:val="none"/>
        </w:rPr>
      </w:pPr>
      <w:r>
        <w:rPr>
          <w:color w:val="auto"/>
          <w:kern w:val="0"/>
          <w:highlight w:val="none"/>
        </w:rPr>
        <w:t xml:space="preserve">16.1.2 </w:t>
      </w:r>
      <w:r>
        <w:rPr>
          <w:rFonts w:hint="eastAsia" w:hAnsi="宋体" w:cs="宋体"/>
          <w:color w:val="auto"/>
          <w:kern w:val="0"/>
          <w:highlight w:val="none"/>
        </w:rPr>
        <w:t>发包人违约的责任</w:t>
      </w:r>
    </w:p>
    <w:p w14:paraId="78A596F1">
      <w:pPr>
        <w:spacing w:line="360" w:lineRule="auto"/>
        <w:ind w:firstLine="420" w:firstLineChars="200"/>
        <w:jc w:val="left"/>
        <w:rPr>
          <w:color w:val="auto"/>
          <w:kern w:val="0"/>
          <w:highlight w:val="none"/>
        </w:rPr>
      </w:pPr>
      <w:r>
        <w:rPr>
          <w:rFonts w:hint="eastAsia" w:hAnsi="宋体" w:cs="宋体"/>
          <w:color w:val="auto"/>
          <w:kern w:val="0"/>
          <w:highlight w:val="none"/>
        </w:rPr>
        <w:t>发包人违约责任的承担方式和计算方法：</w:t>
      </w:r>
    </w:p>
    <w:p w14:paraId="7F135DD9">
      <w:pPr>
        <w:spacing w:line="360" w:lineRule="auto"/>
        <w:ind w:firstLine="420" w:firstLineChars="200"/>
        <w:jc w:val="left"/>
        <w:rPr>
          <w:color w:val="auto"/>
          <w:kern w:val="0"/>
          <w:highlight w:val="none"/>
          <w:u w:val="single"/>
        </w:rPr>
      </w:pPr>
      <w:r>
        <w:rPr>
          <w:rFonts w:hint="eastAsia" w:hAnsi="宋体" w:cs="宋体"/>
          <w:color w:val="auto"/>
          <w:kern w:val="0"/>
          <w:highlight w:val="none"/>
        </w:rPr>
        <w:t>（</w:t>
      </w:r>
      <w:r>
        <w:rPr>
          <w:color w:val="auto"/>
          <w:kern w:val="0"/>
          <w:highlight w:val="none"/>
        </w:rPr>
        <w:t>1</w:t>
      </w:r>
      <w:r>
        <w:rPr>
          <w:rFonts w:hint="eastAsia" w:hAnsi="宋体" w:cs="宋体"/>
          <w:color w:val="auto"/>
          <w:kern w:val="0"/>
          <w:highlight w:val="none"/>
        </w:rPr>
        <w:t>）因发包人原因未能在计划开工日期前</w:t>
      </w:r>
      <w:r>
        <w:rPr>
          <w:color w:val="auto"/>
          <w:kern w:val="0"/>
          <w:highlight w:val="none"/>
        </w:rPr>
        <w:t>7</w:t>
      </w:r>
      <w:r>
        <w:rPr>
          <w:rFonts w:hint="eastAsia" w:hAnsi="宋体" w:cs="宋体"/>
          <w:color w:val="auto"/>
          <w:kern w:val="0"/>
          <w:highlight w:val="none"/>
        </w:rPr>
        <w:t>天内下达开工通知的违约责任：</w:t>
      </w:r>
      <w:r>
        <w:rPr>
          <w:color w:val="auto"/>
          <w:kern w:val="0"/>
          <w:highlight w:val="none"/>
          <w:u w:val="single"/>
        </w:rPr>
        <w:t xml:space="preserve">  </w:t>
      </w:r>
      <w:r>
        <w:rPr>
          <w:rFonts w:hint="eastAsia" w:ascii="仿宋" w:hAnsi="仿宋" w:eastAsia="仿宋" w:cs="仿宋"/>
          <w:color w:val="auto"/>
          <w:sz w:val="24"/>
          <w:szCs w:val="24"/>
          <w:highlight w:val="none"/>
          <w:u w:val="single"/>
          <w:lang w:eastAsia="zh-CN"/>
        </w:rPr>
        <w:t>工期相应顺延</w:t>
      </w:r>
      <w:r>
        <w:rPr>
          <w:color w:val="auto"/>
          <w:kern w:val="0"/>
          <w:highlight w:val="none"/>
          <w:u w:val="single"/>
        </w:rPr>
        <w:t xml:space="preserve">     </w:t>
      </w:r>
      <w:r>
        <w:rPr>
          <w:rFonts w:hint="eastAsia" w:hAnsi="宋体" w:cs="宋体"/>
          <w:color w:val="auto"/>
          <w:kern w:val="0"/>
          <w:highlight w:val="none"/>
        </w:rPr>
        <w:t>。</w:t>
      </w:r>
    </w:p>
    <w:p w14:paraId="5B6A87D9">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2</w:t>
      </w:r>
      <w:r>
        <w:rPr>
          <w:rFonts w:hint="eastAsia" w:hAnsi="宋体" w:cs="宋体"/>
          <w:color w:val="auto"/>
          <w:kern w:val="0"/>
          <w:highlight w:val="none"/>
        </w:rPr>
        <w:t>）因发包人原因未能按合同约定支付合同价款的违约责任：</w:t>
      </w:r>
      <w:r>
        <w:rPr>
          <w:color w:val="auto"/>
          <w:kern w:val="0"/>
          <w:highlight w:val="none"/>
          <w:u w:val="single"/>
        </w:rPr>
        <w:t xml:space="preserve">  </w:t>
      </w:r>
      <w:r>
        <w:rPr>
          <w:rFonts w:ascii="Arial" w:hAnsi="Arial" w:cs="Arial"/>
          <w:color w:val="000000"/>
          <w:highlight w:val="none"/>
          <w:u w:val="single"/>
        </w:rPr>
        <w:t>承包人与发包人签订延期付款协议</w:t>
      </w:r>
      <w:r>
        <w:rPr>
          <w:color w:val="auto"/>
          <w:kern w:val="0"/>
          <w:highlight w:val="none"/>
          <w:u w:val="single"/>
        </w:rPr>
        <w:t xml:space="preserve">  </w:t>
      </w:r>
      <w:r>
        <w:rPr>
          <w:rFonts w:hint="eastAsia" w:hAnsi="宋体" w:cs="宋体"/>
          <w:color w:val="auto"/>
          <w:kern w:val="0"/>
          <w:highlight w:val="none"/>
        </w:rPr>
        <w:t>。</w:t>
      </w:r>
    </w:p>
    <w:p w14:paraId="64F64AFC">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3</w:t>
      </w:r>
      <w:r>
        <w:rPr>
          <w:rFonts w:hint="eastAsia" w:hAnsi="宋体" w:cs="宋体"/>
          <w:color w:val="auto"/>
          <w:kern w:val="0"/>
          <w:highlight w:val="none"/>
        </w:rPr>
        <w:t>）发包人违反第</w:t>
      </w:r>
      <w:r>
        <w:rPr>
          <w:color w:val="auto"/>
          <w:kern w:val="0"/>
          <w:highlight w:val="none"/>
        </w:rPr>
        <w:t>10.1</w:t>
      </w:r>
      <w:r>
        <w:rPr>
          <w:rFonts w:hint="eastAsia" w:hAnsi="宋体" w:cs="宋体"/>
          <w:color w:val="auto"/>
          <w:kern w:val="0"/>
          <w:highlight w:val="none"/>
        </w:rPr>
        <w:t>款〔变更的范围〕第（</w:t>
      </w:r>
      <w:r>
        <w:rPr>
          <w:color w:val="auto"/>
          <w:kern w:val="0"/>
          <w:highlight w:val="none"/>
        </w:rPr>
        <w:t>2</w:t>
      </w:r>
      <w:r>
        <w:rPr>
          <w:rFonts w:hint="eastAsia" w:hAnsi="宋体" w:cs="宋体"/>
          <w:color w:val="auto"/>
          <w:kern w:val="0"/>
          <w:highlight w:val="none"/>
        </w:rPr>
        <w:t>）项约定，自行实施被取消的工作或转由他人实施的违约责任：</w:t>
      </w:r>
      <w:r>
        <w:rPr>
          <w:color w:val="auto"/>
          <w:kern w:val="0"/>
          <w:highlight w:val="none"/>
          <w:u w:val="single"/>
        </w:rPr>
        <w:t xml:space="preserve">  </w:t>
      </w:r>
      <w:r>
        <w:rPr>
          <w:rFonts w:ascii="Arial" w:hAnsi="Arial" w:cs="Arial"/>
          <w:color w:val="000000"/>
          <w:highlight w:val="none"/>
          <w:u w:val="single"/>
        </w:rPr>
        <w:t>发包人只赔偿承包人因准备该部分工作而发生的合理费用，但不给予其它赔偿或补偿</w:t>
      </w:r>
      <w:r>
        <w:rPr>
          <w:color w:val="auto"/>
          <w:kern w:val="0"/>
          <w:highlight w:val="none"/>
          <w:u w:val="single"/>
        </w:rPr>
        <w:t xml:space="preserve">   </w:t>
      </w:r>
      <w:r>
        <w:rPr>
          <w:rFonts w:hint="eastAsia" w:hAnsi="宋体" w:cs="宋体"/>
          <w:color w:val="auto"/>
          <w:kern w:val="0"/>
          <w:highlight w:val="none"/>
        </w:rPr>
        <w:t>。</w:t>
      </w:r>
    </w:p>
    <w:p w14:paraId="2F1B22E7">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4</w:t>
      </w:r>
      <w:r>
        <w:rPr>
          <w:rFonts w:hint="eastAsia" w:hAnsi="宋体" w:cs="宋体"/>
          <w:color w:val="auto"/>
          <w:kern w:val="0"/>
          <w:highlight w:val="none"/>
        </w:rPr>
        <w:t>）发包人提供的材料、工程设备的规格、数量或质量不符合合同约定，或因发包人原因导致交货日期延误或交货地点变更等情况的违约责任：</w:t>
      </w:r>
      <w:r>
        <w:rPr>
          <w:color w:val="auto"/>
          <w:kern w:val="0"/>
          <w:highlight w:val="none"/>
          <w:u w:val="single"/>
        </w:rPr>
        <w:t xml:space="preserve">  </w:t>
      </w:r>
      <w:r>
        <w:rPr>
          <w:rFonts w:ascii="Arial" w:hAnsi="Arial" w:cs="Arial"/>
          <w:color w:val="000000"/>
          <w:highlight w:val="none"/>
          <w:u w:val="single"/>
        </w:rPr>
        <w:t>按本合同通用条款执行</w:t>
      </w:r>
      <w:r>
        <w:rPr>
          <w:color w:val="auto"/>
          <w:kern w:val="0"/>
          <w:highlight w:val="none"/>
          <w:u w:val="single"/>
        </w:rPr>
        <w:t xml:space="preserve">       </w:t>
      </w:r>
      <w:r>
        <w:rPr>
          <w:rFonts w:hint="eastAsia" w:hAnsi="宋体" w:cs="宋体"/>
          <w:color w:val="auto"/>
          <w:kern w:val="0"/>
          <w:highlight w:val="none"/>
        </w:rPr>
        <w:t>。</w:t>
      </w:r>
    </w:p>
    <w:p w14:paraId="090AE029">
      <w:pPr>
        <w:spacing w:line="360" w:lineRule="auto"/>
        <w:ind w:firstLine="420" w:firstLineChars="200"/>
        <w:jc w:val="left"/>
        <w:rPr>
          <w:color w:val="auto"/>
          <w:kern w:val="0"/>
          <w:highlight w:val="none"/>
          <w:u w:val="single"/>
        </w:rPr>
      </w:pPr>
      <w:r>
        <w:rPr>
          <w:rFonts w:hint="eastAsia" w:hAnsi="宋体" w:cs="宋体"/>
          <w:color w:val="auto"/>
          <w:kern w:val="0"/>
          <w:highlight w:val="none"/>
        </w:rPr>
        <w:t>（</w:t>
      </w:r>
      <w:r>
        <w:rPr>
          <w:color w:val="auto"/>
          <w:kern w:val="0"/>
          <w:highlight w:val="none"/>
        </w:rPr>
        <w:t>5</w:t>
      </w:r>
      <w:r>
        <w:rPr>
          <w:rFonts w:hint="eastAsia" w:hAnsi="宋体" w:cs="宋体"/>
          <w:color w:val="auto"/>
          <w:kern w:val="0"/>
          <w:highlight w:val="none"/>
        </w:rPr>
        <w:t>）因发包人违反合同约定造成暂停施工的违约责任：</w:t>
      </w:r>
      <w:r>
        <w:rPr>
          <w:color w:val="auto"/>
          <w:kern w:val="0"/>
          <w:highlight w:val="none"/>
          <w:u w:val="single"/>
        </w:rPr>
        <w:t xml:space="preserve">   </w:t>
      </w:r>
      <w:r>
        <w:rPr>
          <w:rFonts w:ascii="Arial" w:hAnsi="Arial" w:cs="Arial"/>
          <w:color w:val="000000"/>
          <w:highlight w:val="none"/>
          <w:u w:val="single"/>
        </w:rPr>
        <w:t>可顺延工期</w:t>
      </w:r>
      <w:r>
        <w:rPr>
          <w:color w:val="auto"/>
          <w:kern w:val="0"/>
          <w:highlight w:val="none"/>
          <w:u w:val="single"/>
        </w:rPr>
        <w:t xml:space="preserve">       </w:t>
      </w:r>
      <w:r>
        <w:rPr>
          <w:rFonts w:hint="eastAsia" w:hAnsi="宋体" w:cs="宋体"/>
          <w:color w:val="auto"/>
          <w:kern w:val="0"/>
          <w:highlight w:val="none"/>
        </w:rPr>
        <w:t>。</w:t>
      </w:r>
    </w:p>
    <w:p w14:paraId="6A6C6524">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6</w:t>
      </w:r>
      <w:r>
        <w:rPr>
          <w:rFonts w:hint="eastAsia" w:hAnsi="宋体" w:cs="宋体"/>
          <w:color w:val="auto"/>
          <w:kern w:val="0"/>
          <w:highlight w:val="none"/>
        </w:rPr>
        <w:t>）发包人无正当理由没有在约定期限内发出复工指示，导致承包人无法复工的违约责任：</w:t>
      </w:r>
      <w:r>
        <w:rPr>
          <w:color w:val="auto"/>
          <w:kern w:val="0"/>
          <w:highlight w:val="none"/>
          <w:u w:val="single"/>
        </w:rPr>
        <w:t xml:space="preserve">    </w:t>
      </w:r>
      <w:r>
        <w:rPr>
          <w:rFonts w:ascii="Arial" w:hAnsi="Arial" w:cs="Arial"/>
          <w:color w:val="000000"/>
          <w:highlight w:val="none"/>
          <w:u w:val="single"/>
        </w:rPr>
        <w:t>可顺延工期，但发包人不赔偿其它损失</w:t>
      </w:r>
      <w:r>
        <w:rPr>
          <w:color w:val="auto"/>
          <w:kern w:val="0"/>
          <w:highlight w:val="none"/>
          <w:u w:val="single"/>
        </w:rPr>
        <w:t xml:space="preserve">       </w:t>
      </w:r>
      <w:r>
        <w:rPr>
          <w:rFonts w:hint="eastAsia" w:hAnsi="宋体" w:cs="宋体"/>
          <w:color w:val="auto"/>
          <w:kern w:val="0"/>
          <w:highlight w:val="none"/>
        </w:rPr>
        <w:t>。</w:t>
      </w:r>
    </w:p>
    <w:p w14:paraId="47128124">
      <w:pPr>
        <w:spacing w:line="360" w:lineRule="auto"/>
        <w:ind w:firstLine="420" w:firstLineChars="200"/>
        <w:jc w:val="left"/>
        <w:rPr>
          <w:color w:val="auto"/>
          <w:kern w:val="0"/>
          <w:highlight w:val="none"/>
        </w:rPr>
      </w:pPr>
      <w:r>
        <w:rPr>
          <w:rFonts w:hint="eastAsia" w:hAnsi="宋体" w:cs="宋体"/>
          <w:color w:val="auto"/>
          <w:kern w:val="0"/>
          <w:highlight w:val="none"/>
        </w:rPr>
        <w:t>（</w:t>
      </w:r>
      <w:r>
        <w:rPr>
          <w:color w:val="auto"/>
          <w:kern w:val="0"/>
          <w:highlight w:val="none"/>
        </w:rPr>
        <w:t>7</w:t>
      </w:r>
      <w:r>
        <w:rPr>
          <w:rFonts w:hint="eastAsia" w:hAnsi="宋体" w:cs="宋体"/>
          <w:color w:val="auto"/>
          <w:kern w:val="0"/>
          <w:highlight w:val="none"/>
        </w:rPr>
        <w:t>）其他：</w:t>
      </w:r>
      <w:r>
        <w:rPr>
          <w:color w:val="auto"/>
          <w:kern w:val="0"/>
          <w:highlight w:val="none"/>
          <w:u w:val="single"/>
        </w:rPr>
        <w:t xml:space="preserve">    </w:t>
      </w:r>
      <w:r>
        <w:rPr>
          <w:rFonts w:hint="eastAsia"/>
          <w:color w:val="auto"/>
          <w:kern w:val="0"/>
          <w:highlight w:val="none"/>
          <w:u w:val="single"/>
          <w:lang w:eastAsia="zh-CN"/>
        </w:rPr>
        <w:t>无</w:t>
      </w:r>
      <w:r>
        <w:rPr>
          <w:color w:val="auto"/>
          <w:kern w:val="0"/>
          <w:highlight w:val="none"/>
          <w:u w:val="single"/>
        </w:rPr>
        <w:t xml:space="preserve">     </w:t>
      </w:r>
      <w:r>
        <w:rPr>
          <w:rFonts w:hint="eastAsia" w:hAnsi="宋体" w:cs="宋体"/>
          <w:color w:val="auto"/>
          <w:kern w:val="0"/>
          <w:highlight w:val="none"/>
        </w:rPr>
        <w:t>。</w:t>
      </w:r>
    </w:p>
    <w:p w14:paraId="04EF79F0">
      <w:pPr>
        <w:spacing w:line="360" w:lineRule="auto"/>
        <w:ind w:firstLine="420" w:firstLineChars="200"/>
        <w:jc w:val="left"/>
        <w:rPr>
          <w:color w:val="auto"/>
          <w:highlight w:val="none"/>
        </w:rPr>
      </w:pPr>
      <w:r>
        <w:rPr>
          <w:color w:val="auto"/>
          <w:highlight w:val="none"/>
        </w:rPr>
        <w:t xml:space="preserve">16.1.3 </w:t>
      </w:r>
      <w:r>
        <w:rPr>
          <w:rFonts w:hint="eastAsia" w:hAnsi="宋体" w:cs="宋体"/>
          <w:color w:val="auto"/>
          <w:highlight w:val="none"/>
        </w:rPr>
        <w:t>因发包人违约解除合同</w:t>
      </w:r>
    </w:p>
    <w:p w14:paraId="745DE385">
      <w:pPr>
        <w:autoSpaceDE w:val="0"/>
        <w:autoSpaceDN w:val="0"/>
        <w:adjustRightInd w:val="0"/>
        <w:spacing w:line="360" w:lineRule="auto"/>
        <w:ind w:firstLine="420" w:firstLineChars="200"/>
        <w:jc w:val="left"/>
        <w:rPr>
          <w:color w:val="auto"/>
          <w:kern w:val="0"/>
          <w:highlight w:val="none"/>
        </w:rPr>
      </w:pPr>
      <w:r>
        <w:rPr>
          <w:rFonts w:hint="eastAsia" w:hAnsi="宋体" w:cs="宋体"/>
          <w:color w:val="auto"/>
          <w:kern w:val="0"/>
          <w:highlight w:val="none"/>
        </w:rPr>
        <w:t>承包人按</w:t>
      </w:r>
      <w:r>
        <w:rPr>
          <w:color w:val="auto"/>
          <w:kern w:val="0"/>
          <w:highlight w:val="none"/>
        </w:rPr>
        <w:t>16.1.1</w:t>
      </w:r>
      <w:r>
        <w:rPr>
          <w:rFonts w:hint="eastAsia" w:hAnsi="宋体" w:cs="宋体"/>
          <w:color w:val="auto"/>
          <w:kern w:val="0"/>
          <w:highlight w:val="none"/>
        </w:rPr>
        <w:t>项〔发包人违约的情形〕约定暂停施工满</w:t>
      </w:r>
      <w:r>
        <w:rPr>
          <w:color w:val="auto"/>
          <w:kern w:val="0"/>
          <w:highlight w:val="none"/>
          <w:u w:val="single"/>
        </w:rPr>
        <w:t xml:space="preserve">  </w:t>
      </w:r>
      <w:r>
        <w:rPr>
          <w:rFonts w:hint="eastAsia"/>
          <w:color w:val="auto"/>
          <w:kern w:val="0"/>
          <w:highlight w:val="none"/>
          <w:u w:val="single"/>
          <w:lang w:val="en-US" w:eastAsia="zh-CN"/>
        </w:rPr>
        <w:t>60</w:t>
      </w:r>
      <w:r>
        <w:rPr>
          <w:color w:val="auto"/>
          <w:kern w:val="0"/>
          <w:highlight w:val="none"/>
          <w:u w:val="single"/>
        </w:rPr>
        <w:t xml:space="preserve">  </w:t>
      </w:r>
      <w:r>
        <w:rPr>
          <w:rFonts w:hint="eastAsia" w:hAnsi="宋体" w:cs="宋体"/>
          <w:color w:val="auto"/>
          <w:kern w:val="0"/>
          <w:highlight w:val="none"/>
        </w:rPr>
        <w:t>天后发包人仍不纠正其违约行为并致使合同目的不能实现的，承包人有权解除合同。</w:t>
      </w:r>
    </w:p>
    <w:p w14:paraId="13106B31">
      <w:pPr>
        <w:pStyle w:val="5"/>
        <w:jc w:val="left"/>
        <w:rPr>
          <w:rFonts w:hint="eastAsia" w:ascii="Arial" w:hAnsi="宋体" w:eastAsia="黑体" w:cs="黑体"/>
          <w:b w:val="0"/>
          <w:bCs w:val="0"/>
          <w:color w:val="auto"/>
          <w:kern w:val="0"/>
          <w:sz w:val="28"/>
          <w:szCs w:val="20"/>
          <w:highlight w:val="none"/>
        </w:rPr>
      </w:pPr>
      <w:bookmarkStart w:id="411" w:name="_Toc28597"/>
      <w:bookmarkStart w:id="412" w:name="_Toc25155"/>
      <w:r>
        <w:rPr>
          <w:rFonts w:hint="eastAsia" w:ascii="Arial" w:hAnsi="宋体" w:eastAsia="黑体" w:cs="黑体"/>
          <w:b w:val="0"/>
          <w:bCs w:val="0"/>
          <w:color w:val="auto"/>
          <w:kern w:val="0"/>
          <w:sz w:val="28"/>
          <w:szCs w:val="20"/>
          <w:highlight w:val="none"/>
        </w:rPr>
        <w:t>16.2 承包人违约</w:t>
      </w:r>
      <w:bookmarkEnd w:id="411"/>
      <w:bookmarkEnd w:id="412"/>
    </w:p>
    <w:p w14:paraId="7E6F25EB">
      <w:pPr>
        <w:spacing w:line="360" w:lineRule="auto"/>
        <w:ind w:firstLine="420" w:firstLineChars="200"/>
        <w:jc w:val="left"/>
        <w:rPr>
          <w:color w:val="auto"/>
          <w:kern w:val="0"/>
          <w:highlight w:val="none"/>
        </w:rPr>
      </w:pPr>
      <w:r>
        <w:rPr>
          <w:color w:val="auto"/>
          <w:kern w:val="0"/>
          <w:highlight w:val="none"/>
        </w:rPr>
        <w:t xml:space="preserve">16.2.1 </w:t>
      </w:r>
      <w:r>
        <w:rPr>
          <w:rFonts w:hint="eastAsia" w:hAnsi="宋体" w:cs="宋体"/>
          <w:color w:val="auto"/>
          <w:kern w:val="0"/>
          <w:highlight w:val="none"/>
        </w:rPr>
        <w:t>承包人违约的情形</w:t>
      </w:r>
    </w:p>
    <w:p w14:paraId="7AD2EB76">
      <w:pPr>
        <w:spacing w:line="360" w:lineRule="auto"/>
        <w:ind w:firstLine="420" w:firstLineChars="200"/>
        <w:jc w:val="left"/>
        <w:rPr>
          <w:rFonts w:hint="eastAsia" w:hAnsi="宋体" w:cs="宋体"/>
          <w:color w:val="auto"/>
          <w:kern w:val="0"/>
          <w:highlight w:val="none"/>
        </w:rPr>
      </w:pPr>
      <w:r>
        <w:rPr>
          <w:rFonts w:hint="eastAsia" w:hAnsi="宋体" w:cs="宋体"/>
          <w:color w:val="auto"/>
          <w:kern w:val="0"/>
          <w:highlight w:val="none"/>
        </w:rPr>
        <w:t>承包人违约的其他情形：</w:t>
      </w:r>
    </w:p>
    <w:p w14:paraId="2784BF99">
      <w:pPr>
        <w:pStyle w:val="348"/>
        <w:numPr>
          <w:ilvl w:val="0"/>
          <w:numId w:val="5"/>
        </w:numPr>
        <w:spacing w:line="360" w:lineRule="auto"/>
        <w:ind w:firstLine="420" w:firstLineChars="200"/>
        <w:rPr>
          <w:rFonts w:ascii="Arial" w:hAnsi="Arial" w:cs="Arial"/>
          <w:color w:val="000000"/>
          <w:highlight w:val="none"/>
        </w:rPr>
      </w:pPr>
      <w:r>
        <w:rPr>
          <w:rFonts w:ascii="Arial" w:hAnsi="Arial" w:cs="Arial"/>
          <w:color w:val="000000"/>
          <w:highlight w:val="none"/>
        </w:rPr>
        <w:t>（1）承包人违反合同约定进行转包或违法分包的或承包人未按合同约定配合发包人对发包人支付给承包人的工程款的流向进行跟踪的；</w:t>
      </w:r>
    </w:p>
    <w:p w14:paraId="7060D871">
      <w:pPr>
        <w:pStyle w:val="348"/>
        <w:numPr>
          <w:ilvl w:val="0"/>
          <w:numId w:val="5"/>
        </w:numPr>
        <w:spacing w:line="360" w:lineRule="auto"/>
        <w:ind w:firstLine="420" w:firstLineChars="200"/>
        <w:rPr>
          <w:rFonts w:ascii="Arial" w:hAnsi="Arial" w:cs="Arial"/>
          <w:color w:val="000000"/>
          <w:highlight w:val="none"/>
        </w:rPr>
      </w:pPr>
      <w:r>
        <w:rPr>
          <w:rFonts w:ascii="Arial" w:hAnsi="Arial" w:cs="Arial"/>
          <w:color w:val="000000"/>
          <w:highlight w:val="none"/>
        </w:rPr>
        <w:t>（2）承包人违反合同约定采购和使用不合格的材料和工程设备的；</w:t>
      </w:r>
    </w:p>
    <w:p w14:paraId="4B2FC0D1">
      <w:pPr>
        <w:pStyle w:val="348"/>
        <w:numPr>
          <w:ilvl w:val="0"/>
          <w:numId w:val="5"/>
        </w:numPr>
        <w:spacing w:line="360" w:lineRule="auto"/>
        <w:ind w:firstLine="420" w:firstLineChars="200"/>
        <w:rPr>
          <w:rFonts w:ascii="Arial" w:hAnsi="Arial" w:cs="Arial"/>
          <w:color w:val="000000"/>
          <w:highlight w:val="none"/>
        </w:rPr>
      </w:pPr>
      <w:r>
        <w:rPr>
          <w:rFonts w:ascii="Arial" w:hAnsi="Arial" w:cs="Arial"/>
          <w:color w:val="000000"/>
          <w:highlight w:val="none"/>
        </w:rPr>
        <w:t>（3）因承包人原因导致工程质量不符合合同要求的；</w:t>
      </w:r>
    </w:p>
    <w:p w14:paraId="25ED446B">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（4）承包人违反第8款〔材料与设备专用要求〕的约定，未经批准，私自将已按照合同约定进入施工现场的材料或设备撤离施工现场的；</w:t>
      </w:r>
    </w:p>
    <w:p w14:paraId="2C1E6D90">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（5）承包人未能按施工进度计划及时完成合同约定的工作，造成工期延误的；</w:t>
      </w:r>
    </w:p>
    <w:p w14:paraId="40786DA5">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（6）承包人在缺陷责任期及保修期内，未能在合理期限对工程缺陷进行修复，或拒绝按发包人要求进行修复的；</w:t>
      </w:r>
    </w:p>
    <w:p w14:paraId="7BFA3AA1">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（7）承包人明确表示或者以其行为表明不履行合同主要义务的；</w:t>
      </w:r>
    </w:p>
    <w:p w14:paraId="5DE7DB26">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（8）承包人未按联合体的协议的职责分工约定履行合同的（如承包人为联合体时）；</w:t>
      </w:r>
    </w:p>
    <w:p w14:paraId="245FCB39">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（9）承包人未能按照合同约定履行其他义务的。</w:t>
      </w:r>
    </w:p>
    <w:p w14:paraId="4D02AC6E">
      <w:pPr>
        <w:pStyle w:val="348"/>
        <w:spacing w:line="360" w:lineRule="auto"/>
        <w:ind w:firstLine="420" w:firstLineChars="200"/>
        <w:rPr>
          <w:rFonts w:ascii="Arial" w:hAnsi="Arial" w:cs="Arial"/>
          <w:color w:val="000000"/>
          <w:highlight w:val="none"/>
        </w:rPr>
      </w:pPr>
      <w:r>
        <w:rPr>
          <w:rFonts w:ascii="Arial" w:hAnsi="Arial" w:cs="Arial"/>
          <w:color w:val="000000"/>
          <w:highlight w:val="none"/>
        </w:rPr>
        <w:t>承包人发生除本项第（7）目约定以外的其他违约情况时，监理人可向承包人发出整改通知，要求其在指定的期限内改正。</w:t>
      </w:r>
    </w:p>
    <w:p w14:paraId="02B411C6">
      <w:pPr>
        <w:pStyle w:val="348"/>
        <w:spacing w:line="360" w:lineRule="auto"/>
        <w:ind w:firstLine="420" w:firstLineChars="200"/>
        <w:rPr>
          <w:color w:val="auto"/>
          <w:kern w:val="0"/>
          <w:highlight w:val="none"/>
          <w:u w:val="single"/>
        </w:rPr>
      </w:pPr>
      <w:r>
        <w:rPr>
          <w:rFonts w:ascii="Arial" w:hAnsi="Arial" w:cs="Arial"/>
          <w:color w:val="000000"/>
          <w:highlight w:val="none"/>
        </w:rPr>
        <w:t>承包人违约的其他情形：承包人有违反《</w:t>
      </w:r>
      <w:r>
        <w:rPr>
          <w:rFonts w:hint="eastAsia" w:ascii="Arial" w:hAnsi="Arial" w:cs="Arial"/>
          <w:color w:val="000000"/>
          <w:highlight w:val="none"/>
          <w:lang w:eastAsia="zh-CN"/>
        </w:rPr>
        <w:t>来宾市建设工程造价管理办法</w:t>
      </w:r>
      <w:r>
        <w:rPr>
          <w:rFonts w:ascii="Arial" w:hAnsi="Arial" w:cs="Arial"/>
          <w:color w:val="000000"/>
          <w:highlight w:val="none"/>
        </w:rPr>
        <w:t>》规定的，按规定给予处罚。</w:t>
      </w:r>
    </w:p>
    <w:p w14:paraId="6AB80415">
      <w:pPr>
        <w:spacing w:line="360" w:lineRule="auto"/>
        <w:ind w:firstLine="420" w:firstLineChars="200"/>
        <w:jc w:val="left"/>
        <w:outlineLvl w:val="9"/>
        <w:rPr>
          <w:color w:val="auto"/>
          <w:kern w:val="0"/>
          <w:highlight w:val="none"/>
        </w:rPr>
      </w:pPr>
      <w:r>
        <w:rPr>
          <w:color w:val="auto"/>
          <w:kern w:val="0"/>
          <w:highlight w:val="none"/>
        </w:rPr>
        <w:t>16.2.2</w:t>
      </w:r>
      <w:r>
        <w:rPr>
          <w:rFonts w:hint="eastAsia" w:ascii="Times New Roman" w:hAnsi="宋体" w:eastAsia="宋体" w:cs="宋体"/>
          <w:color w:val="auto"/>
          <w:kern w:val="2"/>
          <w:highlight w:val="none"/>
        </w:rPr>
        <w:t>承包人</w:t>
      </w:r>
      <w:r>
        <w:rPr>
          <w:rFonts w:hint="eastAsia" w:hAnsi="宋体" w:cs="宋体"/>
          <w:color w:val="auto"/>
          <w:kern w:val="0"/>
          <w:highlight w:val="none"/>
        </w:rPr>
        <w:t>违约的责任</w:t>
      </w:r>
    </w:p>
    <w:p w14:paraId="73B74960">
      <w:pPr>
        <w:spacing w:line="360" w:lineRule="auto"/>
        <w:ind w:firstLine="420" w:firstLineChars="200"/>
        <w:jc w:val="left"/>
        <w:rPr>
          <w:color w:val="auto"/>
          <w:kern w:val="0"/>
          <w:highlight w:val="none"/>
        </w:rPr>
      </w:pPr>
      <w:r>
        <w:rPr>
          <w:rFonts w:hint="eastAsia" w:hAnsi="宋体" w:cs="宋体"/>
          <w:color w:val="auto"/>
          <w:kern w:val="0"/>
          <w:highlight w:val="none"/>
        </w:rPr>
        <w:t>承包人违约责任的承担方式和计算方法：</w:t>
      </w:r>
    </w:p>
    <w:p w14:paraId="7777DB3E">
      <w:pPr>
        <w:spacing w:line="360" w:lineRule="auto"/>
        <w:ind w:firstLine="420" w:firstLineChars="200"/>
        <w:jc w:val="left"/>
        <w:rPr>
          <w:rFonts w:hAnsi="宋体"/>
          <w:color w:val="auto"/>
          <w:kern w:val="0"/>
          <w:highlight w:val="none"/>
        </w:rPr>
      </w:pPr>
      <w:r>
        <w:rPr>
          <w:rFonts w:hint="eastAsia" w:hAnsi="宋体" w:cs="宋体"/>
          <w:color w:val="auto"/>
          <w:kern w:val="0"/>
          <w:highlight w:val="none"/>
        </w:rPr>
        <w:t>（</w:t>
      </w:r>
      <w:r>
        <w:rPr>
          <w:color w:val="auto"/>
          <w:kern w:val="0"/>
          <w:highlight w:val="none"/>
        </w:rPr>
        <w:t>1</w:t>
      </w:r>
      <w:r>
        <w:rPr>
          <w:rFonts w:hint="eastAsia" w:hAnsi="宋体" w:cs="宋体"/>
          <w:color w:val="auto"/>
          <w:kern w:val="0"/>
          <w:highlight w:val="none"/>
        </w:rPr>
        <w:t>）承包人有本合同通用条款第</w:t>
      </w:r>
      <w:r>
        <w:rPr>
          <w:color w:val="auto"/>
          <w:kern w:val="0"/>
          <w:highlight w:val="none"/>
        </w:rPr>
        <w:t>16.2.1</w:t>
      </w:r>
      <w:r>
        <w:rPr>
          <w:rFonts w:hint="eastAsia" w:hAnsi="宋体" w:cs="宋体"/>
          <w:color w:val="auto"/>
          <w:kern w:val="0"/>
          <w:highlight w:val="none"/>
        </w:rPr>
        <w:t>（</w:t>
      </w:r>
      <w:r>
        <w:rPr>
          <w:color w:val="auto"/>
          <w:kern w:val="0"/>
          <w:highlight w:val="none"/>
        </w:rPr>
        <w:t>2</w:t>
      </w:r>
      <w:r>
        <w:rPr>
          <w:rFonts w:hint="eastAsia" w:hAnsi="宋体" w:cs="宋体"/>
          <w:color w:val="auto"/>
          <w:kern w:val="0"/>
          <w:highlight w:val="none"/>
        </w:rPr>
        <w:t>）、（</w:t>
      </w:r>
      <w:r>
        <w:rPr>
          <w:color w:val="auto"/>
          <w:kern w:val="0"/>
          <w:highlight w:val="none"/>
        </w:rPr>
        <w:t>3</w:t>
      </w:r>
      <w:r>
        <w:rPr>
          <w:rFonts w:hint="eastAsia" w:hAnsi="宋体" w:cs="宋体"/>
          <w:color w:val="auto"/>
          <w:kern w:val="0"/>
          <w:highlight w:val="none"/>
        </w:rPr>
        <w:t>）条内容情形的，承包人无条件返工处理，修复至工程质量要求并承担相关费用，并在发包人规定的时间内完成返工，否则发包人有权扣</w:t>
      </w:r>
      <w:r>
        <w:rPr>
          <w:rFonts w:hint="eastAsia" w:hAnsi="宋体" w:cs="宋体"/>
          <w:color w:val="auto"/>
          <w:kern w:val="0"/>
          <w:highlight w:val="none"/>
          <w:lang w:val="en-US" w:eastAsia="zh-CN"/>
        </w:rPr>
        <w:t>除</w:t>
      </w:r>
      <w:r>
        <w:rPr>
          <w:rFonts w:hint="eastAsia" w:hAnsi="宋体" w:cs="宋体"/>
          <w:color w:val="auto"/>
          <w:kern w:val="0"/>
          <w:highlight w:val="none"/>
        </w:rPr>
        <w:t>该分项工程</w:t>
      </w:r>
      <w:r>
        <w:rPr>
          <w:color w:val="auto"/>
          <w:kern w:val="0"/>
          <w:highlight w:val="none"/>
        </w:rPr>
        <w:t>10%</w:t>
      </w:r>
      <w:r>
        <w:rPr>
          <w:rFonts w:hint="eastAsia" w:hAnsi="宋体" w:cs="宋体"/>
          <w:color w:val="auto"/>
          <w:kern w:val="0"/>
          <w:highlight w:val="none"/>
        </w:rPr>
        <w:t>的工程款作为</w:t>
      </w:r>
      <w:r>
        <w:rPr>
          <w:rFonts w:hint="eastAsia" w:hAnsi="宋体" w:cs="宋体"/>
          <w:color w:val="auto"/>
          <w:kern w:val="0"/>
          <w:highlight w:val="none"/>
          <w:lang w:val="en-US" w:eastAsia="zh-CN"/>
        </w:rPr>
        <w:t>违约金</w:t>
      </w:r>
      <w:r>
        <w:rPr>
          <w:rFonts w:hint="eastAsia" w:hAnsi="宋体" w:cs="宋体"/>
          <w:color w:val="auto"/>
          <w:kern w:val="0"/>
          <w:highlight w:val="none"/>
        </w:rPr>
        <w:t>。</w:t>
      </w:r>
    </w:p>
    <w:p w14:paraId="421C87A1">
      <w:pPr>
        <w:spacing w:line="360" w:lineRule="auto"/>
        <w:ind w:firstLine="420" w:firstLineChars="200"/>
        <w:jc w:val="left"/>
        <w:rPr>
          <w:rFonts w:hAnsi="宋体"/>
          <w:color w:val="auto"/>
          <w:kern w:val="0"/>
          <w:highlight w:val="none"/>
        </w:rPr>
      </w:pPr>
      <w:r>
        <w:rPr>
          <w:rFonts w:hint="eastAsia" w:hAnsi="宋体" w:cs="宋体"/>
          <w:color w:val="auto"/>
          <w:kern w:val="0"/>
          <w:highlight w:val="none"/>
        </w:rPr>
        <w:t>（</w:t>
      </w:r>
      <w:r>
        <w:rPr>
          <w:color w:val="auto"/>
          <w:kern w:val="0"/>
          <w:highlight w:val="none"/>
        </w:rPr>
        <w:t>2</w:t>
      </w:r>
      <w:r>
        <w:rPr>
          <w:rFonts w:hint="eastAsia" w:hAnsi="宋体" w:cs="宋体"/>
          <w:color w:val="auto"/>
          <w:kern w:val="0"/>
          <w:highlight w:val="none"/>
        </w:rPr>
        <w:t>）承包人有本合同通用条款第</w:t>
      </w:r>
      <w:r>
        <w:rPr>
          <w:color w:val="auto"/>
          <w:kern w:val="0"/>
          <w:highlight w:val="none"/>
        </w:rPr>
        <w:t>16.2.1</w:t>
      </w:r>
      <w:r>
        <w:rPr>
          <w:rFonts w:hint="eastAsia" w:hAnsi="宋体" w:cs="宋体"/>
          <w:color w:val="auto"/>
          <w:kern w:val="0"/>
          <w:highlight w:val="none"/>
        </w:rPr>
        <w:t>（</w:t>
      </w:r>
      <w:r>
        <w:rPr>
          <w:color w:val="auto"/>
          <w:kern w:val="0"/>
          <w:highlight w:val="none"/>
        </w:rPr>
        <w:t>6</w:t>
      </w:r>
      <w:r>
        <w:rPr>
          <w:rFonts w:hint="eastAsia" w:hAnsi="宋体" w:cs="宋体"/>
          <w:color w:val="auto"/>
          <w:kern w:val="0"/>
          <w:highlight w:val="none"/>
        </w:rPr>
        <w:t>）条情形的，或经监理人检验认为修复质量不合格而承包人拒绝再进行修补的，发包人将扣除承包人全部质量保证金。</w:t>
      </w:r>
    </w:p>
    <w:p w14:paraId="45C16C60">
      <w:pPr>
        <w:spacing w:line="360" w:lineRule="auto"/>
        <w:ind w:firstLine="420" w:firstLineChars="200"/>
        <w:jc w:val="left"/>
        <w:rPr>
          <w:rFonts w:hAnsi="宋体"/>
          <w:color w:val="auto"/>
          <w:kern w:val="0"/>
          <w:highlight w:val="none"/>
        </w:rPr>
      </w:pPr>
      <w:r>
        <w:rPr>
          <w:rFonts w:hint="eastAsia" w:hAnsi="宋体" w:cs="宋体"/>
          <w:color w:val="auto"/>
          <w:kern w:val="0"/>
          <w:highlight w:val="none"/>
        </w:rPr>
        <w:t>（</w:t>
      </w:r>
      <w:r>
        <w:rPr>
          <w:color w:val="auto"/>
          <w:kern w:val="0"/>
          <w:highlight w:val="none"/>
        </w:rPr>
        <w:t>3</w:t>
      </w:r>
      <w:r>
        <w:rPr>
          <w:rFonts w:hint="eastAsia" w:hAnsi="宋体" w:cs="宋体"/>
          <w:color w:val="auto"/>
          <w:kern w:val="0"/>
          <w:highlight w:val="none"/>
        </w:rPr>
        <w:t>）承包人有本专用合同条款</w:t>
      </w:r>
      <w:r>
        <w:rPr>
          <w:color w:val="auto"/>
          <w:kern w:val="0"/>
          <w:highlight w:val="none"/>
        </w:rPr>
        <w:t>3.</w:t>
      </w:r>
      <w:r>
        <w:rPr>
          <w:rFonts w:hint="eastAsia"/>
          <w:color w:val="auto"/>
          <w:kern w:val="0"/>
          <w:highlight w:val="none"/>
          <w:lang w:eastAsia="zh-CN"/>
        </w:rPr>
        <w:t>2.</w:t>
      </w:r>
      <w:r>
        <w:rPr>
          <w:color w:val="auto"/>
          <w:kern w:val="0"/>
          <w:highlight w:val="none"/>
        </w:rPr>
        <w:t>3.3</w:t>
      </w:r>
      <w:r>
        <w:rPr>
          <w:rFonts w:hint="eastAsia" w:hAnsi="宋体" w:cs="宋体"/>
          <w:color w:val="auto"/>
          <w:kern w:val="0"/>
          <w:highlight w:val="none"/>
        </w:rPr>
        <w:t>条违约责任的，发包人有权扣除承包人的违约金。违约金金额均在承包人的履约保证金及计量支付款内扣除。监理人预先下发含有</w:t>
      </w:r>
      <w:r>
        <w:rPr>
          <w:rFonts w:hint="eastAsia" w:hAnsi="宋体" w:cs="宋体"/>
          <w:color w:val="auto"/>
          <w:kern w:val="0"/>
          <w:highlight w:val="none"/>
          <w:lang w:val="en-US" w:eastAsia="zh-CN"/>
        </w:rPr>
        <w:t>扣除违约金</w:t>
      </w:r>
      <w:r>
        <w:rPr>
          <w:rFonts w:hint="eastAsia" w:hAnsi="宋体" w:cs="宋体"/>
          <w:color w:val="auto"/>
          <w:kern w:val="0"/>
          <w:highlight w:val="none"/>
        </w:rPr>
        <w:t>意向的指令，如承包人不及时采取措施纠正，则在指令下达后十五天下发</w:t>
      </w:r>
      <w:r>
        <w:rPr>
          <w:rFonts w:hint="eastAsia" w:hAnsi="宋体" w:cs="宋体"/>
          <w:color w:val="auto"/>
          <w:kern w:val="0"/>
          <w:highlight w:val="none"/>
          <w:lang w:val="en-US" w:eastAsia="zh-CN"/>
        </w:rPr>
        <w:t>扣除违约金</w:t>
      </w:r>
      <w:r>
        <w:rPr>
          <w:rFonts w:hint="eastAsia" w:hAnsi="宋体" w:cs="宋体"/>
          <w:color w:val="auto"/>
          <w:kern w:val="0"/>
          <w:highlight w:val="none"/>
        </w:rPr>
        <w:t>通知书（不再陈述</w:t>
      </w:r>
      <w:r>
        <w:rPr>
          <w:rFonts w:hint="eastAsia" w:hAnsi="宋体" w:cs="宋体"/>
          <w:color w:val="auto"/>
          <w:kern w:val="0"/>
          <w:highlight w:val="none"/>
          <w:lang w:val="en-US" w:eastAsia="zh-CN"/>
        </w:rPr>
        <w:t>扣除违约金</w:t>
      </w:r>
      <w:r>
        <w:rPr>
          <w:rFonts w:hint="eastAsia" w:hAnsi="宋体" w:cs="宋体"/>
          <w:color w:val="auto"/>
          <w:kern w:val="0"/>
          <w:highlight w:val="none"/>
        </w:rPr>
        <w:t>理由）。承包人履约保证金被</w:t>
      </w:r>
      <w:r>
        <w:rPr>
          <w:rFonts w:hint="eastAsia" w:hAnsi="宋体" w:cs="宋体"/>
          <w:color w:val="auto"/>
          <w:kern w:val="0"/>
          <w:highlight w:val="none"/>
          <w:lang w:val="en-US" w:eastAsia="zh-CN"/>
        </w:rPr>
        <w:t>扣除</w:t>
      </w:r>
      <w:r>
        <w:rPr>
          <w:rFonts w:hint="eastAsia" w:hAnsi="宋体" w:cs="宋体"/>
          <w:color w:val="auto"/>
          <w:kern w:val="0"/>
          <w:highlight w:val="none"/>
        </w:rPr>
        <w:t>后由发包人从最后一次计量支付时扣除相应金额补足履约保证金。承包人在合同期内，完成合同规定的全部工程，且质量合格，在本工程施工竣工验收后十五天内可申请返还全部或部分</w:t>
      </w:r>
      <w:r>
        <w:rPr>
          <w:rFonts w:hint="eastAsia" w:hAnsi="宋体" w:cs="宋体"/>
          <w:color w:val="auto"/>
          <w:kern w:val="0"/>
          <w:highlight w:val="none"/>
          <w:lang w:val="en-US" w:eastAsia="zh-CN"/>
        </w:rPr>
        <w:t>违约金</w:t>
      </w:r>
      <w:r>
        <w:rPr>
          <w:rFonts w:hint="eastAsia" w:hAnsi="宋体" w:cs="宋体"/>
          <w:color w:val="auto"/>
          <w:kern w:val="0"/>
          <w:highlight w:val="none"/>
        </w:rPr>
        <w:t>，返还金额由监理人审核，发包人批准。</w:t>
      </w:r>
      <w:r>
        <w:rPr>
          <w:rFonts w:hint="eastAsia" w:hAnsi="宋体" w:cs="宋体"/>
          <w:color w:val="auto"/>
          <w:kern w:val="0"/>
          <w:highlight w:val="none"/>
          <w:lang w:val="en-US" w:eastAsia="zh-CN"/>
        </w:rPr>
        <w:t>违约金</w:t>
      </w:r>
      <w:r>
        <w:rPr>
          <w:rFonts w:hint="eastAsia" w:hAnsi="宋体" w:cs="宋体"/>
          <w:color w:val="auto"/>
          <w:kern w:val="0"/>
          <w:highlight w:val="none"/>
        </w:rPr>
        <w:t>金额返还时不包括银行利息。</w:t>
      </w:r>
    </w:p>
    <w:p w14:paraId="4BCEA238">
      <w:pPr>
        <w:spacing w:line="360" w:lineRule="auto"/>
        <w:ind w:firstLine="420" w:firstLineChars="200"/>
        <w:jc w:val="left"/>
        <w:rPr>
          <w:rFonts w:hAnsi="宋体"/>
          <w:color w:val="auto"/>
          <w:highlight w:val="none"/>
        </w:rPr>
      </w:pPr>
      <w:r>
        <w:rPr>
          <w:color w:val="auto"/>
          <w:highlight w:val="none"/>
        </w:rPr>
        <w:t xml:space="preserve">16.2.3 </w:t>
      </w:r>
      <w:r>
        <w:rPr>
          <w:rFonts w:hint="eastAsia" w:hAnsi="宋体" w:cs="宋体"/>
          <w:color w:val="auto"/>
          <w:highlight w:val="none"/>
        </w:rPr>
        <w:t>因承包人违约解除合同</w:t>
      </w:r>
    </w:p>
    <w:p w14:paraId="2CD2FBED">
      <w:pPr>
        <w:spacing w:line="360" w:lineRule="auto"/>
        <w:ind w:firstLine="420" w:firstLineChars="200"/>
        <w:jc w:val="left"/>
        <w:rPr>
          <w:rFonts w:hAnsi="宋体"/>
          <w:color w:val="auto"/>
          <w:kern w:val="0"/>
          <w:highlight w:val="none"/>
        </w:rPr>
      </w:pPr>
      <w:r>
        <w:rPr>
          <w:rFonts w:hint="eastAsia" w:hAnsi="宋体" w:cs="宋体"/>
          <w:color w:val="auto"/>
          <w:kern w:val="0"/>
          <w:highlight w:val="none"/>
        </w:rPr>
        <w:t>关于承包人违约解除合同的特别约定：</w:t>
      </w:r>
      <w:r>
        <w:rPr>
          <w:rFonts w:hint="eastAsia" w:hAnsi="宋体" w:cs="宋体"/>
          <w:color w:val="auto"/>
          <w:kern w:val="0"/>
          <w:highlight w:val="none"/>
          <w:u w:val="none"/>
        </w:rPr>
        <w:t>承包人有违反以下情况之一的，发包人有权解除合同，并没收其全部履约保证金</w:t>
      </w:r>
      <w:r>
        <w:rPr>
          <w:rFonts w:hint="eastAsia" w:hAnsi="宋体" w:cs="宋体"/>
          <w:color w:val="auto"/>
          <w:kern w:val="0"/>
          <w:highlight w:val="none"/>
        </w:rPr>
        <w:t>。</w:t>
      </w:r>
    </w:p>
    <w:p w14:paraId="110901F1">
      <w:pPr>
        <w:spacing w:line="360" w:lineRule="auto"/>
        <w:ind w:firstLine="420" w:firstLineChars="200"/>
        <w:jc w:val="left"/>
        <w:rPr>
          <w:rFonts w:hAnsi="宋体"/>
          <w:color w:val="auto"/>
          <w:kern w:val="0"/>
          <w:highlight w:val="none"/>
        </w:rPr>
      </w:pPr>
      <w:r>
        <w:rPr>
          <w:rFonts w:hint="eastAsia"/>
          <w:color w:val="auto"/>
          <w:kern w:val="0"/>
          <w:highlight w:val="none"/>
          <w:lang w:eastAsia="zh-CN"/>
        </w:rPr>
        <w:t>（1）</w:t>
      </w:r>
      <w:r>
        <w:rPr>
          <w:rFonts w:hint="eastAsia" w:hAnsi="宋体" w:cs="宋体"/>
          <w:color w:val="auto"/>
          <w:kern w:val="0"/>
          <w:highlight w:val="none"/>
        </w:rPr>
        <w:t>承包人无正当理由不按开工通知的要求及时进场组织施工和不按签订协议书时商定的进度计划有效地开展施工准备，造成工期延误的；</w:t>
      </w:r>
    </w:p>
    <w:p w14:paraId="5A0DE7A9">
      <w:pPr>
        <w:spacing w:line="360" w:lineRule="auto"/>
        <w:ind w:firstLine="420" w:firstLineChars="200"/>
        <w:jc w:val="left"/>
        <w:rPr>
          <w:rFonts w:hAnsi="宋体"/>
          <w:color w:val="auto"/>
          <w:kern w:val="0"/>
          <w:highlight w:val="none"/>
        </w:rPr>
      </w:pPr>
      <w:r>
        <w:rPr>
          <w:rFonts w:hint="eastAsia"/>
          <w:color w:val="auto"/>
          <w:kern w:val="0"/>
          <w:highlight w:val="none"/>
          <w:lang w:eastAsia="zh-CN"/>
        </w:rPr>
        <w:t>（2）</w:t>
      </w:r>
      <w:r>
        <w:rPr>
          <w:rFonts w:hint="eastAsia" w:hAnsi="宋体" w:cs="宋体"/>
          <w:color w:val="auto"/>
          <w:kern w:val="0"/>
          <w:highlight w:val="none"/>
        </w:rPr>
        <w:t>承包人违反本合同通用条款第</w:t>
      </w:r>
      <w:r>
        <w:rPr>
          <w:color w:val="auto"/>
          <w:kern w:val="0"/>
          <w:highlight w:val="none"/>
        </w:rPr>
        <w:t>3.5</w:t>
      </w:r>
      <w:r>
        <w:rPr>
          <w:rFonts w:hint="eastAsia" w:hAnsi="宋体" w:cs="宋体"/>
          <w:color w:val="auto"/>
          <w:kern w:val="0"/>
          <w:highlight w:val="none"/>
        </w:rPr>
        <w:t>条规定私自将合同或合同的任何部分或任何权利转让给其他人，或私自将工程或工程的一部分分包出去的；</w:t>
      </w:r>
    </w:p>
    <w:p w14:paraId="4789B700">
      <w:pPr>
        <w:spacing w:line="360" w:lineRule="auto"/>
        <w:ind w:firstLine="420" w:firstLineChars="200"/>
        <w:jc w:val="left"/>
        <w:rPr>
          <w:rFonts w:hAnsi="宋体"/>
          <w:color w:val="auto"/>
          <w:kern w:val="0"/>
          <w:highlight w:val="none"/>
        </w:rPr>
      </w:pPr>
      <w:r>
        <w:rPr>
          <w:rFonts w:hint="eastAsia"/>
          <w:color w:val="auto"/>
          <w:kern w:val="0"/>
          <w:highlight w:val="none"/>
          <w:lang w:eastAsia="zh-CN"/>
        </w:rPr>
        <w:t>（3）</w:t>
      </w:r>
      <w:r>
        <w:rPr>
          <w:rFonts w:hint="eastAsia" w:hAnsi="宋体" w:cs="宋体"/>
          <w:color w:val="auto"/>
          <w:kern w:val="0"/>
          <w:highlight w:val="none"/>
        </w:rPr>
        <w:t>未经监理人批准，承包人私自将已按投标文件承诺进入工地的工程设备、施工设备、临时工程或材料撤离工地的；</w:t>
      </w:r>
    </w:p>
    <w:p w14:paraId="5D391114">
      <w:pPr>
        <w:spacing w:line="360" w:lineRule="auto"/>
        <w:ind w:firstLine="420" w:firstLineChars="200"/>
        <w:jc w:val="left"/>
        <w:rPr>
          <w:color w:val="auto"/>
          <w:kern w:val="0"/>
          <w:highlight w:val="none"/>
        </w:rPr>
      </w:pPr>
      <w:r>
        <w:rPr>
          <w:rFonts w:hint="eastAsia"/>
          <w:color w:val="auto"/>
          <w:kern w:val="0"/>
          <w:highlight w:val="none"/>
          <w:lang w:eastAsia="zh-CN"/>
        </w:rPr>
        <w:t>（4）</w:t>
      </w:r>
      <w:r>
        <w:rPr>
          <w:rFonts w:hint="eastAsia" w:hAnsi="宋体" w:cs="宋体"/>
          <w:color w:val="auto"/>
          <w:kern w:val="0"/>
          <w:highlight w:val="none"/>
        </w:rPr>
        <w:t>由于承包人原因拒绝按合同进度计划及时完成合同规定的工程，而又未采取有效措施赶上进度，造成工期严重延误的；</w:t>
      </w:r>
    </w:p>
    <w:p w14:paraId="45B28D5C">
      <w:pPr>
        <w:spacing w:line="360" w:lineRule="auto"/>
        <w:ind w:firstLine="420" w:firstLineChars="200"/>
        <w:rPr>
          <w:color w:val="auto"/>
          <w:kern w:val="0"/>
          <w:highlight w:val="none"/>
        </w:rPr>
      </w:pPr>
      <w:r>
        <w:rPr>
          <w:rFonts w:hint="eastAsia"/>
          <w:color w:val="auto"/>
          <w:kern w:val="0"/>
          <w:highlight w:val="none"/>
          <w:lang w:eastAsia="zh-CN"/>
        </w:rPr>
        <w:t>（5）</w:t>
      </w:r>
      <w:r>
        <w:rPr>
          <w:rFonts w:hint="eastAsia" w:hAnsi="宋体" w:cs="宋体"/>
          <w:color w:val="auto"/>
          <w:kern w:val="0"/>
          <w:highlight w:val="none"/>
        </w:rPr>
        <w:t>承包人否认合同有效或拒绝履行合同规定的承包人义务，或由于法律、财务等原因导致承包人无法继续履行或实质上已停止履行合同的义务的；</w:t>
      </w:r>
    </w:p>
    <w:p w14:paraId="614C9A95">
      <w:pPr>
        <w:spacing w:line="360" w:lineRule="auto"/>
        <w:ind w:firstLine="420" w:firstLineChars="200"/>
        <w:rPr>
          <w:color w:val="auto"/>
          <w:kern w:val="0"/>
          <w:highlight w:val="none"/>
        </w:rPr>
      </w:pPr>
      <w:r>
        <w:rPr>
          <w:rFonts w:hint="eastAsia"/>
          <w:color w:val="auto"/>
          <w:kern w:val="0"/>
          <w:highlight w:val="none"/>
          <w:lang w:eastAsia="zh-CN"/>
        </w:rPr>
        <w:t>（6）</w:t>
      </w:r>
      <w:r>
        <w:rPr>
          <w:rFonts w:hint="eastAsia" w:hAnsi="宋体" w:cs="宋体"/>
          <w:color w:val="auto"/>
          <w:kern w:val="0"/>
          <w:highlight w:val="none"/>
        </w:rPr>
        <w:t>合同签订</w:t>
      </w:r>
      <w:r>
        <w:rPr>
          <w:rFonts w:hint="eastAsia" w:ascii="仿宋_GB2312" w:hAnsi="宋体" w:cs="宋体"/>
          <w:color w:val="auto"/>
          <w:highlight w:val="none"/>
        </w:rPr>
        <w:t>且具备法定开工条件后</w:t>
      </w:r>
      <w:r>
        <w:rPr>
          <w:rFonts w:hint="eastAsia" w:hAnsi="宋体" w:cs="宋体"/>
          <w:color w:val="auto"/>
          <w:kern w:val="0"/>
          <w:highlight w:val="none"/>
        </w:rPr>
        <w:t>之日起十五日内，承包人无法按合同规定及投标文件的承诺进场经监理工程师认可的该</w:t>
      </w:r>
      <w:r>
        <w:rPr>
          <w:rFonts w:hAnsi="宋体" w:cs="宋体"/>
          <w:color w:val="auto"/>
          <w:kern w:val="0"/>
          <w:highlight w:val="none"/>
        </w:rPr>
        <w:t>施工</w:t>
      </w:r>
      <w:r>
        <w:rPr>
          <w:rFonts w:hint="eastAsia" w:hAnsi="宋体" w:cs="宋体"/>
          <w:color w:val="auto"/>
          <w:kern w:val="0"/>
          <w:highlight w:val="none"/>
        </w:rPr>
        <w:t>阶段</w:t>
      </w:r>
      <w:r>
        <w:rPr>
          <w:rFonts w:hAnsi="宋体" w:cs="宋体"/>
          <w:color w:val="auto"/>
          <w:kern w:val="0"/>
          <w:highlight w:val="none"/>
        </w:rPr>
        <w:t>应有的</w:t>
      </w:r>
      <w:r>
        <w:rPr>
          <w:rFonts w:hint="eastAsia" w:hAnsi="宋体" w:cs="宋体"/>
          <w:color w:val="auto"/>
          <w:kern w:val="0"/>
          <w:highlight w:val="none"/>
        </w:rPr>
        <w:t>全部人员和机械的。</w:t>
      </w:r>
    </w:p>
    <w:p w14:paraId="6BA77F18">
      <w:pPr>
        <w:spacing w:line="360" w:lineRule="auto"/>
        <w:ind w:firstLine="420" w:firstLineChars="200"/>
        <w:rPr>
          <w:color w:val="auto"/>
          <w:kern w:val="0"/>
          <w:highlight w:val="none"/>
        </w:rPr>
      </w:pPr>
      <w:r>
        <w:rPr>
          <w:rFonts w:hint="eastAsia" w:hAnsi="宋体" w:cs="宋体"/>
          <w:color w:val="auto"/>
          <w:kern w:val="0"/>
          <w:highlight w:val="none"/>
        </w:rPr>
        <w:t>发包人继续使用承包人在施工现场的材料、设备、临时工程、承包人文件和由承包人或以其名义编制的其他文件的费用承担方式：</w:t>
      </w:r>
      <w:r>
        <w:rPr>
          <w:color w:val="auto"/>
          <w:kern w:val="0"/>
          <w:highlight w:val="none"/>
          <w:u w:val="single"/>
        </w:rPr>
        <w:t xml:space="preserve">    </w:t>
      </w:r>
      <w:r>
        <w:rPr>
          <w:rFonts w:hint="eastAsia"/>
          <w:color w:val="auto"/>
          <w:kern w:val="0"/>
          <w:highlight w:val="none"/>
          <w:u w:val="single"/>
          <w:lang w:eastAsia="zh-CN"/>
        </w:rPr>
        <w:t>无</w:t>
      </w:r>
      <w:r>
        <w:rPr>
          <w:color w:val="auto"/>
          <w:kern w:val="0"/>
          <w:highlight w:val="none"/>
          <w:u w:val="single"/>
        </w:rPr>
        <w:t xml:space="preserve">          </w:t>
      </w:r>
      <w:r>
        <w:rPr>
          <w:rFonts w:hint="eastAsia" w:hAnsi="宋体" w:cs="宋体"/>
          <w:color w:val="auto"/>
          <w:kern w:val="0"/>
          <w:highlight w:val="none"/>
        </w:rPr>
        <w:t>。</w:t>
      </w:r>
    </w:p>
    <w:p w14:paraId="5AD70891">
      <w:pPr>
        <w:pStyle w:val="4"/>
        <w:outlineLvl w:val="2"/>
        <w:rPr>
          <w:color w:val="auto"/>
          <w:highlight w:val="none"/>
        </w:rPr>
      </w:pPr>
      <w:bookmarkStart w:id="413" w:name="_Toc31157"/>
      <w:r>
        <w:rPr>
          <w:color w:val="auto"/>
          <w:highlight w:val="none"/>
        </w:rPr>
        <w:t xml:space="preserve">17. </w:t>
      </w:r>
      <w:r>
        <w:rPr>
          <w:rFonts w:hint="eastAsia" w:ascii="Times New Roman" w:hAnsi="宋体" w:eastAsia="宋体" w:cs="黑体"/>
          <w:color w:val="auto"/>
          <w:highlight w:val="none"/>
        </w:rPr>
        <w:t>不可抗力</w:t>
      </w:r>
      <w:bookmarkEnd w:id="413"/>
      <w:r>
        <w:rPr>
          <w:color w:val="auto"/>
          <w:highlight w:val="none"/>
        </w:rPr>
        <w:t xml:space="preserve"> </w:t>
      </w:r>
    </w:p>
    <w:p w14:paraId="2BB4C016">
      <w:pPr>
        <w:pStyle w:val="5"/>
        <w:jc w:val="left"/>
        <w:rPr>
          <w:color w:val="auto"/>
          <w:highlight w:val="none"/>
        </w:rPr>
      </w:pPr>
      <w:bookmarkStart w:id="414" w:name="_Toc21791"/>
      <w:bookmarkStart w:id="415" w:name="_Toc12406"/>
      <w:r>
        <w:rPr>
          <w:color w:val="auto"/>
          <w:highlight w:val="none"/>
        </w:rPr>
        <w:t xml:space="preserve">17.1 </w:t>
      </w:r>
      <w:r>
        <w:rPr>
          <w:rFonts w:hint="eastAsia" w:ascii="Arial" w:hAnsi="宋体" w:cs="黑体"/>
          <w:color w:val="auto"/>
          <w:highlight w:val="none"/>
        </w:rPr>
        <w:t>不可抗力</w:t>
      </w:r>
      <w:r>
        <w:rPr>
          <w:rFonts w:hint="eastAsia" w:cs="黑体"/>
          <w:color w:val="auto"/>
          <w:highlight w:val="none"/>
        </w:rPr>
        <w:t>的确认</w:t>
      </w:r>
      <w:bookmarkEnd w:id="414"/>
      <w:bookmarkEnd w:id="415"/>
    </w:p>
    <w:p w14:paraId="14656091">
      <w:pPr>
        <w:spacing w:line="360" w:lineRule="auto"/>
        <w:ind w:firstLine="420" w:firstLineChars="200"/>
        <w:jc w:val="left"/>
        <w:rPr>
          <w:color w:val="auto"/>
          <w:kern w:val="0"/>
          <w:highlight w:val="none"/>
          <w:u w:val="single"/>
        </w:rPr>
      </w:pPr>
      <w:r>
        <w:rPr>
          <w:rFonts w:hint="eastAsia" w:hAnsi="宋体" w:cs="宋体"/>
          <w:color w:val="auto"/>
          <w:highlight w:val="none"/>
        </w:rPr>
        <w:t>除通用合同条款约定的不可抗力事件之外，视为不可抗力的其他情形：</w:t>
      </w:r>
      <w:r>
        <w:rPr>
          <w:color w:val="auto"/>
          <w:kern w:val="0"/>
          <w:highlight w:val="none"/>
          <w:u w:val="single"/>
        </w:rPr>
        <w:t xml:space="preserve">  （1）不可抗力的自然灾害认定标准，以政府有关部门的规定为准且必须得到相关权威部门的书面认定方可视为有效；（2）因政府或相关主管部门要求导致项目中断施工 </w:t>
      </w:r>
      <w:r>
        <w:rPr>
          <w:rFonts w:hint="eastAsia" w:hAnsi="宋体" w:cs="宋体"/>
          <w:color w:val="auto"/>
          <w:kern w:val="0"/>
          <w:highlight w:val="none"/>
        </w:rPr>
        <w:t>。</w:t>
      </w:r>
    </w:p>
    <w:p w14:paraId="3173B8F4">
      <w:pPr>
        <w:pStyle w:val="5"/>
        <w:jc w:val="left"/>
        <w:rPr>
          <w:color w:val="auto"/>
          <w:highlight w:val="none"/>
        </w:rPr>
      </w:pPr>
      <w:bookmarkStart w:id="416" w:name="_Toc15401"/>
      <w:bookmarkStart w:id="417" w:name="_Toc29972"/>
      <w:r>
        <w:rPr>
          <w:color w:val="auto"/>
          <w:highlight w:val="none"/>
        </w:rPr>
        <w:t xml:space="preserve">17.4 </w:t>
      </w:r>
      <w:r>
        <w:rPr>
          <w:rFonts w:hint="eastAsia" w:cs="黑体"/>
          <w:color w:val="auto"/>
          <w:highlight w:val="none"/>
        </w:rPr>
        <w:t>因</w:t>
      </w:r>
      <w:r>
        <w:rPr>
          <w:rFonts w:hint="eastAsia" w:ascii="Arial" w:hAnsi="宋体" w:cs="黑体"/>
          <w:color w:val="auto"/>
          <w:highlight w:val="none"/>
        </w:rPr>
        <w:t>不可抗力</w:t>
      </w:r>
      <w:r>
        <w:rPr>
          <w:rFonts w:hint="eastAsia" w:cs="黑体"/>
          <w:color w:val="auto"/>
          <w:highlight w:val="none"/>
        </w:rPr>
        <w:t>解除合同</w:t>
      </w:r>
      <w:bookmarkEnd w:id="416"/>
      <w:bookmarkEnd w:id="417"/>
    </w:p>
    <w:p w14:paraId="364FA8D8">
      <w:pPr>
        <w:spacing w:line="360" w:lineRule="auto"/>
        <w:ind w:firstLine="420" w:firstLineChars="200"/>
        <w:jc w:val="left"/>
        <w:rPr>
          <w:color w:val="auto"/>
          <w:highlight w:val="none"/>
        </w:rPr>
      </w:pPr>
      <w:r>
        <w:rPr>
          <w:rFonts w:hint="eastAsia" w:hAnsi="宋体" w:cs="宋体"/>
          <w:color w:val="auto"/>
          <w:highlight w:val="none"/>
        </w:rPr>
        <w:t>合同解除后，发包人应在商定或确定发包人应支付款项后</w:t>
      </w:r>
      <w:r>
        <w:rPr>
          <w:color w:val="auto"/>
          <w:highlight w:val="none"/>
          <w:u w:val="single"/>
        </w:rPr>
        <w:t xml:space="preserve">  </w:t>
      </w:r>
      <w:r>
        <w:rPr>
          <w:rFonts w:hint="eastAsia"/>
          <w:color w:val="auto"/>
          <w:highlight w:val="none"/>
          <w:u w:val="single"/>
          <w:lang w:val="en-US" w:eastAsia="zh-CN"/>
        </w:rPr>
        <w:t>30</w:t>
      </w:r>
      <w:r>
        <w:rPr>
          <w:color w:val="auto"/>
          <w:highlight w:val="none"/>
          <w:u w:val="single"/>
        </w:rPr>
        <w:t xml:space="preserve">  </w:t>
      </w:r>
      <w:r>
        <w:rPr>
          <w:rFonts w:hint="eastAsia" w:hAnsi="宋体" w:cs="宋体"/>
          <w:color w:val="auto"/>
          <w:highlight w:val="none"/>
        </w:rPr>
        <w:t>天内完成款项的支付。</w:t>
      </w:r>
    </w:p>
    <w:p w14:paraId="1A17BE6C">
      <w:pPr>
        <w:pStyle w:val="4"/>
        <w:outlineLvl w:val="2"/>
        <w:rPr>
          <w:color w:val="auto"/>
          <w:highlight w:val="none"/>
        </w:rPr>
      </w:pPr>
      <w:bookmarkStart w:id="418" w:name="_Toc30795"/>
      <w:r>
        <w:rPr>
          <w:color w:val="auto"/>
          <w:highlight w:val="none"/>
        </w:rPr>
        <w:t xml:space="preserve">18. </w:t>
      </w:r>
      <w:r>
        <w:rPr>
          <w:rFonts w:hint="eastAsia" w:ascii="Times New Roman" w:hAnsi="宋体" w:eastAsia="宋体" w:cs="黑体"/>
          <w:color w:val="auto"/>
          <w:highlight w:val="none"/>
        </w:rPr>
        <w:t>保险</w:t>
      </w:r>
      <w:bookmarkEnd w:id="418"/>
    </w:p>
    <w:p w14:paraId="6FE528D7">
      <w:pPr>
        <w:pStyle w:val="5"/>
        <w:jc w:val="left"/>
        <w:rPr>
          <w:color w:val="auto"/>
          <w:highlight w:val="none"/>
        </w:rPr>
      </w:pPr>
      <w:bookmarkStart w:id="419" w:name="_Toc6222"/>
      <w:bookmarkStart w:id="420" w:name="_Toc16039"/>
      <w:r>
        <w:rPr>
          <w:rFonts w:hint="eastAsia" w:ascii="Arial" w:hAnsi="宋体" w:cs="黑体"/>
          <w:color w:val="auto"/>
          <w:highlight w:val="none"/>
        </w:rPr>
        <w:t>18.1 工程保险</w:t>
      </w:r>
      <w:bookmarkEnd w:id="419"/>
      <w:bookmarkEnd w:id="420"/>
    </w:p>
    <w:p w14:paraId="5E1503D6">
      <w:pPr>
        <w:spacing w:line="360" w:lineRule="auto"/>
        <w:ind w:firstLine="420" w:firstLineChars="200"/>
        <w:jc w:val="left"/>
        <w:rPr>
          <w:color w:val="auto"/>
          <w:highlight w:val="none"/>
        </w:rPr>
      </w:pPr>
      <w:r>
        <w:rPr>
          <w:rFonts w:hint="eastAsia" w:hAnsi="宋体" w:cs="宋体"/>
          <w:color w:val="auto"/>
          <w:highlight w:val="none"/>
        </w:rPr>
        <w:t>关于工程保险的特别约定：</w:t>
      </w:r>
      <w:r>
        <w:rPr>
          <w:color w:val="auto"/>
          <w:kern w:val="0"/>
          <w:highlight w:val="none"/>
          <w:u w:val="single"/>
        </w:rPr>
        <w:t xml:space="preserve">   承包人应必须购买工程一切险和第三者责任险，并承担相关费用，费用已包含在综合单价中不再另计计价</w:t>
      </w:r>
      <w:r>
        <w:rPr>
          <w:rFonts w:hint="eastAsia" w:hAnsi="宋体" w:cs="宋体"/>
          <w:color w:val="auto"/>
          <w:kern w:val="0"/>
          <w:highlight w:val="none"/>
        </w:rPr>
        <w:t>。</w:t>
      </w:r>
    </w:p>
    <w:p w14:paraId="3EF5D1BC">
      <w:pPr>
        <w:pStyle w:val="5"/>
        <w:jc w:val="left"/>
        <w:rPr>
          <w:color w:val="auto"/>
          <w:highlight w:val="none"/>
        </w:rPr>
      </w:pPr>
      <w:bookmarkStart w:id="421" w:name="_Toc639"/>
      <w:bookmarkStart w:id="422" w:name="_Toc380"/>
      <w:r>
        <w:rPr>
          <w:color w:val="auto"/>
          <w:highlight w:val="none"/>
        </w:rPr>
        <w:t xml:space="preserve">18.3 </w:t>
      </w:r>
      <w:r>
        <w:rPr>
          <w:rFonts w:hint="eastAsia" w:ascii="Arial" w:hAnsi="宋体" w:cs="黑体"/>
          <w:color w:val="auto"/>
          <w:highlight w:val="none"/>
        </w:rPr>
        <w:t>其他</w:t>
      </w:r>
      <w:r>
        <w:rPr>
          <w:rFonts w:hint="eastAsia" w:hAnsi="宋体" w:cs="黑体"/>
          <w:color w:val="auto"/>
          <w:highlight w:val="none"/>
        </w:rPr>
        <w:t>保险</w:t>
      </w:r>
      <w:bookmarkEnd w:id="421"/>
      <w:bookmarkEnd w:id="422"/>
    </w:p>
    <w:p w14:paraId="3AE667A3">
      <w:pPr>
        <w:spacing w:line="360" w:lineRule="auto"/>
        <w:ind w:firstLine="420" w:firstLineChars="200"/>
        <w:jc w:val="left"/>
        <w:rPr>
          <w:color w:val="auto"/>
          <w:kern w:val="0"/>
          <w:highlight w:val="none"/>
        </w:rPr>
      </w:pPr>
      <w:r>
        <w:rPr>
          <w:rFonts w:hint="eastAsia" w:hAnsi="宋体" w:cs="宋体"/>
          <w:color w:val="auto"/>
          <w:highlight w:val="none"/>
        </w:rPr>
        <w:t>关于其他保险的约定：</w:t>
      </w:r>
      <w:r>
        <w:rPr>
          <w:rFonts w:hAnsi="宋体"/>
          <w:color w:val="auto"/>
          <w:highlight w:val="none"/>
          <w:u w:val="single"/>
        </w:rPr>
        <w:t xml:space="preserve">   承包人必须为施工现场从事施工的自有作业人员和管理人员办理意外伤害保险，并支付保险费，费用已包含在综合单价中不再另计计价。      </w:t>
      </w:r>
      <w:r>
        <w:rPr>
          <w:rFonts w:hint="eastAsia" w:hAnsi="宋体" w:cs="宋体"/>
          <w:color w:val="auto"/>
          <w:highlight w:val="none"/>
        </w:rPr>
        <w:t>。</w:t>
      </w:r>
    </w:p>
    <w:p w14:paraId="66146F18">
      <w:pPr>
        <w:spacing w:line="360" w:lineRule="auto"/>
        <w:ind w:firstLine="420" w:firstLineChars="200"/>
        <w:jc w:val="left"/>
        <w:rPr>
          <w:color w:val="auto"/>
          <w:highlight w:val="none"/>
          <w:u w:val="single"/>
        </w:rPr>
      </w:pPr>
      <w:r>
        <w:rPr>
          <w:rFonts w:hint="eastAsia" w:hAnsi="宋体" w:cs="宋体"/>
          <w:color w:val="auto"/>
          <w:highlight w:val="none"/>
        </w:rPr>
        <w:t>承包人是否应为其施工设备等办理财产保险：</w:t>
      </w:r>
      <w:r>
        <w:rPr>
          <w:color w:val="auto"/>
          <w:highlight w:val="none"/>
          <w:u w:val="single"/>
        </w:rPr>
        <w:t xml:space="preserve">   </w:t>
      </w:r>
      <w:r>
        <w:rPr>
          <w:rFonts w:ascii="Arial" w:hAnsi="Arial" w:cs="Arial"/>
          <w:color w:val="000000"/>
          <w:highlight w:val="none"/>
          <w:u w:val="single"/>
        </w:rPr>
        <w:t>是，承包人自行办理，并承担相关费用</w:t>
      </w:r>
      <w:r>
        <w:rPr>
          <w:color w:val="auto"/>
          <w:highlight w:val="none"/>
          <w:u w:val="single"/>
        </w:rPr>
        <w:t xml:space="preserve">   </w:t>
      </w:r>
      <w:r>
        <w:rPr>
          <w:rFonts w:hint="eastAsia" w:hAnsi="宋体" w:cs="宋体"/>
          <w:color w:val="auto"/>
          <w:highlight w:val="none"/>
        </w:rPr>
        <w:t>。</w:t>
      </w:r>
    </w:p>
    <w:p w14:paraId="470F245F">
      <w:pPr>
        <w:pStyle w:val="5"/>
        <w:jc w:val="left"/>
        <w:rPr>
          <w:color w:val="auto"/>
          <w:highlight w:val="none"/>
        </w:rPr>
      </w:pPr>
      <w:bookmarkStart w:id="423" w:name="_Toc20403"/>
      <w:bookmarkStart w:id="424" w:name="_Toc9387"/>
      <w:r>
        <w:rPr>
          <w:color w:val="auto"/>
          <w:highlight w:val="none"/>
        </w:rPr>
        <w:t xml:space="preserve">18.7 </w:t>
      </w:r>
      <w:r>
        <w:rPr>
          <w:rFonts w:hint="eastAsia" w:ascii="Arial" w:hAnsi="宋体" w:cs="黑体"/>
          <w:color w:val="auto"/>
          <w:highlight w:val="none"/>
        </w:rPr>
        <w:t>通知</w:t>
      </w:r>
      <w:r>
        <w:rPr>
          <w:rFonts w:hint="eastAsia" w:hAnsi="宋体" w:cs="黑体"/>
          <w:color w:val="auto"/>
          <w:highlight w:val="none"/>
        </w:rPr>
        <w:t>义务</w:t>
      </w:r>
      <w:bookmarkEnd w:id="423"/>
      <w:bookmarkEnd w:id="424"/>
    </w:p>
    <w:p w14:paraId="6AF1C491">
      <w:pPr>
        <w:spacing w:line="360" w:lineRule="auto"/>
        <w:ind w:firstLine="420" w:firstLineChars="200"/>
        <w:jc w:val="left"/>
        <w:rPr>
          <w:rFonts w:hint="eastAsia" w:hAnsi="宋体" w:cs="宋体"/>
          <w:color w:val="auto"/>
          <w:highlight w:val="none"/>
        </w:rPr>
      </w:pPr>
      <w:r>
        <w:rPr>
          <w:rFonts w:hint="eastAsia" w:hAnsi="宋体" w:cs="宋体"/>
          <w:color w:val="auto"/>
          <w:kern w:val="0"/>
          <w:highlight w:val="none"/>
        </w:rPr>
        <w:t>关于变更保险合同时的通知义务的约定：</w:t>
      </w:r>
      <w:r>
        <w:rPr>
          <w:color w:val="auto"/>
          <w:highlight w:val="none"/>
          <w:u w:val="single"/>
        </w:rPr>
        <w:t xml:space="preserve">   由承包人负责，变更后承包人于7 天内通知相关单位 </w:t>
      </w:r>
      <w:r>
        <w:rPr>
          <w:rFonts w:hint="eastAsia" w:hAnsi="宋体" w:cs="宋体"/>
          <w:color w:val="auto"/>
          <w:highlight w:val="none"/>
        </w:rPr>
        <w:t>。</w:t>
      </w:r>
    </w:p>
    <w:p w14:paraId="126711D9">
      <w:pPr>
        <w:pStyle w:val="4"/>
        <w:outlineLvl w:val="2"/>
        <w:rPr>
          <w:rFonts w:hint="eastAsia"/>
          <w:color w:val="auto"/>
          <w:highlight w:val="none"/>
        </w:rPr>
      </w:pPr>
      <w:bookmarkStart w:id="425" w:name="_Toc17775"/>
      <w:r>
        <w:rPr>
          <w:rFonts w:hint="eastAsia"/>
          <w:color w:val="auto"/>
          <w:highlight w:val="none"/>
        </w:rPr>
        <w:t>19.</w:t>
      </w:r>
      <w:r>
        <w:rPr>
          <w:rFonts w:hint="eastAsia" w:ascii="Times New Roman" w:hAnsi="宋体" w:eastAsia="宋体" w:cs="黑体"/>
          <w:color w:val="auto"/>
          <w:highlight w:val="none"/>
        </w:rPr>
        <w:t>索赔</w:t>
      </w:r>
      <w:bookmarkEnd w:id="425"/>
    </w:p>
    <w:p w14:paraId="437C0756">
      <w:pPr>
        <w:pStyle w:val="5"/>
        <w:jc w:val="left"/>
        <w:rPr>
          <w:rFonts w:hint="default" w:ascii="Times New Roman" w:hAnsi="Times New Roman" w:eastAsia="宋体" w:cs="Times New Roman"/>
          <w:b/>
          <w:bCs/>
          <w:color w:val="auto"/>
          <w:sz w:val="32"/>
          <w:szCs w:val="32"/>
          <w:highlight w:val="none"/>
          <w:lang w:val="en-US"/>
        </w:rPr>
      </w:pPr>
      <w:bookmarkStart w:id="426" w:name="_Toc874"/>
      <w:bookmarkStart w:id="427" w:name="_Toc2598"/>
      <w:r>
        <w:rPr>
          <w:rFonts w:hint="default" w:ascii="Times New Roman" w:hAnsi="Times New Roman" w:eastAsia="宋体" w:cs="Times New Roman"/>
          <w:b/>
          <w:bCs/>
          <w:color w:val="auto"/>
          <w:sz w:val="32"/>
          <w:szCs w:val="32"/>
          <w:highlight w:val="none"/>
          <w:lang w:val="en-US"/>
        </w:rPr>
        <w:t>19.</w:t>
      </w:r>
      <w:r>
        <w:rPr>
          <w:rFonts w:hint="default" w:ascii="Times New Roman" w:hAnsi="Times New Roman" w:eastAsia="宋体" w:cs="Times New Roman"/>
          <w:b/>
          <w:bCs/>
          <w:color w:val="auto"/>
          <w:sz w:val="32"/>
          <w:szCs w:val="32"/>
          <w:highlight w:val="none"/>
          <w:lang w:val="en-US" w:eastAsia="zh-CN"/>
        </w:rPr>
        <w:t>6</w:t>
      </w:r>
      <w:r>
        <w:rPr>
          <w:rFonts w:hint="default" w:ascii="Times New Roman" w:hAnsi="Times New Roman" w:eastAsia="宋体" w:cs="Times New Roman"/>
          <w:b/>
          <w:bCs/>
          <w:color w:val="auto"/>
          <w:sz w:val="32"/>
          <w:szCs w:val="32"/>
          <w:highlight w:val="none"/>
          <w:lang w:val="en-US"/>
        </w:rPr>
        <w:t xml:space="preserve"> </w:t>
      </w:r>
      <w:r>
        <w:rPr>
          <w:rFonts w:hint="default" w:ascii="Arial" w:hAnsi="宋体" w:eastAsia="黑体" w:cs="黑体"/>
          <w:b w:val="0"/>
          <w:bCs w:val="0"/>
          <w:color w:val="auto"/>
          <w:sz w:val="28"/>
          <w:szCs w:val="20"/>
          <w:highlight w:val="none"/>
          <w:lang w:val="en-US"/>
        </w:rPr>
        <w:t>索赔</w:t>
      </w:r>
      <w:r>
        <w:rPr>
          <w:rFonts w:hint="default" w:ascii="Times New Roman" w:hAnsi="Times New Roman" w:eastAsia="宋体" w:cs="Times New Roman"/>
          <w:b/>
          <w:bCs/>
          <w:color w:val="auto"/>
          <w:sz w:val="32"/>
          <w:szCs w:val="32"/>
          <w:highlight w:val="none"/>
          <w:lang w:val="en-US"/>
        </w:rPr>
        <w:t>事项确定</w:t>
      </w:r>
      <w:bookmarkEnd w:id="426"/>
      <w:bookmarkEnd w:id="427"/>
    </w:p>
    <w:p w14:paraId="2BBD22C1">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.1 按本合同约定计算工期延误</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或延长</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及其引起的索赔费用时，索赔工期所对应的工作应是关键线路上的工作，或索赔事件引起关键线路改变的工作，发包人按本合同约定批准给承包人的工期延长为合同工期延长的时间。发包人对承包人的所有工期延误</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或延长</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的索赔费用应对每一索赔事件进行独立评估，不包括前期发生的工期延误</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或延长</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对后期进行的工程造成相应延误</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或延长</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 xml:space="preserve"> 的费用索赔。</w:t>
      </w:r>
    </w:p>
    <w:p w14:paraId="4C8F4409">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.2 当发生工期延误事件时，发承包双方根据批准的施工进度计划，确定该事件是否发生在关键线路上，以及是否引发关键线路上的工期延误，并可按以下约定计算索赔的工期：</w:t>
      </w:r>
    </w:p>
    <w:p w14:paraId="0F456246">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（1）延误事件为关键线路上的工作，则延误的时间为索赔的工期；</w:t>
      </w:r>
    </w:p>
    <w:p w14:paraId="619B0664">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（2）延误事件为非关键线路上的工作，当该工作由于延误超过总时差而成为关键工作时，其延误时间与总时差的差值为索赔的工期；</w:t>
      </w:r>
    </w:p>
    <w:p w14:paraId="0BD76A6F">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（3）工期延误后事件仍为非关键线路上的工作，则不发生工期索赔。</w:t>
      </w:r>
    </w:p>
    <w:p w14:paraId="4CF71DF2">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.3 因非承包人的原因发生下列事件，给承包人造成经济损失及费用增加和</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工期延误的，承包人可按蒙受的经济损失及费用增加和</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受影响延误的工期，提出一项或多项索赔：</w:t>
      </w:r>
    </w:p>
    <w:p w14:paraId="79C669FA">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（1）因停工、待工、降效、工期延长等造成的人工、材料、施工机具、水电消耗等的费用损失，政府主管部门要求进行的暂停施工按本合同工19.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.7 条约定执行；</w:t>
      </w:r>
    </w:p>
    <w:p w14:paraId="71D2DE5E">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（2）因合同工期调整所造成的人工费、材料费、施工机具费物价变化增减的直接费用，但按本合同第11.2.4条约定调整的除外；</w:t>
      </w:r>
    </w:p>
    <w:p w14:paraId="7CE087EF">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（3）因停工、复工、维护施工现场等发生（包括建设、使用、拆除）的必要措施费用；</w:t>
      </w:r>
    </w:p>
    <w:p w14:paraId="731588E6">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（4）因返工、拆改与修复等发生的直接费用，以及报废（损）的材料的直接损失；</w:t>
      </w:r>
    </w:p>
    <w:p w14:paraId="45017603">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（5）因额外增加的检查、检验、试验等发生的相关费用；</w:t>
      </w:r>
    </w:p>
    <w:p w14:paraId="34ABB8C3">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（6）因合同价款未能按合同约定支付引起的损失；</w:t>
      </w:r>
    </w:p>
    <w:p w14:paraId="1B107CC8">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（7）因发掘出文物、古迹以及具有地质研究或考古价值的遗迹、化石、钱币或物品造成的暂缓、间断施工或停工的影响；</w:t>
      </w:r>
    </w:p>
    <w:p w14:paraId="3DD289C9">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（8）承包人可举证的上述费用之外的其他损失；</w:t>
      </w:r>
    </w:p>
    <w:p w14:paraId="7FA4FEDB">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（9）因事件影响造成的延误（或延长）的合理工期。</w:t>
      </w:r>
    </w:p>
    <w:p w14:paraId="30656A2B">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.4  因发包人的原因发生下列事件，给承包人造成经济损失的，承包人除</w:t>
      </w:r>
      <w:r>
        <w:rPr>
          <w:rFonts w:hint="eastAsia" w:hAnsi="宋体" w:cs="宋体"/>
          <w:b w:val="0"/>
          <w:bCs w:val="0"/>
          <w:color w:val="auto"/>
          <w:sz w:val="21"/>
          <w:szCs w:val="21"/>
          <w:highlight w:val="none"/>
          <w:lang w:val="en-US" w:eastAsia="zh-CN"/>
        </w:rPr>
        <w:t>可</w:t>
      </w:r>
      <w:r>
        <w:rPr>
          <w:rFonts w:hint="eastAsia" w:ascii="Times New Roman" w:hAnsi="宋体" w:eastAsia="宋体" w:cs="宋体"/>
          <w:b w:val="0"/>
          <w:bCs w:val="0"/>
          <w:color w:val="auto"/>
          <w:sz w:val="21"/>
          <w:szCs w:val="21"/>
          <w:highlight w:val="none"/>
          <w:lang w:val="en-US"/>
        </w:rPr>
        <w:t>进行经济损失和（或）工期延误索赔外，可索赔利润。</w:t>
      </w:r>
    </w:p>
    <w:p w14:paraId="5F965FE4">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（1）发包人将合同中的某项工作改变为其他承包人负责完成；</w:t>
      </w:r>
    </w:p>
    <w:p w14:paraId="2E13E73A">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（2）发包人延迟提供图纸或施工场地；</w:t>
      </w:r>
    </w:p>
    <w:p w14:paraId="7972B5E9">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（3）发包人提供材料的质量不合格或延迟提供或改变交货地点等引起工程不合格；</w:t>
      </w:r>
    </w:p>
    <w:p w14:paraId="5306726D">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（4）发包人原因引起承包人测量放线错误、工程返工；</w:t>
      </w:r>
    </w:p>
    <w:p w14:paraId="32B37275">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（5）发包人提供的工程项目原始数据和基准资料错误；</w:t>
      </w:r>
    </w:p>
    <w:p w14:paraId="29F7D1AD">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（6）发包人对施工场地额外限制、未按时履约审批、干扰正常施工顺序等；</w:t>
      </w:r>
    </w:p>
    <w:p w14:paraId="1D09A361">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（7）发包人原因引起工期延误、暂停施工、工程暂停后无法按时复工；</w:t>
      </w:r>
    </w:p>
    <w:p w14:paraId="519ECBEB">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（8）发包人在工程竣工前提前占用工程；</w:t>
      </w:r>
    </w:p>
    <w:p w14:paraId="39F6B309">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（9）发包人原因导致工程试运行失败、缺陷责任期内因非承包人原因引起的缺陷或损坏的修复。</w:t>
      </w:r>
    </w:p>
    <w:p w14:paraId="1CF4E2F3">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.5 因发包人的原因引起下列事件给承包人造成经济损失和</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工期延长的，发包人应合理延长受影响的工期，并补偿给承包人造成的损失和</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直接费用，不包括利润：</w:t>
      </w:r>
    </w:p>
    <w:p w14:paraId="7B2F9F2B">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（1）按发包人或监理人的要求对材料和工程</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包括已覆盖的隐蔽工程</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进行重新检测、且检测结果质量合格引起的直接费用，以及修复受影响工程的费用；</w:t>
      </w:r>
    </w:p>
    <w:p w14:paraId="1E61884F">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（2）额外增加的检查、检验、试验等的直接费用；</w:t>
      </w:r>
    </w:p>
    <w:p w14:paraId="1937090B">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（3）工程试运行失败引起的直接费用；</w:t>
      </w:r>
    </w:p>
    <w:p w14:paraId="53060A64">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（4）其他情况的直接损失和</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费用。</w:t>
      </w:r>
    </w:p>
    <w:p w14:paraId="53BF2B56">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  除本合同约定发包人购买工程一切险及第三者责任险外，因不可抗力事件引起的人员伤亡、财产损失、费用增加和</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或</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工期延误等工程索赔，发承包双方应遵循下列原则承担相应损失及费用：</w:t>
      </w:r>
    </w:p>
    <w:p w14:paraId="225D3CAA">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（1）永久工程、已运至施工现场的材料的损坏及修复费用，以及因不可抗力事件引起施工场地内及工程损坏造成的第三方人员伤亡和财产损失应由发包人承担；</w:t>
      </w:r>
    </w:p>
    <w:p w14:paraId="2EDE730D">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（2）承包人施工机具的损坏及停工损失和措施项目的损坏、清理、修复费用，以及因承包人原因发生的第三方人员伤亡和财产损失应由承包人承担；</w:t>
      </w:r>
    </w:p>
    <w:p w14:paraId="6E5DC252">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（3）发包人和承包人应承担各自人员伤亡和本条第（1）款、第（2）款约定外的其他财产的损失；</w:t>
      </w:r>
    </w:p>
    <w:p w14:paraId="4738AAFA">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（4）因不可抗力引起暂停施工的，停工期间按照发包人要求照管、清理、修复工程的费用和发包人要求留驻施工现场必要的管理与保卫人员工资，以及按发包人要求留驻现场待工人员的工资应由发包人承担；</w:t>
      </w:r>
    </w:p>
    <w:p w14:paraId="3B63C208">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（5）因不可抗力影响承包人履行合同约定的义务，引起工期延误的，应当顺延工期，发包人要求赶工的，由此增加的赶工费用应由发包人承担；</w:t>
      </w:r>
    </w:p>
    <w:p w14:paraId="4DA1357D">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（6）其他情形按法律法规规定执行。</w:t>
      </w:r>
    </w:p>
    <w:p w14:paraId="294A8479">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.7  除本合同11.3条法律法规及政策性变化引起的价格调整，第19.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.6条第（4）款、第（5）款规定外，因发生具有不可抗力性质的下列例外事件引起工期延误的，受影响的工期应相应顺延，发承包双方应各自承担相应的损失：</w:t>
      </w:r>
    </w:p>
    <w:p w14:paraId="6CDBFE70">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（1）动乱和暴动等类似事件</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不包括工地现场发生的</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w:t>
      </w:r>
    </w:p>
    <w:p w14:paraId="6AB1D7EC">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（2）因国家及地方政府有关部门要求而</w:t>
      </w:r>
      <w:r>
        <w:rPr>
          <w:rFonts w:hint="eastAsia" w:hAnsi="宋体" w:cs="宋体"/>
          <w:b w:val="0"/>
          <w:bCs w:val="0"/>
          <w:color w:val="auto"/>
          <w:sz w:val="21"/>
          <w:szCs w:val="21"/>
          <w:highlight w:val="none"/>
          <w:lang w:val="en-US" w:eastAsia="zh-CN"/>
        </w:rPr>
        <w:t>必需的</w:t>
      </w:r>
      <w:r>
        <w:rPr>
          <w:rFonts w:hint="eastAsia" w:ascii="Times New Roman" w:hAnsi="宋体" w:eastAsia="宋体" w:cs="宋体"/>
          <w:b w:val="0"/>
          <w:bCs w:val="0"/>
          <w:color w:val="auto"/>
          <w:sz w:val="21"/>
          <w:szCs w:val="21"/>
          <w:highlight w:val="none"/>
          <w:lang w:val="en-US"/>
        </w:rPr>
        <w:t>停工、暂停（暂缓）施工、间断施工或区域性施工管控造成的影响；</w:t>
      </w:r>
    </w:p>
    <w:p w14:paraId="0DE94888">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（3）地方建设行政主管部门就安全、环保要求停止施工造成的影响；</w:t>
      </w:r>
    </w:p>
    <w:p w14:paraId="74B9329D">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（4）地方政府主管部门就健康卫生防疫管控要求停止施工造成的影响；</w:t>
      </w:r>
    </w:p>
    <w:p w14:paraId="3936F2A6">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.8  因发生不可抗力引起工期延长，且在延长工期内遭遇物价变化、法律法规及政策性变化的，所引起的影响费用按本合同11.2条、11.3条、19.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.3条的约定处理，调整受影响项目的合同价格。</w:t>
      </w:r>
    </w:p>
    <w:p w14:paraId="55E2357B">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.9  因发承包双方中的一方原因导致工期延误，且在延长的工期内遭遇不可抗力的，不可抗力事件产生的损失由责任方承担。发承包双方对工期延误均有责任，且在延长的工期内遭遇不可抗力的，按双方责任分担比例承担相应责任。</w:t>
      </w:r>
    </w:p>
    <w:p w14:paraId="58A226E0">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.10  本合同约定发包人负责购买工程一切险及第三者责任险，且保险范围包括相关的施工机具、人员伤亡，如发生本合同19.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 条约定的事件，发承包双方按下列原则承担相应损失和增加费用：</w:t>
      </w:r>
    </w:p>
    <w:p w14:paraId="567ABCF3">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（1）发包人按合同约定购买建筑工程一切险及第三者责任险的，承包人通过发包人按保险条款向保险人理赔本合同19.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.6条第（1）款～第（4）款约定的财产损失和增加的费用，保险规定免赔额部分的损失及费用和超出理赔部分的本合同19.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.6条第（2）款、第（3）款约定的损失及费用由发承包双方各自承担，超出理赔部分的本合同19.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 条第（1）款、第（4）款约定的损失及费用由发包人承担；</w:t>
      </w:r>
    </w:p>
    <w:p w14:paraId="0E92FF3F">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（2）发包人未按合同约定购买建筑工程一切险及第三者责任险或购买的保险未生效的，本合同19.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 条第（1）款和第（</w:t>
      </w:r>
      <w:r>
        <w:rPr>
          <w:rFonts w:hint="eastAsia" w:hAnsi="宋体" w:cs="宋体"/>
          <w:b w:val="0"/>
          <w:bCs w:val="0"/>
          <w:color w:val="auto"/>
          <w:sz w:val="21"/>
          <w:szCs w:val="21"/>
          <w:highlight w:val="none"/>
          <w:lang w:val="en-US" w:eastAsia="zh-CN"/>
        </w:rPr>
        <w:t>4</w:t>
      </w:r>
      <w:r>
        <w:rPr>
          <w:rFonts w:hint="eastAsia" w:ascii="Times New Roman" w:hAnsi="宋体" w:eastAsia="宋体" w:cs="宋体"/>
          <w:b w:val="0"/>
          <w:bCs w:val="0"/>
          <w:color w:val="auto"/>
          <w:sz w:val="21"/>
          <w:szCs w:val="21"/>
          <w:highlight w:val="none"/>
          <w:lang w:val="en-US"/>
        </w:rPr>
        <w:t>）款约定的损失及费用由发包人负责，按相关保险条款可以理赔的本合同19.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.6 条第（2）款、第（3）款约定的损失及费用由发包人承担，超出理赔的损失及费用由发承包双方各自承担。</w:t>
      </w:r>
    </w:p>
    <w:p w14:paraId="44DC56B5">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.11  因发生提前竣工</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赶工）事件引起的工程索赔，发承包双方可按下列原则分别承担相应费用，并调整合同价格和工期：</w:t>
      </w:r>
    </w:p>
    <w:p w14:paraId="5724766C">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（1）发包人要求合同工程提前竣工的，承包人应制定合理的加快工程进度的措施并修订进度计划，经发包人同意后实施，由此增加的提前竣工费用</w:t>
      </w:r>
      <w:r>
        <w:rPr>
          <w:rFonts w:hint="eastAsia" w:hAnsi="宋体" w:cs="宋体"/>
          <w:b w:val="0"/>
          <w:bCs w:val="0"/>
          <w:color w:val="auto"/>
          <w:sz w:val="21"/>
          <w:szCs w:val="21"/>
          <w:highlight w:val="none"/>
          <w:lang w:val="en-US" w:eastAsia="zh-CN"/>
        </w:rPr>
        <w:t>（</w:t>
      </w:r>
      <w:r>
        <w:rPr>
          <w:rFonts w:hint="eastAsia" w:ascii="Times New Roman" w:hAnsi="宋体" w:eastAsia="宋体" w:cs="宋体"/>
          <w:b w:val="0"/>
          <w:bCs w:val="0"/>
          <w:color w:val="auto"/>
          <w:sz w:val="21"/>
          <w:szCs w:val="21"/>
          <w:highlight w:val="none"/>
          <w:lang w:val="en-US"/>
        </w:rPr>
        <w:t>赶工费）由发包人承担；</w:t>
      </w:r>
    </w:p>
    <w:p w14:paraId="450EB9B6">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（2）非发包人要求，因承包人原因自行提前竣工的，应征得发包人的同意，由此增加的费用应由承包人承担。</w:t>
      </w:r>
    </w:p>
    <w:p w14:paraId="15DCC9CE">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 xml:space="preserve">.12  因承包人原因发生下列事件，引起工期延误和（或）给发包人造成经济损失的，发包人可根据工期受影响延误的时间和（或）经济损失，提出以下一项或多项索赔： </w:t>
      </w:r>
    </w:p>
    <w:p w14:paraId="0CC8FC61">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（1）承包人未尽承包义务、未按合同约定执行发包人的工程指令等引起发包人发生的额外费用或额外支出；</w:t>
      </w:r>
    </w:p>
    <w:p w14:paraId="6BF2B156">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（2）承包人未按合同要求正确履行对发包人提供材料、专业分包人的总承包服务造成发包人的损失；</w:t>
      </w:r>
    </w:p>
    <w:p w14:paraId="28C877CE">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（3）承包人责任事件造成的发包人向政府部门缴纳的罚款或向第三人的赔偿费用；</w:t>
      </w:r>
    </w:p>
    <w:p w14:paraId="003A3B18">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（4）承包人原因引起合同工程发生误期造成发包人的损失；</w:t>
      </w:r>
    </w:p>
    <w:p w14:paraId="7B7F6511">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（5）承包人完成的工程质量不符合合同约定标准引起发包人的损失；</w:t>
      </w:r>
    </w:p>
    <w:p w14:paraId="33EB2133">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（6）发包人可举证的上述费用之外的其他损失。</w:t>
      </w:r>
    </w:p>
    <w:p w14:paraId="4E63E28D">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.13  因承包人原因引起发包人的损失，发包人可以选择以下一项或多项方式获得补偿：</w:t>
      </w:r>
    </w:p>
    <w:p w14:paraId="40144481">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（1）延长质量缺陷保修期限；</w:t>
      </w:r>
    </w:p>
    <w:p w14:paraId="2E61AE1E">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（2）要求承包人支付受影响发生的额外费用；</w:t>
      </w:r>
    </w:p>
    <w:p w14:paraId="1EBDBCEA">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（3）要求承包人支付误期赔偿费；</w:t>
      </w:r>
    </w:p>
    <w:p w14:paraId="1A180D0C">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（4）要求承包人按合同的约定支付违约金。</w:t>
      </w:r>
    </w:p>
    <w:p w14:paraId="56549033">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.14  发承包双方均应采取措施尽量避免和减少因索赔事件导致的损失扩大，应采取措施的一方当事人不采取积极措施导致损失扩大的，应对扩大的损失承担责任。</w:t>
      </w:r>
    </w:p>
    <w:p w14:paraId="7F08FA4D">
      <w:pPr>
        <w:spacing w:line="400" w:lineRule="exact"/>
        <w:ind w:firstLine="420" w:firstLineChars="200"/>
        <w:jc w:val="left"/>
        <w:rPr>
          <w:rFonts w:ascii="Times New Roman" w:hAnsi="Times New Roman" w:cs="Times New Roman"/>
          <w:color w:val="auto"/>
          <w:szCs w:val="21"/>
          <w:highlight w:val="none"/>
          <w:shd w:val="clear" w:color="auto" w:fill="auto"/>
        </w:rPr>
      </w:pPr>
      <w:r>
        <w:rPr>
          <w:rFonts w:hint="default" w:ascii="Times New Roman" w:hAnsi="Times New Roman" w:cs="Times New Roman"/>
          <w:b w:val="0"/>
          <w:bCs w:val="0"/>
          <w:color w:val="auto"/>
          <w:szCs w:val="21"/>
          <w:highlight w:val="none"/>
          <w:shd w:val="clear" w:color="auto" w:fill="auto"/>
        </w:rPr>
        <w:t>1</w:t>
      </w:r>
      <w:r>
        <w:rPr>
          <w:rFonts w:hint="default" w:ascii="Times New Roman" w:hAnsi="Times New Roman" w:cs="Times New Roman"/>
          <w:b w:val="0"/>
          <w:color w:val="auto"/>
          <w:szCs w:val="21"/>
          <w:highlight w:val="none"/>
          <w:shd w:val="clear" w:color="auto" w:fill="auto"/>
          <w:lang w:val="en-US" w:eastAsia="zh-CN"/>
        </w:rPr>
        <w:t>9</w:t>
      </w:r>
      <w:r>
        <w:rPr>
          <w:rFonts w:hint="default" w:ascii="Times New Roman" w:hAnsi="Times New Roman" w:cs="Times New Roman"/>
          <w:b w:val="0"/>
          <w:color w:val="auto"/>
          <w:szCs w:val="21"/>
          <w:highlight w:val="none"/>
          <w:shd w:val="clear" w:color="auto" w:fill="auto"/>
        </w:rPr>
        <w:t>.</w:t>
      </w:r>
      <w:r>
        <w:rPr>
          <w:rFonts w:hint="eastAsia" w:ascii="Times New Roman" w:hAnsi="Times New Roman" w:cs="Times New Roman"/>
          <w:b w:val="0"/>
          <w:color w:val="auto"/>
          <w:szCs w:val="21"/>
          <w:highlight w:val="none"/>
          <w:shd w:val="clear" w:color="auto" w:fill="auto"/>
          <w:lang w:val="en-US" w:eastAsia="zh-CN"/>
        </w:rPr>
        <w:t>6</w:t>
      </w:r>
      <w:r>
        <w:rPr>
          <w:rFonts w:hint="default" w:ascii="Times New Roman" w:hAnsi="Times New Roman" w:cs="Times New Roman"/>
          <w:b w:val="0"/>
          <w:color w:val="auto"/>
          <w:szCs w:val="21"/>
          <w:highlight w:val="none"/>
          <w:shd w:val="clear" w:color="auto" w:fill="auto"/>
        </w:rPr>
        <w:t>.</w:t>
      </w:r>
      <w:r>
        <w:rPr>
          <w:rFonts w:hint="default" w:ascii="Times New Roman" w:hAnsi="Times New Roman" w:cs="Times New Roman"/>
          <w:b w:val="0"/>
          <w:color w:val="auto"/>
          <w:szCs w:val="21"/>
          <w:highlight w:val="none"/>
          <w:shd w:val="clear" w:color="auto" w:fill="auto"/>
          <w:lang w:val="en-US" w:eastAsia="zh-CN"/>
        </w:rPr>
        <w:t>15</w:t>
      </w:r>
      <w:r>
        <w:rPr>
          <w:rFonts w:hint="default" w:ascii="Times New Roman" w:hAnsi="Times New Roman" w:cs="Times New Roman"/>
          <w:color w:val="auto"/>
          <w:szCs w:val="21"/>
          <w:highlight w:val="none"/>
          <w:shd w:val="clear" w:color="auto" w:fill="auto"/>
        </w:rPr>
        <w:t xml:space="preserve">  在相关索赔事件发生后</w:t>
      </w:r>
      <w:r>
        <w:rPr>
          <w:rFonts w:hint="default" w:ascii="Times New Roman" w:hAnsi="Times New Roman" w:cs="Times New Roman"/>
          <w:color w:val="auto"/>
          <w:szCs w:val="21"/>
          <w:highlight w:val="none"/>
          <w:shd w:val="clear" w:color="auto" w:fill="auto"/>
          <w:lang w:eastAsia="zh-CN"/>
        </w:rPr>
        <w:t>，</w:t>
      </w:r>
      <w:r>
        <w:rPr>
          <w:rFonts w:hint="default" w:ascii="Times New Roman" w:hAnsi="Times New Roman" w:cs="Times New Roman"/>
          <w:color w:val="auto"/>
          <w:szCs w:val="21"/>
          <w:highlight w:val="none"/>
          <w:shd w:val="clear" w:color="auto" w:fill="auto"/>
        </w:rPr>
        <w:t>发承包双方应及时就调整的工期和索赔的费用及时进行确认签署</w:t>
      </w:r>
      <w:r>
        <w:rPr>
          <w:rFonts w:hint="default" w:ascii="Times New Roman" w:hAnsi="Times New Roman" w:cs="Times New Roman"/>
          <w:color w:val="auto"/>
          <w:szCs w:val="21"/>
          <w:highlight w:val="none"/>
          <w:shd w:val="clear" w:color="auto" w:fill="auto"/>
          <w:lang w:eastAsia="zh-CN"/>
        </w:rPr>
        <w:t>，</w:t>
      </w:r>
      <w:r>
        <w:rPr>
          <w:rFonts w:hint="default" w:ascii="Times New Roman" w:hAnsi="Times New Roman" w:cs="Times New Roman"/>
          <w:color w:val="auto"/>
          <w:szCs w:val="21"/>
          <w:highlight w:val="none"/>
          <w:shd w:val="clear" w:color="auto" w:fill="auto"/>
        </w:rPr>
        <w:t>并应作为工程进度款和工程结算的依据。</w:t>
      </w:r>
    </w:p>
    <w:p w14:paraId="158E8AE6">
      <w:pPr>
        <w:spacing w:line="400" w:lineRule="exact"/>
        <w:ind w:firstLine="0" w:firstLineChars="0"/>
        <w:jc w:val="left"/>
        <w:outlineLvl w:val="9"/>
        <w:rPr>
          <w:rFonts w:hint="eastAsia" w:ascii="Times New Roman" w:hAnsi="宋体" w:eastAsia="宋体" w:cs="宋体"/>
          <w:b w:val="0"/>
          <w:bCs w:val="0"/>
          <w:color w:val="auto"/>
          <w:sz w:val="21"/>
          <w:szCs w:val="21"/>
          <w:highlight w:val="none"/>
          <w:lang w:val="en-US"/>
        </w:rPr>
      </w:pPr>
      <w:r>
        <w:rPr>
          <w:rFonts w:hint="eastAsia" w:eastAsia="宋体" w:cs="Times New Roman"/>
          <w:b w:val="0"/>
          <w:bCs w:val="0"/>
          <w:color w:val="auto"/>
          <w:szCs w:val="21"/>
          <w:highlight w:val="none"/>
          <w:shd w:val="clear" w:color="auto" w:fill="auto"/>
          <w:lang w:val="en-US" w:eastAsia="zh-CN"/>
        </w:rPr>
        <w:t xml:space="preserve">    </w:t>
      </w:r>
      <w:r>
        <w:rPr>
          <w:rFonts w:hint="default" w:ascii="Times New Roman" w:hAnsi="Times New Roman" w:cs="Times New Roman"/>
          <w:b w:val="0"/>
          <w:bCs w:val="0"/>
          <w:color w:val="auto"/>
          <w:szCs w:val="21"/>
          <w:highlight w:val="none"/>
          <w:shd w:val="clear" w:color="auto" w:fill="auto"/>
        </w:rPr>
        <w:t>1</w:t>
      </w:r>
      <w:r>
        <w:rPr>
          <w:rFonts w:hint="eastAsia" w:eastAsia="宋体" w:cs="Times New Roman"/>
          <w:b w:val="0"/>
          <w:color w:val="auto"/>
          <w:szCs w:val="21"/>
          <w:highlight w:val="none"/>
          <w:shd w:val="clear" w:color="auto" w:fill="auto"/>
          <w:lang w:eastAsia="zh-CN"/>
        </w:rPr>
        <w:t>9</w:t>
      </w:r>
      <w:r>
        <w:rPr>
          <w:rFonts w:hint="default" w:ascii="Times New Roman" w:hAnsi="Times New Roman" w:cs="Times New Roman"/>
          <w:b w:val="0"/>
          <w:color w:val="auto"/>
          <w:szCs w:val="21"/>
          <w:highlight w:val="none"/>
          <w:shd w:val="clear" w:color="auto" w:fill="auto"/>
        </w:rPr>
        <w:t>.</w:t>
      </w:r>
      <w:r>
        <w:rPr>
          <w:rFonts w:hint="eastAsia" w:eastAsia="宋体" w:cs="Times New Roman"/>
          <w:b w:val="0"/>
          <w:color w:val="auto"/>
          <w:szCs w:val="21"/>
          <w:highlight w:val="none"/>
          <w:shd w:val="clear" w:color="auto" w:fill="auto"/>
          <w:lang w:val="en-US" w:eastAsia="zh-CN"/>
        </w:rPr>
        <w:t>6</w:t>
      </w:r>
      <w:r>
        <w:rPr>
          <w:rFonts w:hint="default" w:ascii="Times New Roman" w:hAnsi="Times New Roman" w:cs="Times New Roman"/>
          <w:b w:val="0"/>
          <w:color w:val="auto"/>
          <w:szCs w:val="21"/>
          <w:highlight w:val="none"/>
          <w:shd w:val="clear" w:color="auto" w:fill="auto"/>
        </w:rPr>
        <w:t>.</w:t>
      </w:r>
      <w:r>
        <w:rPr>
          <w:rFonts w:hint="eastAsia" w:eastAsia="宋体" w:cs="Times New Roman"/>
          <w:b w:val="0"/>
          <w:color w:val="auto"/>
          <w:szCs w:val="21"/>
          <w:highlight w:val="none"/>
          <w:shd w:val="clear" w:color="auto" w:fill="auto"/>
          <w:lang w:val="en-US" w:eastAsia="zh-CN"/>
        </w:rPr>
        <w:t>16</w:t>
      </w:r>
      <w:r>
        <w:rPr>
          <w:rFonts w:hint="default" w:ascii="Times New Roman" w:hAnsi="Times New Roman" w:cs="Times New Roman"/>
          <w:color w:val="auto"/>
          <w:szCs w:val="21"/>
          <w:highlight w:val="none"/>
          <w:shd w:val="clear" w:color="auto" w:fill="auto"/>
        </w:rPr>
        <w:t xml:space="preserve">  在发承包双方已按合同约定完成了工程竣工结算书签署确定及已办理了竣工结算确定后</w:t>
      </w:r>
      <w:r>
        <w:rPr>
          <w:rFonts w:hint="default" w:ascii="Times New Roman" w:hAnsi="Times New Roman" w:cs="Times New Roman"/>
          <w:color w:val="auto"/>
          <w:szCs w:val="21"/>
          <w:highlight w:val="none"/>
          <w:shd w:val="clear" w:color="auto" w:fill="auto"/>
          <w:lang w:eastAsia="zh-CN"/>
        </w:rPr>
        <w:t>，</w:t>
      </w:r>
      <w:r>
        <w:rPr>
          <w:rFonts w:hint="default" w:ascii="Times New Roman" w:hAnsi="Times New Roman" w:cs="Times New Roman"/>
          <w:color w:val="auto"/>
          <w:szCs w:val="21"/>
          <w:highlight w:val="none"/>
          <w:shd w:val="clear" w:color="auto" w:fill="auto"/>
        </w:rPr>
        <w:t>双方应无权再向对方提出关于竣工结算前所发生事件的工程索赔。</w:t>
      </w:r>
    </w:p>
    <w:p w14:paraId="385B46F1">
      <w:pPr>
        <w:spacing w:line="360" w:lineRule="auto"/>
        <w:ind w:firstLine="420" w:firstLineChars="200"/>
        <w:outlineLvl w:val="9"/>
        <w:rPr>
          <w:rFonts w:hint="eastAsia" w:ascii="Times New Roman" w:hAnsi="宋体" w:eastAsia="宋体" w:cs="宋体"/>
          <w:b w:val="0"/>
          <w:bCs w:val="0"/>
          <w:color w:val="auto"/>
          <w:sz w:val="21"/>
          <w:szCs w:val="21"/>
          <w:highlight w:val="none"/>
          <w:lang w:val="en-US"/>
        </w:rPr>
      </w:pPr>
      <w:r>
        <w:rPr>
          <w:rFonts w:hint="eastAsia" w:ascii="Times New Roman" w:hAnsi="宋体" w:eastAsia="宋体" w:cs="宋体"/>
          <w:b w:val="0"/>
          <w:bCs w:val="0"/>
          <w:color w:val="auto"/>
          <w:sz w:val="21"/>
          <w:szCs w:val="21"/>
          <w:highlight w:val="none"/>
          <w:lang w:val="en-US"/>
        </w:rPr>
        <w:t>19.</w:t>
      </w:r>
      <w:r>
        <w:rPr>
          <w:rFonts w:hint="eastAsia" w:ascii="Times New Roman" w:hAnsi="宋体" w:eastAsia="宋体" w:cs="宋体"/>
          <w:b w:val="0"/>
          <w:bCs w:val="0"/>
          <w:color w:val="auto"/>
          <w:sz w:val="21"/>
          <w:szCs w:val="21"/>
          <w:highlight w:val="none"/>
          <w:lang w:val="en-US" w:eastAsia="zh-CN"/>
        </w:rPr>
        <w:t>6</w:t>
      </w:r>
      <w:r>
        <w:rPr>
          <w:rFonts w:hint="eastAsia" w:ascii="Times New Roman" w:hAnsi="宋体" w:eastAsia="宋体" w:cs="宋体"/>
          <w:b w:val="0"/>
          <w:bCs w:val="0"/>
          <w:color w:val="auto"/>
          <w:sz w:val="21"/>
          <w:szCs w:val="21"/>
          <w:highlight w:val="none"/>
          <w:lang w:val="en-US"/>
        </w:rPr>
        <w:t>.1</w:t>
      </w:r>
      <w:r>
        <w:rPr>
          <w:rFonts w:hint="eastAsia" w:hAnsi="宋体" w:cs="宋体"/>
          <w:b w:val="0"/>
          <w:bCs w:val="0"/>
          <w:color w:val="auto"/>
          <w:sz w:val="21"/>
          <w:szCs w:val="21"/>
          <w:highlight w:val="none"/>
          <w:lang w:val="en-US" w:eastAsia="zh-CN"/>
        </w:rPr>
        <w:t>7</w:t>
      </w:r>
      <w:r>
        <w:rPr>
          <w:rFonts w:hint="eastAsia" w:ascii="Times New Roman" w:hAnsi="宋体" w:eastAsia="宋体" w:cs="宋体"/>
          <w:b w:val="0"/>
          <w:bCs w:val="0"/>
          <w:color w:val="auto"/>
          <w:sz w:val="21"/>
          <w:szCs w:val="21"/>
          <w:highlight w:val="none"/>
          <w:lang w:val="en-US"/>
        </w:rPr>
        <w:t xml:space="preserve">  发承包双方宜通过协商方式解决工程索赔，经协商不能达成一致意见的，可按本合同第20条争议解决的约定执行，引起合同解除的，按本合同第</w:t>
      </w:r>
      <w:r>
        <w:rPr>
          <w:rFonts w:hint="eastAsia" w:ascii="Times New Roman" w:hAnsi="宋体" w:eastAsia="宋体" w:cs="宋体"/>
          <w:b w:val="0"/>
          <w:bCs w:val="0"/>
          <w:color w:val="auto"/>
          <w:sz w:val="21"/>
          <w:szCs w:val="21"/>
          <w:highlight w:val="none"/>
          <w:lang w:val="en-US" w:eastAsia="zh-CN"/>
        </w:rPr>
        <w:t>16</w:t>
      </w:r>
      <w:r>
        <w:rPr>
          <w:rFonts w:hint="eastAsia" w:ascii="Times New Roman" w:hAnsi="宋体" w:eastAsia="宋体" w:cs="宋体"/>
          <w:b w:val="0"/>
          <w:bCs w:val="0"/>
          <w:color w:val="auto"/>
          <w:sz w:val="21"/>
          <w:szCs w:val="21"/>
          <w:highlight w:val="none"/>
          <w:lang w:val="en-US"/>
        </w:rPr>
        <w:t>条</w:t>
      </w:r>
      <w:r>
        <w:rPr>
          <w:rFonts w:hint="eastAsia" w:hAnsi="宋体" w:cs="宋体"/>
          <w:b w:val="0"/>
          <w:bCs w:val="0"/>
          <w:strike w:val="0"/>
          <w:color w:val="auto"/>
          <w:sz w:val="21"/>
          <w:szCs w:val="21"/>
          <w:highlight w:val="none"/>
          <w:lang w:val="en-US" w:eastAsia="zh-CN"/>
        </w:rPr>
        <w:t>解除合同相关</w:t>
      </w:r>
      <w:r>
        <w:rPr>
          <w:rFonts w:hint="eastAsia" w:ascii="Times New Roman" w:hAnsi="宋体" w:eastAsia="宋体" w:cs="宋体"/>
          <w:b w:val="0"/>
          <w:bCs w:val="0"/>
          <w:color w:val="auto"/>
          <w:sz w:val="21"/>
          <w:szCs w:val="21"/>
          <w:highlight w:val="none"/>
          <w:lang w:val="en-US"/>
        </w:rPr>
        <w:t>的约定处理。</w:t>
      </w:r>
    </w:p>
    <w:p w14:paraId="64418DF6">
      <w:pPr>
        <w:pStyle w:val="33"/>
        <w:pBdr>
          <w:top w:val="none" w:color="auto" w:sz="0" w:space="0"/>
          <w:left w:val="none" w:color="auto" w:sz="0" w:space="0"/>
          <w:bottom w:val="none" w:color="auto" w:sz="0" w:space="1"/>
          <w:right w:val="none" w:color="auto" w:sz="0" w:space="0"/>
          <w:between w:val="none" w:color="auto" w:sz="0" w:space="0"/>
        </w:pBdr>
        <w:rPr>
          <w:color w:val="auto"/>
          <w:highlight w:val="none"/>
        </w:rPr>
      </w:pPr>
    </w:p>
    <w:p w14:paraId="637FB339">
      <w:pPr>
        <w:pStyle w:val="4"/>
        <w:outlineLvl w:val="2"/>
        <w:rPr>
          <w:color w:val="auto"/>
          <w:highlight w:val="none"/>
        </w:rPr>
      </w:pPr>
      <w:bookmarkStart w:id="428" w:name="_Toc20588"/>
      <w:r>
        <w:rPr>
          <w:color w:val="auto"/>
          <w:highlight w:val="none"/>
        </w:rPr>
        <w:t xml:space="preserve">20. </w:t>
      </w:r>
      <w:r>
        <w:rPr>
          <w:rFonts w:hint="eastAsia" w:hAnsi="宋体" w:cs="黑体"/>
          <w:color w:val="auto"/>
          <w:highlight w:val="none"/>
        </w:rPr>
        <w:t>争议解决</w:t>
      </w:r>
      <w:bookmarkEnd w:id="428"/>
    </w:p>
    <w:p w14:paraId="741E51CB">
      <w:pPr>
        <w:pStyle w:val="5"/>
        <w:jc w:val="left"/>
        <w:rPr>
          <w:color w:val="auto"/>
          <w:highlight w:val="none"/>
        </w:rPr>
      </w:pPr>
      <w:bookmarkStart w:id="429" w:name="_Toc28101"/>
      <w:bookmarkStart w:id="430" w:name="_Toc17992"/>
      <w:r>
        <w:rPr>
          <w:color w:val="auto"/>
          <w:highlight w:val="none"/>
        </w:rPr>
        <w:t xml:space="preserve">20.3 </w:t>
      </w:r>
      <w:r>
        <w:rPr>
          <w:rFonts w:hint="eastAsia" w:hAnsi="宋体" w:cs="黑体"/>
          <w:color w:val="auto"/>
          <w:highlight w:val="none"/>
        </w:rPr>
        <w:t>争议评审</w:t>
      </w:r>
      <w:bookmarkEnd w:id="429"/>
      <w:bookmarkEnd w:id="430"/>
    </w:p>
    <w:p w14:paraId="55C06E05">
      <w:pPr>
        <w:spacing w:line="360" w:lineRule="auto"/>
        <w:ind w:left="149" w:leftChars="71" w:firstLine="315" w:firstLineChars="150"/>
        <w:jc w:val="left"/>
        <w:rPr>
          <w:color w:val="auto"/>
          <w:highlight w:val="none"/>
          <w:u w:val="single"/>
        </w:rPr>
      </w:pPr>
      <w:r>
        <w:rPr>
          <w:rFonts w:hint="eastAsia" w:hAnsi="宋体" w:cs="宋体"/>
          <w:color w:val="auto"/>
          <w:highlight w:val="none"/>
        </w:rPr>
        <w:t>合同当事人是否同意将工程争议提交争议评审小组决定：</w:t>
      </w:r>
      <w:r>
        <w:rPr>
          <w:color w:val="auto"/>
          <w:highlight w:val="none"/>
          <w:u w:val="single"/>
        </w:rPr>
        <w:t xml:space="preserve">      </w:t>
      </w:r>
      <w:r>
        <w:rPr>
          <w:rFonts w:ascii="Arial" w:hAnsi="Arial" w:cs="Arial"/>
          <w:color w:val="000000"/>
          <w:highlight w:val="none"/>
          <w:u w:val="single"/>
        </w:rPr>
        <w:t>不同意</w:t>
      </w:r>
      <w:r>
        <w:rPr>
          <w:color w:val="auto"/>
          <w:highlight w:val="none"/>
          <w:u w:val="single"/>
        </w:rPr>
        <w:t xml:space="preserve">    </w:t>
      </w:r>
      <w:r>
        <w:rPr>
          <w:rFonts w:hint="eastAsia" w:hAnsi="宋体" w:cs="宋体"/>
          <w:color w:val="auto"/>
          <w:highlight w:val="none"/>
        </w:rPr>
        <w:t>。</w:t>
      </w:r>
    </w:p>
    <w:p w14:paraId="494D9798">
      <w:pPr>
        <w:autoSpaceDE w:val="0"/>
        <w:autoSpaceDN w:val="0"/>
        <w:adjustRightInd w:val="0"/>
        <w:spacing w:line="360" w:lineRule="auto"/>
        <w:ind w:firstLine="420" w:firstLineChars="200"/>
        <w:jc w:val="left"/>
        <w:outlineLvl w:val="9"/>
        <w:rPr>
          <w:color w:val="auto"/>
          <w:highlight w:val="none"/>
        </w:rPr>
      </w:pPr>
      <w:r>
        <w:rPr>
          <w:color w:val="auto"/>
          <w:highlight w:val="none"/>
        </w:rPr>
        <w:t xml:space="preserve">20.3.1 </w:t>
      </w:r>
      <w:r>
        <w:rPr>
          <w:rFonts w:hint="eastAsia" w:hAnsi="宋体" w:cs="宋体"/>
          <w:color w:val="auto"/>
          <w:highlight w:val="none"/>
        </w:rPr>
        <w:t>争议评审小组的确定</w:t>
      </w:r>
    </w:p>
    <w:p w14:paraId="3D812326">
      <w:pPr>
        <w:spacing w:line="360" w:lineRule="auto"/>
        <w:ind w:firstLine="420" w:firstLineChars="200"/>
        <w:jc w:val="left"/>
        <w:rPr>
          <w:color w:val="auto"/>
          <w:highlight w:val="none"/>
          <w:u w:val="single"/>
        </w:rPr>
      </w:pPr>
      <w:r>
        <w:rPr>
          <w:rFonts w:hint="eastAsia" w:hAnsi="宋体" w:cs="宋体"/>
          <w:color w:val="auto"/>
          <w:highlight w:val="none"/>
        </w:rPr>
        <w:t>争议评审小组成员的确定：</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0060CB90">
      <w:pPr>
        <w:spacing w:line="360" w:lineRule="auto"/>
        <w:ind w:firstLine="420" w:firstLineChars="200"/>
        <w:jc w:val="left"/>
        <w:rPr>
          <w:color w:val="auto"/>
          <w:highlight w:val="none"/>
        </w:rPr>
      </w:pPr>
      <w:r>
        <w:rPr>
          <w:rFonts w:hint="eastAsia" w:hAnsi="宋体" w:cs="宋体"/>
          <w:color w:val="auto"/>
          <w:highlight w:val="none"/>
        </w:rPr>
        <w:t>选定争议评审员的期限：</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63344B8A">
      <w:pPr>
        <w:spacing w:line="360" w:lineRule="auto"/>
        <w:ind w:firstLine="420" w:firstLineChars="200"/>
        <w:jc w:val="left"/>
        <w:rPr>
          <w:color w:val="auto"/>
          <w:highlight w:val="none"/>
        </w:rPr>
      </w:pPr>
      <w:r>
        <w:rPr>
          <w:rFonts w:hint="eastAsia" w:hAnsi="宋体" w:cs="宋体"/>
          <w:color w:val="auto"/>
          <w:highlight w:val="none"/>
        </w:rPr>
        <w:t>争议评审小组成员的报酬承担方式：</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08C88D8D">
      <w:pPr>
        <w:spacing w:line="360" w:lineRule="auto"/>
        <w:ind w:firstLine="420" w:firstLineChars="200"/>
        <w:jc w:val="left"/>
        <w:rPr>
          <w:color w:val="auto"/>
          <w:highlight w:val="none"/>
        </w:rPr>
      </w:pPr>
      <w:r>
        <w:rPr>
          <w:rFonts w:hint="eastAsia" w:hAnsi="宋体" w:cs="宋体"/>
          <w:color w:val="auto"/>
          <w:highlight w:val="none"/>
        </w:rPr>
        <w:t>其他事项的约定：</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46516EB0">
      <w:pPr>
        <w:autoSpaceDE w:val="0"/>
        <w:autoSpaceDN w:val="0"/>
        <w:adjustRightInd w:val="0"/>
        <w:spacing w:line="360" w:lineRule="auto"/>
        <w:ind w:firstLine="420" w:firstLineChars="200"/>
        <w:jc w:val="left"/>
        <w:rPr>
          <w:color w:val="auto"/>
          <w:kern w:val="0"/>
          <w:highlight w:val="none"/>
        </w:rPr>
      </w:pPr>
      <w:r>
        <w:rPr>
          <w:color w:val="auto"/>
          <w:kern w:val="0"/>
          <w:highlight w:val="none"/>
        </w:rPr>
        <w:t xml:space="preserve">20.3.2 </w:t>
      </w:r>
      <w:r>
        <w:rPr>
          <w:rFonts w:hint="eastAsia" w:hAnsi="宋体" w:cs="宋体"/>
          <w:color w:val="auto"/>
          <w:kern w:val="0"/>
          <w:highlight w:val="none"/>
        </w:rPr>
        <w:t>争议评审小组的决定</w:t>
      </w:r>
    </w:p>
    <w:p w14:paraId="60483B9C">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合同当事人关于本项的约定：</w:t>
      </w:r>
      <w:r>
        <w:rPr>
          <w:color w:val="auto"/>
          <w:highlight w:val="none"/>
          <w:u w:val="single"/>
        </w:rPr>
        <w:t xml:space="preserve">          </w:t>
      </w:r>
      <w:r>
        <w:rPr>
          <w:rFonts w:hint="eastAsia"/>
          <w:color w:val="auto"/>
          <w:highlight w:val="none"/>
          <w:u w:val="single"/>
          <w:lang w:val="en-US" w:eastAsia="zh-CN"/>
        </w:rPr>
        <w:t>/</w:t>
      </w:r>
      <w:r>
        <w:rPr>
          <w:color w:val="auto"/>
          <w:highlight w:val="none"/>
          <w:u w:val="single"/>
        </w:rPr>
        <w:t xml:space="preserve">                 </w:t>
      </w:r>
      <w:r>
        <w:rPr>
          <w:rFonts w:hint="eastAsia" w:hAnsi="宋体" w:cs="宋体"/>
          <w:color w:val="auto"/>
          <w:highlight w:val="none"/>
        </w:rPr>
        <w:t>。</w:t>
      </w:r>
    </w:p>
    <w:p w14:paraId="53B43524">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20.3.4 争议评审小组决定的效力</w:t>
      </w:r>
    </w:p>
    <w:p w14:paraId="6F41EC38">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合同当事人未签字确认争议评审小组作出的书面决定的，对双方无约束力，但双方在争议评审期间提交的证明材料、认可的事实可作为后续仲裁或诉讼的证据使用。</w:t>
      </w:r>
    </w:p>
    <w:p w14:paraId="5EE6B299">
      <w:pPr>
        <w:pStyle w:val="33"/>
        <w:pBdr>
          <w:top w:val="none" w:color="auto" w:sz="0" w:space="0"/>
          <w:left w:val="none" w:color="auto" w:sz="0" w:space="0"/>
          <w:bottom w:val="none" w:color="auto" w:sz="0" w:space="1"/>
          <w:right w:val="none" w:color="auto" w:sz="0" w:space="0"/>
          <w:between w:val="none" w:color="auto" w:sz="0" w:space="0"/>
        </w:pBdr>
        <w:rPr>
          <w:color w:val="auto"/>
          <w:highlight w:val="none"/>
        </w:rPr>
      </w:pPr>
    </w:p>
    <w:p w14:paraId="4C7B57FF">
      <w:pPr>
        <w:pStyle w:val="5"/>
        <w:jc w:val="left"/>
        <w:rPr>
          <w:color w:val="auto"/>
          <w:highlight w:val="none"/>
        </w:rPr>
      </w:pPr>
      <w:bookmarkStart w:id="431" w:name="_Toc31980"/>
      <w:bookmarkStart w:id="432" w:name="_Toc18668"/>
      <w:r>
        <w:rPr>
          <w:rFonts w:hint="eastAsia" w:ascii="Arial" w:hAnsi="宋体" w:cs="黑体"/>
          <w:color w:val="auto"/>
          <w:highlight w:val="none"/>
        </w:rPr>
        <w:t>20.4 仲裁或诉讼</w:t>
      </w:r>
      <w:bookmarkEnd w:id="431"/>
      <w:bookmarkEnd w:id="432"/>
    </w:p>
    <w:p w14:paraId="3812A7AB">
      <w:pPr>
        <w:spacing w:line="360" w:lineRule="auto"/>
        <w:ind w:firstLine="420" w:firstLineChars="200"/>
        <w:rPr>
          <w:color w:val="auto"/>
          <w:highlight w:val="none"/>
        </w:rPr>
      </w:pPr>
      <w:r>
        <w:rPr>
          <w:rFonts w:hint="eastAsia" w:hAnsi="宋体" w:cs="宋体"/>
          <w:color w:val="auto"/>
          <w:highlight w:val="none"/>
        </w:rPr>
        <w:t>因合同及合同有关事项发生的争议，</w:t>
      </w:r>
      <w:r>
        <w:rPr>
          <w:rFonts w:hint="eastAsia" w:hAnsi="宋体" w:cs="宋体"/>
          <w:color w:val="auto"/>
          <w:highlight w:val="none"/>
          <w:lang w:eastAsia="zh-CN"/>
        </w:rPr>
        <w:t>☑</w:t>
      </w:r>
      <w:r>
        <w:rPr>
          <w:rFonts w:hint="eastAsia" w:hAnsi="宋体" w:cs="宋体"/>
          <w:color w:val="auto"/>
          <w:highlight w:val="none"/>
        </w:rPr>
        <w:t>是 □否 同意先进行调解或争议评审，未达成一致后，按下列第</w:t>
      </w:r>
      <w:r>
        <w:rPr>
          <w:rFonts w:hint="eastAsia" w:hAnsi="宋体" w:cs="宋体"/>
          <w:color w:val="auto"/>
          <w:highlight w:val="none"/>
          <w:u w:val="single"/>
        </w:rPr>
        <w:t xml:space="preserve">  </w:t>
      </w:r>
      <w:r>
        <w:rPr>
          <w:rFonts w:hint="eastAsia" w:hAnsi="宋体" w:cs="宋体"/>
          <w:color w:val="auto"/>
          <w:highlight w:val="none"/>
          <w:u w:val="single"/>
          <w:lang w:val="en-US" w:eastAsia="zh-CN"/>
        </w:rPr>
        <w:t>(2)</w:t>
      </w:r>
      <w:r>
        <w:rPr>
          <w:rFonts w:hint="eastAsia" w:hAnsi="宋体" w:cs="宋体"/>
          <w:color w:val="auto"/>
          <w:highlight w:val="none"/>
          <w:u w:val="single"/>
        </w:rPr>
        <w:t xml:space="preserve">  </w:t>
      </w:r>
      <w:r>
        <w:rPr>
          <w:rFonts w:hint="eastAsia" w:hAnsi="宋体" w:cs="宋体"/>
          <w:color w:val="auto"/>
          <w:highlight w:val="none"/>
        </w:rPr>
        <w:t>种方式解决：</w:t>
      </w:r>
    </w:p>
    <w:p w14:paraId="7B553295">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（1）向</w:t>
      </w:r>
      <w:r>
        <w:rPr>
          <w:rFonts w:hint="eastAsia" w:hAnsi="宋体" w:cs="宋体"/>
          <w:color w:val="auto"/>
          <w:highlight w:val="none"/>
          <w:u w:val="single"/>
        </w:rPr>
        <w:t xml:space="preserve">                         </w:t>
      </w:r>
      <w:r>
        <w:rPr>
          <w:rFonts w:hint="eastAsia" w:hAnsi="宋体" w:cs="宋体"/>
          <w:color w:val="auto"/>
          <w:highlight w:val="none"/>
        </w:rPr>
        <w:t>仲裁委员会申请仲裁；</w:t>
      </w:r>
    </w:p>
    <w:p w14:paraId="450BFFD7">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1）对于未能友好协商，或未能通过调解或争议评审解决的争议，发包人或承包人任一方均有权提交给约定的仲裁委员会仲裁。</w:t>
      </w:r>
    </w:p>
    <w:p w14:paraId="0D59BA88">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2）仲裁可在工程竣工验收之前或之后进行，但发包人、监理人和承包人各自的义务不得因在工程实施期间进行仲裁而有所改变。如果仲裁是在终止合同的情况下进行， 则对合同工程应采取保护措施，措施费由败诉方承担。</w:t>
      </w:r>
    </w:p>
    <w:p w14:paraId="2BC84890">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3）仲裁裁决是终局性的并对发包人和承包人双方具有约束力。</w:t>
      </w:r>
    </w:p>
    <w:p w14:paraId="0B0CD350">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4）全部仲裁费用应由败诉方承担；或按仲裁委员会裁决的比例分担。</w:t>
      </w:r>
    </w:p>
    <w:p w14:paraId="762D4494">
      <w:pPr>
        <w:spacing w:line="360" w:lineRule="auto"/>
        <w:ind w:firstLine="420" w:firstLineChars="200"/>
        <w:jc w:val="left"/>
        <w:rPr>
          <w:rFonts w:hint="eastAsia" w:hAnsi="宋体" w:cs="宋体"/>
          <w:color w:val="auto"/>
          <w:highlight w:val="none"/>
        </w:rPr>
      </w:pPr>
      <w:r>
        <w:rPr>
          <w:rFonts w:hint="eastAsia" w:hAnsi="宋体" w:cs="宋体"/>
          <w:color w:val="auto"/>
          <w:highlight w:val="none"/>
        </w:rPr>
        <w:t>（</w:t>
      </w:r>
      <w:r>
        <w:rPr>
          <w:color w:val="auto"/>
          <w:highlight w:val="none"/>
        </w:rPr>
        <w:t>2</w:t>
      </w:r>
      <w:r>
        <w:rPr>
          <w:rFonts w:hint="eastAsia" w:hAnsi="宋体" w:cs="宋体"/>
          <w:color w:val="auto"/>
          <w:highlight w:val="none"/>
        </w:rPr>
        <w:t>）向</w:t>
      </w:r>
      <w:r>
        <w:rPr>
          <w:color w:val="auto"/>
          <w:highlight w:val="none"/>
          <w:u w:val="single"/>
        </w:rPr>
        <w:t xml:space="preserve">   </w:t>
      </w:r>
      <w:r>
        <w:rPr>
          <w:rFonts w:hint="eastAsia"/>
          <w:color w:val="auto"/>
          <w:highlight w:val="none"/>
          <w:u w:val="single"/>
          <w:lang w:eastAsia="zh-CN"/>
        </w:rPr>
        <w:t>项目所在地</w:t>
      </w:r>
      <w:r>
        <w:rPr>
          <w:color w:val="auto"/>
          <w:highlight w:val="none"/>
          <w:u w:val="single"/>
        </w:rPr>
        <w:t xml:space="preserve">  </w:t>
      </w:r>
      <w:r>
        <w:rPr>
          <w:rFonts w:hint="eastAsia" w:hAnsi="宋体" w:cs="宋体"/>
          <w:color w:val="auto"/>
          <w:highlight w:val="none"/>
        </w:rPr>
        <w:t>人民法院起诉。</w:t>
      </w:r>
    </w:p>
    <w:p w14:paraId="43E1C596">
      <w:pPr>
        <w:spacing w:line="360" w:lineRule="auto"/>
        <w:ind w:firstLine="420" w:firstLineChars="200"/>
        <w:jc w:val="left"/>
        <w:rPr>
          <w:rFonts w:hint="eastAsia" w:hAnsi="宋体" w:cs="宋体"/>
          <w:color w:val="auto"/>
          <w:highlight w:val="none"/>
        </w:rPr>
      </w:pPr>
    </w:p>
    <w:p w14:paraId="2D170810">
      <w:pPr>
        <w:spacing w:line="360" w:lineRule="auto"/>
        <w:ind w:firstLine="420" w:firstLineChars="200"/>
        <w:jc w:val="left"/>
        <w:rPr>
          <w:rFonts w:hint="eastAsia" w:hAnsi="宋体" w:cs="宋体"/>
          <w:color w:val="auto"/>
          <w:highlight w:val="none"/>
        </w:rPr>
      </w:pPr>
    </w:p>
    <w:p w14:paraId="33F00160">
      <w:pPr>
        <w:pStyle w:val="4"/>
        <w:outlineLvl w:val="2"/>
        <w:rPr>
          <w:rFonts w:eastAsia="黑体"/>
          <w:b/>
          <w:bCs/>
          <w:color w:val="auto"/>
          <w:sz w:val="28"/>
          <w:szCs w:val="28"/>
          <w:highlight w:val="none"/>
        </w:rPr>
      </w:pPr>
      <w:r>
        <w:rPr>
          <w:rFonts w:hint="eastAsia" w:ascii="Times New Roman" w:hAnsi="宋体" w:eastAsia="宋体" w:cs="黑体"/>
          <w:b/>
          <w:bCs/>
          <w:color w:val="auto"/>
          <w:sz w:val="32"/>
          <w:szCs w:val="32"/>
          <w:highlight w:val="none"/>
        </w:rPr>
        <w:t>附件</w:t>
      </w:r>
    </w:p>
    <w:p w14:paraId="4C055A22">
      <w:pPr>
        <w:spacing w:line="360" w:lineRule="auto"/>
        <w:jc w:val="left"/>
        <w:rPr>
          <w:rFonts w:hint="eastAsia" w:ascii="宋体" w:hAnsi="宋体" w:cs="宋体"/>
          <w:color w:val="auto"/>
          <w:highlight w:val="none"/>
        </w:rPr>
      </w:pPr>
      <w:r>
        <w:rPr>
          <w:rFonts w:hint="eastAsia" w:ascii="宋体" w:hAnsi="宋体" w:cs="宋体"/>
          <w:color w:val="auto"/>
          <w:highlight w:val="none"/>
        </w:rPr>
        <w:t>附件</w:t>
      </w:r>
      <w:r>
        <w:rPr>
          <w:rFonts w:ascii="宋体" w:hAnsi="宋体" w:cs="宋体"/>
          <w:color w:val="auto"/>
          <w:highlight w:val="none"/>
        </w:rPr>
        <w:t>1</w:t>
      </w:r>
      <w:r>
        <w:rPr>
          <w:rFonts w:hint="eastAsia" w:ascii="宋体" w:hAnsi="宋体" w:cs="宋体"/>
          <w:color w:val="auto"/>
          <w:highlight w:val="none"/>
        </w:rPr>
        <w:t>：承包人承揽工程项目一览表</w:t>
      </w:r>
    </w:p>
    <w:p w14:paraId="42678793">
      <w:pPr>
        <w:spacing w:line="360" w:lineRule="auto"/>
        <w:jc w:val="left"/>
        <w:rPr>
          <w:rFonts w:ascii="宋体" w:hAnsi="宋体" w:cs="宋体"/>
          <w:color w:val="auto"/>
          <w:highlight w:val="none"/>
        </w:rPr>
      </w:pPr>
      <w:r>
        <w:rPr>
          <w:rFonts w:hint="eastAsia" w:ascii="宋体" w:hAnsi="宋体" w:cs="宋体"/>
          <w:color w:val="auto"/>
          <w:highlight w:val="none"/>
        </w:rPr>
        <w:t>附件2：工程质量保修书</w:t>
      </w:r>
    </w:p>
    <w:p w14:paraId="3D6FEE82">
      <w:pPr>
        <w:spacing w:line="360" w:lineRule="auto"/>
        <w:jc w:val="left"/>
        <w:rPr>
          <w:rFonts w:hint="eastAsia" w:ascii="宋体" w:hAnsi="宋体" w:cs="宋体"/>
          <w:color w:val="auto"/>
          <w:highlight w:val="none"/>
        </w:rPr>
      </w:pPr>
      <w:r>
        <w:rPr>
          <w:rFonts w:ascii="宋体" w:hAnsi="宋体" w:cs="宋体"/>
          <w:color w:val="auto"/>
          <w:highlight w:val="none"/>
        </w:rPr>
        <w:t>附件</w:t>
      </w:r>
      <w:r>
        <w:rPr>
          <w:rFonts w:hint="eastAsia" w:ascii="宋体" w:hAnsi="宋体" w:cs="宋体"/>
          <w:color w:val="auto"/>
          <w:highlight w:val="none"/>
        </w:rPr>
        <w:t>3</w:t>
      </w:r>
      <w:r>
        <w:rPr>
          <w:rFonts w:ascii="宋体" w:hAnsi="宋体" w:cs="宋体"/>
          <w:color w:val="auto"/>
          <w:highlight w:val="none"/>
        </w:rPr>
        <w:t>：主要建设工程文件目录</w:t>
      </w:r>
    </w:p>
    <w:p w14:paraId="5D67B420">
      <w:pPr>
        <w:spacing w:line="360" w:lineRule="auto"/>
        <w:jc w:val="left"/>
        <w:rPr>
          <w:rFonts w:ascii="宋体" w:hAnsi="宋体" w:cs="宋体"/>
          <w:color w:val="auto"/>
          <w:highlight w:val="none"/>
        </w:rPr>
      </w:pPr>
      <w:r>
        <w:rPr>
          <w:rFonts w:hint="eastAsia" w:ascii="宋体" w:hAnsi="宋体" w:cs="宋体"/>
          <w:color w:val="auto"/>
          <w:highlight w:val="none"/>
        </w:rPr>
        <w:t>附件4：承包人用于本工程施工的机械设备表</w:t>
      </w:r>
    </w:p>
    <w:p w14:paraId="5625ECE8">
      <w:pPr>
        <w:spacing w:line="360" w:lineRule="auto"/>
        <w:jc w:val="left"/>
        <w:rPr>
          <w:rFonts w:ascii="宋体"/>
          <w:color w:val="auto"/>
          <w:highlight w:val="none"/>
        </w:rPr>
      </w:pPr>
      <w:r>
        <w:rPr>
          <w:rFonts w:hint="eastAsia" w:ascii="宋体" w:hAnsi="宋体" w:cs="宋体"/>
          <w:color w:val="auto"/>
          <w:highlight w:val="none"/>
        </w:rPr>
        <w:t>附件5：承包人主要施工管理人员表</w:t>
      </w:r>
    </w:p>
    <w:p w14:paraId="14470A0B">
      <w:pPr>
        <w:spacing w:line="360" w:lineRule="auto"/>
        <w:jc w:val="left"/>
        <w:rPr>
          <w:rFonts w:ascii="宋体"/>
          <w:color w:val="auto"/>
          <w:highlight w:val="none"/>
        </w:rPr>
      </w:pPr>
      <w:r>
        <w:rPr>
          <w:rFonts w:hint="eastAsia" w:ascii="宋体" w:hAnsi="宋体" w:cs="宋体"/>
          <w:color w:val="auto"/>
          <w:highlight w:val="none"/>
        </w:rPr>
        <w:t>附件6：分包人主要施工管理人员表</w:t>
      </w:r>
    </w:p>
    <w:p w14:paraId="65067735">
      <w:pPr>
        <w:spacing w:line="360" w:lineRule="auto"/>
        <w:jc w:val="left"/>
        <w:rPr>
          <w:rFonts w:ascii="宋体"/>
          <w:color w:val="auto"/>
          <w:highlight w:val="none"/>
        </w:rPr>
      </w:pPr>
      <w:r>
        <w:rPr>
          <w:rFonts w:hint="eastAsia" w:ascii="宋体" w:hAnsi="宋体" w:cs="宋体"/>
          <w:color w:val="auto"/>
          <w:highlight w:val="none"/>
        </w:rPr>
        <w:t>附件7：履约担保格式（独立保函、非独立保函）</w:t>
      </w:r>
    </w:p>
    <w:p w14:paraId="7B0EC7D2">
      <w:pPr>
        <w:spacing w:line="360" w:lineRule="auto"/>
        <w:jc w:val="left"/>
        <w:rPr>
          <w:rFonts w:hint="eastAsia" w:ascii="宋体" w:hAnsi="宋体" w:cs="宋体"/>
          <w:color w:val="auto"/>
          <w:highlight w:val="none"/>
        </w:rPr>
      </w:pPr>
      <w:r>
        <w:rPr>
          <w:rFonts w:hint="eastAsia" w:ascii="宋体" w:hAnsi="宋体" w:cs="宋体"/>
          <w:color w:val="auto"/>
          <w:highlight w:val="none"/>
        </w:rPr>
        <w:t>附件8：预付款担保格式（独立保函、非独立保函）</w:t>
      </w:r>
    </w:p>
    <w:p w14:paraId="464AD82E">
      <w:pPr>
        <w:spacing w:line="360" w:lineRule="auto"/>
        <w:jc w:val="left"/>
        <w:rPr>
          <w:rFonts w:ascii="宋体" w:hAnsi="宋体" w:cs="宋体"/>
          <w:color w:val="auto"/>
          <w:highlight w:val="none"/>
        </w:rPr>
      </w:pPr>
      <w:r>
        <w:rPr>
          <w:rFonts w:hint="eastAsia" w:ascii="宋体" w:hAnsi="宋体" w:cs="宋体"/>
          <w:color w:val="auto"/>
          <w:highlight w:val="none"/>
        </w:rPr>
        <w:t>附件9：支付担保格式（独立保函、非独立保函）</w:t>
      </w:r>
    </w:p>
    <w:p w14:paraId="2A095E51">
      <w:pPr>
        <w:spacing w:line="360" w:lineRule="auto"/>
        <w:jc w:val="left"/>
        <w:rPr>
          <w:rFonts w:hint="eastAsia"/>
          <w:color w:val="auto"/>
          <w:highlight w:val="none"/>
        </w:rPr>
      </w:pPr>
      <w:r>
        <w:rPr>
          <w:rFonts w:hint="eastAsia" w:ascii="宋体" w:hAnsi="宋体" w:cs="宋体"/>
          <w:color w:val="auto"/>
          <w:highlight w:val="none"/>
        </w:rPr>
        <w:t>附件10：预付款</w:t>
      </w:r>
      <w:r>
        <w:rPr>
          <w:rFonts w:hint="eastAsia"/>
          <w:color w:val="auto"/>
          <w:highlight w:val="none"/>
        </w:rPr>
        <w:t>支付申请（核准）表</w:t>
      </w:r>
    </w:p>
    <w:p w14:paraId="17D34863">
      <w:pPr>
        <w:spacing w:line="360" w:lineRule="auto"/>
        <w:jc w:val="left"/>
        <w:rPr>
          <w:rFonts w:hint="eastAsia"/>
          <w:color w:val="auto"/>
          <w:highlight w:val="none"/>
        </w:rPr>
      </w:pPr>
      <w:r>
        <w:rPr>
          <w:rFonts w:hint="eastAsia" w:ascii="宋体" w:hAnsi="宋体" w:cs="宋体"/>
          <w:color w:val="auto"/>
          <w:highlight w:val="none"/>
        </w:rPr>
        <w:t>附件11：</w:t>
      </w:r>
      <w:r>
        <w:rPr>
          <w:rFonts w:hint="eastAsia"/>
          <w:color w:val="auto"/>
          <w:highlight w:val="none"/>
        </w:rPr>
        <w:t>进度款支付申请（核准）表</w:t>
      </w:r>
    </w:p>
    <w:p w14:paraId="644A16B2">
      <w:pPr>
        <w:spacing w:line="360" w:lineRule="auto"/>
        <w:jc w:val="left"/>
        <w:rPr>
          <w:rFonts w:hint="eastAsia"/>
          <w:color w:val="auto"/>
          <w:highlight w:val="none"/>
        </w:rPr>
      </w:pPr>
      <w:r>
        <w:rPr>
          <w:rFonts w:hint="eastAsia" w:ascii="宋体" w:hAnsi="宋体" w:cs="宋体"/>
          <w:color w:val="auto"/>
          <w:highlight w:val="none"/>
        </w:rPr>
        <w:t>附件12：竣工</w:t>
      </w:r>
      <w:r>
        <w:rPr>
          <w:rFonts w:hint="eastAsia" w:ascii="宋体" w:hAnsi="宋体" w:cs="宋体"/>
          <w:color w:val="auto"/>
          <w:highlight w:val="none"/>
          <w:lang w:eastAsia="zh-CN"/>
        </w:rPr>
        <w:t>（施工过程）</w:t>
      </w:r>
      <w:r>
        <w:rPr>
          <w:rFonts w:hint="eastAsia" w:ascii="宋体" w:hAnsi="宋体" w:cs="宋体"/>
          <w:color w:val="auto"/>
          <w:highlight w:val="none"/>
        </w:rPr>
        <w:t>结算</w:t>
      </w:r>
      <w:r>
        <w:rPr>
          <w:rFonts w:hint="eastAsia"/>
          <w:color w:val="auto"/>
          <w:highlight w:val="none"/>
        </w:rPr>
        <w:t>款支付申请（核准）表</w:t>
      </w:r>
    </w:p>
    <w:p w14:paraId="0D342FA5">
      <w:pPr>
        <w:spacing w:line="360" w:lineRule="auto"/>
        <w:jc w:val="left"/>
        <w:rPr>
          <w:rFonts w:hint="eastAsia"/>
          <w:color w:val="auto"/>
          <w:highlight w:val="none"/>
        </w:rPr>
      </w:pPr>
      <w:r>
        <w:rPr>
          <w:rFonts w:hint="eastAsia" w:ascii="宋体" w:hAnsi="宋体" w:cs="宋体"/>
          <w:color w:val="auto"/>
          <w:highlight w:val="none"/>
        </w:rPr>
        <w:t>附件13：工程保修与结清结算支付申请（核准）表</w:t>
      </w:r>
    </w:p>
    <w:p w14:paraId="433D8796">
      <w:pPr>
        <w:spacing w:line="360" w:lineRule="auto"/>
        <w:jc w:val="left"/>
        <w:rPr>
          <w:rFonts w:hint="eastAsia"/>
          <w:color w:val="auto"/>
          <w:highlight w:val="none"/>
        </w:rPr>
      </w:pPr>
      <w:r>
        <w:rPr>
          <w:rFonts w:hint="eastAsia"/>
          <w:color w:val="auto"/>
          <w:highlight w:val="none"/>
        </w:rPr>
        <w:t>附件14：总价合同进度款支付分解表</w:t>
      </w:r>
    </w:p>
    <w:p w14:paraId="38D64C0D">
      <w:pPr>
        <w:spacing w:line="360" w:lineRule="auto"/>
        <w:jc w:val="left"/>
        <w:rPr>
          <w:rFonts w:hint="eastAsia"/>
          <w:color w:val="auto"/>
          <w:highlight w:val="none"/>
          <w:lang w:eastAsia="zh-CN"/>
        </w:rPr>
      </w:pPr>
      <w:r>
        <w:rPr>
          <w:rFonts w:hint="eastAsia"/>
          <w:color w:val="auto"/>
          <w:highlight w:val="none"/>
        </w:rPr>
        <w:t>附件15</w:t>
      </w:r>
      <w:r>
        <w:rPr>
          <w:rFonts w:hint="eastAsia"/>
          <w:color w:val="auto"/>
          <w:highlight w:val="none"/>
          <w:lang w:eastAsia="zh-CN"/>
        </w:rPr>
        <w:t>：措施项目费用分拆表</w:t>
      </w:r>
    </w:p>
    <w:p w14:paraId="190F3B41">
      <w:pPr>
        <w:spacing w:line="360" w:lineRule="auto"/>
        <w:jc w:val="left"/>
        <w:rPr>
          <w:rFonts w:hint="eastAsia"/>
          <w:color w:val="auto"/>
          <w:highlight w:val="none"/>
        </w:rPr>
      </w:pPr>
      <w:r>
        <w:rPr>
          <w:rFonts w:hint="eastAsia"/>
          <w:color w:val="auto"/>
          <w:highlight w:val="none"/>
          <w:lang w:eastAsia="zh-CN"/>
        </w:rPr>
        <w:t>附件</w:t>
      </w:r>
      <w:r>
        <w:rPr>
          <w:rFonts w:hint="eastAsia"/>
          <w:color w:val="auto"/>
          <w:highlight w:val="none"/>
          <w:lang w:val="en-US" w:eastAsia="zh-CN"/>
        </w:rPr>
        <w:t>16：零星签证费用确认单</w:t>
      </w:r>
    </w:p>
    <w:p w14:paraId="713E702D">
      <w:pPr>
        <w:pBdr>
          <w:top w:val="none" w:color="auto" w:sz="0" w:space="0"/>
          <w:left w:val="none" w:color="auto" w:sz="0" w:space="0"/>
          <w:right w:val="none" w:color="auto" w:sz="0" w:space="0"/>
          <w:between w:val="none" w:color="auto" w:sz="0" w:space="0"/>
        </w:pBdr>
        <w:spacing w:line="360" w:lineRule="auto"/>
        <w:jc w:val="left"/>
        <w:rPr>
          <w:rFonts w:hint="eastAsia" w:eastAsia="宋体"/>
          <w:color w:val="auto"/>
          <w:sz w:val="21"/>
          <w:szCs w:val="21"/>
          <w:highlight w:val="none"/>
          <w:lang w:val="en-US" w:eastAsia="zh-CN"/>
        </w:rPr>
      </w:pPr>
      <w:r>
        <w:rPr>
          <w:rFonts w:hint="eastAsia"/>
          <w:color w:val="auto"/>
          <w:sz w:val="21"/>
          <w:szCs w:val="21"/>
          <w:highlight w:val="none"/>
          <w:lang w:eastAsia="zh-CN"/>
        </w:rPr>
        <w:t>附件</w:t>
      </w:r>
      <w:r>
        <w:rPr>
          <w:rFonts w:hint="eastAsia"/>
          <w:color w:val="auto"/>
          <w:sz w:val="21"/>
          <w:szCs w:val="21"/>
          <w:highlight w:val="none"/>
          <w:lang w:val="en-US" w:eastAsia="zh-CN"/>
        </w:rPr>
        <w:t>17：索赔费用申请（核准）表</w:t>
      </w:r>
    </w:p>
    <w:p w14:paraId="7FD578B6">
      <w:pPr>
        <w:pBdr>
          <w:top w:val="none" w:color="auto" w:sz="0" w:space="0"/>
          <w:left w:val="none" w:color="auto" w:sz="0" w:space="0"/>
          <w:right w:val="none" w:color="auto" w:sz="0" w:space="0"/>
          <w:between w:val="none" w:color="auto" w:sz="0" w:space="0"/>
        </w:pBdr>
        <w:spacing w:line="360" w:lineRule="auto"/>
        <w:rPr>
          <w:rFonts w:hint="eastAsia"/>
          <w:color w:val="auto"/>
          <w:sz w:val="21"/>
          <w:szCs w:val="21"/>
          <w:highlight w:val="none"/>
          <w:lang w:val="en-US" w:eastAsia="zh-CN"/>
        </w:rPr>
      </w:pPr>
      <w:r>
        <w:rPr>
          <w:rFonts w:hint="eastAsia"/>
          <w:color w:val="auto"/>
          <w:sz w:val="21"/>
          <w:szCs w:val="21"/>
          <w:highlight w:val="none"/>
          <w:lang w:eastAsia="zh-CN"/>
        </w:rPr>
        <w:t>附件</w:t>
      </w:r>
      <w:r>
        <w:rPr>
          <w:rFonts w:hint="eastAsia"/>
          <w:color w:val="auto"/>
          <w:sz w:val="21"/>
          <w:szCs w:val="21"/>
          <w:highlight w:val="none"/>
          <w:lang w:val="en-US" w:eastAsia="zh-CN"/>
        </w:rPr>
        <w:t>18：安全生产费支付申请（核准）表</w:t>
      </w:r>
    </w:p>
    <w:p w14:paraId="5398CC74">
      <w:pPr>
        <w:pBdr>
          <w:top w:val="none" w:color="auto" w:sz="0" w:space="0"/>
          <w:left w:val="none" w:color="auto" w:sz="0" w:space="0"/>
          <w:right w:val="none" w:color="auto" w:sz="0" w:space="0"/>
          <w:between w:val="none" w:color="auto" w:sz="0" w:space="0"/>
        </w:pBdr>
        <w:tabs>
          <w:tab w:val="center" w:pos="4153"/>
          <w:tab w:val="right" w:pos="8306"/>
        </w:tabs>
        <w:spacing w:line="360" w:lineRule="auto"/>
        <w:rPr>
          <w:rFonts w:hint="eastAsia"/>
          <w:color w:val="auto"/>
          <w:sz w:val="21"/>
          <w:szCs w:val="21"/>
          <w:highlight w:val="none"/>
          <w:lang w:val="en-US" w:eastAsia="zh-CN"/>
        </w:rPr>
      </w:pPr>
      <w:r>
        <w:rPr>
          <w:rFonts w:hint="eastAsia"/>
          <w:color w:val="auto"/>
          <w:sz w:val="21"/>
          <w:szCs w:val="21"/>
          <w:highlight w:val="none"/>
          <w:lang w:eastAsia="zh-CN"/>
        </w:rPr>
        <w:t>附件</w:t>
      </w:r>
      <w:r>
        <w:rPr>
          <w:rFonts w:hint="eastAsia"/>
          <w:color w:val="auto"/>
          <w:sz w:val="21"/>
          <w:szCs w:val="21"/>
          <w:highlight w:val="none"/>
          <w:lang w:val="en-US" w:eastAsia="zh-CN"/>
        </w:rPr>
        <w:t>19：发包人提供材料一览表</w:t>
      </w:r>
    </w:p>
    <w:p w14:paraId="45DA9E56">
      <w:pPr>
        <w:pBdr>
          <w:top w:val="none" w:color="auto" w:sz="0" w:space="0"/>
          <w:left w:val="none" w:color="auto" w:sz="0" w:space="0"/>
          <w:right w:val="none" w:color="auto" w:sz="0" w:space="0"/>
          <w:between w:val="none" w:color="auto" w:sz="0" w:space="0"/>
        </w:pBdr>
        <w:tabs>
          <w:tab w:val="center" w:pos="4153"/>
          <w:tab w:val="right" w:pos="8306"/>
        </w:tabs>
        <w:spacing w:line="360" w:lineRule="auto"/>
        <w:rPr>
          <w:rFonts w:hint="eastAsia"/>
          <w:color w:val="auto"/>
          <w:highlight w:val="none"/>
        </w:rPr>
        <w:sectPr>
          <w:pgSz w:w="11907" w:h="16840"/>
          <w:pgMar w:top="1440" w:right="1440" w:bottom="1797" w:left="1440" w:header="851" w:footer="850" w:gutter="0"/>
          <w:cols w:space="720" w:num="1"/>
          <w:rtlGutter w:val="0"/>
          <w:docGrid w:linePitch="312" w:charSpace="0"/>
        </w:sectPr>
      </w:pPr>
      <w:r>
        <w:rPr>
          <w:rFonts w:hint="eastAsia"/>
          <w:color w:val="auto"/>
          <w:sz w:val="21"/>
          <w:szCs w:val="21"/>
          <w:highlight w:val="none"/>
          <w:lang w:eastAsia="zh-CN"/>
        </w:rPr>
        <w:t>附件</w:t>
      </w:r>
      <w:r>
        <w:rPr>
          <w:rFonts w:hint="eastAsia"/>
          <w:color w:val="auto"/>
          <w:sz w:val="21"/>
          <w:szCs w:val="21"/>
          <w:highlight w:val="none"/>
          <w:lang w:val="en-US" w:eastAsia="zh-CN"/>
        </w:rPr>
        <w:t>20：允许调整价格的主要材料一览表</w:t>
      </w:r>
    </w:p>
    <w:p w14:paraId="42EB9B7C">
      <w:pPr>
        <w:pStyle w:val="33"/>
        <w:pBdr>
          <w:top w:val="none" w:color="auto" w:sz="0" w:space="0"/>
          <w:left w:val="none" w:color="auto" w:sz="0" w:space="0"/>
          <w:bottom w:val="none" w:color="auto" w:sz="0" w:space="1"/>
          <w:right w:val="none" w:color="auto" w:sz="0" w:space="0"/>
          <w:between w:val="none" w:color="auto" w:sz="0" w:space="0"/>
        </w:pBdr>
        <w:rPr>
          <w:rFonts w:hint="eastAsia"/>
          <w:color w:val="auto"/>
          <w:highlight w:val="none"/>
        </w:rPr>
      </w:pPr>
    </w:p>
    <w:p w14:paraId="7137694B">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w:t>
      </w:r>
      <w:r>
        <w:rPr>
          <w:rFonts w:ascii="仿宋_GB2312" w:eastAsia="仿宋_GB2312" w:cs="仿宋_GB2312"/>
          <w:color w:val="auto"/>
          <w:sz w:val="30"/>
          <w:szCs w:val="30"/>
          <w:highlight w:val="none"/>
        </w:rPr>
        <w:t>1</w:t>
      </w:r>
      <w:r>
        <w:rPr>
          <w:rFonts w:hint="eastAsia" w:ascii="仿宋_GB2312" w:eastAsia="仿宋_GB2312" w:cs="仿宋_GB2312"/>
          <w:color w:val="auto"/>
          <w:sz w:val="30"/>
          <w:szCs w:val="30"/>
          <w:highlight w:val="none"/>
        </w:rPr>
        <w:t>：承包人承揽工程项目一览表</w:t>
      </w:r>
    </w:p>
    <w:p w14:paraId="3333A2A3">
      <w:pPr>
        <w:spacing w:before="120" w:beforeLines="50" w:after="120" w:afterLines="50" w:line="440" w:lineRule="exact"/>
        <w:jc w:val="center"/>
        <w:rPr>
          <w:rFonts w:eastAsia="黑体"/>
          <w:color w:val="auto"/>
          <w:sz w:val="30"/>
          <w:szCs w:val="30"/>
          <w:highlight w:val="none"/>
        </w:rPr>
      </w:pPr>
      <w:r>
        <w:rPr>
          <w:rFonts w:hint="eastAsia" w:eastAsia="黑体" w:cs="黑体"/>
          <w:color w:val="auto"/>
          <w:sz w:val="30"/>
          <w:szCs w:val="30"/>
          <w:highlight w:val="none"/>
        </w:rPr>
        <w:t>承包人承揽工程项目一览表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40"/>
        <w:gridCol w:w="1440"/>
        <w:gridCol w:w="1620"/>
        <w:gridCol w:w="1661"/>
        <w:gridCol w:w="850"/>
        <w:gridCol w:w="1560"/>
        <w:gridCol w:w="2126"/>
        <w:gridCol w:w="1417"/>
        <w:gridCol w:w="851"/>
        <w:gridCol w:w="850"/>
      </w:tblGrid>
      <w:tr w14:paraId="5F27C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440" w:type="dxa"/>
            <w:noWrap w:val="0"/>
            <w:vAlign w:val="center"/>
          </w:tcPr>
          <w:p w14:paraId="3BA2A6B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单位工程名称</w:t>
            </w:r>
          </w:p>
        </w:tc>
        <w:tc>
          <w:tcPr>
            <w:tcW w:w="1440" w:type="dxa"/>
            <w:noWrap w:val="0"/>
            <w:vAlign w:val="center"/>
          </w:tcPr>
          <w:p w14:paraId="53E97D4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建设规模</w:t>
            </w:r>
          </w:p>
        </w:tc>
        <w:tc>
          <w:tcPr>
            <w:tcW w:w="1620" w:type="dxa"/>
            <w:noWrap w:val="0"/>
            <w:vAlign w:val="center"/>
          </w:tcPr>
          <w:p w14:paraId="260D4B5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建筑面积</w:t>
            </w:r>
            <w:r>
              <w:rPr>
                <w:rFonts w:hint="eastAsia" w:ascii="Calibri" w:hAnsi="Calibri" w:eastAsia="仿宋_GB2312" w:cs="仿宋_GB2312"/>
                <w:color w:val="auto"/>
                <w:sz w:val="28"/>
                <w:szCs w:val="28"/>
                <w:highlight w:val="none"/>
                <w:lang w:eastAsia="zh-CN"/>
              </w:rPr>
              <w:t>（</w:t>
            </w:r>
            <w:r>
              <w:rPr>
                <w:rFonts w:hint="eastAsia" w:ascii="Calibri" w:hAnsi="Calibri" w:eastAsia="仿宋_GB2312" w:cs="仿宋_GB2312"/>
                <w:color w:val="auto"/>
                <w:sz w:val="28"/>
                <w:szCs w:val="28"/>
                <w:highlight w:val="none"/>
              </w:rPr>
              <w:t>平方米</w:t>
            </w:r>
            <w:r>
              <w:rPr>
                <w:rFonts w:hint="eastAsia" w:ascii="Calibri" w:hAnsi="Calibri" w:eastAsia="仿宋_GB2312" w:cs="仿宋_GB2312"/>
                <w:color w:val="auto"/>
                <w:sz w:val="28"/>
                <w:szCs w:val="28"/>
                <w:highlight w:val="none"/>
                <w:lang w:eastAsia="zh-CN"/>
              </w:rPr>
              <w:t>）</w:t>
            </w:r>
          </w:p>
        </w:tc>
        <w:tc>
          <w:tcPr>
            <w:tcW w:w="1661" w:type="dxa"/>
            <w:noWrap w:val="0"/>
            <w:vAlign w:val="center"/>
          </w:tcPr>
          <w:p w14:paraId="0642149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结构形式</w:t>
            </w:r>
          </w:p>
        </w:tc>
        <w:tc>
          <w:tcPr>
            <w:tcW w:w="850" w:type="dxa"/>
            <w:noWrap w:val="0"/>
            <w:vAlign w:val="center"/>
          </w:tcPr>
          <w:p w14:paraId="46C4FF8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层数</w:t>
            </w:r>
          </w:p>
        </w:tc>
        <w:tc>
          <w:tcPr>
            <w:tcW w:w="1560" w:type="dxa"/>
            <w:noWrap w:val="0"/>
            <w:vAlign w:val="center"/>
          </w:tcPr>
          <w:p w14:paraId="4A50386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生产能力</w:t>
            </w:r>
          </w:p>
        </w:tc>
        <w:tc>
          <w:tcPr>
            <w:tcW w:w="2126" w:type="dxa"/>
            <w:noWrap w:val="0"/>
            <w:vAlign w:val="center"/>
          </w:tcPr>
          <w:p w14:paraId="1322344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设备安装内容</w:t>
            </w:r>
          </w:p>
        </w:tc>
        <w:tc>
          <w:tcPr>
            <w:tcW w:w="1417" w:type="dxa"/>
            <w:noWrap w:val="0"/>
            <w:vAlign w:val="center"/>
          </w:tcPr>
          <w:p w14:paraId="7F8B346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合同价格（元）</w:t>
            </w:r>
          </w:p>
        </w:tc>
        <w:tc>
          <w:tcPr>
            <w:tcW w:w="851" w:type="dxa"/>
            <w:noWrap w:val="0"/>
            <w:vAlign w:val="center"/>
          </w:tcPr>
          <w:p w14:paraId="2380F57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开工日期</w:t>
            </w:r>
          </w:p>
        </w:tc>
        <w:tc>
          <w:tcPr>
            <w:tcW w:w="850" w:type="dxa"/>
            <w:noWrap w:val="0"/>
            <w:vAlign w:val="center"/>
          </w:tcPr>
          <w:p w14:paraId="3A7FCF4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竣工日期</w:t>
            </w:r>
          </w:p>
        </w:tc>
      </w:tr>
      <w:tr w14:paraId="633EB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65D2582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3C337CE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776059A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3709FF2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2C74CD9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423D0D0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13BC58B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1702745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65C336E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16F3A12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243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2E60F0A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71D5B2B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6905025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71EC24B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53D0E7B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4A88C8E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0AA7A32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335FB04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6295AC6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4B142E0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ECC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776E713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558094F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66F1E62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7BE1825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5E29F73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22C85DC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7882C27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273A6C8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1BDE624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7337172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8F6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9B74F2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51360BD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1D0E3CA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066DBE9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0A8252D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6CDCE9A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0DFF5B3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4E8CF15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7DCB488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35BDC29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5A89F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23DA34C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2E3F78F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260F5A7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5F34D30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2F16D02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7F7E70F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5202C83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3AFFB9F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512D22B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0DCE0C0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BA5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348ABB2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684C976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3C8DE59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0494A25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79BCF95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5885288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3180C79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69970F4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30033F8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152105B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5455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5FB885D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489E081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2A38F75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7656D6D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3BBE018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33E43EE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5EFA210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543B87C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7BC6215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3FCCE47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C6E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0685CB6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626047E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48964EB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719477F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6CA63F6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284F909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3D860EF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1E46938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57027DA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67D927D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6E5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39D6D6C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6175E3E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414F742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5BB2655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1F7FADD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25ADF69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537A193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7017371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7690BE2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52B0FAE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E45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440" w:type="dxa"/>
            <w:noWrap w:val="0"/>
            <w:vAlign w:val="center"/>
          </w:tcPr>
          <w:p w14:paraId="6918224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40" w:type="dxa"/>
            <w:noWrap w:val="0"/>
            <w:vAlign w:val="center"/>
          </w:tcPr>
          <w:p w14:paraId="42C9E77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20" w:type="dxa"/>
            <w:noWrap w:val="0"/>
            <w:vAlign w:val="center"/>
          </w:tcPr>
          <w:p w14:paraId="1FA9C88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1" w:type="dxa"/>
            <w:noWrap w:val="0"/>
            <w:vAlign w:val="center"/>
          </w:tcPr>
          <w:p w14:paraId="2D605E5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3397CF5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560" w:type="dxa"/>
            <w:noWrap w:val="0"/>
            <w:vAlign w:val="center"/>
          </w:tcPr>
          <w:p w14:paraId="0D2FE0D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2126" w:type="dxa"/>
            <w:noWrap w:val="0"/>
            <w:vAlign w:val="center"/>
          </w:tcPr>
          <w:p w14:paraId="3EEB2C8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7" w:type="dxa"/>
            <w:noWrap w:val="0"/>
            <w:vAlign w:val="center"/>
          </w:tcPr>
          <w:p w14:paraId="3BA2D54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1" w:type="dxa"/>
            <w:noWrap w:val="0"/>
            <w:vAlign w:val="center"/>
          </w:tcPr>
          <w:p w14:paraId="49694EC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4EFB27F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bl>
    <w:p w14:paraId="0104A048">
      <w:pPr>
        <w:spacing w:line="460" w:lineRule="exact"/>
        <w:ind w:firstLine="420" w:firstLineChars="200"/>
        <w:rPr>
          <w:color w:val="auto"/>
          <w:highlight w:val="none"/>
        </w:rPr>
      </w:pPr>
    </w:p>
    <w:p w14:paraId="775683CC">
      <w:pPr>
        <w:spacing w:line="460" w:lineRule="exact"/>
        <w:ind w:firstLine="420" w:firstLineChars="200"/>
        <w:rPr>
          <w:color w:val="auto"/>
          <w:highlight w:val="none"/>
        </w:rPr>
        <w:sectPr>
          <w:pgSz w:w="16840" w:h="11907" w:orient="landscape"/>
          <w:pgMar w:top="1440" w:right="1440" w:bottom="1440" w:left="1797" w:header="851" w:footer="851" w:gutter="0"/>
          <w:cols w:space="720" w:num="1"/>
          <w:docGrid w:linePitch="312" w:charSpace="0"/>
        </w:sectPr>
      </w:pPr>
    </w:p>
    <w:p w14:paraId="66C385DC">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附件2：</w:t>
      </w:r>
      <w:r>
        <w:rPr>
          <w:rFonts w:hint="eastAsia" w:ascii="仿宋_GB2312" w:eastAsia="仿宋_GB2312" w:cs="仿宋_GB2312"/>
          <w:color w:val="auto"/>
          <w:sz w:val="30"/>
          <w:szCs w:val="30"/>
          <w:highlight w:val="none"/>
          <w:lang w:val="en-US" w:eastAsia="zh-CN"/>
        </w:rPr>
        <w:t>工程质量保修书</w:t>
      </w:r>
    </w:p>
    <w:p w14:paraId="2A207FBB">
      <w:pPr>
        <w:pStyle w:val="348"/>
        <w:spacing w:before="165" w:beforeLines="50" w:after="165" w:afterLines="50" w:line="440" w:lineRule="exact"/>
        <w:jc w:val="center"/>
        <w:rPr>
          <w:rFonts w:hint="default" w:ascii="Arial" w:hAnsi="Arial" w:eastAsia="黑体" w:cs="Arial"/>
          <w:color w:val="000000"/>
          <w:sz w:val="32"/>
          <w:szCs w:val="32"/>
          <w:highlight w:val="none"/>
        </w:rPr>
      </w:pPr>
      <w:r>
        <w:rPr>
          <w:rFonts w:hint="default" w:ascii="Arial" w:hAnsi="Arial" w:eastAsia="黑体" w:cs="Arial"/>
          <w:color w:val="000000"/>
          <w:sz w:val="32"/>
          <w:szCs w:val="32"/>
          <w:highlight w:val="none"/>
        </w:rPr>
        <w:t>工程质量保修书</w:t>
      </w:r>
    </w:p>
    <w:p w14:paraId="7FE919D9">
      <w:pPr>
        <w:pStyle w:val="348"/>
        <w:spacing w:line="440" w:lineRule="exact"/>
        <w:ind w:firstLine="420" w:firstLineChars="200"/>
        <w:rPr>
          <w:rFonts w:hint="default" w:ascii="Arial" w:hAnsi="Arial" w:eastAsia="宋体" w:cs="Arial"/>
          <w:color w:val="000000"/>
          <w:szCs w:val="21"/>
          <w:highlight w:val="none"/>
        </w:rPr>
      </w:pPr>
      <w:r>
        <w:rPr>
          <w:rFonts w:hint="default" w:ascii="Arial" w:hAnsi="Arial" w:eastAsia="宋体" w:cs="Arial"/>
          <w:color w:val="000000"/>
          <w:szCs w:val="21"/>
          <w:highlight w:val="none"/>
        </w:rPr>
        <w:t>发包人（全称）：</w:t>
      </w:r>
      <w:r>
        <w:rPr>
          <w:rFonts w:hint="default" w:ascii="Arial" w:hAnsi="Arial" w:eastAsia="宋体" w:cs="Arial"/>
          <w:color w:val="000000"/>
          <w:szCs w:val="21"/>
          <w:highlight w:val="none"/>
          <w:u w:val="single"/>
        </w:rPr>
        <w:t xml:space="preserve">                                </w:t>
      </w:r>
      <w:r>
        <w:rPr>
          <w:rFonts w:hint="default" w:ascii="Arial" w:hAnsi="Arial" w:eastAsia="宋体" w:cs="Arial"/>
          <w:color w:val="000000"/>
          <w:szCs w:val="21"/>
          <w:highlight w:val="none"/>
        </w:rPr>
        <w:t xml:space="preserve"> </w:t>
      </w:r>
    </w:p>
    <w:p w14:paraId="10FE476F">
      <w:pPr>
        <w:pStyle w:val="348"/>
        <w:spacing w:line="440" w:lineRule="exact"/>
        <w:ind w:firstLine="420" w:firstLineChars="200"/>
        <w:rPr>
          <w:rFonts w:hint="default" w:ascii="Arial" w:hAnsi="Arial" w:eastAsia="宋体" w:cs="Arial"/>
          <w:color w:val="000000"/>
          <w:szCs w:val="21"/>
          <w:highlight w:val="none"/>
        </w:rPr>
      </w:pPr>
      <w:r>
        <w:rPr>
          <w:rFonts w:hint="default" w:ascii="Arial" w:hAnsi="Arial" w:eastAsia="宋体" w:cs="Arial"/>
          <w:color w:val="000000"/>
          <w:szCs w:val="21"/>
          <w:highlight w:val="none"/>
        </w:rPr>
        <w:t>承包人（全称）：</w:t>
      </w:r>
      <w:r>
        <w:rPr>
          <w:rFonts w:hint="default" w:ascii="Arial" w:hAnsi="Arial" w:eastAsia="宋体" w:cs="Arial"/>
          <w:color w:val="000000"/>
          <w:szCs w:val="21"/>
          <w:highlight w:val="none"/>
          <w:u w:val="single"/>
        </w:rPr>
        <w:t xml:space="preserve">                                </w:t>
      </w:r>
      <w:r>
        <w:rPr>
          <w:rFonts w:hint="default" w:ascii="Arial" w:hAnsi="Arial" w:eastAsia="宋体" w:cs="Arial"/>
          <w:color w:val="000000"/>
          <w:szCs w:val="21"/>
          <w:highlight w:val="none"/>
        </w:rPr>
        <w:t xml:space="preserve"> </w:t>
      </w:r>
    </w:p>
    <w:p w14:paraId="246CAF2B">
      <w:pPr>
        <w:pStyle w:val="348"/>
        <w:spacing w:line="440" w:lineRule="exact"/>
        <w:rPr>
          <w:rFonts w:hint="default" w:ascii="Arial" w:hAnsi="Arial" w:eastAsia="宋体" w:cs="Arial"/>
          <w:color w:val="000000"/>
          <w:szCs w:val="21"/>
          <w:highlight w:val="none"/>
        </w:rPr>
      </w:pPr>
    </w:p>
    <w:p w14:paraId="3709930D">
      <w:pPr>
        <w:pStyle w:val="348"/>
        <w:spacing w:line="360" w:lineRule="auto"/>
        <w:ind w:firstLine="420" w:firstLineChars="20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发包人和承包人根据《中华人民共和国建筑法》和《建设工程质量管理条例》，经协商一致就</w:t>
      </w:r>
      <w:r>
        <w:rPr>
          <w:rFonts w:hint="default" w:ascii="Arial" w:hAnsi="Arial" w:eastAsia="宋体" w:cs="Arial"/>
          <w:color w:val="000000"/>
          <w:szCs w:val="21"/>
          <w:highlight w:val="none"/>
          <w:u w:val="single"/>
          <w:lang w:eastAsia="zh-CN"/>
        </w:rPr>
        <w:t xml:space="preserve">                                   </w:t>
      </w:r>
      <w:r>
        <w:rPr>
          <w:rFonts w:hint="default" w:ascii="Arial" w:hAnsi="Arial" w:eastAsia="宋体" w:cs="Arial"/>
          <w:color w:val="000000"/>
          <w:szCs w:val="21"/>
          <w:highlight w:val="none"/>
          <w:lang w:eastAsia="zh-CN"/>
        </w:rPr>
        <w:t>（工程全称）签订工程质量保修书。</w:t>
      </w:r>
    </w:p>
    <w:p w14:paraId="3218C368">
      <w:pPr>
        <w:pStyle w:val="348"/>
        <w:spacing w:line="360" w:lineRule="auto"/>
        <w:ind w:firstLine="420" w:firstLineChars="200"/>
        <w:rPr>
          <w:rFonts w:hint="default" w:ascii="Arial" w:hAnsi="Arial" w:eastAsia="黑体" w:cs="Arial"/>
          <w:color w:val="000000"/>
          <w:szCs w:val="21"/>
          <w:highlight w:val="none"/>
          <w:lang w:eastAsia="zh-CN"/>
        </w:rPr>
      </w:pPr>
      <w:r>
        <w:rPr>
          <w:rFonts w:hint="default" w:ascii="Arial" w:hAnsi="Arial" w:eastAsia="黑体" w:cs="Arial"/>
          <w:color w:val="000000"/>
          <w:szCs w:val="21"/>
          <w:highlight w:val="none"/>
          <w:lang w:eastAsia="zh-CN"/>
        </w:rPr>
        <w:t>一、工程质量保修范围和内容</w:t>
      </w:r>
    </w:p>
    <w:p w14:paraId="74C11B03">
      <w:pPr>
        <w:pStyle w:val="348"/>
        <w:spacing w:line="360" w:lineRule="auto"/>
        <w:ind w:firstLine="420" w:firstLineChars="20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承包人在质量保修期内，按照有关法律规定和合同约定，承担工程质量保修责任。</w:t>
      </w:r>
    </w:p>
    <w:p w14:paraId="02BBF5DA">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2C5A46B">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u w:val="single"/>
          <w:lang w:eastAsia="zh-CN"/>
        </w:rPr>
        <w:t xml:space="preserve">                                                                       </w:t>
      </w:r>
      <w:r>
        <w:rPr>
          <w:rFonts w:hint="default" w:ascii="Arial" w:hAnsi="Arial" w:eastAsia="宋体" w:cs="Arial"/>
          <w:color w:val="000000"/>
          <w:szCs w:val="21"/>
          <w:highlight w:val="none"/>
          <w:lang w:eastAsia="zh-CN"/>
        </w:rPr>
        <w:t>。</w:t>
      </w:r>
    </w:p>
    <w:p w14:paraId="442DC245">
      <w:pPr>
        <w:pStyle w:val="348"/>
        <w:spacing w:line="360" w:lineRule="auto"/>
        <w:ind w:firstLine="420"/>
        <w:rPr>
          <w:rFonts w:hint="default" w:ascii="Arial" w:hAnsi="Arial" w:eastAsia="黑体" w:cs="Arial"/>
          <w:color w:val="000000"/>
          <w:szCs w:val="21"/>
          <w:highlight w:val="none"/>
          <w:lang w:eastAsia="zh-CN"/>
        </w:rPr>
      </w:pPr>
      <w:r>
        <w:rPr>
          <w:rFonts w:hint="default" w:ascii="Arial" w:hAnsi="Arial" w:eastAsia="黑体" w:cs="Arial"/>
          <w:color w:val="000000"/>
          <w:szCs w:val="21"/>
          <w:highlight w:val="none"/>
          <w:lang w:eastAsia="zh-CN"/>
        </w:rPr>
        <w:t>二、质量保修期</w:t>
      </w:r>
    </w:p>
    <w:p w14:paraId="2BD98038">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根据《建设工程质量管理条例》及有关规定，工程的质量保修期如下：</w:t>
      </w:r>
    </w:p>
    <w:p w14:paraId="3FF15B75">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1．地基基础工程和主体结构工程为设计文件规定的工程合理使用年限；</w:t>
      </w:r>
    </w:p>
    <w:p w14:paraId="0D3E9FE6">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2．屋面防水工程、有防水要求的卫生间、房间和外墙面的防渗为5年；</w:t>
      </w:r>
    </w:p>
    <w:p w14:paraId="3A6B50F9">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3．装修工程为2年；</w:t>
      </w:r>
    </w:p>
    <w:p w14:paraId="5706BC48">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4．电气管线、给排水管道、设备安装工程为2年；</w:t>
      </w:r>
    </w:p>
    <w:p w14:paraId="763431A1">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5．供热与供冷系统为2个采暖期、供冷期；</w:t>
      </w:r>
    </w:p>
    <w:p w14:paraId="5F8406E1">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6．住宅小区内的给排水设施、道路等配套工程为2年；</w:t>
      </w:r>
    </w:p>
    <w:p w14:paraId="73B578AC">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7. 所有项目工程的质量保修期不少于 1 年；</w:t>
      </w:r>
    </w:p>
    <w:p w14:paraId="08066667">
      <w:pPr>
        <w:spacing w:line="400" w:lineRule="exact"/>
        <w:ind w:firstLine="482" w:firstLineChars="200"/>
        <w:rPr>
          <w:rFonts w:hint="default" w:ascii="Arial" w:hAnsi="Arial" w:eastAsia="黑体" w:cs="Arial"/>
          <w:b/>
          <w:color w:val="000000"/>
          <w:sz w:val="24"/>
          <w:highlight w:val="none"/>
        </w:rPr>
      </w:pPr>
      <w:r>
        <w:rPr>
          <w:rFonts w:hint="default" w:ascii="Arial" w:hAnsi="Arial" w:eastAsia="黑体" w:cs="Arial"/>
          <w:b/>
          <w:color w:val="000000"/>
          <w:sz w:val="24"/>
          <w:highlight w:val="none"/>
        </w:rPr>
        <w:t>8. 在没有明文规定下，参照建设工程质量保修条例，双方协商为设计文件规定的该工程的合理使用年限内保修；</w:t>
      </w:r>
    </w:p>
    <w:p w14:paraId="638E5135">
      <w:pPr>
        <w:pStyle w:val="348"/>
        <w:spacing w:line="360" w:lineRule="auto"/>
        <w:ind w:firstLine="422" w:firstLineChars="200"/>
        <w:rPr>
          <w:rFonts w:hint="default" w:ascii="Arial" w:hAnsi="Arial" w:eastAsia="宋体" w:cs="Arial"/>
          <w:color w:val="000000"/>
          <w:szCs w:val="21"/>
          <w:highlight w:val="none"/>
          <w:lang w:eastAsia="zh-CN"/>
        </w:rPr>
      </w:pPr>
      <w:r>
        <w:rPr>
          <w:rFonts w:hint="default" w:ascii="Arial" w:hAnsi="Arial" w:eastAsia="黑体" w:cs="Arial"/>
          <w:b/>
          <w:color w:val="000000"/>
          <w:highlight w:val="none"/>
          <w:lang w:eastAsia="zh-CN"/>
        </w:rPr>
        <w:t>9. 其他约定：设备按国家及厂家有关产品“三包”规定执行“三包”，质保期除特别注明外，最短不得少于1年，终身维修。质量保修期自工程竣工验收合格之日起计算。</w:t>
      </w:r>
    </w:p>
    <w:p w14:paraId="5B658075">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质量保修期自工程竣工验收合格之日起计算。</w:t>
      </w:r>
    </w:p>
    <w:p w14:paraId="58806FB0">
      <w:pPr>
        <w:pStyle w:val="348"/>
        <w:spacing w:line="360" w:lineRule="auto"/>
        <w:ind w:firstLine="420"/>
        <w:rPr>
          <w:rFonts w:hint="default" w:ascii="Arial" w:hAnsi="Arial" w:eastAsia="黑体" w:cs="Arial"/>
          <w:color w:val="auto"/>
          <w:szCs w:val="21"/>
          <w:highlight w:val="none"/>
          <w:lang w:eastAsia="zh-CN"/>
        </w:rPr>
      </w:pPr>
      <w:r>
        <w:rPr>
          <w:rFonts w:hint="default" w:ascii="Arial" w:hAnsi="Arial" w:eastAsia="黑体" w:cs="Arial"/>
          <w:color w:val="000000"/>
          <w:szCs w:val="21"/>
          <w:highlight w:val="none"/>
          <w:lang w:eastAsia="zh-CN"/>
        </w:rPr>
        <w:t>三、缺</w:t>
      </w:r>
      <w:r>
        <w:rPr>
          <w:rFonts w:hint="default" w:ascii="Arial" w:hAnsi="Arial" w:eastAsia="黑体" w:cs="Arial"/>
          <w:color w:val="auto"/>
          <w:szCs w:val="21"/>
          <w:highlight w:val="none"/>
          <w:lang w:eastAsia="zh-CN"/>
        </w:rPr>
        <w:t>陷责任期</w:t>
      </w:r>
    </w:p>
    <w:p w14:paraId="4D431572">
      <w:pPr>
        <w:pStyle w:val="348"/>
        <w:spacing w:line="360" w:lineRule="auto"/>
        <w:ind w:firstLine="420"/>
        <w:rPr>
          <w:rFonts w:hint="default" w:ascii="Arial" w:hAnsi="Arial" w:eastAsia="宋体" w:cs="Arial"/>
          <w:color w:val="auto"/>
          <w:szCs w:val="21"/>
          <w:highlight w:val="none"/>
          <w:lang w:eastAsia="zh-CN"/>
        </w:rPr>
      </w:pPr>
      <w:r>
        <w:rPr>
          <w:rFonts w:hint="default" w:ascii="Arial" w:hAnsi="Arial" w:eastAsia="宋体" w:cs="Arial"/>
          <w:color w:val="auto"/>
          <w:szCs w:val="21"/>
          <w:highlight w:val="none"/>
          <w:lang w:eastAsia="zh-CN"/>
        </w:rPr>
        <w:t>工程缺陷责任期为</w:t>
      </w:r>
      <w:r>
        <w:rPr>
          <w:rFonts w:hint="default" w:ascii="Arial" w:hAnsi="Arial" w:eastAsia="宋体" w:cs="Arial"/>
          <w:color w:val="auto"/>
          <w:szCs w:val="21"/>
          <w:highlight w:val="none"/>
          <w:u w:val="single"/>
          <w:lang w:eastAsia="zh-CN"/>
        </w:rPr>
        <w:t xml:space="preserve">  </w:t>
      </w:r>
      <w:r>
        <w:rPr>
          <w:rFonts w:hint="eastAsia" w:ascii="Arial" w:hAnsi="Arial" w:eastAsia="宋体" w:cs="Arial"/>
          <w:color w:val="auto"/>
          <w:szCs w:val="21"/>
          <w:highlight w:val="none"/>
          <w:u w:val="single"/>
          <w:lang w:val="en-US" w:eastAsia="zh-CN"/>
        </w:rPr>
        <w:t>12</w:t>
      </w:r>
      <w:r>
        <w:rPr>
          <w:rFonts w:hint="default" w:ascii="Arial" w:hAnsi="Arial" w:eastAsia="宋体" w:cs="Arial"/>
          <w:color w:val="auto"/>
          <w:szCs w:val="21"/>
          <w:highlight w:val="none"/>
          <w:u w:val="single"/>
          <w:lang w:eastAsia="zh-CN"/>
        </w:rPr>
        <w:t xml:space="preserve"> </w:t>
      </w:r>
      <w:r>
        <w:rPr>
          <w:rFonts w:hint="default" w:ascii="Arial" w:hAnsi="Arial" w:eastAsia="宋体" w:cs="Arial"/>
          <w:color w:val="auto"/>
          <w:szCs w:val="21"/>
          <w:highlight w:val="none"/>
          <w:lang w:eastAsia="zh-CN"/>
        </w:rPr>
        <w:t>个月（最长不超过24个月），缺陷责任期自工程竣工验收合格之日起计算。单位工程先于全部工程进行验收，单位工程缺陷责任期自单位工程验收合格之日起算。</w:t>
      </w:r>
    </w:p>
    <w:p w14:paraId="42D6FFE8">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auto"/>
          <w:szCs w:val="21"/>
          <w:highlight w:val="none"/>
          <w:lang w:eastAsia="zh-CN"/>
        </w:rPr>
        <w:t>缺陷责任期</w:t>
      </w:r>
      <w:r>
        <w:rPr>
          <w:rFonts w:hint="default" w:ascii="Arial" w:hAnsi="Arial" w:eastAsia="宋体" w:cs="Arial"/>
          <w:color w:val="auto"/>
          <w:szCs w:val="21"/>
          <w:highlight w:val="none"/>
          <w:u w:val="single"/>
          <w:lang w:eastAsia="zh-CN"/>
        </w:rPr>
        <w:t>满</w:t>
      </w:r>
      <w:r>
        <w:rPr>
          <w:rFonts w:hint="default" w:ascii="Arial" w:hAnsi="Arial" w:eastAsia="宋体" w:cs="Arial"/>
          <w:color w:val="auto"/>
          <w:szCs w:val="21"/>
          <w:highlight w:val="none"/>
          <w:lang w:eastAsia="zh-CN"/>
        </w:rPr>
        <w:t>之日起</w:t>
      </w:r>
      <w:r>
        <w:rPr>
          <w:rFonts w:hint="default" w:ascii="Arial" w:hAnsi="Arial" w:eastAsia="宋体" w:cs="Arial"/>
          <w:color w:val="auto"/>
          <w:szCs w:val="21"/>
          <w:highlight w:val="none"/>
          <w:u w:val="single"/>
          <w:lang w:eastAsia="zh-CN"/>
        </w:rPr>
        <w:t xml:space="preserve">  14  </w:t>
      </w:r>
      <w:r>
        <w:rPr>
          <w:rFonts w:hint="default" w:ascii="Arial" w:hAnsi="Arial" w:eastAsia="宋体" w:cs="Arial"/>
          <w:color w:val="auto"/>
          <w:szCs w:val="21"/>
          <w:highlight w:val="none"/>
          <w:lang w:eastAsia="zh-CN"/>
        </w:rPr>
        <w:t>天</w:t>
      </w:r>
      <w:r>
        <w:rPr>
          <w:rFonts w:hint="default" w:ascii="Arial" w:hAnsi="Arial" w:eastAsia="宋体" w:cs="Arial"/>
          <w:color w:val="000000"/>
          <w:szCs w:val="21"/>
          <w:highlight w:val="none"/>
          <w:u w:val="single"/>
          <w:lang w:eastAsia="zh-CN"/>
        </w:rPr>
        <w:t>（按合同约定期限），</w:t>
      </w:r>
      <w:r>
        <w:rPr>
          <w:rFonts w:hint="default" w:ascii="Arial" w:hAnsi="Arial" w:eastAsia="宋体" w:cs="Arial"/>
          <w:color w:val="000000"/>
          <w:szCs w:val="21"/>
          <w:highlight w:val="none"/>
          <w:lang w:eastAsia="zh-CN"/>
        </w:rPr>
        <w:t>发包人应退还剩余的质量保证金。</w:t>
      </w:r>
    </w:p>
    <w:p w14:paraId="543FE169">
      <w:pPr>
        <w:pStyle w:val="348"/>
        <w:spacing w:line="360" w:lineRule="auto"/>
        <w:ind w:firstLine="420"/>
        <w:rPr>
          <w:rFonts w:hint="default" w:ascii="Arial" w:hAnsi="Arial" w:eastAsia="黑体" w:cs="Arial"/>
          <w:color w:val="000000"/>
          <w:szCs w:val="21"/>
          <w:highlight w:val="none"/>
          <w:lang w:eastAsia="zh-CN"/>
        </w:rPr>
      </w:pPr>
      <w:r>
        <w:rPr>
          <w:rFonts w:hint="default" w:ascii="Arial" w:hAnsi="Arial" w:eastAsia="黑体" w:cs="Arial"/>
          <w:color w:val="000000"/>
          <w:szCs w:val="21"/>
          <w:highlight w:val="none"/>
          <w:lang w:eastAsia="zh-CN"/>
        </w:rPr>
        <w:t>四、质量保修责任</w:t>
      </w:r>
    </w:p>
    <w:p w14:paraId="2021B72D">
      <w:pPr>
        <w:pStyle w:val="348"/>
        <w:spacing w:line="360" w:lineRule="auto"/>
        <w:ind w:left="105" w:leftChars="50" w:firstLine="430" w:firstLineChars="205"/>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1．属于保修范围、内容的项目，承包人应当在接到保修通知之日起</w:t>
      </w:r>
      <w:r>
        <w:rPr>
          <w:rFonts w:hint="default" w:ascii="Arial" w:hAnsi="Arial" w:eastAsia="宋体" w:cs="Arial"/>
          <w:color w:val="000000"/>
          <w:szCs w:val="21"/>
          <w:highlight w:val="none"/>
          <w:u w:val="single"/>
          <w:lang w:eastAsia="zh-CN"/>
        </w:rPr>
        <w:t xml:space="preserve"> </w:t>
      </w:r>
      <w:r>
        <w:rPr>
          <w:rFonts w:hint="eastAsia" w:ascii="Arial" w:hAnsi="Arial" w:eastAsia="宋体" w:cs="Arial"/>
          <w:color w:val="000000"/>
          <w:szCs w:val="21"/>
          <w:highlight w:val="none"/>
          <w:u w:val="single"/>
          <w:lang w:val="en-US" w:eastAsia="zh-CN"/>
        </w:rPr>
        <w:t>1</w:t>
      </w:r>
      <w:r>
        <w:rPr>
          <w:rFonts w:hint="default" w:ascii="Arial" w:hAnsi="Arial" w:eastAsia="宋体" w:cs="Arial"/>
          <w:color w:val="000000"/>
          <w:szCs w:val="21"/>
          <w:highlight w:val="none"/>
          <w:u w:val="single"/>
          <w:lang w:eastAsia="zh-CN"/>
        </w:rPr>
        <w:t xml:space="preserve">  </w:t>
      </w:r>
      <w:r>
        <w:rPr>
          <w:rFonts w:hint="default" w:ascii="Arial" w:hAnsi="Arial" w:eastAsia="宋体" w:cs="Arial"/>
          <w:color w:val="000000"/>
          <w:szCs w:val="21"/>
          <w:highlight w:val="none"/>
          <w:lang w:eastAsia="zh-CN"/>
        </w:rPr>
        <w:t>天内派人保修。承包人不在约定期限内派人保修的，发包人可以委托他人修理，修理费用从质量保证金内扣除。</w:t>
      </w:r>
    </w:p>
    <w:p w14:paraId="4F99C603">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2．发生紧急事故需抢修的，承包人在接到事故通知后，应当立即到达事故现场抢修。</w:t>
      </w:r>
    </w:p>
    <w:p w14:paraId="0BFD7E55">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DDD71EB">
      <w:pPr>
        <w:pStyle w:val="348"/>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4．质量保修完成后，由发包人组织验收。</w:t>
      </w:r>
    </w:p>
    <w:p w14:paraId="1688A02D">
      <w:pPr>
        <w:pStyle w:val="348"/>
        <w:spacing w:line="360" w:lineRule="auto"/>
        <w:ind w:firstLine="420"/>
        <w:rPr>
          <w:rFonts w:hint="default" w:ascii="Arial" w:hAnsi="Arial" w:eastAsia="黑体" w:cs="Arial"/>
          <w:color w:val="000000"/>
          <w:szCs w:val="21"/>
          <w:highlight w:val="none"/>
          <w:lang w:eastAsia="zh-CN"/>
        </w:rPr>
      </w:pPr>
      <w:r>
        <w:rPr>
          <w:rFonts w:hint="default" w:ascii="Arial" w:hAnsi="Arial" w:eastAsia="黑体" w:cs="Arial"/>
          <w:color w:val="000000"/>
          <w:szCs w:val="21"/>
          <w:highlight w:val="none"/>
          <w:lang w:eastAsia="zh-CN"/>
        </w:rPr>
        <w:t>五、保修费用</w:t>
      </w:r>
    </w:p>
    <w:p w14:paraId="056D59D4">
      <w:pPr>
        <w:pStyle w:val="348"/>
        <w:tabs>
          <w:tab w:val="left" w:pos="7380"/>
        </w:tabs>
        <w:spacing w:line="360" w:lineRule="auto"/>
        <w:ind w:firstLine="42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保修费用由造成质量缺陷的责任方承担。</w:t>
      </w:r>
    </w:p>
    <w:p w14:paraId="7F165818">
      <w:pPr>
        <w:pStyle w:val="348"/>
        <w:spacing w:line="360" w:lineRule="auto"/>
        <w:ind w:firstLine="420"/>
        <w:rPr>
          <w:rFonts w:hint="default" w:ascii="Arial" w:hAnsi="Arial" w:eastAsia="黑体" w:cs="Arial"/>
          <w:color w:val="000000"/>
          <w:szCs w:val="21"/>
          <w:highlight w:val="none"/>
          <w:lang w:eastAsia="zh-CN"/>
        </w:rPr>
      </w:pPr>
      <w:r>
        <w:rPr>
          <w:rFonts w:hint="default" w:ascii="Arial" w:hAnsi="Arial" w:eastAsia="黑体" w:cs="Arial"/>
          <w:color w:val="000000"/>
          <w:szCs w:val="21"/>
          <w:highlight w:val="none"/>
          <w:lang w:eastAsia="zh-CN"/>
        </w:rPr>
        <w:t xml:space="preserve">六、双方约定的其他工程质量保修事项： </w:t>
      </w:r>
    </w:p>
    <w:p w14:paraId="1ACFF03F">
      <w:pPr>
        <w:pStyle w:val="348"/>
        <w:spacing w:line="360" w:lineRule="auto"/>
        <w:ind w:firstLine="420" w:firstLineChars="20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u w:val="single"/>
          <w:lang w:eastAsia="zh-CN"/>
        </w:rPr>
        <w:t xml:space="preserve">                                                                                                                                            </w:t>
      </w:r>
      <w:r>
        <w:rPr>
          <w:rFonts w:hint="default" w:ascii="Arial" w:hAnsi="Arial" w:eastAsia="宋体" w:cs="Arial"/>
          <w:color w:val="000000"/>
          <w:szCs w:val="21"/>
          <w:highlight w:val="none"/>
          <w:lang w:eastAsia="zh-CN"/>
        </w:rPr>
        <w:t>。</w:t>
      </w:r>
    </w:p>
    <w:p w14:paraId="3626B1B9">
      <w:pPr>
        <w:pStyle w:val="348"/>
        <w:spacing w:line="360" w:lineRule="auto"/>
        <w:ind w:firstLine="399" w:firstLineChars="190"/>
        <w:rPr>
          <w:rFonts w:hint="default" w:ascii="Arial" w:hAnsi="Arial" w:eastAsia="宋体" w:cs="Arial"/>
          <w:color w:val="000000"/>
          <w:szCs w:val="21"/>
          <w:highlight w:val="none"/>
          <w:lang w:eastAsia="zh-CN"/>
        </w:rPr>
      </w:pPr>
      <w:r>
        <w:rPr>
          <w:rFonts w:hint="default" w:ascii="Arial" w:hAnsi="Arial" w:eastAsia="宋体" w:cs="Arial"/>
          <w:color w:val="000000"/>
          <w:szCs w:val="21"/>
          <w:highlight w:val="none"/>
          <w:lang w:eastAsia="zh-CN"/>
        </w:rPr>
        <w:t>工程质量保修书由发包人、承包人在工程竣工验收前共同签署，作为施工合同附件，其有效期限至保修期满。</w:t>
      </w:r>
    </w:p>
    <w:p w14:paraId="382DD327">
      <w:pPr>
        <w:spacing w:line="360" w:lineRule="auto"/>
        <w:ind w:firstLine="420"/>
        <w:rPr>
          <w:rFonts w:ascii="宋体"/>
          <w:color w:val="auto"/>
          <w:highlight w:val="none"/>
        </w:rPr>
      </w:pPr>
    </w:p>
    <w:p w14:paraId="210F8EEB">
      <w:pPr>
        <w:spacing w:line="360" w:lineRule="auto"/>
        <w:rPr>
          <w:rFonts w:hint="eastAsia" w:eastAsia="宋体"/>
          <w:color w:val="auto"/>
          <w:highlight w:val="none"/>
          <w:lang w:eastAsia="zh-CN"/>
        </w:rPr>
      </w:pPr>
      <w:r>
        <w:rPr>
          <w:rFonts w:hAnsi="宋体"/>
          <w:color w:val="auto"/>
          <w:highlight w:val="none"/>
        </w:rPr>
        <w:t>发包人</w:t>
      </w:r>
      <w:r>
        <w:rPr>
          <w:rFonts w:hint="eastAsia"/>
          <w:color w:val="auto"/>
          <w:highlight w:val="none"/>
        </w:rPr>
        <w:t>（</w:t>
      </w:r>
      <w:r>
        <w:rPr>
          <w:rFonts w:hAnsi="宋体"/>
          <w:color w:val="auto"/>
          <w:highlight w:val="none"/>
        </w:rPr>
        <w:t>公章</w:t>
      </w:r>
      <w:r>
        <w:rPr>
          <w:rFonts w:hint="eastAsia"/>
          <w:color w:val="auto"/>
          <w:highlight w:val="none"/>
        </w:rPr>
        <w:t>）</w:t>
      </w:r>
      <w:r>
        <w:rPr>
          <w:rFonts w:hAnsi="宋体"/>
          <w:color w:val="auto"/>
          <w:highlight w:val="none"/>
        </w:rPr>
        <w:t>：</w:t>
      </w:r>
      <w:r>
        <w:rPr>
          <w:color w:val="auto"/>
          <w:highlight w:val="none"/>
          <w:u w:val="single"/>
        </w:rPr>
        <w:t xml:space="preserve"> </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承包人</w:t>
      </w:r>
      <w:r>
        <w:rPr>
          <w:rFonts w:hint="eastAsia"/>
          <w:color w:val="auto"/>
          <w:highlight w:val="none"/>
        </w:rPr>
        <w:t>（</w:t>
      </w:r>
      <w:r>
        <w:rPr>
          <w:rFonts w:hAnsi="宋体"/>
          <w:color w:val="auto"/>
          <w:highlight w:val="none"/>
        </w:rPr>
        <w:t>公章</w:t>
      </w:r>
      <w:r>
        <w:rPr>
          <w:rFonts w:hint="eastAsia"/>
          <w:color w:val="auto"/>
          <w:highlight w:val="none"/>
        </w:rPr>
        <w:t>）</w:t>
      </w:r>
      <w:r>
        <w:rPr>
          <w:rFonts w:hAnsi="宋体"/>
          <w:color w:val="auto"/>
          <w:highlight w:val="none"/>
        </w:rPr>
        <w:t>：</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ascii="宋体" w:hAnsi="宋体"/>
          <w:color w:val="auto"/>
          <w:highlight w:val="none"/>
          <w:u w:val="single"/>
          <w:lang w:eastAsia="zh-CN"/>
        </w:rPr>
        <w:t xml:space="preserve">  </w:t>
      </w:r>
    </w:p>
    <w:p w14:paraId="12C890E7">
      <w:pPr>
        <w:spacing w:line="360" w:lineRule="auto"/>
        <w:rPr>
          <w:rFonts w:hint="eastAsia" w:eastAsia="宋体"/>
          <w:color w:val="auto"/>
          <w:highlight w:val="none"/>
          <w:lang w:eastAsia="zh-CN"/>
        </w:rPr>
      </w:pPr>
      <w:r>
        <w:rPr>
          <w:rFonts w:hAnsi="宋体"/>
          <w:color w:val="auto"/>
          <w:highlight w:val="none"/>
        </w:rPr>
        <w:t>地</w:t>
      </w:r>
      <w:r>
        <w:rPr>
          <w:color w:val="auto"/>
          <w:highlight w:val="none"/>
        </w:rPr>
        <w:t xml:space="preserve">  </w:t>
      </w:r>
      <w:r>
        <w:rPr>
          <w:rFonts w:hAnsi="宋体"/>
          <w:color w:val="auto"/>
          <w:highlight w:val="none"/>
        </w:rPr>
        <w:t>址：</w:t>
      </w:r>
      <w:r>
        <w:rPr>
          <w:color w:val="auto"/>
          <w:highlight w:val="none"/>
          <w:u w:val="single"/>
        </w:rPr>
        <w:t xml:space="preserve"> </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地</w:t>
      </w:r>
      <w:r>
        <w:rPr>
          <w:color w:val="auto"/>
          <w:highlight w:val="none"/>
        </w:rPr>
        <w:t xml:space="preserve">  </w:t>
      </w:r>
      <w:r>
        <w:rPr>
          <w:rFonts w:hAnsi="宋体"/>
          <w:color w:val="auto"/>
          <w:highlight w:val="none"/>
        </w:rPr>
        <w:t>址：</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color w:val="auto"/>
          <w:highlight w:val="none"/>
          <w:u w:val="single"/>
        </w:rPr>
        <w:t xml:space="preserve">     </w:t>
      </w:r>
      <w:r>
        <w:rPr>
          <w:rFonts w:hint="eastAsia" w:ascii="宋体" w:hAnsi="宋体"/>
          <w:color w:val="auto"/>
          <w:highlight w:val="none"/>
          <w:u w:val="single"/>
          <w:lang w:eastAsia="zh-CN"/>
        </w:rPr>
        <w:t xml:space="preserve">  </w:t>
      </w:r>
    </w:p>
    <w:p w14:paraId="6D1BB31F">
      <w:pPr>
        <w:spacing w:line="360" w:lineRule="auto"/>
        <w:rPr>
          <w:rFonts w:hint="eastAsia" w:eastAsia="宋体"/>
          <w:color w:val="auto"/>
          <w:highlight w:val="none"/>
          <w:lang w:eastAsia="zh-CN"/>
        </w:rPr>
      </w:pPr>
      <w:r>
        <w:rPr>
          <w:rFonts w:hAnsi="宋体"/>
          <w:color w:val="auto"/>
          <w:highlight w:val="none"/>
        </w:rPr>
        <w:t>法定代表人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hint="eastAsia" w:ascii="宋体" w:hAnsi="宋体"/>
          <w:color w:val="auto"/>
          <w:highlight w:val="none"/>
          <w:u w:val="single"/>
          <w:lang w:eastAsia="zh-CN"/>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法定代表人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  </w:t>
      </w:r>
    </w:p>
    <w:p w14:paraId="1C1858A6">
      <w:pPr>
        <w:spacing w:line="360" w:lineRule="auto"/>
        <w:rPr>
          <w:rFonts w:hint="eastAsia" w:eastAsia="宋体"/>
          <w:color w:val="auto"/>
          <w:highlight w:val="none"/>
          <w:lang w:eastAsia="zh-CN"/>
        </w:rPr>
      </w:pPr>
      <w:r>
        <w:rPr>
          <w:rFonts w:hAnsi="宋体"/>
          <w:color w:val="auto"/>
          <w:highlight w:val="none"/>
        </w:rPr>
        <w:t>委托代理人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hint="eastAsia" w:ascii="宋体" w:hAnsi="宋体"/>
          <w:color w:val="auto"/>
          <w:highlight w:val="none"/>
          <w:u w:val="single"/>
          <w:lang w:eastAsia="zh-CN"/>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委托代理人</w:t>
      </w:r>
      <w:r>
        <w:rPr>
          <w:rFonts w:hint="eastAsia"/>
          <w:color w:val="auto"/>
          <w:highlight w:val="none"/>
        </w:rPr>
        <w:t>（</w:t>
      </w:r>
      <w:r>
        <w:rPr>
          <w:rFonts w:hAnsi="宋体"/>
          <w:color w:val="auto"/>
          <w:highlight w:val="none"/>
        </w:rPr>
        <w:t>签字</w:t>
      </w:r>
      <w:r>
        <w:rPr>
          <w:rFonts w:hint="eastAsia"/>
          <w:color w:val="auto"/>
          <w:highlight w:val="none"/>
        </w:rPr>
        <w:t>）</w:t>
      </w:r>
      <w:r>
        <w:rPr>
          <w:rFonts w:hAnsi="宋体"/>
          <w:color w:val="auto"/>
          <w:highlight w:val="none"/>
        </w:rPr>
        <w:t>：</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  </w:t>
      </w:r>
    </w:p>
    <w:p w14:paraId="327C23A9">
      <w:pPr>
        <w:spacing w:line="360" w:lineRule="auto"/>
        <w:rPr>
          <w:rFonts w:hint="eastAsia" w:eastAsia="宋体"/>
          <w:color w:val="auto"/>
          <w:highlight w:val="none"/>
          <w:lang w:eastAsia="zh-CN"/>
        </w:rPr>
      </w:pPr>
      <w:r>
        <w:rPr>
          <w:rFonts w:hAnsi="宋体"/>
          <w:color w:val="auto"/>
          <w:highlight w:val="none"/>
        </w:rPr>
        <w:t>电</w:t>
      </w:r>
      <w:r>
        <w:rPr>
          <w:color w:val="auto"/>
          <w:highlight w:val="none"/>
        </w:rPr>
        <w:t xml:space="preserve">  </w:t>
      </w:r>
      <w:r>
        <w:rPr>
          <w:rFonts w:hAnsi="宋体"/>
          <w:color w:val="auto"/>
          <w:highlight w:val="none"/>
        </w:rPr>
        <w:t>话：</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电</w:t>
      </w:r>
      <w:r>
        <w:rPr>
          <w:color w:val="auto"/>
          <w:highlight w:val="none"/>
        </w:rPr>
        <w:t xml:space="preserve">  </w:t>
      </w:r>
      <w:r>
        <w:rPr>
          <w:rFonts w:hAnsi="宋体"/>
          <w:color w:val="auto"/>
          <w:highlight w:val="none"/>
        </w:rPr>
        <w:t>话：</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  </w:t>
      </w:r>
    </w:p>
    <w:p w14:paraId="44BEF6B2">
      <w:pPr>
        <w:spacing w:line="360" w:lineRule="auto"/>
        <w:rPr>
          <w:rFonts w:hint="eastAsia" w:eastAsia="宋体"/>
          <w:color w:val="auto"/>
          <w:highlight w:val="none"/>
          <w:lang w:eastAsia="zh-CN"/>
        </w:rPr>
      </w:pPr>
      <w:r>
        <w:rPr>
          <w:rFonts w:hAnsi="宋体"/>
          <w:color w:val="auto"/>
          <w:highlight w:val="none"/>
        </w:rPr>
        <w:t>传</w:t>
      </w:r>
      <w:r>
        <w:rPr>
          <w:color w:val="auto"/>
          <w:highlight w:val="none"/>
        </w:rPr>
        <w:t xml:space="preserve">  </w:t>
      </w:r>
      <w:r>
        <w:rPr>
          <w:rFonts w:hAnsi="宋体"/>
          <w:color w:val="auto"/>
          <w:highlight w:val="none"/>
        </w:rPr>
        <w:t>真：</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传</w:t>
      </w:r>
      <w:r>
        <w:rPr>
          <w:color w:val="auto"/>
          <w:highlight w:val="none"/>
        </w:rPr>
        <w:t xml:space="preserve">  </w:t>
      </w:r>
      <w:r>
        <w:rPr>
          <w:rFonts w:hAnsi="宋体"/>
          <w:color w:val="auto"/>
          <w:highlight w:val="none"/>
        </w:rPr>
        <w:t>真：</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color w:val="auto"/>
          <w:highlight w:val="none"/>
          <w:u w:val="single"/>
        </w:rPr>
        <w:t xml:space="preserve">  </w:t>
      </w:r>
      <w:r>
        <w:rPr>
          <w:rFonts w:hint="eastAsia" w:ascii="宋体" w:hAnsi="宋体"/>
          <w:color w:val="auto"/>
          <w:highlight w:val="none"/>
          <w:u w:val="single"/>
          <w:lang w:eastAsia="zh-CN"/>
        </w:rPr>
        <w:t xml:space="preserve">  </w:t>
      </w:r>
    </w:p>
    <w:p w14:paraId="4F240300">
      <w:pPr>
        <w:spacing w:line="360" w:lineRule="auto"/>
        <w:rPr>
          <w:rFonts w:hint="eastAsia" w:eastAsia="宋体"/>
          <w:color w:val="auto"/>
          <w:highlight w:val="none"/>
          <w:lang w:eastAsia="zh-CN"/>
        </w:rPr>
      </w:pPr>
      <w:r>
        <w:rPr>
          <w:rFonts w:hAnsi="宋体"/>
          <w:color w:val="auto"/>
          <w:highlight w:val="none"/>
        </w:rPr>
        <w:t>开户银行：</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开户银行：</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    </w:t>
      </w:r>
    </w:p>
    <w:p w14:paraId="21215002">
      <w:pPr>
        <w:tabs>
          <w:tab w:val="left" w:pos="2880"/>
          <w:tab w:val="left" w:pos="3060"/>
          <w:tab w:val="left" w:pos="4500"/>
        </w:tabs>
        <w:spacing w:line="360" w:lineRule="auto"/>
        <w:rPr>
          <w:rFonts w:hint="eastAsia" w:eastAsia="宋体"/>
          <w:color w:val="auto"/>
          <w:highlight w:val="none"/>
          <w:lang w:eastAsia="zh-CN"/>
        </w:rPr>
      </w:pPr>
      <w:r>
        <w:rPr>
          <w:rFonts w:hAnsi="宋体"/>
          <w:color w:val="auto"/>
          <w:highlight w:val="none"/>
        </w:rPr>
        <w:t>账</w:t>
      </w:r>
      <w:r>
        <w:rPr>
          <w:color w:val="auto"/>
          <w:highlight w:val="none"/>
        </w:rPr>
        <w:t xml:space="preserve">  </w:t>
      </w:r>
      <w:r>
        <w:rPr>
          <w:rFonts w:hAnsi="宋体"/>
          <w:color w:val="auto"/>
          <w:highlight w:val="none"/>
        </w:rPr>
        <w:t>号：</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ascii="宋体" w:hAnsi="宋体"/>
          <w:color w:val="auto"/>
          <w:highlight w:val="none"/>
          <w:u w:val="single"/>
          <w:lang w:eastAsia="zh-CN"/>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账</w:t>
      </w:r>
      <w:r>
        <w:rPr>
          <w:color w:val="auto"/>
          <w:highlight w:val="none"/>
        </w:rPr>
        <w:t xml:space="preserve">  </w:t>
      </w:r>
      <w:r>
        <w:rPr>
          <w:rFonts w:hAnsi="宋体"/>
          <w:color w:val="auto"/>
          <w:highlight w:val="none"/>
        </w:rPr>
        <w:t>号：</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  </w:t>
      </w:r>
    </w:p>
    <w:p w14:paraId="4BB643BF">
      <w:pPr>
        <w:spacing w:line="360" w:lineRule="auto"/>
        <w:rPr>
          <w:rFonts w:ascii="宋体"/>
          <w:color w:val="auto"/>
          <w:highlight w:val="none"/>
          <w:u w:val="single"/>
        </w:rPr>
      </w:pPr>
      <w:r>
        <w:rPr>
          <w:rFonts w:hAnsi="宋体"/>
          <w:color w:val="auto"/>
          <w:highlight w:val="none"/>
        </w:rPr>
        <w:t>邮政编码：</w:t>
      </w:r>
      <w:r>
        <w:rPr>
          <w:color w:val="auto"/>
          <w:highlight w:val="none"/>
          <w:u w:val="single"/>
        </w:rPr>
        <w:t xml:space="preserve"> </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color w:val="auto"/>
          <w:highlight w:val="none"/>
          <w:u w:val="single"/>
        </w:rPr>
        <w:t xml:space="preserve">    </w:t>
      </w:r>
      <w:r>
        <w:rPr>
          <w:color w:val="auto"/>
          <w:highlight w:val="none"/>
        </w:rPr>
        <w:t xml:space="preserve"> </w:t>
      </w:r>
      <w:r>
        <w:rPr>
          <w:rFonts w:hint="eastAsia"/>
          <w:color w:val="auto"/>
          <w:highlight w:val="none"/>
        </w:rPr>
        <w:t xml:space="preserve">             </w:t>
      </w:r>
      <w:r>
        <w:rPr>
          <w:rFonts w:hAnsi="宋体"/>
          <w:color w:val="auto"/>
          <w:highlight w:val="none"/>
        </w:rPr>
        <w:t>邮政编码：</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  </w:t>
      </w:r>
      <w:r>
        <w:rPr>
          <w:rFonts w:hint="eastAsia" w:ascii="宋体" w:hAnsi="宋体"/>
          <w:color w:val="auto"/>
          <w:highlight w:val="none"/>
          <w:u w:val="single"/>
        </w:rPr>
        <w:t xml:space="preserve"> </w:t>
      </w:r>
    </w:p>
    <w:p w14:paraId="068205D3">
      <w:pPr>
        <w:spacing w:line="360" w:lineRule="auto"/>
        <w:rPr>
          <w:rFonts w:ascii="宋体"/>
          <w:color w:val="auto"/>
          <w:highlight w:val="none"/>
        </w:rPr>
      </w:pPr>
    </w:p>
    <w:p w14:paraId="523058BC">
      <w:pPr>
        <w:spacing w:line="360" w:lineRule="auto"/>
        <w:rPr>
          <w:rFonts w:ascii="宋体"/>
          <w:color w:val="auto"/>
          <w:highlight w:val="none"/>
        </w:rPr>
      </w:pPr>
    </w:p>
    <w:p w14:paraId="7B40CC1F">
      <w:pPr>
        <w:pStyle w:val="5"/>
        <w:jc w:val="both"/>
        <w:rPr>
          <w:rFonts w:eastAsia="黑体"/>
          <w:color w:val="auto"/>
          <w:sz w:val="30"/>
          <w:szCs w:val="30"/>
          <w:highlight w:val="none"/>
        </w:rPr>
      </w:pPr>
      <w:r>
        <w:rPr>
          <w:rFonts w:eastAsia="仿宋_GB2312" w:cs="仿宋_GB2312"/>
          <w:color w:val="auto"/>
          <w:sz w:val="30"/>
          <w:szCs w:val="30"/>
          <w:highlight w:val="none"/>
        </w:rPr>
        <w:br w:type="page"/>
      </w:r>
      <w:r>
        <w:rPr>
          <w:rFonts w:hint="eastAsia" w:ascii="仿宋_GB2312" w:eastAsia="仿宋_GB2312" w:cs="仿宋_GB2312"/>
          <w:color w:val="auto"/>
          <w:sz w:val="30"/>
          <w:szCs w:val="30"/>
          <w:highlight w:val="none"/>
        </w:rPr>
        <w:t>附件3：</w:t>
      </w:r>
      <w:r>
        <w:rPr>
          <w:rFonts w:hint="eastAsia" w:ascii="仿宋_GB2312" w:hAnsi="Arial" w:eastAsia="仿宋_GB2312" w:cs="仿宋_GB2312"/>
          <w:color w:val="auto"/>
          <w:sz w:val="30"/>
          <w:szCs w:val="30"/>
          <w:highlight w:val="none"/>
          <w:lang w:val="en-US" w:eastAsia="zh-CN"/>
        </w:rPr>
        <w:t>主要</w:t>
      </w:r>
      <w:r>
        <w:rPr>
          <w:rFonts w:hint="eastAsia" w:ascii="仿宋_GB2312" w:eastAsia="仿宋_GB2312" w:cs="仿宋_GB2312"/>
          <w:color w:val="auto"/>
          <w:sz w:val="30"/>
          <w:szCs w:val="30"/>
          <w:highlight w:val="none"/>
          <w:lang w:val="en-US" w:eastAsia="zh-CN"/>
        </w:rPr>
        <w:t>建设工程文件目录</w:t>
      </w:r>
    </w:p>
    <w:p w14:paraId="6FED49F1">
      <w:pPr>
        <w:spacing w:before="120" w:beforeLines="50" w:after="120" w:afterLines="50" w:line="440" w:lineRule="exact"/>
        <w:jc w:val="center"/>
        <w:rPr>
          <w:rFonts w:eastAsia="黑体"/>
          <w:color w:val="auto"/>
          <w:sz w:val="30"/>
          <w:szCs w:val="30"/>
          <w:highlight w:val="none"/>
        </w:rPr>
      </w:pPr>
      <w:r>
        <w:rPr>
          <w:rFonts w:eastAsia="黑体"/>
          <w:color w:val="auto"/>
          <w:sz w:val="30"/>
          <w:szCs w:val="30"/>
          <w:highlight w:val="none"/>
        </w:rPr>
        <w:t>主要建设工程文件目录</w:t>
      </w:r>
    </w:p>
    <w:tbl>
      <w:tblPr>
        <w:tblStyle w:val="5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8864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1BFD34A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30"/>
                <w:highlight w:val="none"/>
              </w:rPr>
            </w:pPr>
            <w:r>
              <w:rPr>
                <w:rFonts w:hint="default" w:ascii="Calibri" w:hAnsi="Calibri" w:eastAsia="仿宋_GB2312" w:cs="Times New Roman"/>
                <w:color w:val="auto"/>
                <w:sz w:val="28"/>
                <w:szCs w:val="30"/>
                <w:highlight w:val="none"/>
              </w:rPr>
              <w:t>文件名称</w:t>
            </w:r>
          </w:p>
        </w:tc>
        <w:tc>
          <w:tcPr>
            <w:tcW w:w="1276" w:type="dxa"/>
            <w:tcBorders>
              <w:top w:val="single" w:color="auto" w:sz="12" w:space="0"/>
              <w:bottom w:val="double" w:color="auto" w:sz="6" w:space="0"/>
            </w:tcBorders>
            <w:noWrap w:val="0"/>
            <w:vAlign w:val="center"/>
          </w:tcPr>
          <w:p w14:paraId="22866F5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30"/>
                <w:highlight w:val="none"/>
              </w:rPr>
            </w:pPr>
            <w:r>
              <w:rPr>
                <w:rFonts w:hint="default" w:ascii="Calibri" w:hAnsi="Calibri" w:eastAsia="仿宋_GB2312" w:cs="Times New Roman"/>
                <w:color w:val="auto"/>
                <w:sz w:val="28"/>
                <w:szCs w:val="30"/>
                <w:highlight w:val="none"/>
              </w:rPr>
              <w:t>套数</w:t>
            </w:r>
          </w:p>
        </w:tc>
        <w:tc>
          <w:tcPr>
            <w:tcW w:w="1450" w:type="dxa"/>
            <w:tcBorders>
              <w:top w:val="single" w:color="auto" w:sz="12" w:space="0"/>
              <w:bottom w:val="double" w:color="auto" w:sz="6" w:space="0"/>
            </w:tcBorders>
            <w:noWrap w:val="0"/>
            <w:vAlign w:val="center"/>
          </w:tcPr>
          <w:p w14:paraId="5050D89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30"/>
                <w:highlight w:val="none"/>
              </w:rPr>
            </w:pPr>
            <w:r>
              <w:rPr>
                <w:rFonts w:hint="default" w:ascii="Calibri" w:hAnsi="Calibri" w:eastAsia="仿宋_GB2312" w:cs="Times New Roman"/>
                <w:color w:val="auto"/>
                <w:sz w:val="28"/>
                <w:szCs w:val="30"/>
                <w:highlight w:val="none"/>
              </w:rPr>
              <w:t>费用</w:t>
            </w:r>
            <w:r>
              <w:rPr>
                <w:rFonts w:hint="eastAsia" w:ascii="Calibri" w:hAnsi="Calibri" w:eastAsia="仿宋_GB2312" w:cs="Times New Roman"/>
                <w:color w:val="auto"/>
                <w:sz w:val="28"/>
                <w:szCs w:val="30"/>
                <w:highlight w:val="none"/>
              </w:rPr>
              <w:t>（元）</w:t>
            </w:r>
          </w:p>
        </w:tc>
        <w:tc>
          <w:tcPr>
            <w:tcW w:w="1243" w:type="dxa"/>
            <w:tcBorders>
              <w:top w:val="single" w:color="auto" w:sz="12" w:space="0"/>
              <w:bottom w:val="double" w:color="auto" w:sz="6" w:space="0"/>
            </w:tcBorders>
            <w:noWrap w:val="0"/>
            <w:vAlign w:val="center"/>
          </w:tcPr>
          <w:p w14:paraId="1992904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30"/>
                <w:highlight w:val="none"/>
              </w:rPr>
            </w:pPr>
            <w:r>
              <w:rPr>
                <w:rFonts w:hint="default" w:ascii="Calibri" w:hAnsi="Calibri" w:eastAsia="仿宋_GB2312" w:cs="Times New Roman"/>
                <w:color w:val="auto"/>
                <w:sz w:val="28"/>
                <w:szCs w:val="30"/>
                <w:highlight w:val="none"/>
              </w:rPr>
              <w:t>质量</w:t>
            </w:r>
          </w:p>
        </w:tc>
        <w:tc>
          <w:tcPr>
            <w:tcW w:w="1450" w:type="dxa"/>
            <w:tcBorders>
              <w:top w:val="single" w:color="auto" w:sz="12" w:space="0"/>
              <w:bottom w:val="double" w:color="auto" w:sz="6" w:space="0"/>
            </w:tcBorders>
            <w:noWrap w:val="0"/>
            <w:vAlign w:val="top"/>
          </w:tcPr>
          <w:p w14:paraId="00FFECAF">
            <w:pPr>
              <w:keepNext w:val="0"/>
              <w:keepLines w:val="0"/>
              <w:suppressLineNumbers w:val="0"/>
              <w:spacing w:before="0" w:beforeAutospacing="0" w:after="0" w:afterAutospacing="0" w:line="440" w:lineRule="exact"/>
              <w:ind w:left="0" w:right="0"/>
              <w:jc w:val="center"/>
              <w:rPr>
                <w:rFonts w:hint="default" w:ascii="Calibri" w:hAnsi="Calibri" w:eastAsia="仿宋_GB2312" w:cs="Times New Roman"/>
                <w:color w:val="auto"/>
                <w:sz w:val="28"/>
                <w:szCs w:val="30"/>
                <w:highlight w:val="none"/>
              </w:rPr>
            </w:pPr>
            <w:r>
              <w:rPr>
                <w:rFonts w:hint="default" w:ascii="Calibri" w:hAnsi="Calibri" w:eastAsia="仿宋_GB2312" w:cs="Times New Roman"/>
                <w:color w:val="auto"/>
                <w:sz w:val="28"/>
                <w:szCs w:val="30"/>
                <w:highlight w:val="none"/>
              </w:rPr>
              <w:t>移交时间</w:t>
            </w:r>
          </w:p>
        </w:tc>
        <w:tc>
          <w:tcPr>
            <w:tcW w:w="1667" w:type="dxa"/>
            <w:tcBorders>
              <w:top w:val="single" w:color="auto" w:sz="12" w:space="0"/>
              <w:bottom w:val="double" w:color="auto" w:sz="6" w:space="0"/>
            </w:tcBorders>
            <w:noWrap w:val="0"/>
            <w:vAlign w:val="top"/>
          </w:tcPr>
          <w:p w14:paraId="497DCE60">
            <w:pPr>
              <w:keepNext w:val="0"/>
              <w:keepLines w:val="0"/>
              <w:suppressLineNumbers w:val="0"/>
              <w:spacing w:before="0" w:beforeAutospacing="0" w:after="0" w:afterAutospacing="0" w:line="440" w:lineRule="exact"/>
              <w:ind w:left="0" w:right="0"/>
              <w:jc w:val="center"/>
              <w:rPr>
                <w:rFonts w:hint="default" w:ascii="Calibri" w:hAnsi="Calibri" w:eastAsia="仿宋_GB2312" w:cs="Times New Roman"/>
                <w:color w:val="auto"/>
                <w:sz w:val="28"/>
                <w:szCs w:val="30"/>
                <w:highlight w:val="none"/>
              </w:rPr>
            </w:pPr>
            <w:r>
              <w:rPr>
                <w:rFonts w:hint="default" w:ascii="Calibri" w:hAnsi="Calibri" w:eastAsia="仿宋_GB2312" w:cs="Times New Roman"/>
                <w:color w:val="auto"/>
                <w:sz w:val="28"/>
                <w:szCs w:val="30"/>
                <w:highlight w:val="none"/>
              </w:rPr>
              <w:t>责任人</w:t>
            </w:r>
          </w:p>
        </w:tc>
      </w:tr>
      <w:tr w14:paraId="4E1A5E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4C6F63C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tcBorders>
              <w:top w:val="double" w:color="auto" w:sz="6" w:space="0"/>
              <w:bottom w:val="single" w:color="auto" w:sz="6" w:space="0"/>
            </w:tcBorders>
            <w:noWrap w:val="0"/>
            <w:vAlign w:val="center"/>
          </w:tcPr>
          <w:p w14:paraId="4FB4B3D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tcBorders>
              <w:top w:val="double" w:color="auto" w:sz="6" w:space="0"/>
              <w:bottom w:val="single" w:color="auto" w:sz="6" w:space="0"/>
            </w:tcBorders>
            <w:noWrap w:val="0"/>
            <w:vAlign w:val="center"/>
          </w:tcPr>
          <w:p w14:paraId="74AE163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tcBorders>
              <w:top w:val="double" w:color="auto" w:sz="6" w:space="0"/>
              <w:bottom w:val="single" w:color="auto" w:sz="6" w:space="0"/>
            </w:tcBorders>
            <w:noWrap w:val="0"/>
            <w:vAlign w:val="center"/>
          </w:tcPr>
          <w:p w14:paraId="7C1D25E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tcBorders>
              <w:top w:val="double" w:color="auto" w:sz="6" w:space="0"/>
              <w:bottom w:val="single" w:color="auto" w:sz="6" w:space="0"/>
            </w:tcBorders>
            <w:noWrap w:val="0"/>
            <w:vAlign w:val="center"/>
          </w:tcPr>
          <w:p w14:paraId="61B352C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tcBorders>
              <w:top w:val="double" w:color="auto" w:sz="6" w:space="0"/>
              <w:bottom w:val="single" w:color="auto" w:sz="6" w:space="0"/>
            </w:tcBorders>
            <w:noWrap w:val="0"/>
            <w:vAlign w:val="center"/>
          </w:tcPr>
          <w:p w14:paraId="04E6EFB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1BD5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1697A3D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tcBorders>
              <w:top w:val="nil"/>
            </w:tcBorders>
            <w:noWrap w:val="0"/>
            <w:vAlign w:val="center"/>
          </w:tcPr>
          <w:p w14:paraId="00CF9B5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tcBorders>
              <w:top w:val="nil"/>
            </w:tcBorders>
            <w:noWrap w:val="0"/>
            <w:vAlign w:val="center"/>
          </w:tcPr>
          <w:p w14:paraId="03D4A26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tcBorders>
              <w:top w:val="nil"/>
            </w:tcBorders>
            <w:noWrap w:val="0"/>
            <w:vAlign w:val="center"/>
          </w:tcPr>
          <w:p w14:paraId="74F0DD0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tcBorders>
              <w:top w:val="nil"/>
            </w:tcBorders>
            <w:noWrap w:val="0"/>
            <w:vAlign w:val="center"/>
          </w:tcPr>
          <w:p w14:paraId="2D254A8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tcBorders>
              <w:top w:val="nil"/>
            </w:tcBorders>
            <w:noWrap w:val="0"/>
            <w:vAlign w:val="center"/>
          </w:tcPr>
          <w:p w14:paraId="20831EC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852C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center"/>
          </w:tcPr>
          <w:p w14:paraId="5788A3D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6841CEC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7052747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3D1DFAD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5610F7E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3C7798C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3B78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D4C9A0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3BD7E3F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0087F6B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762C730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6519563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0D5EF60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50553F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C21C9A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021ADF1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7972FCB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5D260C0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185A252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36F6261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E9D1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A263B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318304B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58BBB88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2EEF3E5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506BA5C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6448D5E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6EF5DD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2F8307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7F8594C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538B63D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30585BC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5002CCA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55A36A8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D56F0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DD8326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53EA669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7B50D01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1B2D0DE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36DCBC2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6C5B8A2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9240E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468084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5BDE9E1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54FC4B6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124BB73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2D3CE9B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5743789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5F026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F66692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76" w:type="dxa"/>
            <w:noWrap w:val="0"/>
            <w:vAlign w:val="center"/>
          </w:tcPr>
          <w:p w14:paraId="72B3DF9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375F456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243" w:type="dxa"/>
            <w:noWrap w:val="0"/>
            <w:vAlign w:val="center"/>
          </w:tcPr>
          <w:p w14:paraId="332671E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50" w:type="dxa"/>
            <w:noWrap w:val="0"/>
            <w:vAlign w:val="center"/>
          </w:tcPr>
          <w:p w14:paraId="0BC09DA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667" w:type="dxa"/>
            <w:noWrap w:val="0"/>
            <w:vAlign w:val="center"/>
          </w:tcPr>
          <w:p w14:paraId="106D918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9BAD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225A87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50A5623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34A6399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5B90382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57B0FAD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48A3CEB5">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630B3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2C5C3B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32B59F0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52E4433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0DA56CE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3EAF606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4FC293E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3375C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8C7F5E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0ACAB38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5636E0C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7B37D75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40F30A7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4BD23B5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0687F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D36E0A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128F298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69744EC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6D7CC17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3D6C09D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74F1ACD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1F6C7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FA4CEC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3031C2F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32BDFB3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52055D7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44A3E42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3DC20C9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39C74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977618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2322CAC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253FC1A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10E07F4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0333D7F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405BF8A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5B09B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C719D0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4D410E0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65A7429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06006C3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5D90E33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72DFB89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49072C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27458E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429D971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3A5402D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66FC407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1A362E5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75FFB31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0ECD5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8704B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76" w:type="dxa"/>
            <w:noWrap w:val="0"/>
            <w:vAlign w:val="top"/>
          </w:tcPr>
          <w:p w14:paraId="70BF226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54178E0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243" w:type="dxa"/>
            <w:noWrap w:val="0"/>
            <w:vAlign w:val="top"/>
          </w:tcPr>
          <w:p w14:paraId="1BC306E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50" w:type="dxa"/>
            <w:noWrap w:val="0"/>
            <w:vAlign w:val="top"/>
          </w:tcPr>
          <w:p w14:paraId="002AF78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667" w:type="dxa"/>
            <w:noWrap w:val="0"/>
            <w:vAlign w:val="top"/>
          </w:tcPr>
          <w:p w14:paraId="44DC4FF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bl>
    <w:p w14:paraId="4952AEE6">
      <w:pPr>
        <w:spacing w:line="440" w:lineRule="exact"/>
        <w:rPr>
          <w:rFonts w:hint="eastAsia" w:eastAsia="仿宋_GB2312"/>
          <w:color w:val="auto"/>
          <w:sz w:val="30"/>
          <w:szCs w:val="30"/>
          <w:highlight w:val="none"/>
        </w:rPr>
      </w:pPr>
    </w:p>
    <w:p w14:paraId="57704909">
      <w:pPr>
        <w:pStyle w:val="5"/>
        <w:jc w:val="both"/>
        <w:rPr>
          <w:rFonts w:eastAsia="黑体"/>
          <w:color w:val="auto"/>
          <w:sz w:val="30"/>
          <w:szCs w:val="30"/>
          <w:highlight w:val="none"/>
        </w:rPr>
      </w:pPr>
      <w:r>
        <w:rPr>
          <w:rFonts w:eastAsia="仿宋_GB2312"/>
          <w:color w:val="auto"/>
          <w:sz w:val="30"/>
          <w:szCs w:val="30"/>
          <w:highlight w:val="none"/>
        </w:rPr>
        <w:br w:type="page"/>
      </w:r>
      <w:r>
        <w:rPr>
          <w:rFonts w:hint="eastAsia" w:ascii="仿宋_GB2312" w:eastAsia="仿宋_GB2312" w:cs="仿宋_GB2312"/>
          <w:color w:val="auto"/>
          <w:sz w:val="30"/>
          <w:szCs w:val="30"/>
          <w:highlight w:val="none"/>
        </w:rPr>
        <w:t>附件4：</w:t>
      </w:r>
      <w:r>
        <w:rPr>
          <w:rFonts w:hint="eastAsia" w:ascii="仿宋_GB2312" w:eastAsia="仿宋_GB2312" w:cs="仿宋_GB2312"/>
          <w:color w:val="auto"/>
          <w:sz w:val="30"/>
          <w:szCs w:val="30"/>
          <w:highlight w:val="none"/>
          <w:lang w:val="en-US" w:eastAsia="zh-CN"/>
        </w:rPr>
        <w:t>承包人用于本工程施工的机械设备表</w:t>
      </w:r>
    </w:p>
    <w:p w14:paraId="1A4C832E">
      <w:pPr>
        <w:spacing w:line="440" w:lineRule="exact"/>
        <w:rPr>
          <w:rFonts w:eastAsia="黑体"/>
          <w:color w:val="auto"/>
          <w:sz w:val="30"/>
          <w:szCs w:val="30"/>
          <w:highlight w:val="none"/>
        </w:rPr>
      </w:pPr>
    </w:p>
    <w:p w14:paraId="792B4DBA">
      <w:pPr>
        <w:spacing w:before="120" w:beforeLines="50" w:after="120" w:afterLines="50" w:line="440" w:lineRule="exact"/>
        <w:jc w:val="center"/>
        <w:rPr>
          <w:rFonts w:eastAsia="黑体"/>
          <w:color w:val="auto"/>
          <w:sz w:val="30"/>
          <w:szCs w:val="30"/>
          <w:highlight w:val="none"/>
        </w:rPr>
      </w:pPr>
      <w:r>
        <w:rPr>
          <w:rFonts w:hint="eastAsia" w:eastAsia="黑体" w:cs="黑体"/>
          <w:color w:val="auto"/>
          <w:sz w:val="30"/>
          <w:szCs w:val="30"/>
          <w:highlight w:val="none"/>
        </w:rPr>
        <w:t>承包人用于本工程施工的机械设备表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750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162" w:type="dxa"/>
            <w:noWrap w:val="0"/>
            <w:vAlign w:val="center"/>
          </w:tcPr>
          <w:p w14:paraId="7A107AD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序号</w:t>
            </w:r>
          </w:p>
        </w:tc>
        <w:tc>
          <w:tcPr>
            <w:tcW w:w="1418" w:type="dxa"/>
            <w:noWrap w:val="0"/>
            <w:vAlign w:val="center"/>
          </w:tcPr>
          <w:p w14:paraId="4C251BE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机械或设备名称</w:t>
            </w:r>
          </w:p>
        </w:tc>
        <w:tc>
          <w:tcPr>
            <w:tcW w:w="850" w:type="dxa"/>
            <w:noWrap w:val="0"/>
            <w:vAlign w:val="center"/>
          </w:tcPr>
          <w:p w14:paraId="7B0A3E0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规格型号</w:t>
            </w:r>
          </w:p>
        </w:tc>
        <w:tc>
          <w:tcPr>
            <w:tcW w:w="1058" w:type="dxa"/>
            <w:noWrap w:val="0"/>
            <w:vAlign w:val="center"/>
          </w:tcPr>
          <w:p w14:paraId="73F44FC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数量</w:t>
            </w:r>
          </w:p>
        </w:tc>
        <w:tc>
          <w:tcPr>
            <w:tcW w:w="880" w:type="dxa"/>
            <w:noWrap w:val="0"/>
            <w:vAlign w:val="center"/>
          </w:tcPr>
          <w:p w14:paraId="4CBEC13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产地</w:t>
            </w:r>
          </w:p>
        </w:tc>
        <w:tc>
          <w:tcPr>
            <w:tcW w:w="1020" w:type="dxa"/>
            <w:noWrap w:val="0"/>
            <w:vAlign w:val="center"/>
          </w:tcPr>
          <w:p w14:paraId="09E2444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制造年份</w:t>
            </w:r>
          </w:p>
        </w:tc>
        <w:tc>
          <w:tcPr>
            <w:tcW w:w="1480" w:type="dxa"/>
            <w:noWrap w:val="0"/>
            <w:vAlign w:val="center"/>
          </w:tcPr>
          <w:p w14:paraId="7989563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额定功率（</w:t>
            </w:r>
            <w:r>
              <w:rPr>
                <w:rFonts w:hint="default" w:ascii="Calibri" w:hAnsi="Calibri" w:eastAsia="仿宋_GB2312" w:cs="Times New Roman"/>
                <w:color w:val="auto"/>
                <w:sz w:val="28"/>
                <w:szCs w:val="28"/>
                <w:highlight w:val="none"/>
              </w:rPr>
              <w:t>kW</w:t>
            </w:r>
            <w:r>
              <w:rPr>
                <w:rFonts w:hint="eastAsia" w:ascii="Calibri" w:hAnsi="Calibri" w:eastAsia="仿宋_GB2312" w:cs="仿宋_GB2312"/>
                <w:color w:val="auto"/>
                <w:sz w:val="28"/>
                <w:szCs w:val="28"/>
                <w:highlight w:val="none"/>
              </w:rPr>
              <w:t>）</w:t>
            </w:r>
          </w:p>
        </w:tc>
        <w:tc>
          <w:tcPr>
            <w:tcW w:w="1020" w:type="dxa"/>
            <w:noWrap w:val="0"/>
            <w:vAlign w:val="center"/>
          </w:tcPr>
          <w:p w14:paraId="3B19FE4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生产能力</w:t>
            </w:r>
          </w:p>
        </w:tc>
        <w:tc>
          <w:tcPr>
            <w:tcW w:w="921" w:type="dxa"/>
            <w:noWrap w:val="0"/>
            <w:vAlign w:val="center"/>
          </w:tcPr>
          <w:p w14:paraId="5D51089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备注</w:t>
            </w:r>
          </w:p>
        </w:tc>
      </w:tr>
      <w:tr w14:paraId="6973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493E80A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5113184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14C26DE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2DA035F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2CFA254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4FE20F5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5ADDDAC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5827F18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7B68386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25D9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795CAE1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495B4EF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65F84E8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59BD24B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68E2486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05866CB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2583BD1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24BE731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5DC4993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879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31D97B2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7EBAF1B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792EDD5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78B0D16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6D66B18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76DAB8A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1CC3CA3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36F51DE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0C10A41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936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1EC05AA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19CBBAE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492C0B1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38CAB6E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2516F8A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5AA285F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04D4DCA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56F771B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7B43877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5173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5B8E5AF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224366C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28CAB24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5410401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03C5CD9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6FC701C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2B2D2EA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462C6DF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1BA6E53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C009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0B6ABF9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2684F0B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0FCF56F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63D902A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0BAA083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1DD9E9B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4D565D0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0C1B149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1EE9478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ADD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4C67F92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34AC0C0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7FF632D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5037575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093E316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74A0C21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7A88646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73AABFE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1B5E0ED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DF12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1D241D5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678616E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78B9172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4E87C48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6BBD452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6E69DA2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18DD6C4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37FFB51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6AECED2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86D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6C4BC1B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6B2D543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1C0FEA37">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68C5092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5B04016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0FCE52B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74039FE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62E5238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4792EE9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3C65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center"/>
          </w:tcPr>
          <w:p w14:paraId="2586F0A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18" w:type="dxa"/>
            <w:noWrap w:val="0"/>
            <w:vAlign w:val="center"/>
          </w:tcPr>
          <w:p w14:paraId="08121B5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50" w:type="dxa"/>
            <w:noWrap w:val="0"/>
            <w:vAlign w:val="center"/>
          </w:tcPr>
          <w:p w14:paraId="4885AC4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58" w:type="dxa"/>
            <w:noWrap w:val="0"/>
            <w:vAlign w:val="center"/>
          </w:tcPr>
          <w:p w14:paraId="632BB2F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880" w:type="dxa"/>
            <w:noWrap w:val="0"/>
            <w:vAlign w:val="center"/>
          </w:tcPr>
          <w:p w14:paraId="5FDCC18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7DEEC33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480" w:type="dxa"/>
            <w:noWrap w:val="0"/>
            <w:vAlign w:val="center"/>
          </w:tcPr>
          <w:p w14:paraId="1ACBB09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020" w:type="dxa"/>
            <w:noWrap w:val="0"/>
            <w:vAlign w:val="center"/>
          </w:tcPr>
          <w:p w14:paraId="2AD6665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921" w:type="dxa"/>
            <w:noWrap w:val="0"/>
            <w:vAlign w:val="center"/>
          </w:tcPr>
          <w:p w14:paraId="19F334B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5B5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426021A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45A7E27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3A8216B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6E83FC0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6AF94B3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6D156A1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3EA3399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2A2A044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5E4369D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3EBB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2593443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7B73396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36FE05B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379E3E5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39DC602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43B10F0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724C9E1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0EB2CA1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6ECA134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43EED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0E65DAC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4941418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3F52B1F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34AED535">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4E0DAA8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40BF736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3FB5203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187A750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0B72196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61290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0F71104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740E547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6691323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5BF4F0C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211043D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1EE8336D">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7B620F1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7DDD91B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4CDE12C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2F4D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6190151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3777EA4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1B2192D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54B33137">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5B9AFEE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33E7343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128BE3B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3FE62EE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54D6805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150ED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0B569FC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0F9B9D85">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095E0127">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3D0D9D6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283C758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7E10C14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0AB5041B">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1C5CDC0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235524A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0700C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72A1016E">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4D33B203">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2280FB7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466208C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7597210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57BA489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12A5419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6971066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474475C8">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3743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00365FC4">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0C06AA7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3B98BF2F">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6F13DDCA">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1CCA495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7923919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2AE5FB51">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37DF98D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542B76F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r w14:paraId="769EE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1162" w:type="dxa"/>
            <w:noWrap w:val="0"/>
            <w:vAlign w:val="top"/>
          </w:tcPr>
          <w:p w14:paraId="7612CA36">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18" w:type="dxa"/>
            <w:noWrap w:val="0"/>
            <w:vAlign w:val="top"/>
          </w:tcPr>
          <w:p w14:paraId="171F7AA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50" w:type="dxa"/>
            <w:noWrap w:val="0"/>
            <w:vAlign w:val="top"/>
          </w:tcPr>
          <w:p w14:paraId="2252DDB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58" w:type="dxa"/>
            <w:noWrap w:val="0"/>
            <w:vAlign w:val="top"/>
          </w:tcPr>
          <w:p w14:paraId="566E7EB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880" w:type="dxa"/>
            <w:noWrap w:val="0"/>
            <w:vAlign w:val="top"/>
          </w:tcPr>
          <w:p w14:paraId="3AAFC189">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12ACA55C">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480" w:type="dxa"/>
            <w:noWrap w:val="0"/>
            <w:vAlign w:val="top"/>
          </w:tcPr>
          <w:p w14:paraId="0A3246C2">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1020" w:type="dxa"/>
            <w:noWrap w:val="0"/>
            <w:vAlign w:val="top"/>
          </w:tcPr>
          <w:p w14:paraId="5DF51310">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c>
          <w:tcPr>
            <w:tcW w:w="921" w:type="dxa"/>
            <w:noWrap w:val="0"/>
            <w:vAlign w:val="top"/>
          </w:tcPr>
          <w:p w14:paraId="6AFF69E7">
            <w:pPr>
              <w:keepNext w:val="0"/>
              <w:keepLines w:val="0"/>
              <w:suppressLineNumbers w:val="0"/>
              <w:spacing w:before="0" w:beforeAutospacing="0" w:after="0" w:afterAutospacing="0"/>
              <w:ind w:left="0" w:right="0"/>
              <w:rPr>
                <w:rFonts w:hint="default" w:ascii="Calibri" w:hAnsi="Calibri" w:eastAsia="仿宋_GB2312" w:cs="Times New Roman"/>
                <w:color w:val="auto"/>
                <w:sz w:val="30"/>
                <w:szCs w:val="30"/>
                <w:highlight w:val="none"/>
              </w:rPr>
            </w:pPr>
          </w:p>
        </w:tc>
      </w:tr>
    </w:tbl>
    <w:p w14:paraId="7F189A33">
      <w:pPr>
        <w:spacing w:line="440" w:lineRule="exact"/>
        <w:rPr>
          <w:rFonts w:eastAsia="仿宋_GB2312"/>
          <w:color w:val="auto"/>
          <w:sz w:val="30"/>
          <w:szCs w:val="30"/>
          <w:highlight w:val="none"/>
        </w:rPr>
        <w:sectPr>
          <w:pgSz w:w="11907" w:h="16840"/>
          <w:pgMar w:top="1440" w:right="1440" w:bottom="1440" w:left="1797" w:header="851" w:footer="851" w:gutter="0"/>
          <w:cols w:space="720" w:num="1"/>
          <w:docGrid w:linePitch="312" w:charSpace="0"/>
        </w:sectPr>
      </w:pPr>
    </w:p>
    <w:p w14:paraId="38FE3E91">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附件5：</w:t>
      </w:r>
      <w:r>
        <w:rPr>
          <w:rFonts w:hint="eastAsia" w:ascii="仿宋_GB2312" w:hAnsi="Arial" w:eastAsia="仿宋_GB2312" w:cs="仿宋_GB2312"/>
          <w:color w:val="auto"/>
          <w:sz w:val="30"/>
          <w:szCs w:val="30"/>
          <w:highlight w:val="none"/>
        </w:rPr>
        <w:t>承包人</w:t>
      </w:r>
      <w:r>
        <w:rPr>
          <w:rFonts w:hint="eastAsia" w:ascii="仿宋_GB2312" w:eastAsia="仿宋_GB2312" w:cs="仿宋_GB2312"/>
          <w:color w:val="auto"/>
          <w:sz w:val="30"/>
          <w:szCs w:val="30"/>
          <w:highlight w:val="none"/>
        </w:rPr>
        <w:t>主要施工管理人员表</w:t>
      </w:r>
    </w:p>
    <w:p w14:paraId="5EE00B16">
      <w:pPr>
        <w:spacing w:before="120" w:beforeLines="50" w:after="120" w:afterLines="50" w:line="440" w:lineRule="exact"/>
        <w:jc w:val="center"/>
        <w:rPr>
          <w:rFonts w:eastAsia="黑体"/>
          <w:color w:val="auto"/>
          <w:sz w:val="30"/>
          <w:szCs w:val="30"/>
          <w:highlight w:val="none"/>
        </w:rPr>
      </w:pPr>
      <w:r>
        <w:rPr>
          <w:rFonts w:hint="eastAsia" w:eastAsia="黑体" w:cs="黑体"/>
          <w:color w:val="auto"/>
          <w:sz w:val="30"/>
          <w:szCs w:val="30"/>
          <w:highlight w:val="none"/>
        </w:rPr>
        <w:t>承包人主要施工管理人员表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36D79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1AAA9D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名</w:t>
            </w:r>
            <w:r>
              <w:rPr>
                <w:rFonts w:hint="default" w:ascii="Calibri" w:hAnsi="Calibri" w:eastAsia="仿宋_GB2312" w:cs="Times New Roman"/>
                <w:color w:val="auto"/>
                <w:sz w:val="28"/>
                <w:szCs w:val="28"/>
                <w:highlight w:val="none"/>
              </w:rPr>
              <w:t xml:space="preserve">    </w:t>
            </w:r>
            <w:r>
              <w:rPr>
                <w:rFonts w:hint="eastAsia" w:ascii="Calibri" w:hAnsi="Calibri" w:eastAsia="仿宋_GB2312" w:cs="仿宋_GB2312"/>
                <w:color w:val="auto"/>
                <w:sz w:val="28"/>
                <w:szCs w:val="28"/>
                <w:highlight w:val="none"/>
              </w:rPr>
              <w:t>称</w:t>
            </w:r>
          </w:p>
        </w:tc>
        <w:tc>
          <w:tcPr>
            <w:tcW w:w="1418" w:type="dxa"/>
            <w:noWrap w:val="0"/>
            <w:vAlign w:val="center"/>
          </w:tcPr>
          <w:p w14:paraId="612AA3E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姓名</w:t>
            </w:r>
          </w:p>
        </w:tc>
        <w:tc>
          <w:tcPr>
            <w:tcW w:w="1134" w:type="dxa"/>
            <w:noWrap w:val="0"/>
            <w:vAlign w:val="center"/>
          </w:tcPr>
          <w:p w14:paraId="2E7976B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r>
              <w:rPr>
                <w:rFonts w:hint="eastAsia" w:ascii="Calibri" w:hAnsi="Calibri" w:eastAsia="仿宋_GB2312" w:cs="仿宋_GB2312"/>
                <w:color w:val="auto"/>
                <w:sz w:val="30"/>
                <w:szCs w:val="30"/>
                <w:highlight w:val="none"/>
              </w:rPr>
              <w:t>职务</w:t>
            </w:r>
          </w:p>
        </w:tc>
        <w:tc>
          <w:tcPr>
            <w:tcW w:w="1134" w:type="dxa"/>
            <w:noWrap w:val="0"/>
            <w:vAlign w:val="center"/>
          </w:tcPr>
          <w:p w14:paraId="4AAD05C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r>
              <w:rPr>
                <w:rFonts w:hint="eastAsia" w:ascii="Calibri" w:hAnsi="Calibri" w:eastAsia="仿宋_GB2312" w:cs="仿宋_GB2312"/>
                <w:color w:val="auto"/>
                <w:sz w:val="30"/>
                <w:szCs w:val="30"/>
                <w:highlight w:val="none"/>
              </w:rPr>
              <w:t>职称</w:t>
            </w:r>
          </w:p>
        </w:tc>
        <w:tc>
          <w:tcPr>
            <w:tcW w:w="4252" w:type="dxa"/>
            <w:noWrap w:val="0"/>
            <w:vAlign w:val="center"/>
          </w:tcPr>
          <w:p w14:paraId="2B3A3E5F">
            <w:pPr>
              <w:pStyle w:val="19"/>
              <w:keepNext/>
              <w:keepLines w:val="0"/>
              <w:suppressLineNumbers w:val="0"/>
              <w:spacing w:before="0" w:beforeAutospacing="0" w:after="0" w:afterAutospacing="0" w:line="440" w:lineRule="exact"/>
              <w:ind w:left="0" w:leftChars="0" w:right="63"/>
              <w:rPr>
                <w:rFonts w:hint="default" w:ascii="Calibri" w:hAnsi="Calibri" w:eastAsia="仿宋_GB2312" w:cs="Times New Roman"/>
                <w:color w:val="auto"/>
                <w:sz w:val="30"/>
                <w:szCs w:val="30"/>
                <w:highlight w:val="none"/>
              </w:rPr>
            </w:pPr>
            <w:r>
              <w:rPr>
                <w:rFonts w:hint="eastAsia" w:ascii="Calibri" w:hAnsi="Calibri" w:eastAsia="仿宋_GB2312" w:cs="仿宋_GB2312"/>
                <w:color w:val="auto"/>
                <w:sz w:val="30"/>
                <w:szCs w:val="30"/>
                <w:highlight w:val="none"/>
              </w:rPr>
              <w:t>计划进场时间</w:t>
            </w:r>
          </w:p>
        </w:tc>
      </w:tr>
      <w:tr w14:paraId="62A9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15D9754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一、总部人员</w:t>
            </w:r>
          </w:p>
        </w:tc>
      </w:tr>
      <w:tr w14:paraId="1380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9A07FD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项目主管</w:t>
            </w:r>
          </w:p>
        </w:tc>
        <w:tc>
          <w:tcPr>
            <w:tcW w:w="1418" w:type="dxa"/>
            <w:noWrap w:val="0"/>
            <w:vAlign w:val="center"/>
          </w:tcPr>
          <w:p w14:paraId="6D28343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1BE926A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3977906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7FF4392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201A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71" w:type="dxa"/>
            <w:vMerge w:val="restart"/>
            <w:noWrap w:val="0"/>
            <w:vAlign w:val="center"/>
          </w:tcPr>
          <w:p w14:paraId="21A48B16">
            <w:pPr>
              <w:pStyle w:val="19"/>
              <w:keepNext/>
              <w:keepLines w:val="0"/>
              <w:suppressLineNumbers w:val="0"/>
              <w:spacing w:before="0" w:beforeAutospacing="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33FCD63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BD7436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D02B7D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720D073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ADB0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1EEBA45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4D02FC3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246C9B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AAD184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5F66C85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4D5D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743241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795CBB3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09EAE29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09466D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6DE70F0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6359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809" w:type="dxa"/>
            <w:gridSpan w:val="5"/>
            <w:noWrap w:val="0"/>
            <w:vAlign w:val="center"/>
          </w:tcPr>
          <w:p w14:paraId="42A41B3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二、现场人员</w:t>
            </w:r>
          </w:p>
        </w:tc>
      </w:tr>
      <w:tr w14:paraId="3851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42AA82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项目经理</w:t>
            </w:r>
          </w:p>
        </w:tc>
        <w:tc>
          <w:tcPr>
            <w:tcW w:w="1418" w:type="dxa"/>
            <w:noWrap w:val="0"/>
            <w:vAlign w:val="center"/>
          </w:tcPr>
          <w:p w14:paraId="4E84317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E75428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FED6BD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CCF708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5812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FC6428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项目副经理</w:t>
            </w:r>
          </w:p>
        </w:tc>
        <w:tc>
          <w:tcPr>
            <w:tcW w:w="1418" w:type="dxa"/>
            <w:noWrap w:val="0"/>
            <w:vAlign w:val="center"/>
          </w:tcPr>
          <w:p w14:paraId="18FDE7E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34C5E8F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3DFFFE7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42AE6A8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9DC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7075065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技术负责人</w:t>
            </w:r>
          </w:p>
        </w:tc>
        <w:tc>
          <w:tcPr>
            <w:tcW w:w="1418" w:type="dxa"/>
            <w:noWrap w:val="0"/>
            <w:vAlign w:val="center"/>
          </w:tcPr>
          <w:p w14:paraId="60F37C5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305FFDA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2CFA3B8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49160A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54D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2B38E5B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造价管理</w:t>
            </w:r>
          </w:p>
        </w:tc>
        <w:tc>
          <w:tcPr>
            <w:tcW w:w="1418" w:type="dxa"/>
            <w:noWrap w:val="0"/>
            <w:vAlign w:val="center"/>
          </w:tcPr>
          <w:p w14:paraId="2340701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11415C5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3BE5750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134900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A94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5B8783D8">
            <w:pPr>
              <w:pStyle w:val="19"/>
              <w:keepNext/>
              <w:keepLines w:val="0"/>
              <w:suppressLineNumbers w:val="0"/>
              <w:spacing w:before="0" w:beforeAutospacing="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质量管理</w:t>
            </w:r>
          </w:p>
        </w:tc>
        <w:tc>
          <w:tcPr>
            <w:tcW w:w="1418" w:type="dxa"/>
            <w:noWrap w:val="0"/>
            <w:vAlign w:val="center"/>
          </w:tcPr>
          <w:p w14:paraId="4944141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5B55E96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3E378E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391501A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8F1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75AB6DC">
            <w:pPr>
              <w:pStyle w:val="19"/>
              <w:keepNext/>
              <w:keepLines w:val="0"/>
              <w:suppressLineNumbers w:val="0"/>
              <w:spacing w:before="0" w:beforeAutospacing="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0B762CE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EC3119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B82396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BF2526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6728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478FB37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5A31FEC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4F7C2B3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5BBD830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9E2E89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60696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72A7091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材料管理</w:t>
            </w:r>
          </w:p>
        </w:tc>
        <w:tc>
          <w:tcPr>
            <w:tcW w:w="1418" w:type="dxa"/>
            <w:noWrap w:val="0"/>
            <w:vAlign w:val="center"/>
          </w:tcPr>
          <w:p w14:paraId="644E1AE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54C57FA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0DC846A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645D653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FE8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4B014E2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计划管理</w:t>
            </w:r>
          </w:p>
        </w:tc>
        <w:tc>
          <w:tcPr>
            <w:tcW w:w="1418" w:type="dxa"/>
            <w:noWrap w:val="0"/>
            <w:vAlign w:val="center"/>
          </w:tcPr>
          <w:p w14:paraId="2D8C2B0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3A2F345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3065AFD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76AE197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367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2E35188A">
            <w:pPr>
              <w:pStyle w:val="19"/>
              <w:keepNext/>
              <w:keepLines w:val="0"/>
              <w:suppressLineNumbers w:val="0"/>
              <w:spacing w:before="0" w:beforeAutospacing="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安全管理</w:t>
            </w:r>
          </w:p>
        </w:tc>
        <w:tc>
          <w:tcPr>
            <w:tcW w:w="1418" w:type="dxa"/>
            <w:noWrap w:val="0"/>
            <w:vAlign w:val="center"/>
          </w:tcPr>
          <w:p w14:paraId="5050B25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62CF1B7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F6C8BF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4E1955B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E09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851331E">
            <w:pPr>
              <w:pStyle w:val="19"/>
              <w:keepNext/>
              <w:keepLines w:val="0"/>
              <w:suppressLineNumbers w:val="0"/>
              <w:spacing w:before="0" w:beforeAutospacing="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14C6CC4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055C5E0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5C4388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59BFA2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804B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BC51B3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3324B28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314C538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DD8389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72E700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A24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5274028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238C7B8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05E2E12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FB303B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2F73EA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5DF7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44254F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61B734A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5CA0F66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5263271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3FD819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3BC3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FE47D5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4C397DE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4D51F07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E9E1B2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59773A1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2164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258FA1D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369270B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72D3759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54CD4D8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F42D8E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820C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924F62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1FF7F36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D22866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BD2F6C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14DF05C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07D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DFD5E3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0628647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41FEFC1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1114B2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EFDE40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bl>
    <w:p w14:paraId="405E590F">
      <w:pPr>
        <w:pStyle w:val="5"/>
        <w:jc w:val="both"/>
        <w:rPr>
          <w:rFonts w:hint="eastAsia" w:ascii="仿宋_GB2312" w:eastAsia="仿宋_GB2312" w:cs="仿宋_GB2312"/>
          <w:color w:val="auto"/>
          <w:sz w:val="30"/>
          <w:szCs w:val="30"/>
          <w:highlight w:val="none"/>
        </w:rPr>
      </w:pPr>
      <w:r>
        <w:rPr>
          <w:rFonts w:eastAsia="仿宋_GB2312"/>
          <w:color w:val="auto"/>
          <w:sz w:val="30"/>
          <w:szCs w:val="30"/>
          <w:highlight w:val="none"/>
        </w:rPr>
        <w:br w:type="page"/>
      </w:r>
      <w:r>
        <w:rPr>
          <w:rFonts w:hint="eastAsia" w:ascii="仿宋_GB2312" w:eastAsia="仿宋_GB2312" w:cs="仿宋_GB2312"/>
          <w:color w:val="auto"/>
          <w:sz w:val="30"/>
          <w:szCs w:val="30"/>
          <w:highlight w:val="none"/>
        </w:rPr>
        <w:t>附件6：</w:t>
      </w:r>
      <w:r>
        <w:rPr>
          <w:rFonts w:hint="eastAsia" w:ascii="仿宋_GB2312" w:eastAsia="仿宋_GB2312" w:cs="仿宋_GB2312"/>
          <w:color w:val="auto"/>
          <w:sz w:val="30"/>
          <w:szCs w:val="30"/>
          <w:highlight w:val="none"/>
          <w:lang w:val="en-US" w:eastAsia="zh-CN"/>
        </w:rPr>
        <w:t>分包人主要施工管理人员表</w:t>
      </w:r>
    </w:p>
    <w:p w14:paraId="5F8AEFAC">
      <w:pPr>
        <w:spacing w:before="120" w:beforeLines="50" w:after="120" w:afterLines="50" w:line="440" w:lineRule="exact"/>
        <w:jc w:val="center"/>
        <w:rPr>
          <w:rFonts w:eastAsia="黑体"/>
          <w:color w:val="auto"/>
          <w:sz w:val="30"/>
          <w:szCs w:val="30"/>
          <w:highlight w:val="none"/>
        </w:rPr>
      </w:pPr>
      <w:r>
        <w:rPr>
          <w:rFonts w:hint="eastAsia" w:eastAsia="黑体" w:cs="黑体"/>
          <w:color w:val="auto"/>
          <w:sz w:val="30"/>
          <w:szCs w:val="30"/>
          <w:highlight w:val="none"/>
        </w:rPr>
        <w:t>分包人主要施工管理人员表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418"/>
        <w:gridCol w:w="1134"/>
        <w:gridCol w:w="1134"/>
        <w:gridCol w:w="4252"/>
      </w:tblGrid>
      <w:tr w14:paraId="0F9F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71" w:type="dxa"/>
            <w:noWrap w:val="0"/>
            <w:vAlign w:val="center"/>
          </w:tcPr>
          <w:p w14:paraId="6930510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名</w:t>
            </w:r>
            <w:r>
              <w:rPr>
                <w:rFonts w:hint="default" w:ascii="Calibri" w:hAnsi="Calibri" w:eastAsia="仿宋_GB2312" w:cs="Times New Roman"/>
                <w:color w:val="auto"/>
                <w:sz w:val="28"/>
                <w:szCs w:val="28"/>
                <w:highlight w:val="none"/>
              </w:rPr>
              <w:t xml:space="preserve">    </w:t>
            </w:r>
            <w:r>
              <w:rPr>
                <w:rFonts w:hint="eastAsia" w:ascii="Calibri" w:hAnsi="Calibri" w:eastAsia="仿宋_GB2312" w:cs="仿宋_GB2312"/>
                <w:color w:val="auto"/>
                <w:sz w:val="28"/>
                <w:szCs w:val="28"/>
                <w:highlight w:val="none"/>
              </w:rPr>
              <w:t>称</w:t>
            </w:r>
          </w:p>
        </w:tc>
        <w:tc>
          <w:tcPr>
            <w:tcW w:w="1418" w:type="dxa"/>
            <w:noWrap w:val="0"/>
            <w:vAlign w:val="center"/>
          </w:tcPr>
          <w:p w14:paraId="0E3021A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姓名</w:t>
            </w:r>
          </w:p>
        </w:tc>
        <w:tc>
          <w:tcPr>
            <w:tcW w:w="1134" w:type="dxa"/>
            <w:noWrap w:val="0"/>
            <w:vAlign w:val="center"/>
          </w:tcPr>
          <w:p w14:paraId="6886FA5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r>
              <w:rPr>
                <w:rFonts w:hint="eastAsia" w:ascii="Calibri" w:hAnsi="Calibri" w:eastAsia="仿宋_GB2312" w:cs="仿宋_GB2312"/>
                <w:color w:val="auto"/>
                <w:sz w:val="30"/>
                <w:szCs w:val="30"/>
                <w:highlight w:val="none"/>
              </w:rPr>
              <w:t>职务</w:t>
            </w:r>
          </w:p>
        </w:tc>
        <w:tc>
          <w:tcPr>
            <w:tcW w:w="1134" w:type="dxa"/>
            <w:noWrap w:val="0"/>
            <w:vAlign w:val="center"/>
          </w:tcPr>
          <w:p w14:paraId="245FC1E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r>
              <w:rPr>
                <w:rFonts w:hint="eastAsia" w:ascii="Calibri" w:hAnsi="Calibri" w:eastAsia="仿宋_GB2312" w:cs="仿宋_GB2312"/>
                <w:color w:val="auto"/>
                <w:sz w:val="30"/>
                <w:szCs w:val="30"/>
                <w:highlight w:val="none"/>
              </w:rPr>
              <w:t>职称</w:t>
            </w:r>
          </w:p>
        </w:tc>
        <w:tc>
          <w:tcPr>
            <w:tcW w:w="4252" w:type="dxa"/>
            <w:noWrap w:val="0"/>
            <w:vAlign w:val="center"/>
          </w:tcPr>
          <w:p w14:paraId="52EB828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r>
              <w:rPr>
                <w:rFonts w:hint="eastAsia" w:ascii="Calibri" w:hAnsi="Calibri" w:eastAsia="仿宋_GB2312" w:cs="仿宋_GB2312"/>
                <w:color w:val="auto"/>
                <w:sz w:val="30"/>
                <w:szCs w:val="30"/>
                <w:highlight w:val="none"/>
              </w:rPr>
              <w:t>主要资历、经验及承担过的项目</w:t>
            </w:r>
          </w:p>
        </w:tc>
      </w:tr>
      <w:tr w14:paraId="5AF84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2A26FC0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一、总部人员</w:t>
            </w:r>
          </w:p>
        </w:tc>
      </w:tr>
      <w:tr w14:paraId="26CD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BA22A3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项目主管</w:t>
            </w:r>
          </w:p>
        </w:tc>
        <w:tc>
          <w:tcPr>
            <w:tcW w:w="1418" w:type="dxa"/>
            <w:noWrap w:val="0"/>
            <w:vAlign w:val="center"/>
          </w:tcPr>
          <w:p w14:paraId="7948513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7A19107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06B410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472E1E8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9B9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2EE513C9">
            <w:pPr>
              <w:pStyle w:val="19"/>
              <w:keepNext/>
              <w:keepLines w:val="0"/>
              <w:suppressLineNumbers w:val="0"/>
              <w:spacing w:before="0" w:beforeAutospacing="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4403BA4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161E30A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3542DD8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5CF93AB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6CB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144BFE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3EC55BB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5CA6555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3B5E420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4C4B67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2EC09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193E71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7CD60BD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1802653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0BDAF95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9A8AE4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55F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242C4A4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二、现场人员</w:t>
            </w:r>
          </w:p>
        </w:tc>
      </w:tr>
      <w:tr w14:paraId="2EDA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711DB3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项目经理</w:t>
            </w:r>
          </w:p>
        </w:tc>
        <w:tc>
          <w:tcPr>
            <w:tcW w:w="1418" w:type="dxa"/>
            <w:noWrap w:val="0"/>
            <w:vAlign w:val="center"/>
          </w:tcPr>
          <w:p w14:paraId="16B1250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70A9078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327500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18AF195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1604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4EAD6BC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项目副经理</w:t>
            </w:r>
          </w:p>
        </w:tc>
        <w:tc>
          <w:tcPr>
            <w:tcW w:w="1418" w:type="dxa"/>
            <w:noWrap w:val="0"/>
            <w:vAlign w:val="center"/>
          </w:tcPr>
          <w:p w14:paraId="7F4D945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41DDB90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45BCB5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6FCD5A6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6833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9CA0F0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技术负责人</w:t>
            </w:r>
          </w:p>
        </w:tc>
        <w:tc>
          <w:tcPr>
            <w:tcW w:w="1418" w:type="dxa"/>
            <w:noWrap w:val="0"/>
            <w:vAlign w:val="center"/>
          </w:tcPr>
          <w:p w14:paraId="4D5AF20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1F7911F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0C59EA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37D88A2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1E3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798EA26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造价管理</w:t>
            </w:r>
          </w:p>
        </w:tc>
        <w:tc>
          <w:tcPr>
            <w:tcW w:w="1418" w:type="dxa"/>
            <w:noWrap w:val="0"/>
            <w:vAlign w:val="center"/>
          </w:tcPr>
          <w:p w14:paraId="39233CE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65A3B0E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7B459A8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7277D5C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27C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C04827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质量管理</w:t>
            </w:r>
          </w:p>
        </w:tc>
        <w:tc>
          <w:tcPr>
            <w:tcW w:w="1418" w:type="dxa"/>
            <w:noWrap w:val="0"/>
            <w:vAlign w:val="center"/>
          </w:tcPr>
          <w:p w14:paraId="3728625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5987457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23066705">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32375B7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B87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128ED91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材料管理</w:t>
            </w:r>
          </w:p>
        </w:tc>
        <w:tc>
          <w:tcPr>
            <w:tcW w:w="1418" w:type="dxa"/>
            <w:noWrap w:val="0"/>
            <w:vAlign w:val="center"/>
          </w:tcPr>
          <w:p w14:paraId="002CE1F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659220E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1B27DEF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5429A3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3C47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0B55C5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计划管理</w:t>
            </w:r>
          </w:p>
        </w:tc>
        <w:tc>
          <w:tcPr>
            <w:tcW w:w="1418" w:type="dxa"/>
            <w:noWrap w:val="0"/>
            <w:vAlign w:val="center"/>
          </w:tcPr>
          <w:p w14:paraId="36BF065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B522B7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33E49C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4F4EBCF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41C93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260534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安全管理</w:t>
            </w:r>
          </w:p>
        </w:tc>
        <w:tc>
          <w:tcPr>
            <w:tcW w:w="1418" w:type="dxa"/>
            <w:noWrap w:val="0"/>
            <w:vAlign w:val="center"/>
          </w:tcPr>
          <w:p w14:paraId="0AF775F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06F474A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490E72B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20AB7A7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F3B6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075B2DB7">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r>
              <w:rPr>
                <w:rFonts w:hint="eastAsia" w:ascii="Calibri" w:hAnsi="Calibri" w:eastAsia="仿宋_GB2312" w:cs="仿宋_GB2312"/>
                <w:color w:val="auto"/>
                <w:sz w:val="28"/>
                <w:szCs w:val="28"/>
                <w:highlight w:val="none"/>
              </w:rPr>
              <w:t>其他人员</w:t>
            </w:r>
          </w:p>
        </w:tc>
        <w:tc>
          <w:tcPr>
            <w:tcW w:w="1418" w:type="dxa"/>
            <w:noWrap w:val="0"/>
            <w:vAlign w:val="center"/>
          </w:tcPr>
          <w:p w14:paraId="5E0B2DB1">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0E4EF9D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8CA236F">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5647804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5CAF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7AF28A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693F97A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1ADC07D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7727F72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72E9DE7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0B40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D76672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77507F7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2DB842D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7A6E50F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D77B03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92F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589A60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19044FD2">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76CA422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6FB7EFDC">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0E826A7B">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754D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8788A88">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4B893749">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6E55A37E">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7548387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778D6BB6">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r w14:paraId="25456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4679410">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418" w:type="dxa"/>
            <w:noWrap w:val="0"/>
            <w:vAlign w:val="center"/>
          </w:tcPr>
          <w:p w14:paraId="750674E4">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28"/>
                <w:szCs w:val="28"/>
                <w:highlight w:val="none"/>
              </w:rPr>
            </w:pPr>
          </w:p>
        </w:tc>
        <w:tc>
          <w:tcPr>
            <w:tcW w:w="1134" w:type="dxa"/>
            <w:noWrap w:val="0"/>
            <w:vAlign w:val="center"/>
          </w:tcPr>
          <w:p w14:paraId="036FDC8D">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1134" w:type="dxa"/>
            <w:noWrap w:val="0"/>
            <w:vAlign w:val="center"/>
          </w:tcPr>
          <w:p w14:paraId="2A85EA8A">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c>
          <w:tcPr>
            <w:tcW w:w="4252" w:type="dxa"/>
            <w:noWrap w:val="0"/>
            <w:vAlign w:val="center"/>
          </w:tcPr>
          <w:p w14:paraId="4DC330D3">
            <w:pPr>
              <w:pStyle w:val="19"/>
              <w:keepNext/>
              <w:keepLines w:val="0"/>
              <w:suppressLineNumbers w:val="0"/>
              <w:spacing w:before="0" w:beforeAutospacing="0" w:after="0" w:afterAutospacing="0" w:line="440" w:lineRule="exact"/>
              <w:ind w:left="63" w:right="63"/>
              <w:rPr>
                <w:rFonts w:hint="default" w:ascii="Calibri" w:hAnsi="Calibri" w:eastAsia="仿宋_GB2312" w:cs="Times New Roman"/>
                <w:color w:val="auto"/>
                <w:sz w:val="30"/>
                <w:szCs w:val="30"/>
                <w:highlight w:val="none"/>
              </w:rPr>
            </w:pPr>
          </w:p>
        </w:tc>
      </w:tr>
    </w:tbl>
    <w:p w14:paraId="13B9EAAC">
      <w:pPr>
        <w:pStyle w:val="5"/>
        <w:jc w:val="both"/>
        <w:rPr>
          <w:rFonts w:hint="eastAsia" w:ascii="仿宋_GB2312" w:eastAsia="仿宋_GB2312" w:cs="仿宋_GB2312"/>
          <w:color w:val="auto"/>
          <w:sz w:val="30"/>
          <w:szCs w:val="30"/>
          <w:highlight w:val="none"/>
          <w:lang w:eastAsia="zh-CN"/>
        </w:rPr>
      </w:pPr>
      <w:r>
        <w:rPr>
          <w:rFonts w:eastAsia="仿宋_GB2312"/>
          <w:color w:val="auto"/>
          <w:sz w:val="30"/>
          <w:szCs w:val="30"/>
          <w:highlight w:val="none"/>
        </w:rPr>
        <w:br w:type="page"/>
      </w:r>
      <w:r>
        <w:rPr>
          <w:rFonts w:hint="eastAsia" w:ascii="仿宋_GB2312" w:eastAsia="仿宋_GB2312" w:cs="仿宋_GB2312"/>
          <w:color w:val="auto"/>
          <w:sz w:val="30"/>
          <w:szCs w:val="30"/>
          <w:highlight w:val="none"/>
        </w:rPr>
        <w:t>附件7</w:t>
      </w:r>
      <w:r>
        <w:rPr>
          <w:rFonts w:hint="eastAsia" w:ascii="仿宋_GB2312" w:eastAsia="仿宋_GB2312" w:cs="仿宋_GB2312"/>
          <w:color w:val="auto"/>
          <w:sz w:val="30"/>
          <w:szCs w:val="30"/>
          <w:highlight w:val="none"/>
          <w:lang w:eastAsia="zh-CN"/>
        </w:rPr>
        <w:t>：</w:t>
      </w:r>
      <w:r>
        <w:rPr>
          <w:rFonts w:hint="eastAsia" w:ascii="仿宋_GB2312" w:hAnsi="Arial" w:eastAsia="仿宋_GB2312" w:cs="仿宋_GB2312"/>
          <w:color w:val="auto"/>
          <w:sz w:val="30"/>
          <w:szCs w:val="30"/>
          <w:highlight w:val="none"/>
          <w:lang w:eastAsia="zh-CN"/>
        </w:rPr>
        <w:t>履约</w:t>
      </w:r>
      <w:r>
        <w:rPr>
          <w:rFonts w:hint="eastAsia" w:ascii="仿宋_GB2312" w:eastAsia="仿宋_GB2312" w:cs="仿宋_GB2312"/>
          <w:color w:val="auto"/>
          <w:sz w:val="30"/>
          <w:szCs w:val="30"/>
          <w:highlight w:val="none"/>
          <w:lang w:eastAsia="zh-CN"/>
        </w:rPr>
        <w:t>保函示范文本</w:t>
      </w:r>
    </w:p>
    <w:p w14:paraId="3369BE8E">
      <w:pPr>
        <w:spacing w:line="360" w:lineRule="auto"/>
        <w:jc w:val="left"/>
        <w:rPr>
          <w:rFonts w:ascii="黑体" w:hAnsi="黑体" w:eastAsia="黑体" w:cs="黑体"/>
          <w:b/>
          <w:bCs/>
          <w:color w:val="auto"/>
          <w:sz w:val="32"/>
          <w:szCs w:val="32"/>
          <w:highlight w:val="none"/>
        </w:rPr>
      </w:pPr>
    </w:p>
    <w:p w14:paraId="2D43B787">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履约保函示范文本</w:t>
      </w:r>
    </w:p>
    <w:p w14:paraId="4CEA8E99">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（独立保函）</w:t>
      </w:r>
    </w:p>
    <w:p w14:paraId="0B5CD1FC">
      <w:pPr>
        <w:wordWrap w:val="0"/>
        <w:spacing w:line="360" w:lineRule="auto"/>
        <w:jc w:val="right"/>
        <w:rPr>
          <w:rFonts w:ascii="宋体" w:hAnsi="宋体"/>
          <w:color w:val="auto"/>
          <w:highlight w:val="none"/>
        </w:rPr>
      </w:pPr>
      <w:r>
        <w:rPr>
          <w:rFonts w:hint="eastAsia" w:ascii="宋体" w:hAnsi="宋体"/>
          <w:color w:val="auto"/>
          <w:highlight w:val="none"/>
        </w:rPr>
        <w:t xml:space="preserve">编号： </w:t>
      </w:r>
      <w:r>
        <w:rPr>
          <w:rFonts w:ascii="宋体" w:hAnsi="宋体"/>
          <w:color w:val="auto"/>
          <w:highlight w:val="none"/>
        </w:rPr>
        <w:t xml:space="preserve">          </w:t>
      </w:r>
    </w:p>
    <w:p w14:paraId="5E3171CB">
      <w:pPr>
        <w:spacing w:line="360" w:lineRule="auto"/>
        <w:rPr>
          <w:rFonts w:ascii="宋体" w:hAnsi="宋体"/>
          <w:color w:val="auto"/>
          <w:sz w:val="24"/>
          <w:szCs w:val="24"/>
          <w:highlight w:val="none"/>
        </w:rPr>
      </w:pPr>
      <w:r>
        <w:rPr>
          <w:rFonts w:hint="eastAsia" w:ascii="宋体" w:hAnsi="宋体"/>
          <w:color w:val="auto"/>
          <w:sz w:val="24"/>
          <w:szCs w:val="24"/>
          <w:highlight w:val="none"/>
        </w:rPr>
        <w:t>申请人：</w:t>
      </w:r>
    </w:p>
    <w:p w14:paraId="186CF95C">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地址</w:t>
      </w:r>
      <w:r>
        <w:rPr>
          <w:rFonts w:ascii="宋体" w:hAnsi="宋体"/>
          <w:color w:val="auto"/>
          <w:sz w:val="24"/>
          <w:szCs w:val="24"/>
          <w:highlight w:val="none"/>
        </w:rPr>
        <w:t>：</w:t>
      </w:r>
    </w:p>
    <w:p w14:paraId="360BBD16">
      <w:pPr>
        <w:spacing w:line="360" w:lineRule="auto"/>
        <w:rPr>
          <w:rFonts w:ascii="宋体" w:hAnsi="宋体"/>
          <w:color w:val="auto"/>
          <w:sz w:val="24"/>
          <w:szCs w:val="24"/>
          <w:highlight w:val="none"/>
        </w:rPr>
      </w:pPr>
      <w:r>
        <w:rPr>
          <w:rFonts w:hint="eastAsia" w:ascii="宋体" w:hAnsi="宋体"/>
          <w:color w:val="auto"/>
          <w:sz w:val="24"/>
          <w:szCs w:val="24"/>
          <w:highlight w:val="none"/>
        </w:rPr>
        <w:t>受益人：</w:t>
      </w:r>
    </w:p>
    <w:p w14:paraId="22D760F6">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地址：</w:t>
      </w:r>
    </w:p>
    <w:p w14:paraId="00887B02">
      <w:pPr>
        <w:spacing w:line="360" w:lineRule="auto"/>
        <w:rPr>
          <w:rFonts w:ascii="宋体" w:hAnsi="宋体"/>
          <w:color w:val="auto"/>
          <w:sz w:val="24"/>
          <w:szCs w:val="24"/>
          <w:highlight w:val="none"/>
        </w:rPr>
      </w:pPr>
      <w:r>
        <w:rPr>
          <w:rFonts w:hint="eastAsia" w:ascii="宋体" w:hAnsi="宋体"/>
          <w:color w:val="auto"/>
          <w:sz w:val="24"/>
          <w:szCs w:val="24"/>
          <w:highlight w:val="none"/>
        </w:rPr>
        <w:t>开立人：</w:t>
      </w:r>
    </w:p>
    <w:p w14:paraId="36F3D84B">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地址：</w:t>
      </w:r>
    </w:p>
    <w:p w14:paraId="0CFBF960">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p>
    <w:p w14:paraId="523C3910">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rPr>
        <w:t>受益人</w:t>
      </w:r>
      <w:r>
        <w:rPr>
          <w:rFonts w:ascii="宋体" w:hAnsi="宋体"/>
          <w:color w:val="auto"/>
          <w:sz w:val="24"/>
          <w:szCs w:val="24"/>
          <w:highlight w:val="none"/>
        </w:rPr>
        <w:t xml:space="preserve">名称）： </w:t>
      </w:r>
    </w:p>
    <w:p w14:paraId="6F9466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受益人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申请人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日就</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工程（以下简称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本工程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）施工和有关事项协商一致共同签订</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基础合同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），我方（即</w:t>
      </w:r>
      <w:r>
        <w:rPr>
          <w:rFonts w:hint="eastAsia" w:ascii="宋体" w:hAnsi="宋体"/>
          <w:color w:val="auto"/>
          <w:sz w:val="24"/>
          <w:szCs w:val="24"/>
          <w:highlight w:val="none"/>
          <w:lang w:eastAsia="zh-CN"/>
        </w:rPr>
        <w:t>“</w:t>
      </w:r>
      <w:r>
        <w:rPr>
          <w:rFonts w:hint="eastAsia" w:ascii="宋体" w:hAnsi="宋体"/>
          <w:color w:val="auto"/>
          <w:sz w:val="24"/>
          <w:szCs w:val="24"/>
          <w:highlight w:val="none"/>
        </w:rPr>
        <w:t>开立人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）根据基础合同了解到申请人为基础合同项下之承包人，受益人为基础合同项下之发包人，基于申请人</w:t>
      </w:r>
      <w:r>
        <w:rPr>
          <w:rFonts w:ascii="宋体" w:hAnsi="宋体"/>
          <w:color w:val="auto"/>
          <w:sz w:val="24"/>
          <w:szCs w:val="24"/>
          <w:highlight w:val="none"/>
        </w:rPr>
        <w:t>的请求，我方同意就</w:t>
      </w:r>
      <w:r>
        <w:rPr>
          <w:rFonts w:hint="eastAsia" w:ascii="宋体" w:hAnsi="宋体"/>
          <w:color w:val="auto"/>
          <w:sz w:val="24"/>
          <w:szCs w:val="24"/>
          <w:highlight w:val="none"/>
        </w:rPr>
        <w:t>申请人</w:t>
      </w:r>
      <w:r>
        <w:rPr>
          <w:rFonts w:ascii="宋体" w:hAnsi="宋体"/>
          <w:color w:val="auto"/>
          <w:sz w:val="24"/>
          <w:szCs w:val="24"/>
          <w:highlight w:val="none"/>
        </w:rPr>
        <w:t>履行</w:t>
      </w:r>
      <w:r>
        <w:rPr>
          <w:rFonts w:hint="eastAsia" w:ascii="宋体" w:hAnsi="宋体"/>
          <w:color w:val="auto"/>
          <w:sz w:val="24"/>
          <w:szCs w:val="24"/>
          <w:highlight w:val="none"/>
        </w:rPr>
        <w:t>与贵方签订的基础合同</w:t>
      </w:r>
      <w:r>
        <w:rPr>
          <w:rFonts w:ascii="宋体" w:hAnsi="宋体"/>
          <w:color w:val="auto"/>
          <w:sz w:val="24"/>
          <w:szCs w:val="24"/>
          <w:highlight w:val="none"/>
        </w:rPr>
        <w:t>项下的义务</w:t>
      </w:r>
      <w:r>
        <w:rPr>
          <w:rFonts w:hint="eastAsia" w:ascii="宋体" w:hAnsi="宋体"/>
          <w:color w:val="auto"/>
          <w:sz w:val="24"/>
          <w:szCs w:val="24"/>
          <w:highlight w:val="none"/>
        </w:rPr>
        <w:t>，</w:t>
      </w:r>
      <w:r>
        <w:rPr>
          <w:rFonts w:ascii="宋体" w:hAnsi="宋体"/>
          <w:color w:val="auto"/>
          <w:sz w:val="24"/>
          <w:szCs w:val="24"/>
          <w:highlight w:val="none"/>
        </w:rPr>
        <w:t>向贵方提供不可撤销、</w:t>
      </w:r>
      <w:r>
        <w:rPr>
          <w:rFonts w:hint="eastAsia" w:ascii="宋体" w:hAnsi="宋体"/>
          <w:color w:val="auto"/>
          <w:sz w:val="24"/>
          <w:szCs w:val="24"/>
          <w:highlight w:val="none"/>
        </w:rPr>
        <w:t>不可转让的见索即付</w:t>
      </w:r>
      <w:r>
        <w:rPr>
          <w:rFonts w:ascii="宋体" w:hAnsi="宋体"/>
          <w:color w:val="auto"/>
          <w:sz w:val="24"/>
          <w:szCs w:val="24"/>
          <w:highlight w:val="none"/>
        </w:rPr>
        <w:t>独立</w:t>
      </w:r>
      <w:r>
        <w:rPr>
          <w:rFonts w:hint="eastAsia" w:ascii="宋体" w:hAnsi="宋体"/>
          <w:color w:val="auto"/>
          <w:sz w:val="24"/>
          <w:szCs w:val="24"/>
          <w:highlight w:val="none"/>
        </w:rPr>
        <w:t>保函（以下简称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本保函</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7096C25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一、本保函担保范围：承包人未按照基础合同的约定履行义务，应当向贵方承担的违约责任和赔偿因此造成的损失、利息、律师费、诉讼费用等实现债权的费用。</w:t>
      </w:r>
    </w:p>
    <w:p w14:paraId="7E928CF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二、本保函担保金额最高不超过</w:t>
      </w: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ascii="宋体" w:hAnsi="宋体"/>
          <w:color w:val="auto"/>
          <w:sz w:val="24"/>
          <w:szCs w:val="24"/>
          <w:highlight w:val="none"/>
        </w:rPr>
        <w:t>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5526A8C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三、本保函</w:t>
      </w:r>
      <w:r>
        <w:rPr>
          <w:rFonts w:ascii="宋体" w:hAnsi="宋体"/>
          <w:color w:val="auto"/>
          <w:sz w:val="24"/>
          <w:szCs w:val="24"/>
          <w:highlight w:val="none"/>
        </w:rPr>
        <w:t>有效期自</w:t>
      </w:r>
      <w:r>
        <w:rPr>
          <w:rFonts w:hint="eastAsia" w:ascii="宋体" w:hAnsi="宋体"/>
          <w:color w:val="auto"/>
          <w:sz w:val="24"/>
          <w:szCs w:val="24"/>
          <w:highlight w:val="none"/>
        </w:rPr>
        <w:t>开立之日起</w:t>
      </w:r>
      <w:r>
        <w:rPr>
          <w:rFonts w:ascii="宋体" w:hAnsi="宋体"/>
          <w:color w:val="auto"/>
          <w:sz w:val="24"/>
          <w:szCs w:val="24"/>
          <w:highlight w:val="none"/>
        </w:rPr>
        <w:t>至</w:t>
      </w:r>
      <w:r>
        <w:rPr>
          <w:rFonts w:hint="eastAsia" w:ascii="宋体" w:hAnsi="宋体"/>
          <w:color w:val="auto"/>
          <w:sz w:val="24"/>
          <w:szCs w:val="24"/>
          <w:highlight w:val="none"/>
        </w:rPr>
        <w:t>基础合同约定的缺陷责任期</w:t>
      </w:r>
      <w:r>
        <w:rPr>
          <w:rFonts w:ascii="宋体" w:hAnsi="宋体"/>
          <w:color w:val="auto"/>
          <w:sz w:val="24"/>
          <w:szCs w:val="24"/>
          <w:highlight w:val="none"/>
        </w:rPr>
        <w:t>后</w:t>
      </w:r>
      <w:r>
        <w:rPr>
          <w:rFonts w:ascii="宋体" w:hAnsi="宋体"/>
          <w:color w:val="auto"/>
          <w:sz w:val="24"/>
          <w:szCs w:val="24"/>
          <w:highlight w:val="none"/>
          <w:u w:val="single"/>
        </w:rPr>
        <w:t xml:space="preserve">   </w:t>
      </w:r>
      <w:r>
        <w:rPr>
          <w:rFonts w:hint="eastAsia" w:ascii="宋体" w:hAnsi="宋体"/>
          <w:color w:val="auto"/>
          <w:sz w:val="24"/>
          <w:szCs w:val="24"/>
          <w:highlight w:val="none"/>
        </w:rPr>
        <w:t>日止，最迟不超过</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ascii="宋体" w:hAnsi="宋体"/>
          <w:color w:val="auto"/>
          <w:sz w:val="24"/>
          <w:szCs w:val="24"/>
          <w:highlight w:val="none"/>
        </w:rPr>
        <w:t xml:space="preserve">。 </w:t>
      </w:r>
    </w:p>
    <w:p w14:paraId="1669BC0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四、我方承诺，在收到受益人发来的书面付款通知后的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日内无条件支付，前述书面付款通知即为付款要求之单据，且应满足以下要求：</w:t>
      </w:r>
    </w:p>
    <w:p w14:paraId="24719BE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（1）付款通知到达的日期在本保函的有效期内；</w:t>
      </w:r>
    </w:p>
    <w:p w14:paraId="26CD8BD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（2）载明要求支付的金额；</w:t>
      </w:r>
    </w:p>
    <w:p w14:paraId="4CCF2BB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（3）载明申请人违反合同义务的条款和内容；</w:t>
      </w:r>
    </w:p>
    <w:p w14:paraId="7E5DB63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（4）声明不存在合同文件约定或我国法律规定免除申请人或开立人支付责任的情形；</w:t>
      </w:r>
    </w:p>
    <w:p w14:paraId="6F82F9E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（5）付款通知应在本保函有效期内到达的地址是：</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p>
    <w:p w14:paraId="1CEF469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受益人发出的书面付款通知应由其为鉴明受益人法定代表人（负责人）或授权代理人签字并加盖公章。</w:t>
      </w:r>
    </w:p>
    <w:p w14:paraId="6ED6577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w:t>
      </w:r>
      <w:r>
        <w:rPr>
          <w:rFonts w:ascii="宋体" w:hAnsi="宋体"/>
          <w:color w:val="auto"/>
          <w:sz w:val="24"/>
          <w:szCs w:val="24"/>
          <w:highlight w:val="none"/>
        </w:rPr>
        <w:t>本保函项下的权利不得转让，不得设定担保。贵方未经我方书面同意转 让本保函或其项下任何权利，</w:t>
      </w:r>
      <w:r>
        <w:rPr>
          <w:rFonts w:hint="eastAsia" w:ascii="宋体" w:hAnsi="宋体"/>
          <w:color w:val="auto"/>
          <w:sz w:val="24"/>
          <w:szCs w:val="24"/>
          <w:highlight w:val="none"/>
        </w:rPr>
        <w:t>对我方不发生法律效力</w:t>
      </w:r>
      <w:r>
        <w:rPr>
          <w:rFonts w:ascii="宋体" w:hAnsi="宋体"/>
          <w:color w:val="auto"/>
          <w:sz w:val="24"/>
          <w:szCs w:val="24"/>
          <w:highlight w:val="none"/>
        </w:rPr>
        <w:t xml:space="preserve">。 </w:t>
      </w:r>
    </w:p>
    <w:p w14:paraId="18D882A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六、与</w:t>
      </w:r>
      <w:r>
        <w:rPr>
          <w:rFonts w:ascii="宋体" w:hAnsi="宋体"/>
          <w:color w:val="auto"/>
          <w:sz w:val="24"/>
          <w:szCs w:val="24"/>
          <w:highlight w:val="none"/>
        </w:rPr>
        <w:t>本保函</w:t>
      </w:r>
      <w:r>
        <w:rPr>
          <w:rFonts w:hint="eastAsia" w:ascii="宋体" w:hAnsi="宋体"/>
          <w:color w:val="auto"/>
          <w:sz w:val="24"/>
          <w:szCs w:val="24"/>
          <w:highlight w:val="none"/>
        </w:rPr>
        <w:t>有关</w:t>
      </w:r>
      <w:r>
        <w:rPr>
          <w:rFonts w:ascii="宋体" w:hAnsi="宋体"/>
          <w:color w:val="auto"/>
          <w:sz w:val="24"/>
          <w:szCs w:val="24"/>
          <w:highlight w:val="none"/>
        </w:rPr>
        <w:t>的</w:t>
      </w:r>
      <w:r>
        <w:rPr>
          <w:rFonts w:hint="eastAsia" w:ascii="宋体" w:hAnsi="宋体"/>
          <w:color w:val="auto"/>
          <w:sz w:val="24"/>
          <w:szCs w:val="24"/>
          <w:highlight w:val="none"/>
        </w:rPr>
        <w:t>基础</w:t>
      </w:r>
      <w:r>
        <w:rPr>
          <w:rFonts w:ascii="宋体" w:hAnsi="宋体"/>
          <w:color w:val="auto"/>
          <w:sz w:val="24"/>
          <w:szCs w:val="24"/>
          <w:highlight w:val="none"/>
        </w:rPr>
        <w:t xml:space="preserve">合同不成立、不生效、无效、被撤销、被解除，不影响本保函的独立有效。 </w:t>
      </w:r>
    </w:p>
    <w:p w14:paraId="331791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七、</w:t>
      </w:r>
      <w:r>
        <w:rPr>
          <w:rFonts w:ascii="宋体" w:hAnsi="宋体"/>
          <w:color w:val="auto"/>
          <w:sz w:val="24"/>
          <w:szCs w:val="24"/>
          <w:highlight w:val="none"/>
        </w:rPr>
        <w:t>贵方应在本保函到期后的七日内将本保函正本退回我方注销，但是不论贵方是否按此要求将本保函正本退回我方，我方在本保函项下的义务和责任均在保函</w:t>
      </w:r>
      <w:r>
        <w:rPr>
          <w:rFonts w:hint="eastAsia" w:ascii="宋体" w:hAnsi="宋体"/>
          <w:color w:val="auto"/>
          <w:sz w:val="24"/>
          <w:szCs w:val="24"/>
          <w:highlight w:val="none"/>
        </w:rPr>
        <w:t>有效期</w:t>
      </w:r>
      <w:r>
        <w:rPr>
          <w:rFonts w:ascii="宋体" w:hAnsi="宋体"/>
          <w:color w:val="auto"/>
          <w:sz w:val="24"/>
          <w:szCs w:val="24"/>
          <w:highlight w:val="none"/>
        </w:rPr>
        <w:t xml:space="preserve">到期后自动消灭。 </w:t>
      </w:r>
    </w:p>
    <w:p w14:paraId="5B8191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八、</w:t>
      </w:r>
      <w:r>
        <w:rPr>
          <w:rFonts w:ascii="宋体" w:hAnsi="宋体"/>
          <w:color w:val="auto"/>
          <w:sz w:val="24"/>
          <w:szCs w:val="24"/>
          <w:highlight w:val="none"/>
        </w:rPr>
        <w:t>本保函</w:t>
      </w:r>
      <w:r>
        <w:rPr>
          <w:rFonts w:hint="eastAsia" w:ascii="宋体" w:hAnsi="宋体"/>
          <w:color w:val="auto"/>
          <w:sz w:val="24"/>
          <w:szCs w:val="24"/>
          <w:highlight w:val="none"/>
        </w:rPr>
        <w:t>适用的法律为中华人民共和国法律，争议裁判管辖地为中华人民共和国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79CA308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九、</w:t>
      </w:r>
      <w:r>
        <w:rPr>
          <w:rFonts w:ascii="宋体" w:hAnsi="宋体"/>
          <w:color w:val="auto"/>
          <w:sz w:val="24"/>
          <w:szCs w:val="24"/>
          <w:highlight w:val="none"/>
        </w:rPr>
        <w:t>本保函自我方法定代表人</w:t>
      </w:r>
      <w:r>
        <w:rPr>
          <w:rFonts w:hint="eastAsia" w:ascii="宋体" w:hAnsi="宋体"/>
          <w:color w:val="auto"/>
          <w:sz w:val="24"/>
          <w:szCs w:val="24"/>
          <w:highlight w:val="none"/>
        </w:rPr>
        <w:t>或授权代表</w:t>
      </w:r>
      <w:r>
        <w:rPr>
          <w:rFonts w:ascii="宋体" w:hAnsi="宋体"/>
          <w:color w:val="auto"/>
          <w:sz w:val="24"/>
          <w:szCs w:val="24"/>
          <w:highlight w:val="none"/>
        </w:rPr>
        <w:t>签字</w:t>
      </w:r>
      <w:r>
        <w:rPr>
          <w:rFonts w:hint="eastAsia" w:ascii="宋体" w:hAnsi="宋体"/>
          <w:color w:val="auto"/>
          <w:sz w:val="24"/>
          <w:szCs w:val="24"/>
          <w:highlight w:val="none"/>
        </w:rPr>
        <w:t>并</w:t>
      </w:r>
      <w:r>
        <w:rPr>
          <w:rFonts w:ascii="宋体" w:hAnsi="宋体"/>
          <w:color w:val="auto"/>
          <w:sz w:val="24"/>
          <w:szCs w:val="24"/>
          <w:highlight w:val="none"/>
        </w:rPr>
        <w:t xml:space="preserve">加盖公章之日起生效。 </w:t>
      </w:r>
    </w:p>
    <w:p w14:paraId="2B9486A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开 立 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公</w:t>
      </w:r>
      <w:r>
        <w:rPr>
          <w:rFonts w:ascii="宋体" w:hAnsi="宋体"/>
          <w:color w:val="auto"/>
          <w:sz w:val="24"/>
          <w:szCs w:val="24"/>
          <w:highlight w:val="none"/>
        </w:rPr>
        <w:t xml:space="preserve">章） </w:t>
      </w:r>
    </w:p>
    <w:p w14:paraId="0D421F0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法定代表人（或授权代表）：</w:t>
      </w:r>
      <w:r>
        <w:rPr>
          <w:rFonts w:ascii="宋体" w:hAnsi="宋体"/>
          <w:color w:val="auto"/>
          <w:sz w:val="24"/>
          <w:szCs w:val="24"/>
          <w:highlight w:val="none"/>
        </w:rPr>
        <w:t xml:space="preserve">               （签字） </w:t>
      </w:r>
    </w:p>
    <w:p w14:paraId="3610622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址：                                       </w:t>
      </w:r>
    </w:p>
    <w:p w14:paraId="27D626F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邮政编码：</w:t>
      </w:r>
      <w:r>
        <w:rPr>
          <w:rFonts w:ascii="宋体" w:hAnsi="宋体"/>
          <w:color w:val="auto"/>
          <w:sz w:val="24"/>
          <w:szCs w:val="24"/>
          <w:highlight w:val="none"/>
        </w:rPr>
        <w:t xml:space="preserve">                 </w:t>
      </w:r>
    </w:p>
    <w:p w14:paraId="40B2037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话：                 </w:t>
      </w:r>
    </w:p>
    <w:p w14:paraId="7AEB7D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真：                 </w:t>
      </w:r>
    </w:p>
    <w:p w14:paraId="7EA9C2F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开立时间：</w:t>
      </w:r>
      <w:r>
        <w:rPr>
          <w:rFonts w:ascii="宋体" w:hAnsi="宋体"/>
          <w:color w:val="auto"/>
          <w:sz w:val="24"/>
          <w:szCs w:val="24"/>
          <w:highlight w:val="none"/>
        </w:rPr>
        <w:t xml:space="preserve">      年      月    </w:t>
      </w:r>
    </w:p>
    <w:p w14:paraId="299F8C15">
      <w:pPr>
        <w:spacing w:line="360" w:lineRule="auto"/>
        <w:ind w:firstLine="480" w:firstLineChars="200"/>
        <w:rPr>
          <w:rFonts w:ascii="宋体" w:hAnsi="宋体"/>
          <w:color w:val="auto"/>
          <w:sz w:val="24"/>
          <w:szCs w:val="24"/>
          <w:highlight w:val="none"/>
        </w:rPr>
      </w:pPr>
    </w:p>
    <w:p w14:paraId="50B13AC4">
      <w:pPr>
        <w:spacing w:line="360" w:lineRule="auto"/>
        <w:ind w:firstLine="480" w:firstLineChars="200"/>
        <w:rPr>
          <w:rFonts w:ascii="宋体" w:hAnsi="宋体"/>
          <w:color w:val="auto"/>
          <w:sz w:val="24"/>
          <w:szCs w:val="24"/>
          <w:highlight w:val="none"/>
        </w:rPr>
      </w:pPr>
    </w:p>
    <w:p w14:paraId="4F485827">
      <w:pPr>
        <w:spacing w:line="360" w:lineRule="auto"/>
        <w:ind w:firstLine="480" w:firstLineChars="200"/>
        <w:rPr>
          <w:rFonts w:ascii="宋体" w:hAnsi="宋体"/>
          <w:color w:val="auto"/>
          <w:sz w:val="24"/>
          <w:szCs w:val="24"/>
          <w:highlight w:val="none"/>
        </w:rPr>
      </w:pPr>
    </w:p>
    <w:p w14:paraId="69C01FD0">
      <w:pPr>
        <w:spacing w:line="360" w:lineRule="auto"/>
        <w:ind w:firstLine="480" w:firstLineChars="200"/>
        <w:rPr>
          <w:rFonts w:ascii="宋体" w:hAnsi="宋体"/>
          <w:color w:val="auto"/>
          <w:sz w:val="24"/>
          <w:szCs w:val="24"/>
          <w:highlight w:val="none"/>
        </w:rPr>
      </w:pPr>
    </w:p>
    <w:p w14:paraId="0B4B3E94">
      <w:pPr>
        <w:spacing w:line="360" w:lineRule="auto"/>
        <w:ind w:firstLine="480" w:firstLineChars="200"/>
        <w:rPr>
          <w:rFonts w:ascii="宋体" w:hAnsi="宋体"/>
          <w:color w:val="auto"/>
          <w:sz w:val="24"/>
          <w:szCs w:val="24"/>
          <w:highlight w:val="none"/>
        </w:rPr>
      </w:pPr>
    </w:p>
    <w:p w14:paraId="571C4000">
      <w:pPr>
        <w:spacing w:line="360" w:lineRule="auto"/>
        <w:ind w:firstLine="480" w:firstLineChars="200"/>
        <w:rPr>
          <w:rFonts w:ascii="宋体" w:hAnsi="宋体"/>
          <w:color w:val="auto"/>
          <w:sz w:val="24"/>
          <w:szCs w:val="24"/>
          <w:highlight w:val="none"/>
        </w:rPr>
      </w:pPr>
    </w:p>
    <w:p w14:paraId="797F008A">
      <w:pPr>
        <w:spacing w:line="360" w:lineRule="auto"/>
        <w:jc w:val="left"/>
        <w:rPr>
          <w:rFonts w:eastAsia="仿宋_GB2312"/>
          <w:color w:val="auto"/>
          <w:sz w:val="30"/>
          <w:szCs w:val="30"/>
          <w:highlight w:val="none"/>
        </w:rPr>
      </w:pPr>
    </w:p>
    <w:p w14:paraId="1D535DCF">
      <w:pPr>
        <w:pStyle w:val="5"/>
        <w:jc w:val="both"/>
        <w:rPr>
          <w:rFonts w:ascii="宋体" w:hAnsi="宋体"/>
          <w:color w:val="auto"/>
          <w:sz w:val="32"/>
          <w:szCs w:val="32"/>
          <w:highlight w:val="none"/>
        </w:rPr>
      </w:pPr>
      <w:r>
        <w:rPr>
          <w:rFonts w:hint="eastAsia" w:eastAsia="仿宋_GB2312" w:cs="仿宋_GB2312"/>
          <w:color w:val="auto"/>
          <w:sz w:val="30"/>
          <w:szCs w:val="30"/>
          <w:highlight w:val="none"/>
        </w:rPr>
        <w:t>附件</w:t>
      </w:r>
      <w:r>
        <w:rPr>
          <w:rFonts w:hint="eastAsia" w:eastAsia="仿宋_GB2312"/>
          <w:color w:val="auto"/>
          <w:sz w:val="30"/>
          <w:szCs w:val="30"/>
          <w:highlight w:val="none"/>
        </w:rPr>
        <w:t>7</w:t>
      </w:r>
      <w:r>
        <w:rPr>
          <w:rFonts w:hint="eastAsia" w:eastAsia="仿宋_GB2312" w:cs="仿宋_GB2312"/>
          <w:color w:val="auto"/>
          <w:sz w:val="30"/>
          <w:szCs w:val="30"/>
          <w:highlight w:val="none"/>
        </w:rPr>
        <w:t>：履约</w:t>
      </w:r>
      <w:r>
        <w:rPr>
          <w:rFonts w:hint="eastAsia" w:ascii="仿宋_GB2312" w:hAnsi="Arial" w:eastAsia="仿宋_GB2312" w:cs="仿宋_GB2312"/>
          <w:color w:val="auto"/>
          <w:sz w:val="30"/>
          <w:szCs w:val="30"/>
          <w:highlight w:val="none"/>
        </w:rPr>
        <w:t>保函</w:t>
      </w:r>
      <w:r>
        <w:rPr>
          <w:rFonts w:hint="eastAsia" w:eastAsia="仿宋_GB2312" w:cs="仿宋_GB2312"/>
          <w:color w:val="auto"/>
          <w:sz w:val="30"/>
          <w:szCs w:val="30"/>
          <w:highlight w:val="none"/>
        </w:rPr>
        <w:t>示范文本</w:t>
      </w:r>
    </w:p>
    <w:p w14:paraId="35D0333E">
      <w:pPr>
        <w:spacing w:line="360" w:lineRule="auto"/>
        <w:rPr>
          <w:rFonts w:ascii="宋体" w:hAnsi="宋体"/>
          <w:b/>
          <w:bCs/>
          <w:color w:val="auto"/>
          <w:sz w:val="32"/>
          <w:szCs w:val="32"/>
          <w:highlight w:val="none"/>
        </w:rPr>
      </w:pPr>
    </w:p>
    <w:p w14:paraId="7F4B4DD0">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履约保函示范文本</w:t>
      </w:r>
    </w:p>
    <w:p w14:paraId="14221A57">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（非独立保函）</w:t>
      </w:r>
    </w:p>
    <w:p w14:paraId="4E8DF3E7">
      <w:pPr>
        <w:spacing w:line="360" w:lineRule="auto"/>
        <w:jc w:val="center"/>
        <w:rPr>
          <w:rFonts w:ascii="宋体" w:hAnsi="宋体"/>
          <w:b/>
          <w:bCs/>
          <w:color w:val="auto"/>
          <w:sz w:val="32"/>
          <w:szCs w:val="32"/>
          <w:highlight w:val="none"/>
        </w:rPr>
      </w:pPr>
    </w:p>
    <w:p w14:paraId="715260D5">
      <w:pPr>
        <w:wordWrap w:val="0"/>
        <w:spacing w:line="360" w:lineRule="auto"/>
        <w:jc w:val="right"/>
        <w:rPr>
          <w:rFonts w:ascii="宋体" w:hAnsi="宋体"/>
          <w:color w:val="auto"/>
          <w:highlight w:val="none"/>
        </w:rPr>
      </w:pPr>
      <w:r>
        <w:rPr>
          <w:rFonts w:hint="eastAsia" w:ascii="宋体" w:hAnsi="宋体"/>
          <w:color w:val="auto"/>
          <w:highlight w:val="none"/>
        </w:rPr>
        <w:t xml:space="preserve">编号： </w:t>
      </w:r>
      <w:r>
        <w:rPr>
          <w:rFonts w:ascii="宋体" w:hAnsi="宋体"/>
          <w:color w:val="auto"/>
          <w:highlight w:val="none"/>
        </w:rPr>
        <w:t xml:space="preserve">          </w:t>
      </w:r>
    </w:p>
    <w:p w14:paraId="3691C197">
      <w:pPr>
        <w:spacing w:line="360" w:lineRule="auto"/>
        <w:rPr>
          <w:rFonts w:ascii="宋体" w:hAnsi="宋体"/>
          <w:color w:val="auto"/>
          <w:sz w:val="24"/>
          <w:szCs w:val="24"/>
          <w:highlight w:val="none"/>
        </w:rPr>
      </w:pPr>
      <w:r>
        <w:rPr>
          <w:rFonts w:hint="eastAsia" w:ascii="宋体" w:hAnsi="宋体"/>
          <w:color w:val="auto"/>
          <w:sz w:val="24"/>
          <w:szCs w:val="24"/>
          <w:highlight w:val="none"/>
        </w:rPr>
        <w:t>承包人：</w:t>
      </w:r>
    </w:p>
    <w:p w14:paraId="7C1B3A22">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r>
        <w:rPr>
          <w:rFonts w:ascii="宋体" w:hAnsi="宋体"/>
          <w:color w:val="auto"/>
          <w:sz w:val="24"/>
          <w:szCs w:val="24"/>
          <w:highlight w:val="none"/>
        </w:rPr>
        <w:t>：</w:t>
      </w:r>
    </w:p>
    <w:p w14:paraId="0AA4D889">
      <w:pPr>
        <w:spacing w:line="360" w:lineRule="auto"/>
        <w:rPr>
          <w:rFonts w:ascii="宋体" w:hAnsi="宋体"/>
          <w:color w:val="auto"/>
          <w:sz w:val="24"/>
          <w:szCs w:val="24"/>
          <w:highlight w:val="none"/>
        </w:rPr>
      </w:pPr>
      <w:r>
        <w:rPr>
          <w:rFonts w:hint="eastAsia" w:ascii="宋体" w:hAnsi="宋体"/>
          <w:color w:val="auto"/>
          <w:sz w:val="24"/>
          <w:szCs w:val="24"/>
          <w:highlight w:val="none"/>
        </w:rPr>
        <w:t>担保权人/发包人：</w:t>
      </w:r>
      <w:r>
        <w:rPr>
          <w:rFonts w:ascii="宋体" w:hAnsi="宋体"/>
          <w:color w:val="auto"/>
          <w:sz w:val="24"/>
          <w:szCs w:val="24"/>
          <w:highlight w:val="none"/>
        </w:rPr>
        <w:t xml:space="preserve"> </w:t>
      </w:r>
    </w:p>
    <w:p w14:paraId="546F7953">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p w14:paraId="6F52C3A1">
      <w:pPr>
        <w:spacing w:line="360" w:lineRule="auto"/>
        <w:rPr>
          <w:rFonts w:ascii="宋体" w:hAnsi="宋体"/>
          <w:color w:val="auto"/>
          <w:sz w:val="24"/>
          <w:szCs w:val="24"/>
          <w:highlight w:val="none"/>
        </w:rPr>
      </w:pPr>
      <w:r>
        <w:rPr>
          <w:rFonts w:hint="eastAsia" w:ascii="宋体" w:hAnsi="宋体"/>
          <w:color w:val="auto"/>
          <w:sz w:val="24"/>
          <w:szCs w:val="24"/>
          <w:highlight w:val="none"/>
        </w:rPr>
        <w:t>保证人：</w:t>
      </w:r>
    </w:p>
    <w:p w14:paraId="63F0F527">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p w14:paraId="7F663F2F">
      <w:pPr>
        <w:spacing w:line="360" w:lineRule="auto"/>
        <w:rPr>
          <w:rFonts w:ascii="宋体" w:hAnsi="宋体"/>
          <w:color w:val="auto"/>
          <w:sz w:val="24"/>
          <w:szCs w:val="24"/>
          <w:highlight w:val="none"/>
        </w:rPr>
      </w:pPr>
    </w:p>
    <w:p w14:paraId="69DE5329">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rPr>
        <w:t>发包人</w:t>
      </w:r>
      <w:r>
        <w:rPr>
          <w:rFonts w:ascii="宋体" w:hAnsi="宋体"/>
          <w:color w:val="auto"/>
          <w:sz w:val="24"/>
          <w:szCs w:val="24"/>
          <w:highlight w:val="none"/>
        </w:rPr>
        <w:t xml:space="preserve">名称）： </w:t>
      </w:r>
    </w:p>
    <w:p w14:paraId="1653285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发包人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承包人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日就</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工程（以下简称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本工程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）施工和有关事项协商一致共同签订</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主合同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），我方即保证人基于承包人</w:t>
      </w:r>
      <w:r>
        <w:rPr>
          <w:rFonts w:ascii="宋体" w:hAnsi="宋体"/>
          <w:color w:val="auto"/>
          <w:sz w:val="24"/>
          <w:szCs w:val="24"/>
          <w:highlight w:val="none"/>
        </w:rPr>
        <w:t>的请求，同意就</w:t>
      </w:r>
      <w:r>
        <w:rPr>
          <w:rFonts w:hint="eastAsia" w:ascii="宋体" w:hAnsi="宋体"/>
          <w:color w:val="auto"/>
          <w:sz w:val="24"/>
          <w:szCs w:val="24"/>
          <w:highlight w:val="none"/>
        </w:rPr>
        <w:t>承包人</w:t>
      </w:r>
      <w:r>
        <w:rPr>
          <w:rFonts w:ascii="宋体" w:hAnsi="宋体"/>
          <w:color w:val="auto"/>
          <w:sz w:val="24"/>
          <w:szCs w:val="24"/>
          <w:highlight w:val="none"/>
        </w:rPr>
        <w:t>履行</w:t>
      </w:r>
      <w:r>
        <w:rPr>
          <w:rFonts w:hint="eastAsia" w:ascii="宋体" w:hAnsi="宋体"/>
          <w:color w:val="auto"/>
          <w:sz w:val="24"/>
          <w:szCs w:val="24"/>
          <w:highlight w:val="none"/>
        </w:rPr>
        <w:t>与贵方签订的主合同</w:t>
      </w:r>
      <w:r>
        <w:rPr>
          <w:rFonts w:ascii="宋体" w:hAnsi="宋体"/>
          <w:color w:val="auto"/>
          <w:sz w:val="24"/>
          <w:szCs w:val="24"/>
          <w:highlight w:val="none"/>
        </w:rPr>
        <w:t>项下的义务</w:t>
      </w:r>
      <w:r>
        <w:rPr>
          <w:rFonts w:hint="eastAsia" w:ascii="宋体" w:hAnsi="宋体"/>
          <w:color w:val="auto"/>
          <w:sz w:val="24"/>
          <w:szCs w:val="24"/>
          <w:highlight w:val="none"/>
        </w:rPr>
        <w:t>，</w:t>
      </w:r>
      <w:r>
        <w:rPr>
          <w:rFonts w:ascii="宋体" w:hAnsi="宋体"/>
          <w:color w:val="auto"/>
          <w:sz w:val="24"/>
          <w:szCs w:val="24"/>
          <w:highlight w:val="none"/>
        </w:rPr>
        <w:t>向贵方提供</w:t>
      </w:r>
      <w:r>
        <w:rPr>
          <w:rFonts w:hint="eastAsia" w:ascii="宋体" w:hAnsi="宋体"/>
          <w:color w:val="auto"/>
          <w:sz w:val="24"/>
          <w:szCs w:val="24"/>
          <w:highlight w:val="none"/>
        </w:rPr>
        <w:t>如下保证担保（以下简称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本保证担保</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340E80F0">
      <w:pPr>
        <w:spacing w:line="360" w:lineRule="auto"/>
        <w:rPr>
          <w:rFonts w:ascii="宋体" w:hAnsi="宋体"/>
          <w:b/>
          <w:bCs/>
          <w:color w:val="auto"/>
          <w:sz w:val="24"/>
          <w:szCs w:val="24"/>
          <w:highlight w:val="none"/>
        </w:rPr>
      </w:pP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一、保证担保的范围及保证担保金额</w:t>
      </w:r>
    </w:p>
    <w:p w14:paraId="4893E2D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w:t>
      </w:r>
      <w:r>
        <w:rPr>
          <w:rFonts w:hint="eastAsia" w:ascii="宋体" w:hAnsi="宋体"/>
          <w:color w:val="auto"/>
          <w:sz w:val="24"/>
          <w:szCs w:val="24"/>
          <w:highlight w:val="none"/>
        </w:rPr>
        <w:t>保证担保范围：承包人未按照主合同的约定履行义务，应当向贵方承担的违约责任和赔偿因此造成的损失、利息、律师费、诉讼费用等实现债权的费用。</w:t>
      </w:r>
    </w:p>
    <w:p w14:paraId="76E4699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保证担保金额最高不超过</w:t>
      </w: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ascii="宋体" w:hAnsi="宋体"/>
          <w:color w:val="auto"/>
          <w:sz w:val="24"/>
          <w:szCs w:val="24"/>
          <w:highlight w:val="none"/>
        </w:rPr>
        <w:t>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17D81ED5">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二、保证担保的方式及保证期间</w:t>
      </w:r>
      <w:r>
        <w:rPr>
          <w:rFonts w:ascii="宋体" w:hAnsi="宋体"/>
          <w:b/>
          <w:bCs/>
          <w:color w:val="auto"/>
          <w:sz w:val="24"/>
          <w:szCs w:val="24"/>
          <w:highlight w:val="none"/>
        </w:rPr>
        <w:t xml:space="preserve"> </w:t>
      </w:r>
    </w:p>
    <w:p w14:paraId="231BEE9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1.保证担保方式：连带责任保证。</w:t>
      </w:r>
    </w:p>
    <w:p w14:paraId="24134B0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保证期间：</w:t>
      </w:r>
      <w:r>
        <w:rPr>
          <w:rFonts w:ascii="宋体" w:hAnsi="宋体"/>
          <w:color w:val="auto"/>
          <w:sz w:val="24"/>
          <w:szCs w:val="24"/>
          <w:highlight w:val="none"/>
        </w:rPr>
        <w:t>自</w:t>
      </w:r>
      <w:r>
        <w:rPr>
          <w:rFonts w:hint="eastAsia" w:ascii="宋体" w:hAnsi="宋体"/>
          <w:color w:val="auto"/>
          <w:sz w:val="24"/>
          <w:szCs w:val="24"/>
          <w:highlight w:val="none"/>
        </w:rPr>
        <w:t>出具之日起</w:t>
      </w:r>
      <w:r>
        <w:rPr>
          <w:rFonts w:ascii="宋体" w:hAnsi="宋体"/>
          <w:color w:val="auto"/>
          <w:sz w:val="24"/>
          <w:szCs w:val="24"/>
          <w:highlight w:val="none"/>
        </w:rPr>
        <w:t>至</w:t>
      </w:r>
      <w:r>
        <w:rPr>
          <w:rFonts w:hint="eastAsia" w:ascii="宋体" w:hAnsi="宋体"/>
          <w:color w:val="auto"/>
          <w:sz w:val="24"/>
          <w:szCs w:val="24"/>
          <w:highlight w:val="none"/>
        </w:rPr>
        <w:t>主合同约定的缺陷责任期</w:t>
      </w:r>
      <w:r>
        <w:rPr>
          <w:rFonts w:ascii="宋体" w:hAnsi="宋体"/>
          <w:color w:val="auto"/>
          <w:sz w:val="24"/>
          <w:szCs w:val="24"/>
          <w:highlight w:val="none"/>
        </w:rPr>
        <w:t>后</w:t>
      </w:r>
      <w:r>
        <w:rPr>
          <w:rFonts w:ascii="宋体" w:hAnsi="宋体"/>
          <w:color w:val="auto"/>
          <w:sz w:val="24"/>
          <w:szCs w:val="24"/>
          <w:highlight w:val="none"/>
          <w:u w:val="single"/>
        </w:rPr>
        <w:t xml:space="preserve">   </w:t>
      </w:r>
      <w:r>
        <w:rPr>
          <w:rFonts w:ascii="宋体" w:hAnsi="宋体"/>
          <w:color w:val="auto"/>
          <w:sz w:val="24"/>
          <w:szCs w:val="24"/>
          <w:highlight w:val="none"/>
        </w:rPr>
        <w:t>日</w:t>
      </w:r>
      <w:r>
        <w:rPr>
          <w:rFonts w:hint="eastAsia" w:ascii="宋体" w:hAnsi="宋体"/>
          <w:color w:val="auto"/>
          <w:sz w:val="24"/>
          <w:szCs w:val="24"/>
          <w:highlight w:val="none"/>
        </w:rPr>
        <w:t>止，最迟不超过</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ascii="宋体" w:hAnsi="宋体"/>
          <w:color w:val="auto"/>
          <w:sz w:val="24"/>
          <w:szCs w:val="24"/>
          <w:highlight w:val="none"/>
        </w:rPr>
        <w:t xml:space="preserve">。 </w:t>
      </w:r>
    </w:p>
    <w:p w14:paraId="68C379EB">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三、承担保证担保责任的形式</w:t>
      </w:r>
    </w:p>
    <w:p w14:paraId="21E7863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我方按照贵方的要求以下列方式之一承担保证担保责任：</w:t>
      </w:r>
      <w:r>
        <w:rPr>
          <w:rFonts w:ascii="宋体" w:hAnsi="宋体"/>
          <w:color w:val="auto"/>
          <w:sz w:val="24"/>
          <w:szCs w:val="24"/>
          <w:highlight w:val="none"/>
        </w:rPr>
        <w:t xml:space="preserve"> </w:t>
      </w:r>
    </w:p>
    <w:p w14:paraId="6834C21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1.向承包人资金、设备或者技术援助，使其能继续履行合同义务；</w:t>
      </w:r>
    </w:p>
    <w:p w14:paraId="75F4A4A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2.直接接管该项工程或者委托经贵方同意的其他承包商，继续履行合同义务；</w:t>
      </w:r>
    </w:p>
    <w:p w14:paraId="4FB86D4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3.在保证担保金额最高限额内，按照合同约定，向贵方承担违约责任和赔偿因此造成的损失，以及利息和律师费、诉讼费用等实现债权的费用。</w:t>
      </w:r>
    </w:p>
    <w:p w14:paraId="68D3EAAE">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四、代偿的安排</w:t>
      </w:r>
      <w:r>
        <w:rPr>
          <w:rFonts w:ascii="宋体" w:hAnsi="宋体"/>
          <w:b/>
          <w:bCs/>
          <w:color w:val="auto"/>
          <w:sz w:val="24"/>
          <w:szCs w:val="24"/>
          <w:highlight w:val="none"/>
        </w:rPr>
        <w:t xml:space="preserve"> </w:t>
      </w:r>
    </w:p>
    <w:p w14:paraId="6E9F21C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1.贵方要求我方承担保证责任的，应向我方发出书面索赔通知及承包人未履行主合同约定义务的证明材料。索赔通知应写明要求索赔的金额，支付款项应到达的</w:t>
      </w:r>
      <w:r>
        <w:rPr>
          <w:rFonts w:hint="eastAsia" w:ascii="宋体" w:hAnsi="宋体"/>
          <w:color w:val="auto"/>
          <w:sz w:val="24"/>
          <w:szCs w:val="24"/>
          <w:highlight w:val="none"/>
          <w:lang w:eastAsia="zh-CN"/>
        </w:rPr>
        <w:t>账</w:t>
      </w:r>
      <w:r>
        <w:rPr>
          <w:rFonts w:hint="eastAsia" w:ascii="宋体" w:hAnsi="宋体"/>
          <w:color w:val="auto"/>
          <w:sz w:val="24"/>
          <w:szCs w:val="24"/>
          <w:highlight w:val="none"/>
        </w:rPr>
        <w:t>号，并附有说明承包人违反主合同造成贵方损失情况的证明材料。</w:t>
      </w:r>
    </w:p>
    <w:p w14:paraId="5137E61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2.贵方以工程质量不符合主合同约定标准为由，向我方提出违约索赔的，还需同时提供符合相应条件要求的工程质量检测部门出具的质量说明材料。</w:t>
      </w:r>
    </w:p>
    <w:p w14:paraId="700D58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3.我方收到贵方的书面索赔通知及相应证明材料后，在</w:t>
      </w:r>
      <w:r>
        <w:rPr>
          <w:rFonts w:ascii="宋体" w:hAnsi="宋体"/>
          <w:color w:val="auto"/>
          <w:sz w:val="24"/>
          <w:szCs w:val="24"/>
          <w:highlight w:val="none"/>
          <w:u w:val="single"/>
        </w:rPr>
        <w:t xml:space="preserve">   </w:t>
      </w:r>
      <w:r>
        <w:rPr>
          <w:rFonts w:hint="eastAsia" w:ascii="宋体" w:hAnsi="宋体"/>
          <w:color w:val="auto"/>
          <w:sz w:val="24"/>
          <w:szCs w:val="24"/>
          <w:highlight w:val="none"/>
        </w:rPr>
        <w:t>工作日内进行核定后按照本保函的承诺承担保证责任。</w:t>
      </w:r>
    </w:p>
    <w:p w14:paraId="083A33CA">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五、保证担保责任的解除</w:t>
      </w:r>
      <w:r>
        <w:rPr>
          <w:rFonts w:ascii="宋体" w:hAnsi="宋体"/>
          <w:b/>
          <w:bCs/>
          <w:color w:val="auto"/>
          <w:sz w:val="24"/>
          <w:szCs w:val="24"/>
          <w:highlight w:val="none"/>
        </w:rPr>
        <w:t xml:space="preserve"> </w:t>
      </w:r>
    </w:p>
    <w:p w14:paraId="02C355E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 xml:space="preserve">保证期间届满贵方未向我方书面主张保证责任的，自保证期间届满次日起，我方解除保证责任。 </w:t>
      </w:r>
    </w:p>
    <w:p w14:paraId="47C751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我方按照本</w:t>
      </w:r>
      <w:r>
        <w:rPr>
          <w:rFonts w:hint="eastAsia" w:ascii="宋体" w:hAnsi="宋体"/>
          <w:color w:val="auto"/>
          <w:sz w:val="24"/>
          <w:szCs w:val="24"/>
          <w:highlight w:val="none"/>
        </w:rPr>
        <w:t>保证担保</w:t>
      </w:r>
      <w:r>
        <w:rPr>
          <w:rFonts w:ascii="宋体" w:hAnsi="宋体"/>
          <w:color w:val="auto"/>
          <w:sz w:val="24"/>
          <w:szCs w:val="24"/>
          <w:highlight w:val="none"/>
        </w:rPr>
        <w:t>向贵方履行了</w:t>
      </w:r>
      <w:r>
        <w:rPr>
          <w:rFonts w:hint="eastAsia" w:ascii="宋体" w:hAnsi="宋体"/>
          <w:color w:val="auto"/>
          <w:sz w:val="24"/>
          <w:szCs w:val="24"/>
          <w:highlight w:val="none"/>
        </w:rPr>
        <w:t>保证担保责任</w:t>
      </w:r>
      <w:r>
        <w:rPr>
          <w:rFonts w:ascii="宋体" w:hAnsi="宋体"/>
          <w:color w:val="auto"/>
          <w:sz w:val="24"/>
          <w:szCs w:val="24"/>
          <w:highlight w:val="none"/>
        </w:rPr>
        <w:t>后，自我方向贵方支付</w:t>
      </w:r>
      <w:r>
        <w:rPr>
          <w:rFonts w:hint="eastAsia" w:ascii="宋体" w:hAnsi="宋体"/>
          <w:color w:val="auto"/>
          <w:sz w:val="24"/>
          <w:szCs w:val="24"/>
          <w:highlight w:val="none"/>
        </w:rPr>
        <w:t>的金额达到最高保证担保金额</w:t>
      </w:r>
      <w:r>
        <w:rPr>
          <w:rFonts w:ascii="宋体" w:hAnsi="宋体"/>
          <w:color w:val="auto"/>
          <w:sz w:val="24"/>
          <w:szCs w:val="24"/>
          <w:highlight w:val="none"/>
        </w:rPr>
        <w:t>之日起，</w:t>
      </w:r>
      <w:r>
        <w:rPr>
          <w:rFonts w:hint="eastAsia" w:ascii="宋体" w:hAnsi="宋体"/>
          <w:color w:val="auto"/>
          <w:sz w:val="24"/>
          <w:szCs w:val="24"/>
          <w:highlight w:val="none"/>
        </w:rPr>
        <w:t>保证担保责任</w:t>
      </w:r>
      <w:r>
        <w:rPr>
          <w:rFonts w:ascii="宋体" w:hAnsi="宋体"/>
          <w:color w:val="auto"/>
          <w:sz w:val="24"/>
          <w:szCs w:val="24"/>
          <w:highlight w:val="none"/>
        </w:rPr>
        <w:t xml:space="preserve">解除。 </w:t>
      </w:r>
    </w:p>
    <w:p w14:paraId="01D662F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按照法律法规的规定应解除我方保证</w:t>
      </w:r>
      <w:r>
        <w:rPr>
          <w:rFonts w:hint="eastAsia" w:ascii="宋体" w:hAnsi="宋体"/>
          <w:color w:val="auto"/>
          <w:sz w:val="24"/>
          <w:szCs w:val="24"/>
          <w:highlight w:val="none"/>
        </w:rPr>
        <w:t>担保</w:t>
      </w:r>
      <w:r>
        <w:rPr>
          <w:rFonts w:ascii="宋体" w:hAnsi="宋体"/>
          <w:color w:val="auto"/>
          <w:sz w:val="24"/>
          <w:szCs w:val="24"/>
          <w:highlight w:val="none"/>
        </w:rPr>
        <w:t>责任的其它情形的，我方在本保证担保项下的保证</w:t>
      </w:r>
      <w:r>
        <w:rPr>
          <w:rFonts w:hint="eastAsia" w:ascii="宋体" w:hAnsi="宋体"/>
          <w:color w:val="auto"/>
          <w:sz w:val="24"/>
          <w:szCs w:val="24"/>
          <w:highlight w:val="none"/>
        </w:rPr>
        <w:t>担保</w:t>
      </w:r>
      <w:r>
        <w:rPr>
          <w:rFonts w:ascii="宋体" w:hAnsi="宋体"/>
          <w:color w:val="auto"/>
          <w:sz w:val="24"/>
          <w:szCs w:val="24"/>
          <w:highlight w:val="none"/>
        </w:rPr>
        <w:t xml:space="preserve">责任亦解除。 </w:t>
      </w:r>
    </w:p>
    <w:p w14:paraId="23AE4EE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4.我方解除保证责任后，贵方应按上述约定，自我方保证担保责任解除之日起七</w:t>
      </w:r>
      <w:r>
        <w:rPr>
          <w:rFonts w:ascii="宋体" w:hAnsi="宋体"/>
          <w:color w:val="auto"/>
          <w:sz w:val="24"/>
          <w:szCs w:val="24"/>
          <w:highlight w:val="none"/>
        </w:rPr>
        <w:t>日内，将本保证担保原件返还我方。但是不论贵方是否按此要求将本保证担保</w:t>
      </w:r>
      <w:r>
        <w:rPr>
          <w:rFonts w:hint="eastAsia" w:ascii="宋体" w:hAnsi="宋体"/>
          <w:color w:val="auto"/>
          <w:sz w:val="24"/>
          <w:szCs w:val="24"/>
          <w:highlight w:val="none"/>
        </w:rPr>
        <w:t>原件</w:t>
      </w:r>
      <w:r>
        <w:rPr>
          <w:rFonts w:ascii="宋体" w:hAnsi="宋体"/>
          <w:color w:val="auto"/>
          <w:sz w:val="24"/>
          <w:szCs w:val="24"/>
          <w:highlight w:val="none"/>
        </w:rPr>
        <w:t>退回我方，我方在本保证担保项下的义务和责任均</w:t>
      </w:r>
      <w:r>
        <w:rPr>
          <w:rFonts w:hint="eastAsia" w:ascii="宋体" w:hAnsi="宋体"/>
          <w:color w:val="auto"/>
          <w:sz w:val="24"/>
          <w:szCs w:val="24"/>
          <w:highlight w:val="none"/>
        </w:rPr>
        <w:t>自保证担保责任解除之日</w:t>
      </w:r>
      <w:r>
        <w:rPr>
          <w:rFonts w:ascii="宋体" w:hAnsi="宋体"/>
          <w:color w:val="auto"/>
          <w:sz w:val="24"/>
          <w:szCs w:val="24"/>
          <w:highlight w:val="none"/>
        </w:rPr>
        <w:t>自动消灭。</w:t>
      </w:r>
    </w:p>
    <w:p w14:paraId="051CE7DD">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六、免责条款</w:t>
      </w:r>
      <w:r>
        <w:rPr>
          <w:rFonts w:ascii="宋体" w:hAnsi="宋体"/>
          <w:b/>
          <w:bCs/>
          <w:color w:val="auto"/>
          <w:sz w:val="24"/>
          <w:szCs w:val="24"/>
          <w:highlight w:val="none"/>
        </w:rPr>
        <w:t xml:space="preserve"> </w:t>
      </w:r>
    </w:p>
    <w:p w14:paraId="4EA92CE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因贵方</w:t>
      </w:r>
      <w:r>
        <w:rPr>
          <w:rFonts w:hint="eastAsia" w:ascii="宋体" w:hAnsi="宋体"/>
          <w:color w:val="auto"/>
          <w:sz w:val="24"/>
          <w:szCs w:val="24"/>
          <w:highlight w:val="none"/>
        </w:rPr>
        <w:t>原因</w:t>
      </w:r>
      <w:r>
        <w:rPr>
          <w:rFonts w:ascii="宋体" w:hAnsi="宋体"/>
          <w:color w:val="auto"/>
          <w:sz w:val="24"/>
          <w:szCs w:val="24"/>
          <w:highlight w:val="none"/>
        </w:rPr>
        <w:t>致使</w:t>
      </w:r>
      <w:r>
        <w:rPr>
          <w:rFonts w:hint="eastAsia" w:ascii="宋体" w:hAnsi="宋体"/>
          <w:color w:val="auto"/>
          <w:sz w:val="24"/>
          <w:szCs w:val="24"/>
          <w:highlight w:val="none"/>
        </w:rPr>
        <w:t>承包人未按照主合同约定履行义务的</w:t>
      </w:r>
      <w:r>
        <w:rPr>
          <w:rFonts w:ascii="宋体" w:hAnsi="宋体"/>
          <w:color w:val="auto"/>
          <w:sz w:val="24"/>
          <w:szCs w:val="24"/>
          <w:highlight w:val="none"/>
        </w:rPr>
        <w:t>，我方不承担保证</w:t>
      </w:r>
      <w:r>
        <w:rPr>
          <w:rFonts w:hint="eastAsia" w:ascii="宋体" w:hAnsi="宋体"/>
          <w:color w:val="auto"/>
          <w:sz w:val="24"/>
          <w:szCs w:val="24"/>
          <w:highlight w:val="none"/>
        </w:rPr>
        <w:t>担保</w:t>
      </w:r>
      <w:r>
        <w:rPr>
          <w:rFonts w:ascii="宋体" w:hAnsi="宋体"/>
          <w:color w:val="auto"/>
          <w:sz w:val="24"/>
          <w:szCs w:val="24"/>
          <w:highlight w:val="none"/>
        </w:rPr>
        <w:t xml:space="preserve">责任。 </w:t>
      </w:r>
    </w:p>
    <w:p w14:paraId="60E5761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依照法律规定或贵方与</w:t>
      </w:r>
      <w:r>
        <w:rPr>
          <w:rFonts w:hint="eastAsia" w:ascii="宋体" w:hAnsi="宋体"/>
          <w:color w:val="auto"/>
          <w:sz w:val="24"/>
          <w:szCs w:val="24"/>
          <w:highlight w:val="none"/>
        </w:rPr>
        <w:t>发包</w:t>
      </w:r>
      <w:r>
        <w:rPr>
          <w:rFonts w:ascii="宋体" w:hAnsi="宋体"/>
          <w:color w:val="auto"/>
          <w:sz w:val="24"/>
          <w:szCs w:val="24"/>
          <w:highlight w:val="none"/>
        </w:rPr>
        <w:t>人的另行约定，免除</w:t>
      </w:r>
      <w:r>
        <w:rPr>
          <w:rFonts w:hint="eastAsia" w:ascii="宋体" w:hAnsi="宋体"/>
          <w:color w:val="auto"/>
          <w:sz w:val="24"/>
          <w:szCs w:val="24"/>
          <w:highlight w:val="none"/>
        </w:rPr>
        <w:t>承包</w:t>
      </w:r>
      <w:r>
        <w:rPr>
          <w:rFonts w:ascii="宋体" w:hAnsi="宋体"/>
          <w:color w:val="auto"/>
          <w:sz w:val="24"/>
          <w:szCs w:val="24"/>
          <w:highlight w:val="none"/>
        </w:rPr>
        <w:t>人部分或全部义务的，我方亦免除其相应的保证</w:t>
      </w:r>
      <w:r>
        <w:rPr>
          <w:rFonts w:hint="eastAsia" w:ascii="宋体" w:hAnsi="宋体"/>
          <w:color w:val="auto"/>
          <w:sz w:val="24"/>
          <w:szCs w:val="24"/>
          <w:highlight w:val="none"/>
        </w:rPr>
        <w:t>担保</w:t>
      </w:r>
      <w:r>
        <w:rPr>
          <w:rFonts w:ascii="宋体" w:hAnsi="宋体"/>
          <w:color w:val="auto"/>
          <w:sz w:val="24"/>
          <w:szCs w:val="24"/>
          <w:highlight w:val="none"/>
        </w:rPr>
        <w:t xml:space="preserve">责任。 </w:t>
      </w:r>
    </w:p>
    <w:p w14:paraId="138ECB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因不可抗力造成</w:t>
      </w:r>
      <w:r>
        <w:rPr>
          <w:rFonts w:hint="eastAsia" w:ascii="宋体" w:hAnsi="宋体"/>
          <w:color w:val="auto"/>
          <w:sz w:val="24"/>
          <w:szCs w:val="24"/>
          <w:highlight w:val="none"/>
        </w:rPr>
        <w:t>承包人未按照主合同约定履行义务的</w:t>
      </w:r>
      <w:r>
        <w:rPr>
          <w:rFonts w:ascii="宋体" w:hAnsi="宋体"/>
          <w:color w:val="auto"/>
          <w:sz w:val="24"/>
          <w:szCs w:val="24"/>
          <w:highlight w:val="none"/>
        </w:rPr>
        <w:t>，我方不承担保证</w:t>
      </w:r>
      <w:r>
        <w:rPr>
          <w:rFonts w:hint="eastAsia" w:ascii="宋体" w:hAnsi="宋体"/>
          <w:color w:val="auto"/>
          <w:sz w:val="24"/>
          <w:szCs w:val="24"/>
          <w:highlight w:val="none"/>
        </w:rPr>
        <w:t>担保</w:t>
      </w:r>
      <w:r>
        <w:rPr>
          <w:rFonts w:ascii="宋体" w:hAnsi="宋体"/>
          <w:color w:val="auto"/>
          <w:sz w:val="24"/>
          <w:szCs w:val="24"/>
          <w:highlight w:val="none"/>
        </w:rPr>
        <w:t>责任。</w:t>
      </w:r>
    </w:p>
    <w:p w14:paraId="310A4C41">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七、其他</w:t>
      </w:r>
    </w:p>
    <w:p w14:paraId="4FFD97B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本保证担保项下的权利不得转让，不得设定担保。贵方未经我方书面同意转让本保证担保或其项下任何权利，</w:t>
      </w:r>
      <w:r>
        <w:rPr>
          <w:rFonts w:hint="eastAsia" w:ascii="宋体" w:hAnsi="宋体"/>
          <w:color w:val="auto"/>
          <w:sz w:val="24"/>
          <w:szCs w:val="24"/>
          <w:highlight w:val="none"/>
        </w:rPr>
        <w:t>对我方不发生法律效力</w:t>
      </w:r>
      <w:r>
        <w:rPr>
          <w:rFonts w:ascii="宋体" w:hAnsi="宋体"/>
          <w:color w:val="auto"/>
          <w:sz w:val="24"/>
          <w:szCs w:val="24"/>
          <w:highlight w:val="none"/>
        </w:rPr>
        <w:t xml:space="preserve">。 </w:t>
      </w:r>
    </w:p>
    <w:p w14:paraId="7639E1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.本</w:t>
      </w:r>
      <w:r>
        <w:rPr>
          <w:rFonts w:hint="eastAsia" w:ascii="宋体" w:hAnsi="宋体"/>
          <w:color w:val="auto"/>
          <w:sz w:val="24"/>
          <w:szCs w:val="24"/>
          <w:highlight w:val="none"/>
        </w:rPr>
        <w:t>保证担保适用的法律为中华人民共和国法律，争议裁判管辖地为中华人民共和国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4B46422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.本</w:t>
      </w:r>
      <w:r>
        <w:rPr>
          <w:rFonts w:hint="eastAsia" w:ascii="宋体" w:hAnsi="宋体"/>
          <w:color w:val="auto"/>
          <w:sz w:val="24"/>
          <w:szCs w:val="24"/>
          <w:highlight w:val="none"/>
        </w:rPr>
        <w:t>保证担保</w:t>
      </w:r>
      <w:r>
        <w:rPr>
          <w:rFonts w:ascii="宋体" w:hAnsi="宋体"/>
          <w:color w:val="auto"/>
          <w:sz w:val="24"/>
          <w:szCs w:val="24"/>
          <w:highlight w:val="none"/>
        </w:rPr>
        <w:t>自我方法定代表</w:t>
      </w:r>
      <w:r>
        <w:rPr>
          <w:rFonts w:hint="eastAsia" w:ascii="宋体" w:hAnsi="宋体"/>
          <w:color w:val="auto"/>
          <w:sz w:val="24"/>
          <w:szCs w:val="24"/>
          <w:highlight w:val="none"/>
        </w:rPr>
        <w:t>人或授权代表</w:t>
      </w:r>
      <w:r>
        <w:rPr>
          <w:rFonts w:ascii="宋体" w:hAnsi="宋体"/>
          <w:color w:val="auto"/>
          <w:sz w:val="24"/>
          <w:szCs w:val="24"/>
          <w:highlight w:val="none"/>
        </w:rPr>
        <w:t>签字</w:t>
      </w:r>
      <w:r>
        <w:rPr>
          <w:rFonts w:hint="eastAsia" w:ascii="宋体" w:hAnsi="宋体"/>
          <w:color w:val="auto"/>
          <w:sz w:val="24"/>
          <w:szCs w:val="24"/>
          <w:highlight w:val="none"/>
        </w:rPr>
        <w:t>并</w:t>
      </w:r>
      <w:r>
        <w:rPr>
          <w:rFonts w:ascii="宋体" w:hAnsi="宋体"/>
          <w:color w:val="auto"/>
          <w:sz w:val="24"/>
          <w:szCs w:val="24"/>
          <w:highlight w:val="none"/>
        </w:rPr>
        <w:t xml:space="preserve">加盖公章之日起生效。 </w:t>
      </w:r>
    </w:p>
    <w:p w14:paraId="0550A286">
      <w:pPr>
        <w:spacing w:line="360" w:lineRule="auto"/>
        <w:ind w:firstLine="480" w:firstLineChars="200"/>
        <w:rPr>
          <w:rFonts w:ascii="宋体" w:hAnsi="宋体"/>
          <w:color w:val="auto"/>
          <w:sz w:val="24"/>
          <w:szCs w:val="24"/>
          <w:highlight w:val="none"/>
        </w:rPr>
      </w:pPr>
    </w:p>
    <w:p w14:paraId="68B9578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保 证 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（公</w:t>
      </w:r>
      <w:r>
        <w:rPr>
          <w:rFonts w:ascii="宋体" w:hAnsi="宋体"/>
          <w:color w:val="auto"/>
          <w:sz w:val="24"/>
          <w:szCs w:val="24"/>
          <w:highlight w:val="none"/>
        </w:rPr>
        <w:t xml:space="preserve">章） </w:t>
      </w:r>
    </w:p>
    <w:p w14:paraId="0B55968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法定代表人（或授权代表）：</w:t>
      </w:r>
      <w:r>
        <w:rPr>
          <w:rFonts w:ascii="宋体" w:hAnsi="宋体"/>
          <w:color w:val="auto"/>
          <w:sz w:val="24"/>
          <w:szCs w:val="24"/>
          <w:highlight w:val="none"/>
        </w:rPr>
        <w:t xml:space="preserve">               （签字） </w:t>
      </w:r>
    </w:p>
    <w:p w14:paraId="2D56448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址：                                       </w:t>
      </w:r>
    </w:p>
    <w:p w14:paraId="12249E6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邮政编码：</w:t>
      </w:r>
      <w:r>
        <w:rPr>
          <w:rFonts w:ascii="宋体" w:hAnsi="宋体"/>
          <w:color w:val="auto"/>
          <w:sz w:val="24"/>
          <w:szCs w:val="24"/>
          <w:highlight w:val="none"/>
        </w:rPr>
        <w:t xml:space="preserve">                 </w:t>
      </w:r>
    </w:p>
    <w:p w14:paraId="1140181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话：                 </w:t>
      </w:r>
    </w:p>
    <w:p w14:paraId="1E456B9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真：                 </w:t>
      </w:r>
    </w:p>
    <w:p w14:paraId="0D27E9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时 </w:t>
      </w:r>
      <w:r>
        <w:rPr>
          <w:rFonts w:ascii="宋体" w:hAnsi="宋体"/>
          <w:color w:val="auto"/>
          <w:sz w:val="24"/>
          <w:szCs w:val="24"/>
          <w:highlight w:val="none"/>
        </w:rPr>
        <w:t xml:space="preserve">   </w:t>
      </w:r>
      <w:r>
        <w:rPr>
          <w:rFonts w:hint="eastAsia" w:ascii="宋体" w:hAnsi="宋体"/>
          <w:color w:val="auto"/>
          <w:sz w:val="24"/>
          <w:szCs w:val="24"/>
          <w:highlight w:val="none"/>
        </w:rPr>
        <w:t>间：</w:t>
      </w:r>
      <w:r>
        <w:rPr>
          <w:rFonts w:ascii="宋体" w:hAnsi="宋体"/>
          <w:color w:val="auto"/>
          <w:sz w:val="24"/>
          <w:szCs w:val="24"/>
          <w:highlight w:val="none"/>
        </w:rPr>
        <w:t xml:space="preserve">      年      月        日</w:t>
      </w:r>
    </w:p>
    <w:p w14:paraId="3F365DB8">
      <w:pPr>
        <w:rPr>
          <w:color w:val="auto"/>
          <w:highlight w:val="none"/>
        </w:rPr>
      </w:pPr>
    </w:p>
    <w:p w14:paraId="0308DE37">
      <w:pPr>
        <w:rPr>
          <w:color w:val="auto"/>
          <w:highlight w:val="none"/>
        </w:rPr>
      </w:pPr>
    </w:p>
    <w:p w14:paraId="6DDB7A23">
      <w:pPr>
        <w:rPr>
          <w:color w:val="auto"/>
          <w:highlight w:val="none"/>
        </w:rPr>
      </w:pPr>
    </w:p>
    <w:p w14:paraId="0E852B1D">
      <w:pPr>
        <w:rPr>
          <w:color w:val="auto"/>
          <w:highlight w:val="none"/>
        </w:rPr>
      </w:pPr>
    </w:p>
    <w:p w14:paraId="0469BDB4">
      <w:pPr>
        <w:rPr>
          <w:color w:val="auto"/>
          <w:highlight w:val="none"/>
        </w:rPr>
      </w:pPr>
    </w:p>
    <w:p w14:paraId="2263557E">
      <w:pPr>
        <w:rPr>
          <w:color w:val="auto"/>
          <w:highlight w:val="none"/>
        </w:rPr>
      </w:pPr>
    </w:p>
    <w:p w14:paraId="62F6C364">
      <w:pPr>
        <w:rPr>
          <w:color w:val="auto"/>
          <w:highlight w:val="none"/>
        </w:rPr>
      </w:pPr>
    </w:p>
    <w:p w14:paraId="4606285B">
      <w:pPr>
        <w:rPr>
          <w:color w:val="auto"/>
          <w:highlight w:val="none"/>
        </w:rPr>
      </w:pPr>
    </w:p>
    <w:p w14:paraId="60A254FF">
      <w:pPr>
        <w:rPr>
          <w:color w:val="auto"/>
          <w:highlight w:val="none"/>
        </w:rPr>
      </w:pPr>
    </w:p>
    <w:p w14:paraId="4417B7CB">
      <w:pPr>
        <w:rPr>
          <w:color w:val="auto"/>
          <w:highlight w:val="none"/>
        </w:rPr>
      </w:pPr>
    </w:p>
    <w:p w14:paraId="1102397D">
      <w:pPr>
        <w:rPr>
          <w:color w:val="auto"/>
          <w:highlight w:val="none"/>
        </w:rPr>
      </w:pPr>
    </w:p>
    <w:p w14:paraId="4F1D310B">
      <w:pPr>
        <w:rPr>
          <w:color w:val="auto"/>
          <w:highlight w:val="none"/>
        </w:rPr>
      </w:pPr>
    </w:p>
    <w:p w14:paraId="53B442BD">
      <w:pPr>
        <w:rPr>
          <w:color w:val="auto"/>
          <w:highlight w:val="none"/>
        </w:rPr>
      </w:pPr>
    </w:p>
    <w:p w14:paraId="478648C8">
      <w:pPr>
        <w:rPr>
          <w:color w:val="auto"/>
          <w:highlight w:val="none"/>
        </w:rPr>
      </w:pPr>
    </w:p>
    <w:p w14:paraId="04A64CCA">
      <w:pPr>
        <w:rPr>
          <w:color w:val="auto"/>
          <w:highlight w:val="none"/>
        </w:rPr>
      </w:pPr>
    </w:p>
    <w:p w14:paraId="7F889347">
      <w:pPr>
        <w:rPr>
          <w:color w:val="auto"/>
          <w:highlight w:val="none"/>
        </w:rPr>
      </w:pPr>
    </w:p>
    <w:p w14:paraId="1B2B21CF">
      <w:pPr>
        <w:rPr>
          <w:color w:val="auto"/>
          <w:highlight w:val="none"/>
        </w:rPr>
      </w:pPr>
    </w:p>
    <w:p w14:paraId="4A324B61">
      <w:pPr>
        <w:rPr>
          <w:color w:val="auto"/>
          <w:highlight w:val="none"/>
        </w:rPr>
      </w:pPr>
    </w:p>
    <w:p w14:paraId="5E871003">
      <w:pPr>
        <w:rPr>
          <w:color w:val="auto"/>
          <w:highlight w:val="none"/>
        </w:rPr>
      </w:pPr>
    </w:p>
    <w:p w14:paraId="25E12242">
      <w:pPr>
        <w:rPr>
          <w:color w:val="auto"/>
          <w:highlight w:val="none"/>
        </w:rPr>
      </w:pPr>
    </w:p>
    <w:p w14:paraId="7BA662FE">
      <w:pPr>
        <w:rPr>
          <w:color w:val="auto"/>
          <w:highlight w:val="none"/>
        </w:rPr>
      </w:pPr>
    </w:p>
    <w:p w14:paraId="5A8B0553">
      <w:pPr>
        <w:rPr>
          <w:color w:val="auto"/>
          <w:highlight w:val="none"/>
        </w:rPr>
      </w:pPr>
    </w:p>
    <w:p w14:paraId="5ECB7E5F">
      <w:pPr>
        <w:rPr>
          <w:color w:val="auto"/>
          <w:highlight w:val="none"/>
        </w:rPr>
      </w:pPr>
    </w:p>
    <w:p w14:paraId="5A485106">
      <w:pPr>
        <w:rPr>
          <w:color w:val="auto"/>
          <w:highlight w:val="none"/>
        </w:rPr>
      </w:pPr>
    </w:p>
    <w:p w14:paraId="2A9EE4C9">
      <w:pPr>
        <w:rPr>
          <w:color w:val="auto"/>
          <w:highlight w:val="none"/>
        </w:rPr>
      </w:pPr>
    </w:p>
    <w:p w14:paraId="31CEA595">
      <w:pPr>
        <w:rPr>
          <w:color w:val="auto"/>
          <w:highlight w:val="none"/>
        </w:rPr>
      </w:pPr>
    </w:p>
    <w:p w14:paraId="358678FD">
      <w:pPr>
        <w:rPr>
          <w:color w:val="auto"/>
          <w:highlight w:val="none"/>
        </w:rPr>
      </w:pPr>
    </w:p>
    <w:p w14:paraId="65ED611F">
      <w:pPr>
        <w:rPr>
          <w:color w:val="auto"/>
          <w:highlight w:val="none"/>
        </w:rPr>
      </w:pPr>
    </w:p>
    <w:p w14:paraId="1919BD04">
      <w:pPr>
        <w:pStyle w:val="5"/>
        <w:jc w:val="both"/>
        <w:rPr>
          <w:rFonts w:ascii="黑体" w:hAnsi="黑体" w:eastAsia="黑体" w:cs="黑体"/>
          <w:color w:val="auto"/>
          <w:sz w:val="32"/>
          <w:szCs w:val="32"/>
          <w:highlight w:val="none"/>
        </w:rPr>
      </w:pPr>
      <w:r>
        <w:rPr>
          <w:rFonts w:hint="eastAsia" w:ascii="仿宋_GB2312" w:eastAsia="仿宋_GB2312" w:cs="仿宋_GB2312"/>
          <w:color w:val="auto"/>
          <w:sz w:val="30"/>
          <w:szCs w:val="30"/>
          <w:highlight w:val="none"/>
        </w:rPr>
        <w:t>附件8：预付款保函示范文本</w:t>
      </w:r>
    </w:p>
    <w:p w14:paraId="1DE7F5D2">
      <w:pPr>
        <w:spacing w:line="360" w:lineRule="auto"/>
        <w:jc w:val="left"/>
        <w:rPr>
          <w:rFonts w:ascii="黑体" w:hAnsi="黑体" w:eastAsia="黑体" w:cs="黑体"/>
          <w:b/>
          <w:bCs/>
          <w:color w:val="auto"/>
          <w:sz w:val="32"/>
          <w:szCs w:val="32"/>
          <w:highlight w:val="none"/>
        </w:rPr>
      </w:pPr>
    </w:p>
    <w:p w14:paraId="0879B350">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预付款保函示范文本</w:t>
      </w:r>
    </w:p>
    <w:p w14:paraId="145C79E0">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（独立保函）</w:t>
      </w:r>
    </w:p>
    <w:p w14:paraId="3120E225">
      <w:pPr>
        <w:wordWrap w:val="0"/>
        <w:spacing w:line="360" w:lineRule="auto"/>
        <w:jc w:val="right"/>
        <w:rPr>
          <w:rFonts w:ascii="宋体" w:hAnsi="宋体"/>
          <w:color w:val="auto"/>
          <w:highlight w:val="none"/>
        </w:rPr>
      </w:pPr>
      <w:r>
        <w:rPr>
          <w:rFonts w:hint="eastAsia" w:ascii="宋体" w:hAnsi="宋体"/>
          <w:color w:val="auto"/>
          <w:highlight w:val="none"/>
        </w:rPr>
        <w:t xml:space="preserve">编号： </w:t>
      </w:r>
      <w:r>
        <w:rPr>
          <w:rFonts w:ascii="宋体" w:hAnsi="宋体"/>
          <w:color w:val="auto"/>
          <w:highlight w:val="none"/>
        </w:rPr>
        <w:t xml:space="preserve">          </w:t>
      </w:r>
    </w:p>
    <w:p w14:paraId="6349C3B1">
      <w:pPr>
        <w:spacing w:line="360" w:lineRule="auto"/>
        <w:rPr>
          <w:rFonts w:ascii="宋体" w:hAnsi="宋体"/>
          <w:color w:val="auto"/>
          <w:sz w:val="24"/>
          <w:szCs w:val="24"/>
          <w:highlight w:val="none"/>
        </w:rPr>
      </w:pPr>
    </w:p>
    <w:p w14:paraId="614FF110">
      <w:pPr>
        <w:spacing w:line="360" w:lineRule="auto"/>
        <w:rPr>
          <w:rFonts w:ascii="宋体" w:hAnsi="宋体"/>
          <w:color w:val="auto"/>
          <w:sz w:val="24"/>
          <w:szCs w:val="24"/>
          <w:highlight w:val="none"/>
        </w:rPr>
      </w:pPr>
      <w:r>
        <w:rPr>
          <w:rFonts w:hint="eastAsia" w:ascii="宋体" w:hAnsi="宋体"/>
          <w:color w:val="auto"/>
          <w:sz w:val="24"/>
          <w:szCs w:val="24"/>
          <w:highlight w:val="none"/>
        </w:rPr>
        <w:t>申请人：</w:t>
      </w:r>
    </w:p>
    <w:p w14:paraId="2432A06D">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地址</w:t>
      </w:r>
      <w:r>
        <w:rPr>
          <w:rFonts w:ascii="宋体" w:hAnsi="宋体"/>
          <w:color w:val="auto"/>
          <w:sz w:val="24"/>
          <w:szCs w:val="24"/>
          <w:highlight w:val="none"/>
        </w:rPr>
        <w:t>：</w:t>
      </w:r>
    </w:p>
    <w:p w14:paraId="1FDA0B33">
      <w:pPr>
        <w:spacing w:line="360" w:lineRule="auto"/>
        <w:rPr>
          <w:rFonts w:ascii="宋体" w:hAnsi="宋体"/>
          <w:color w:val="auto"/>
          <w:sz w:val="24"/>
          <w:szCs w:val="24"/>
          <w:highlight w:val="none"/>
        </w:rPr>
      </w:pPr>
      <w:r>
        <w:rPr>
          <w:rFonts w:hint="eastAsia" w:ascii="宋体" w:hAnsi="宋体"/>
          <w:color w:val="auto"/>
          <w:sz w:val="24"/>
          <w:szCs w:val="24"/>
          <w:highlight w:val="none"/>
        </w:rPr>
        <w:t>受益人：</w:t>
      </w:r>
    </w:p>
    <w:p w14:paraId="1CE2E3DE">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地址：</w:t>
      </w:r>
    </w:p>
    <w:p w14:paraId="7B02D25E">
      <w:pPr>
        <w:spacing w:line="360" w:lineRule="auto"/>
        <w:rPr>
          <w:rFonts w:ascii="宋体" w:hAnsi="宋体"/>
          <w:color w:val="auto"/>
          <w:sz w:val="24"/>
          <w:szCs w:val="24"/>
          <w:highlight w:val="none"/>
        </w:rPr>
      </w:pPr>
      <w:r>
        <w:rPr>
          <w:rFonts w:hint="eastAsia" w:ascii="宋体" w:hAnsi="宋体"/>
          <w:color w:val="auto"/>
          <w:sz w:val="24"/>
          <w:szCs w:val="24"/>
          <w:highlight w:val="none"/>
        </w:rPr>
        <w:t>开立人：</w:t>
      </w:r>
    </w:p>
    <w:p w14:paraId="672DE6F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地址：</w:t>
      </w:r>
    </w:p>
    <w:p w14:paraId="6C1E2705">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p>
    <w:p w14:paraId="682F8004">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rPr>
        <w:t>受益人</w:t>
      </w:r>
      <w:r>
        <w:rPr>
          <w:rFonts w:ascii="宋体" w:hAnsi="宋体"/>
          <w:color w:val="auto"/>
          <w:sz w:val="24"/>
          <w:szCs w:val="24"/>
          <w:highlight w:val="none"/>
        </w:rPr>
        <w:t xml:space="preserve">名称）： </w:t>
      </w:r>
    </w:p>
    <w:p w14:paraId="14797F4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受益人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申请人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日就</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工程（以下简称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本工程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）施工和有关事项协商一致共同签订</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基础合同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），我方（即</w:t>
      </w:r>
      <w:r>
        <w:rPr>
          <w:rFonts w:hint="eastAsia" w:ascii="宋体" w:hAnsi="宋体"/>
          <w:color w:val="auto"/>
          <w:sz w:val="24"/>
          <w:szCs w:val="24"/>
          <w:highlight w:val="none"/>
          <w:lang w:eastAsia="zh-CN"/>
        </w:rPr>
        <w:t>“</w:t>
      </w:r>
      <w:r>
        <w:rPr>
          <w:rFonts w:hint="eastAsia" w:ascii="宋体" w:hAnsi="宋体"/>
          <w:color w:val="auto"/>
          <w:sz w:val="24"/>
          <w:szCs w:val="24"/>
          <w:highlight w:val="none"/>
        </w:rPr>
        <w:t>开立人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）根据主合同了解到申请人为主合同项下之承包人，受益人为主合同项下之发包人，基于申请人</w:t>
      </w:r>
      <w:r>
        <w:rPr>
          <w:rFonts w:ascii="宋体" w:hAnsi="宋体"/>
          <w:color w:val="auto"/>
          <w:sz w:val="24"/>
          <w:szCs w:val="24"/>
          <w:highlight w:val="none"/>
        </w:rPr>
        <w:t>的请求，我方同意就</w:t>
      </w:r>
      <w:r>
        <w:rPr>
          <w:rFonts w:hint="eastAsia" w:ascii="宋体" w:hAnsi="宋体"/>
          <w:color w:val="auto"/>
          <w:sz w:val="24"/>
          <w:szCs w:val="24"/>
          <w:highlight w:val="none"/>
        </w:rPr>
        <w:t>申请人按照合同约定正确和合理地为合同目的使用预付款，</w:t>
      </w:r>
      <w:r>
        <w:rPr>
          <w:rFonts w:ascii="宋体" w:hAnsi="宋体"/>
          <w:color w:val="auto"/>
          <w:sz w:val="24"/>
          <w:szCs w:val="24"/>
          <w:highlight w:val="none"/>
        </w:rPr>
        <w:t>向贵方提供不可撤销、</w:t>
      </w:r>
      <w:r>
        <w:rPr>
          <w:rFonts w:hint="eastAsia" w:ascii="宋体" w:hAnsi="宋体"/>
          <w:color w:val="auto"/>
          <w:sz w:val="24"/>
          <w:szCs w:val="24"/>
          <w:highlight w:val="none"/>
        </w:rPr>
        <w:t>不可转让的见索即付</w:t>
      </w:r>
      <w:r>
        <w:rPr>
          <w:rFonts w:ascii="宋体" w:hAnsi="宋体"/>
          <w:color w:val="auto"/>
          <w:sz w:val="24"/>
          <w:szCs w:val="24"/>
          <w:highlight w:val="none"/>
        </w:rPr>
        <w:t>独立</w:t>
      </w:r>
      <w:r>
        <w:rPr>
          <w:rFonts w:hint="eastAsia" w:ascii="宋体" w:hAnsi="宋体"/>
          <w:color w:val="auto"/>
          <w:sz w:val="24"/>
          <w:szCs w:val="24"/>
          <w:highlight w:val="none"/>
        </w:rPr>
        <w:t>保函（以下简称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本保函</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6D318EA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一、本保函担保范围：申请人未按照合同约定正确和合理地为合同目的使用预付款，应当向贵方承担的违约责任和赔偿因此造成的损失、利息、律师费、诉讼费用等实现债权的费用。</w:t>
      </w:r>
    </w:p>
    <w:p w14:paraId="1614EBE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二、本保函担保金额最高不超过</w:t>
      </w: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ascii="宋体" w:hAnsi="宋体"/>
          <w:color w:val="auto"/>
          <w:sz w:val="24"/>
          <w:szCs w:val="24"/>
          <w:highlight w:val="none"/>
        </w:rPr>
        <w:t>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2DF821D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三、本保函</w:t>
      </w:r>
      <w:r>
        <w:rPr>
          <w:rFonts w:ascii="宋体" w:hAnsi="宋体"/>
          <w:color w:val="auto"/>
          <w:sz w:val="24"/>
          <w:szCs w:val="24"/>
          <w:highlight w:val="none"/>
        </w:rPr>
        <w:t>有效期自</w:t>
      </w:r>
      <w:r>
        <w:rPr>
          <w:rFonts w:hint="eastAsia" w:ascii="宋体" w:hAnsi="宋体"/>
          <w:color w:val="auto"/>
          <w:sz w:val="24"/>
          <w:szCs w:val="24"/>
          <w:highlight w:val="none"/>
        </w:rPr>
        <w:t>开立之日起</w:t>
      </w:r>
      <w:r>
        <w:rPr>
          <w:rFonts w:ascii="宋体" w:hAnsi="宋体"/>
          <w:color w:val="auto"/>
          <w:sz w:val="24"/>
          <w:szCs w:val="24"/>
          <w:highlight w:val="none"/>
        </w:rPr>
        <w:t>至</w:t>
      </w:r>
      <w:r>
        <w:rPr>
          <w:rFonts w:hint="eastAsia" w:ascii="宋体" w:hAnsi="宋体"/>
          <w:color w:val="auto"/>
          <w:sz w:val="24"/>
          <w:szCs w:val="24"/>
          <w:highlight w:val="none"/>
        </w:rPr>
        <w:t>发包人全额扣回预付款后</w:t>
      </w:r>
      <w:r>
        <w:rPr>
          <w:rFonts w:ascii="宋体" w:hAnsi="宋体"/>
          <w:color w:val="auto"/>
          <w:sz w:val="24"/>
          <w:szCs w:val="24"/>
          <w:highlight w:val="none"/>
          <w:u w:val="single"/>
        </w:rPr>
        <w:t xml:space="preserve">   </w:t>
      </w:r>
      <w:r>
        <w:rPr>
          <w:rFonts w:ascii="宋体" w:hAnsi="宋体"/>
          <w:color w:val="auto"/>
          <w:sz w:val="24"/>
          <w:szCs w:val="24"/>
          <w:highlight w:val="none"/>
        </w:rPr>
        <w:t>日</w:t>
      </w:r>
      <w:r>
        <w:rPr>
          <w:rFonts w:hint="eastAsia" w:ascii="宋体" w:hAnsi="宋体"/>
          <w:color w:val="auto"/>
          <w:sz w:val="24"/>
          <w:szCs w:val="24"/>
          <w:highlight w:val="none"/>
        </w:rPr>
        <w:t>止，最迟不超过</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090E5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四、我方承诺，在收到受益人发来的书面付款通知后的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日内无条件支付，前述书面付款通知即为付款要求之单据，且应满足以下要求：</w:t>
      </w:r>
    </w:p>
    <w:p w14:paraId="7A4C759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（1）付款通知到达的日期在本保函的有效期内；</w:t>
      </w:r>
    </w:p>
    <w:p w14:paraId="35BE53F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（2）载明要求支付的金额；</w:t>
      </w:r>
    </w:p>
    <w:p w14:paraId="5BCA016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（3）载明申请人违反合同义务的条款和内容；</w:t>
      </w:r>
    </w:p>
    <w:p w14:paraId="695345C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（4）声明不存在合同文件约定或我国法律规定免除申请人或开立人支付责任的情形；</w:t>
      </w:r>
    </w:p>
    <w:p w14:paraId="112AEC6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（5）付款通知应在本保函有效期内到达的地址是：</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p>
    <w:p w14:paraId="42BB64C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受益人发出的书面付款通知应由其为鉴明受益人法定代表人（负责人）或授权代理人签字并加盖公章。</w:t>
      </w:r>
    </w:p>
    <w:p w14:paraId="2326BB6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w:t>
      </w:r>
      <w:r>
        <w:rPr>
          <w:rFonts w:ascii="宋体" w:hAnsi="宋体"/>
          <w:color w:val="auto"/>
          <w:sz w:val="24"/>
          <w:szCs w:val="24"/>
          <w:highlight w:val="none"/>
        </w:rPr>
        <w:t>本保函项下的权利不得转让，不得设定担保。贵方未经我方书面同意转 让本保函或其项下任何权利，</w:t>
      </w:r>
      <w:r>
        <w:rPr>
          <w:rFonts w:hint="eastAsia" w:ascii="宋体" w:hAnsi="宋体"/>
          <w:color w:val="auto"/>
          <w:sz w:val="24"/>
          <w:szCs w:val="24"/>
          <w:highlight w:val="none"/>
        </w:rPr>
        <w:t>对我方不发生法律效力</w:t>
      </w:r>
      <w:r>
        <w:rPr>
          <w:rFonts w:ascii="宋体" w:hAnsi="宋体"/>
          <w:color w:val="auto"/>
          <w:sz w:val="24"/>
          <w:szCs w:val="24"/>
          <w:highlight w:val="none"/>
        </w:rPr>
        <w:t xml:space="preserve">。 </w:t>
      </w:r>
    </w:p>
    <w:p w14:paraId="6337036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六、与</w:t>
      </w:r>
      <w:r>
        <w:rPr>
          <w:rFonts w:ascii="宋体" w:hAnsi="宋体"/>
          <w:color w:val="auto"/>
          <w:sz w:val="24"/>
          <w:szCs w:val="24"/>
          <w:highlight w:val="none"/>
        </w:rPr>
        <w:t>本保函</w:t>
      </w:r>
      <w:r>
        <w:rPr>
          <w:rFonts w:hint="eastAsia" w:ascii="宋体" w:hAnsi="宋体"/>
          <w:color w:val="auto"/>
          <w:sz w:val="24"/>
          <w:szCs w:val="24"/>
          <w:highlight w:val="none"/>
        </w:rPr>
        <w:t>有关</w:t>
      </w:r>
      <w:r>
        <w:rPr>
          <w:rFonts w:ascii="宋体" w:hAnsi="宋体"/>
          <w:color w:val="auto"/>
          <w:sz w:val="24"/>
          <w:szCs w:val="24"/>
          <w:highlight w:val="none"/>
        </w:rPr>
        <w:t>的</w:t>
      </w:r>
      <w:r>
        <w:rPr>
          <w:rFonts w:hint="eastAsia" w:ascii="宋体" w:hAnsi="宋体"/>
          <w:color w:val="auto"/>
          <w:sz w:val="24"/>
          <w:szCs w:val="24"/>
          <w:highlight w:val="none"/>
        </w:rPr>
        <w:t>基础</w:t>
      </w:r>
      <w:r>
        <w:rPr>
          <w:rFonts w:ascii="宋体" w:hAnsi="宋体"/>
          <w:color w:val="auto"/>
          <w:sz w:val="24"/>
          <w:szCs w:val="24"/>
          <w:highlight w:val="none"/>
        </w:rPr>
        <w:t xml:space="preserve">合同不成立、不生效、无效、被撤销、被解除，不影响本保函的独立有效。 </w:t>
      </w:r>
    </w:p>
    <w:p w14:paraId="544B745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七、</w:t>
      </w:r>
      <w:r>
        <w:rPr>
          <w:rFonts w:ascii="宋体" w:hAnsi="宋体"/>
          <w:color w:val="auto"/>
          <w:sz w:val="24"/>
          <w:szCs w:val="24"/>
          <w:highlight w:val="none"/>
        </w:rPr>
        <w:t>贵方应在本保函到期后的七日内将本保函正本退回我方注销，但是不论贵方是否按此要求将本保函正本退回我方，我方在本保函项下的义务和责任均在保函</w:t>
      </w:r>
      <w:r>
        <w:rPr>
          <w:rFonts w:hint="eastAsia" w:ascii="宋体" w:hAnsi="宋体"/>
          <w:color w:val="auto"/>
          <w:sz w:val="24"/>
          <w:szCs w:val="24"/>
          <w:highlight w:val="none"/>
        </w:rPr>
        <w:t>有效期</w:t>
      </w:r>
      <w:r>
        <w:rPr>
          <w:rFonts w:ascii="宋体" w:hAnsi="宋体"/>
          <w:color w:val="auto"/>
          <w:sz w:val="24"/>
          <w:szCs w:val="24"/>
          <w:highlight w:val="none"/>
        </w:rPr>
        <w:t xml:space="preserve">到期后自动消灭。 </w:t>
      </w:r>
    </w:p>
    <w:p w14:paraId="7F5F05E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八、</w:t>
      </w:r>
      <w:r>
        <w:rPr>
          <w:rFonts w:ascii="宋体" w:hAnsi="宋体"/>
          <w:color w:val="auto"/>
          <w:sz w:val="24"/>
          <w:szCs w:val="24"/>
          <w:highlight w:val="none"/>
        </w:rPr>
        <w:t>本保函</w:t>
      </w:r>
      <w:r>
        <w:rPr>
          <w:rFonts w:hint="eastAsia" w:ascii="宋体" w:hAnsi="宋体"/>
          <w:color w:val="auto"/>
          <w:sz w:val="24"/>
          <w:szCs w:val="24"/>
          <w:highlight w:val="none"/>
        </w:rPr>
        <w:t>适用的法律为中华人民共和国法律，争议裁判管辖地为中华人民共和国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534BA93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九、</w:t>
      </w:r>
      <w:r>
        <w:rPr>
          <w:rFonts w:ascii="宋体" w:hAnsi="宋体"/>
          <w:color w:val="auto"/>
          <w:sz w:val="24"/>
          <w:szCs w:val="24"/>
          <w:highlight w:val="none"/>
        </w:rPr>
        <w:t>本保函自我方法定代表人</w:t>
      </w:r>
      <w:r>
        <w:rPr>
          <w:rFonts w:hint="eastAsia" w:ascii="宋体" w:hAnsi="宋体"/>
          <w:color w:val="auto"/>
          <w:sz w:val="24"/>
          <w:szCs w:val="24"/>
          <w:highlight w:val="none"/>
        </w:rPr>
        <w:t>或授权代表</w:t>
      </w:r>
      <w:r>
        <w:rPr>
          <w:rFonts w:ascii="宋体" w:hAnsi="宋体"/>
          <w:color w:val="auto"/>
          <w:sz w:val="24"/>
          <w:szCs w:val="24"/>
          <w:highlight w:val="none"/>
        </w:rPr>
        <w:t>签字</w:t>
      </w:r>
      <w:r>
        <w:rPr>
          <w:rFonts w:hint="eastAsia" w:ascii="宋体" w:hAnsi="宋体"/>
          <w:color w:val="auto"/>
          <w:sz w:val="24"/>
          <w:szCs w:val="24"/>
          <w:highlight w:val="none"/>
        </w:rPr>
        <w:t>并</w:t>
      </w:r>
      <w:r>
        <w:rPr>
          <w:rFonts w:ascii="宋体" w:hAnsi="宋体"/>
          <w:color w:val="auto"/>
          <w:sz w:val="24"/>
          <w:szCs w:val="24"/>
          <w:highlight w:val="none"/>
        </w:rPr>
        <w:t xml:space="preserve">加盖公章之日起生效。 </w:t>
      </w:r>
    </w:p>
    <w:p w14:paraId="74C3AD72">
      <w:pPr>
        <w:spacing w:line="360" w:lineRule="auto"/>
        <w:ind w:firstLine="480" w:firstLineChars="200"/>
        <w:rPr>
          <w:rFonts w:ascii="宋体" w:hAnsi="宋体"/>
          <w:color w:val="auto"/>
          <w:sz w:val="24"/>
          <w:szCs w:val="24"/>
          <w:highlight w:val="none"/>
        </w:rPr>
      </w:pPr>
    </w:p>
    <w:p w14:paraId="3902678A">
      <w:pPr>
        <w:spacing w:line="360" w:lineRule="auto"/>
        <w:ind w:firstLine="480" w:firstLineChars="200"/>
        <w:rPr>
          <w:rFonts w:ascii="宋体" w:hAnsi="宋体"/>
          <w:color w:val="auto"/>
          <w:sz w:val="24"/>
          <w:szCs w:val="24"/>
          <w:highlight w:val="none"/>
        </w:rPr>
      </w:pPr>
    </w:p>
    <w:p w14:paraId="7531D98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开 立 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公</w:t>
      </w:r>
      <w:r>
        <w:rPr>
          <w:rFonts w:ascii="宋体" w:hAnsi="宋体"/>
          <w:color w:val="auto"/>
          <w:sz w:val="24"/>
          <w:szCs w:val="24"/>
          <w:highlight w:val="none"/>
        </w:rPr>
        <w:t xml:space="preserve">章） </w:t>
      </w:r>
    </w:p>
    <w:p w14:paraId="3546F43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法定代表人（或授权代表）：</w:t>
      </w:r>
      <w:r>
        <w:rPr>
          <w:rFonts w:ascii="宋体" w:hAnsi="宋体"/>
          <w:color w:val="auto"/>
          <w:sz w:val="24"/>
          <w:szCs w:val="24"/>
          <w:highlight w:val="none"/>
        </w:rPr>
        <w:t xml:space="preserve">               （签字） </w:t>
      </w:r>
    </w:p>
    <w:p w14:paraId="2A1898C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址：                                       </w:t>
      </w:r>
    </w:p>
    <w:p w14:paraId="2B289DB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邮政编码：</w:t>
      </w:r>
      <w:r>
        <w:rPr>
          <w:rFonts w:ascii="宋体" w:hAnsi="宋体"/>
          <w:color w:val="auto"/>
          <w:sz w:val="24"/>
          <w:szCs w:val="24"/>
          <w:highlight w:val="none"/>
        </w:rPr>
        <w:t xml:space="preserve">                 </w:t>
      </w:r>
    </w:p>
    <w:p w14:paraId="0F1A77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话：                 </w:t>
      </w:r>
    </w:p>
    <w:p w14:paraId="64F0C29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真：                 </w:t>
      </w:r>
    </w:p>
    <w:p w14:paraId="52DBC5F2">
      <w:pPr>
        <w:rPr>
          <w:color w:val="auto"/>
          <w:highlight w:val="none"/>
        </w:rPr>
      </w:pPr>
      <w:r>
        <w:rPr>
          <w:rFonts w:hint="eastAsia" w:ascii="宋体" w:hAnsi="宋体"/>
          <w:color w:val="auto"/>
          <w:sz w:val="24"/>
          <w:szCs w:val="24"/>
          <w:highlight w:val="none"/>
        </w:rPr>
        <w:t xml:space="preserve">    开立时间：</w:t>
      </w:r>
      <w:r>
        <w:rPr>
          <w:rFonts w:ascii="宋体" w:hAnsi="宋体"/>
          <w:color w:val="auto"/>
          <w:sz w:val="24"/>
          <w:szCs w:val="24"/>
          <w:highlight w:val="none"/>
        </w:rPr>
        <w:t xml:space="preserve">      年      月        日</w:t>
      </w:r>
    </w:p>
    <w:p w14:paraId="177D7EFE">
      <w:pPr>
        <w:spacing w:line="360" w:lineRule="auto"/>
        <w:jc w:val="center"/>
        <w:rPr>
          <w:rFonts w:ascii="宋体" w:hAnsi="宋体"/>
          <w:b/>
          <w:bCs/>
          <w:color w:val="auto"/>
          <w:sz w:val="32"/>
          <w:szCs w:val="32"/>
          <w:highlight w:val="none"/>
        </w:rPr>
      </w:pPr>
    </w:p>
    <w:p w14:paraId="1A82E286">
      <w:pPr>
        <w:spacing w:line="360" w:lineRule="auto"/>
        <w:jc w:val="center"/>
        <w:rPr>
          <w:rFonts w:ascii="宋体" w:hAnsi="宋体"/>
          <w:b/>
          <w:bCs/>
          <w:color w:val="auto"/>
          <w:sz w:val="32"/>
          <w:szCs w:val="32"/>
          <w:highlight w:val="none"/>
        </w:rPr>
      </w:pPr>
    </w:p>
    <w:p w14:paraId="20B4B94A">
      <w:pPr>
        <w:spacing w:line="360" w:lineRule="auto"/>
        <w:jc w:val="center"/>
        <w:rPr>
          <w:rFonts w:ascii="宋体" w:hAnsi="宋体"/>
          <w:b/>
          <w:bCs/>
          <w:color w:val="auto"/>
          <w:sz w:val="32"/>
          <w:szCs w:val="32"/>
          <w:highlight w:val="none"/>
        </w:rPr>
      </w:pPr>
    </w:p>
    <w:p w14:paraId="793BC71D">
      <w:pPr>
        <w:pStyle w:val="5"/>
        <w:jc w:val="both"/>
        <w:rPr>
          <w:rFonts w:hint="eastAsia" w:ascii="仿宋_GB2312" w:eastAsia="仿宋_GB2312" w:cs="仿宋_GB2312"/>
          <w:color w:val="auto"/>
          <w:sz w:val="30"/>
          <w:szCs w:val="30"/>
          <w:highlight w:val="none"/>
          <w:lang w:eastAsia="zh-CN"/>
        </w:rPr>
      </w:pPr>
      <w:r>
        <w:rPr>
          <w:rFonts w:hint="eastAsia" w:ascii="仿宋_GB2312" w:eastAsia="仿宋_GB2312" w:cs="仿宋_GB2312"/>
          <w:color w:val="auto"/>
          <w:sz w:val="30"/>
          <w:szCs w:val="30"/>
          <w:highlight w:val="none"/>
        </w:rPr>
        <w:t>附件8</w:t>
      </w:r>
      <w:r>
        <w:rPr>
          <w:rFonts w:hint="eastAsia" w:ascii="仿宋_GB2312" w:eastAsia="仿宋_GB2312" w:cs="仿宋_GB2312"/>
          <w:color w:val="auto"/>
          <w:sz w:val="30"/>
          <w:szCs w:val="30"/>
          <w:highlight w:val="none"/>
          <w:lang w:eastAsia="zh-CN"/>
        </w:rPr>
        <w:t>：</w:t>
      </w:r>
      <w:r>
        <w:rPr>
          <w:rFonts w:hint="eastAsia" w:ascii="仿宋_GB2312" w:hAnsi="Arial" w:eastAsia="仿宋_GB2312" w:cs="仿宋_GB2312"/>
          <w:color w:val="auto"/>
          <w:sz w:val="30"/>
          <w:szCs w:val="30"/>
          <w:highlight w:val="none"/>
          <w:lang w:eastAsia="zh-CN"/>
        </w:rPr>
        <w:t>预付款</w:t>
      </w:r>
      <w:r>
        <w:rPr>
          <w:rFonts w:hint="eastAsia" w:ascii="仿宋_GB2312" w:eastAsia="仿宋_GB2312" w:cs="仿宋_GB2312"/>
          <w:color w:val="auto"/>
          <w:sz w:val="30"/>
          <w:szCs w:val="30"/>
          <w:highlight w:val="none"/>
          <w:lang w:eastAsia="zh-CN"/>
        </w:rPr>
        <w:t>保函示范文本</w:t>
      </w:r>
    </w:p>
    <w:p w14:paraId="0C2E1544">
      <w:pPr>
        <w:spacing w:line="360" w:lineRule="auto"/>
        <w:jc w:val="left"/>
        <w:rPr>
          <w:rFonts w:ascii="黑体" w:hAnsi="黑体" w:eastAsia="黑体" w:cs="黑体"/>
          <w:b/>
          <w:bCs/>
          <w:color w:val="auto"/>
          <w:sz w:val="32"/>
          <w:szCs w:val="32"/>
          <w:highlight w:val="none"/>
        </w:rPr>
      </w:pPr>
    </w:p>
    <w:p w14:paraId="1838E316">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预付款保函示范文本</w:t>
      </w:r>
    </w:p>
    <w:p w14:paraId="33932489">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（非独立保函）</w:t>
      </w:r>
    </w:p>
    <w:p w14:paraId="5CC41777">
      <w:pPr>
        <w:wordWrap w:val="0"/>
        <w:spacing w:line="360" w:lineRule="auto"/>
        <w:jc w:val="right"/>
        <w:rPr>
          <w:rFonts w:ascii="宋体" w:hAnsi="宋体"/>
          <w:color w:val="auto"/>
          <w:highlight w:val="none"/>
        </w:rPr>
      </w:pPr>
      <w:r>
        <w:rPr>
          <w:rFonts w:hint="eastAsia" w:ascii="宋体" w:hAnsi="宋体"/>
          <w:color w:val="auto"/>
          <w:highlight w:val="none"/>
        </w:rPr>
        <w:t xml:space="preserve">编号： </w:t>
      </w:r>
      <w:r>
        <w:rPr>
          <w:rFonts w:ascii="宋体" w:hAnsi="宋体"/>
          <w:color w:val="auto"/>
          <w:highlight w:val="none"/>
        </w:rPr>
        <w:t xml:space="preserve">          </w:t>
      </w:r>
    </w:p>
    <w:p w14:paraId="345BC84F">
      <w:pPr>
        <w:spacing w:line="360" w:lineRule="auto"/>
        <w:rPr>
          <w:rFonts w:ascii="宋体" w:hAnsi="宋体"/>
          <w:color w:val="auto"/>
          <w:sz w:val="24"/>
          <w:szCs w:val="24"/>
          <w:highlight w:val="none"/>
        </w:rPr>
      </w:pPr>
    </w:p>
    <w:p w14:paraId="42C066B9">
      <w:pPr>
        <w:spacing w:line="360" w:lineRule="auto"/>
        <w:rPr>
          <w:rFonts w:ascii="宋体" w:hAnsi="宋体"/>
          <w:color w:val="auto"/>
          <w:sz w:val="24"/>
          <w:szCs w:val="24"/>
          <w:highlight w:val="none"/>
        </w:rPr>
      </w:pPr>
      <w:r>
        <w:rPr>
          <w:rFonts w:hint="eastAsia" w:ascii="宋体" w:hAnsi="宋体"/>
          <w:color w:val="auto"/>
          <w:sz w:val="24"/>
          <w:szCs w:val="24"/>
          <w:highlight w:val="none"/>
        </w:rPr>
        <w:t>担保权人/发包人：</w:t>
      </w:r>
    </w:p>
    <w:p w14:paraId="6B4C614A">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r>
        <w:rPr>
          <w:rFonts w:ascii="宋体" w:hAnsi="宋体"/>
          <w:color w:val="auto"/>
          <w:sz w:val="24"/>
          <w:szCs w:val="24"/>
          <w:highlight w:val="none"/>
        </w:rPr>
        <w:t>：</w:t>
      </w:r>
    </w:p>
    <w:p w14:paraId="469BA429">
      <w:pPr>
        <w:spacing w:line="360" w:lineRule="auto"/>
        <w:rPr>
          <w:rFonts w:ascii="宋体" w:hAnsi="宋体"/>
          <w:color w:val="auto"/>
          <w:sz w:val="24"/>
          <w:szCs w:val="24"/>
          <w:highlight w:val="none"/>
        </w:rPr>
      </w:pPr>
      <w:r>
        <w:rPr>
          <w:rFonts w:hint="eastAsia" w:ascii="宋体" w:hAnsi="宋体"/>
          <w:color w:val="auto"/>
          <w:sz w:val="24"/>
          <w:szCs w:val="24"/>
          <w:highlight w:val="none"/>
        </w:rPr>
        <w:t>承包人：</w:t>
      </w:r>
      <w:r>
        <w:rPr>
          <w:rFonts w:ascii="宋体" w:hAnsi="宋体"/>
          <w:color w:val="auto"/>
          <w:sz w:val="24"/>
          <w:szCs w:val="24"/>
          <w:highlight w:val="none"/>
        </w:rPr>
        <w:t xml:space="preserve"> </w:t>
      </w:r>
    </w:p>
    <w:p w14:paraId="6665E27D">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p w14:paraId="475A13E0">
      <w:pPr>
        <w:spacing w:line="360" w:lineRule="auto"/>
        <w:rPr>
          <w:rFonts w:ascii="宋体" w:hAnsi="宋体"/>
          <w:color w:val="auto"/>
          <w:sz w:val="24"/>
          <w:szCs w:val="24"/>
          <w:highlight w:val="none"/>
        </w:rPr>
      </w:pPr>
      <w:r>
        <w:rPr>
          <w:rFonts w:hint="eastAsia" w:ascii="宋体" w:hAnsi="宋体"/>
          <w:color w:val="auto"/>
          <w:sz w:val="24"/>
          <w:szCs w:val="24"/>
          <w:highlight w:val="none"/>
        </w:rPr>
        <w:t>保证人：</w:t>
      </w:r>
    </w:p>
    <w:p w14:paraId="0C331536">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p w14:paraId="6A560326">
      <w:pPr>
        <w:spacing w:line="360" w:lineRule="auto"/>
        <w:rPr>
          <w:rFonts w:ascii="宋体" w:hAnsi="宋体"/>
          <w:color w:val="auto"/>
          <w:sz w:val="24"/>
          <w:szCs w:val="24"/>
          <w:highlight w:val="none"/>
        </w:rPr>
      </w:pPr>
    </w:p>
    <w:p w14:paraId="1B886689">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rPr>
        <w:t>发包人</w:t>
      </w:r>
      <w:r>
        <w:rPr>
          <w:rFonts w:ascii="宋体" w:hAnsi="宋体"/>
          <w:color w:val="auto"/>
          <w:sz w:val="24"/>
          <w:szCs w:val="24"/>
          <w:highlight w:val="none"/>
        </w:rPr>
        <w:t xml:space="preserve">名称）： </w:t>
      </w:r>
    </w:p>
    <w:p w14:paraId="790AD02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发包人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承包人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日就</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工程（以下简称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本工程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）施工和有关事项协商一致共同签订</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主合同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），我方即保证人基于承包人</w:t>
      </w:r>
      <w:r>
        <w:rPr>
          <w:rFonts w:ascii="宋体" w:hAnsi="宋体"/>
          <w:color w:val="auto"/>
          <w:sz w:val="24"/>
          <w:szCs w:val="24"/>
          <w:highlight w:val="none"/>
        </w:rPr>
        <w:t>的请求，同意就</w:t>
      </w:r>
      <w:r>
        <w:rPr>
          <w:rFonts w:hint="eastAsia" w:ascii="宋体" w:hAnsi="宋体"/>
          <w:color w:val="auto"/>
          <w:sz w:val="24"/>
          <w:szCs w:val="24"/>
          <w:highlight w:val="none"/>
        </w:rPr>
        <w:t>承包人按照合同约定正确和合理地为合同目的使用预付款，不将预付款挪作他用，</w:t>
      </w:r>
      <w:r>
        <w:rPr>
          <w:rFonts w:ascii="宋体" w:hAnsi="宋体"/>
          <w:color w:val="auto"/>
          <w:sz w:val="24"/>
          <w:szCs w:val="24"/>
          <w:highlight w:val="none"/>
        </w:rPr>
        <w:t>向贵方提供</w:t>
      </w:r>
      <w:r>
        <w:rPr>
          <w:rFonts w:hint="eastAsia" w:ascii="宋体" w:hAnsi="宋体"/>
          <w:color w:val="auto"/>
          <w:sz w:val="24"/>
          <w:szCs w:val="24"/>
          <w:highlight w:val="none"/>
        </w:rPr>
        <w:t>如下保证担保（以下简称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本保证担保</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22984697">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一、保证担保的范围及保证担保金额</w:t>
      </w:r>
    </w:p>
    <w:p w14:paraId="5FF8FB9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w:t>
      </w:r>
      <w:r>
        <w:rPr>
          <w:rFonts w:hint="eastAsia" w:ascii="宋体" w:hAnsi="宋体"/>
          <w:color w:val="auto"/>
          <w:sz w:val="24"/>
          <w:szCs w:val="24"/>
          <w:highlight w:val="none"/>
        </w:rPr>
        <w:t>保证担保范围：申请人未按照合同约定正确和合理地为合同目的使用预付款，应当向贵方</w:t>
      </w:r>
      <w:r>
        <w:rPr>
          <w:rFonts w:hint="eastAsia" w:ascii="宋体" w:hAnsi="宋体"/>
          <w:color w:val="auto"/>
          <w:sz w:val="24"/>
          <w:szCs w:val="24"/>
          <w:highlight w:val="none"/>
          <w:lang w:eastAsia="zh-CN"/>
        </w:rPr>
        <w:t>承担</w:t>
      </w:r>
      <w:r>
        <w:rPr>
          <w:rFonts w:hint="eastAsia" w:ascii="宋体" w:hAnsi="宋体"/>
          <w:color w:val="auto"/>
          <w:sz w:val="24"/>
          <w:szCs w:val="24"/>
          <w:highlight w:val="none"/>
        </w:rPr>
        <w:t>违约责任和赔偿因此造成的损失、利息、律师费、诉讼费用等实现债权的费用。</w:t>
      </w:r>
    </w:p>
    <w:p w14:paraId="430F9DD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保证担保金额最高不超过</w:t>
      </w: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ascii="宋体" w:hAnsi="宋体"/>
          <w:color w:val="auto"/>
          <w:sz w:val="24"/>
          <w:szCs w:val="24"/>
          <w:highlight w:val="none"/>
        </w:rPr>
        <w:t>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77639B75">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二、保证担保的方式及保证期间</w:t>
      </w:r>
      <w:r>
        <w:rPr>
          <w:rFonts w:ascii="宋体" w:hAnsi="宋体"/>
          <w:b/>
          <w:bCs/>
          <w:color w:val="auto"/>
          <w:sz w:val="24"/>
          <w:szCs w:val="24"/>
          <w:highlight w:val="none"/>
        </w:rPr>
        <w:t xml:space="preserve"> </w:t>
      </w:r>
    </w:p>
    <w:p w14:paraId="3C44328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1.保证担保方式：连带责任保证。</w:t>
      </w:r>
    </w:p>
    <w:p w14:paraId="36E7E34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保证期间：</w:t>
      </w:r>
      <w:r>
        <w:rPr>
          <w:rFonts w:ascii="宋体" w:hAnsi="宋体"/>
          <w:color w:val="auto"/>
          <w:sz w:val="24"/>
          <w:szCs w:val="24"/>
          <w:highlight w:val="none"/>
        </w:rPr>
        <w:t>自</w:t>
      </w:r>
      <w:r>
        <w:rPr>
          <w:rFonts w:hint="eastAsia" w:ascii="宋体" w:hAnsi="宋体"/>
          <w:color w:val="auto"/>
          <w:sz w:val="24"/>
          <w:szCs w:val="24"/>
          <w:highlight w:val="none"/>
        </w:rPr>
        <w:t>出具之日起</w:t>
      </w:r>
      <w:r>
        <w:rPr>
          <w:rFonts w:ascii="宋体" w:hAnsi="宋体"/>
          <w:color w:val="auto"/>
          <w:sz w:val="24"/>
          <w:szCs w:val="24"/>
          <w:highlight w:val="none"/>
        </w:rPr>
        <w:t>至</w:t>
      </w:r>
      <w:r>
        <w:rPr>
          <w:rFonts w:hint="eastAsia" w:ascii="宋体" w:hAnsi="宋体"/>
          <w:color w:val="auto"/>
          <w:sz w:val="24"/>
          <w:szCs w:val="24"/>
          <w:highlight w:val="none"/>
        </w:rPr>
        <w:t>发包人全额扣回预付款后</w:t>
      </w:r>
      <w:r>
        <w:rPr>
          <w:rFonts w:ascii="宋体" w:hAnsi="宋体"/>
          <w:color w:val="auto"/>
          <w:sz w:val="24"/>
          <w:szCs w:val="24"/>
          <w:highlight w:val="none"/>
          <w:u w:val="single"/>
        </w:rPr>
        <w:t xml:space="preserve">   </w:t>
      </w:r>
      <w:r>
        <w:rPr>
          <w:rFonts w:ascii="宋体" w:hAnsi="宋体"/>
          <w:color w:val="auto"/>
          <w:sz w:val="24"/>
          <w:szCs w:val="24"/>
          <w:highlight w:val="none"/>
        </w:rPr>
        <w:t>日</w:t>
      </w:r>
      <w:r>
        <w:rPr>
          <w:rFonts w:hint="eastAsia" w:ascii="宋体" w:hAnsi="宋体"/>
          <w:color w:val="auto"/>
          <w:sz w:val="24"/>
          <w:szCs w:val="24"/>
          <w:highlight w:val="none"/>
        </w:rPr>
        <w:t>止，最迟不超过</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ascii="宋体" w:hAnsi="宋体"/>
          <w:color w:val="auto"/>
          <w:sz w:val="24"/>
          <w:szCs w:val="24"/>
          <w:highlight w:val="none"/>
        </w:rPr>
        <w:t xml:space="preserve">。 </w:t>
      </w:r>
    </w:p>
    <w:p w14:paraId="318E0B7D">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三、承担保证担保责任的形式</w:t>
      </w:r>
    </w:p>
    <w:p w14:paraId="338D557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发生应承担保证责任情形的，我方在保证金额内向贵方支付，并赔偿因此给贵方造成的损失，以及利息和律师费、诉讼费用等实现债权的费用。</w:t>
      </w:r>
    </w:p>
    <w:p w14:paraId="22B7B73E">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四、代偿的安排</w:t>
      </w:r>
      <w:r>
        <w:rPr>
          <w:rFonts w:ascii="宋体" w:hAnsi="宋体"/>
          <w:b/>
          <w:bCs/>
          <w:color w:val="auto"/>
          <w:sz w:val="24"/>
          <w:szCs w:val="24"/>
          <w:highlight w:val="none"/>
        </w:rPr>
        <w:t xml:space="preserve"> </w:t>
      </w:r>
    </w:p>
    <w:p w14:paraId="03E641B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1.贵方要求我方承担保证责任的，应向我方发出书面索赔通知及承包人未履行主合同约定义务的证明材料。索赔通知应写明要求索赔的金额，支付款项应到达的</w:t>
      </w:r>
      <w:r>
        <w:rPr>
          <w:rFonts w:hint="eastAsia" w:ascii="宋体" w:hAnsi="宋体"/>
          <w:color w:val="auto"/>
          <w:sz w:val="24"/>
          <w:szCs w:val="24"/>
          <w:highlight w:val="none"/>
          <w:lang w:eastAsia="zh-CN"/>
        </w:rPr>
        <w:t>账</w:t>
      </w:r>
      <w:r>
        <w:rPr>
          <w:rFonts w:hint="eastAsia" w:ascii="宋体" w:hAnsi="宋体"/>
          <w:color w:val="auto"/>
          <w:sz w:val="24"/>
          <w:szCs w:val="24"/>
          <w:highlight w:val="none"/>
        </w:rPr>
        <w:t>号，并附有说明承包人违反主合同造成贵方损失情况的证明材料。</w:t>
      </w:r>
    </w:p>
    <w:p w14:paraId="7A1A4B97">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2.我方收到贵方的书面索赔通知及相应证明材料后，在</w:t>
      </w:r>
      <w:r>
        <w:rPr>
          <w:rFonts w:ascii="宋体" w:hAnsi="宋体"/>
          <w:color w:val="auto"/>
          <w:sz w:val="24"/>
          <w:szCs w:val="24"/>
          <w:highlight w:val="none"/>
          <w:u w:val="single"/>
        </w:rPr>
        <w:t xml:space="preserve">    </w:t>
      </w:r>
      <w:r>
        <w:rPr>
          <w:rFonts w:hint="eastAsia" w:ascii="宋体" w:hAnsi="宋体"/>
          <w:color w:val="auto"/>
          <w:sz w:val="24"/>
          <w:szCs w:val="24"/>
          <w:highlight w:val="none"/>
        </w:rPr>
        <w:t>工作日内进行核定后按照本保函的承诺承担保证责任。</w:t>
      </w:r>
    </w:p>
    <w:p w14:paraId="68AC6943">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五、保证担保责任的解除</w:t>
      </w:r>
      <w:r>
        <w:rPr>
          <w:rFonts w:ascii="宋体" w:hAnsi="宋体"/>
          <w:b/>
          <w:bCs/>
          <w:color w:val="auto"/>
          <w:sz w:val="24"/>
          <w:szCs w:val="24"/>
          <w:highlight w:val="none"/>
        </w:rPr>
        <w:t xml:space="preserve"> </w:t>
      </w:r>
    </w:p>
    <w:p w14:paraId="704D65B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 xml:space="preserve">保证期间届满贵方未向我方书面主张保证责任的，自保证期间届满次日起，我方解除保证责任。 </w:t>
      </w:r>
    </w:p>
    <w:p w14:paraId="160B73A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我方按照本</w:t>
      </w:r>
      <w:r>
        <w:rPr>
          <w:rFonts w:hint="eastAsia" w:ascii="宋体" w:hAnsi="宋体"/>
          <w:color w:val="auto"/>
          <w:sz w:val="24"/>
          <w:szCs w:val="24"/>
          <w:highlight w:val="none"/>
        </w:rPr>
        <w:t>保证担保</w:t>
      </w:r>
      <w:r>
        <w:rPr>
          <w:rFonts w:ascii="宋体" w:hAnsi="宋体"/>
          <w:color w:val="auto"/>
          <w:sz w:val="24"/>
          <w:szCs w:val="24"/>
          <w:highlight w:val="none"/>
        </w:rPr>
        <w:t>向贵方履行了</w:t>
      </w:r>
      <w:r>
        <w:rPr>
          <w:rFonts w:hint="eastAsia" w:ascii="宋体" w:hAnsi="宋体"/>
          <w:color w:val="auto"/>
          <w:sz w:val="24"/>
          <w:szCs w:val="24"/>
          <w:highlight w:val="none"/>
        </w:rPr>
        <w:t>保证担保责任</w:t>
      </w:r>
      <w:r>
        <w:rPr>
          <w:rFonts w:ascii="宋体" w:hAnsi="宋体"/>
          <w:color w:val="auto"/>
          <w:sz w:val="24"/>
          <w:szCs w:val="24"/>
          <w:highlight w:val="none"/>
        </w:rPr>
        <w:t>后，自我方向贵方支付</w:t>
      </w:r>
      <w:r>
        <w:rPr>
          <w:rFonts w:hint="eastAsia" w:ascii="宋体" w:hAnsi="宋体"/>
          <w:color w:val="auto"/>
          <w:sz w:val="24"/>
          <w:szCs w:val="24"/>
          <w:highlight w:val="none"/>
        </w:rPr>
        <w:t>的金额达到最高保证担保金额</w:t>
      </w:r>
      <w:r>
        <w:rPr>
          <w:rFonts w:ascii="宋体" w:hAnsi="宋体"/>
          <w:color w:val="auto"/>
          <w:sz w:val="24"/>
          <w:szCs w:val="24"/>
          <w:highlight w:val="none"/>
        </w:rPr>
        <w:t>之日起，</w:t>
      </w:r>
      <w:r>
        <w:rPr>
          <w:rFonts w:hint="eastAsia" w:ascii="宋体" w:hAnsi="宋体"/>
          <w:color w:val="auto"/>
          <w:sz w:val="24"/>
          <w:szCs w:val="24"/>
          <w:highlight w:val="none"/>
        </w:rPr>
        <w:t>保证担保责任</w:t>
      </w:r>
      <w:r>
        <w:rPr>
          <w:rFonts w:ascii="宋体" w:hAnsi="宋体"/>
          <w:color w:val="auto"/>
          <w:sz w:val="24"/>
          <w:szCs w:val="24"/>
          <w:highlight w:val="none"/>
        </w:rPr>
        <w:t xml:space="preserve">解除。 </w:t>
      </w:r>
    </w:p>
    <w:p w14:paraId="740D67F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按照法律法规的规定应解除我方保证</w:t>
      </w:r>
      <w:r>
        <w:rPr>
          <w:rFonts w:hint="eastAsia" w:ascii="宋体" w:hAnsi="宋体"/>
          <w:color w:val="auto"/>
          <w:sz w:val="24"/>
          <w:szCs w:val="24"/>
          <w:highlight w:val="none"/>
        </w:rPr>
        <w:t>担保</w:t>
      </w:r>
      <w:r>
        <w:rPr>
          <w:rFonts w:ascii="宋体" w:hAnsi="宋体"/>
          <w:color w:val="auto"/>
          <w:sz w:val="24"/>
          <w:szCs w:val="24"/>
          <w:highlight w:val="none"/>
        </w:rPr>
        <w:t>责任的其它情形的，我方在本保证担保项下的保证</w:t>
      </w:r>
      <w:r>
        <w:rPr>
          <w:rFonts w:hint="eastAsia" w:ascii="宋体" w:hAnsi="宋体"/>
          <w:color w:val="auto"/>
          <w:sz w:val="24"/>
          <w:szCs w:val="24"/>
          <w:highlight w:val="none"/>
        </w:rPr>
        <w:t>担保</w:t>
      </w:r>
      <w:r>
        <w:rPr>
          <w:rFonts w:ascii="宋体" w:hAnsi="宋体"/>
          <w:color w:val="auto"/>
          <w:sz w:val="24"/>
          <w:szCs w:val="24"/>
          <w:highlight w:val="none"/>
        </w:rPr>
        <w:t xml:space="preserve">责任亦解除。 </w:t>
      </w:r>
    </w:p>
    <w:p w14:paraId="01BC890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4.我方解除保证责任后，贵方应按上述约定，自我方保证担保责任解除之日起七</w:t>
      </w:r>
      <w:r>
        <w:rPr>
          <w:rFonts w:ascii="宋体" w:hAnsi="宋体"/>
          <w:color w:val="auto"/>
          <w:sz w:val="24"/>
          <w:szCs w:val="24"/>
          <w:highlight w:val="none"/>
        </w:rPr>
        <w:t>日内，将本保证担保原件返还我方。但是不论贵方是否按此要求将本保证担保</w:t>
      </w:r>
      <w:r>
        <w:rPr>
          <w:rFonts w:hint="eastAsia" w:ascii="宋体" w:hAnsi="宋体"/>
          <w:color w:val="auto"/>
          <w:sz w:val="24"/>
          <w:szCs w:val="24"/>
          <w:highlight w:val="none"/>
        </w:rPr>
        <w:t>原件</w:t>
      </w:r>
      <w:r>
        <w:rPr>
          <w:rFonts w:ascii="宋体" w:hAnsi="宋体"/>
          <w:color w:val="auto"/>
          <w:sz w:val="24"/>
          <w:szCs w:val="24"/>
          <w:highlight w:val="none"/>
        </w:rPr>
        <w:t>退回我方，我方在本保证担保项下的义务和责任均</w:t>
      </w:r>
      <w:r>
        <w:rPr>
          <w:rFonts w:hint="eastAsia" w:ascii="宋体" w:hAnsi="宋体"/>
          <w:color w:val="auto"/>
          <w:sz w:val="24"/>
          <w:szCs w:val="24"/>
          <w:highlight w:val="none"/>
        </w:rPr>
        <w:t>自保证担保责任解除之日</w:t>
      </w:r>
      <w:r>
        <w:rPr>
          <w:rFonts w:ascii="宋体" w:hAnsi="宋体"/>
          <w:color w:val="auto"/>
          <w:sz w:val="24"/>
          <w:szCs w:val="24"/>
          <w:highlight w:val="none"/>
        </w:rPr>
        <w:t>自动消灭。</w:t>
      </w:r>
    </w:p>
    <w:p w14:paraId="079E7F1A">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六、免责条款</w:t>
      </w:r>
      <w:r>
        <w:rPr>
          <w:rFonts w:ascii="宋体" w:hAnsi="宋体"/>
          <w:b/>
          <w:bCs/>
          <w:color w:val="auto"/>
          <w:sz w:val="24"/>
          <w:szCs w:val="24"/>
          <w:highlight w:val="none"/>
        </w:rPr>
        <w:t xml:space="preserve"> </w:t>
      </w:r>
    </w:p>
    <w:p w14:paraId="77C72CF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因贵方</w:t>
      </w:r>
      <w:r>
        <w:rPr>
          <w:rFonts w:hint="eastAsia" w:ascii="宋体" w:hAnsi="宋体"/>
          <w:color w:val="auto"/>
          <w:sz w:val="24"/>
          <w:szCs w:val="24"/>
          <w:highlight w:val="none"/>
        </w:rPr>
        <w:t>原因</w:t>
      </w:r>
      <w:r>
        <w:rPr>
          <w:rFonts w:ascii="宋体" w:hAnsi="宋体"/>
          <w:color w:val="auto"/>
          <w:sz w:val="24"/>
          <w:szCs w:val="24"/>
          <w:highlight w:val="none"/>
        </w:rPr>
        <w:t>致使</w:t>
      </w:r>
      <w:r>
        <w:rPr>
          <w:rFonts w:hint="eastAsia" w:ascii="宋体" w:hAnsi="宋体"/>
          <w:color w:val="auto"/>
          <w:sz w:val="24"/>
          <w:szCs w:val="24"/>
          <w:highlight w:val="none"/>
        </w:rPr>
        <w:t>发生应承担保证责任情形的</w:t>
      </w:r>
      <w:r>
        <w:rPr>
          <w:rFonts w:ascii="宋体" w:hAnsi="宋体"/>
          <w:color w:val="auto"/>
          <w:sz w:val="24"/>
          <w:szCs w:val="24"/>
          <w:highlight w:val="none"/>
        </w:rPr>
        <w:t>，我方不承担保证</w:t>
      </w:r>
      <w:r>
        <w:rPr>
          <w:rFonts w:hint="eastAsia" w:ascii="宋体" w:hAnsi="宋体"/>
          <w:color w:val="auto"/>
          <w:sz w:val="24"/>
          <w:szCs w:val="24"/>
          <w:highlight w:val="none"/>
        </w:rPr>
        <w:t>担保</w:t>
      </w:r>
      <w:r>
        <w:rPr>
          <w:rFonts w:ascii="宋体" w:hAnsi="宋体"/>
          <w:color w:val="auto"/>
          <w:sz w:val="24"/>
          <w:szCs w:val="24"/>
          <w:highlight w:val="none"/>
        </w:rPr>
        <w:t xml:space="preserve">责任。 </w:t>
      </w:r>
    </w:p>
    <w:p w14:paraId="61E592B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依照法律规定或贵方与</w:t>
      </w:r>
      <w:r>
        <w:rPr>
          <w:rFonts w:hint="eastAsia" w:ascii="宋体" w:hAnsi="宋体"/>
          <w:color w:val="auto"/>
          <w:sz w:val="24"/>
          <w:szCs w:val="24"/>
          <w:highlight w:val="none"/>
        </w:rPr>
        <w:t>承包</w:t>
      </w:r>
      <w:r>
        <w:rPr>
          <w:rFonts w:ascii="宋体" w:hAnsi="宋体"/>
          <w:color w:val="auto"/>
          <w:sz w:val="24"/>
          <w:szCs w:val="24"/>
          <w:highlight w:val="none"/>
        </w:rPr>
        <w:t>人的另行约定，免除</w:t>
      </w:r>
      <w:r>
        <w:rPr>
          <w:rFonts w:hint="eastAsia" w:ascii="宋体" w:hAnsi="宋体"/>
          <w:color w:val="auto"/>
          <w:sz w:val="24"/>
          <w:szCs w:val="24"/>
          <w:highlight w:val="none"/>
        </w:rPr>
        <w:t>承包</w:t>
      </w:r>
      <w:r>
        <w:rPr>
          <w:rFonts w:ascii="宋体" w:hAnsi="宋体"/>
          <w:color w:val="auto"/>
          <w:sz w:val="24"/>
          <w:szCs w:val="24"/>
          <w:highlight w:val="none"/>
        </w:rPr>
        <w:t>人部分或全部义务的，我方亦免除其相应的保证</w:t>
      </w:r>
      <w:r>
        <w:rPr>
          <w:rFonts w:hint="eastAsia" w:ascii="宋体" w:hAnsi="宋体"/>
          <w:color w:val="auto"/>
          <w:sz w:val="24"/>
          <w:szCs w:val="24"/>
          <w:highlight w:val="none"/>
        </w:rPr>
        <w:t>担保</w:t>
      </w:r>
      <w:r>
        <w:rPr>
          <w:rFonts w:ascii="宋体" w:hAnsi="宋体"/>
          <w:color w:val="auto"/>
          <w:sz w:val="24"/>
          <w:szCs w:val="24"/>
          <w:highlight w:val="none"/>
        </w:rPr>
        <w:t xml:space="preserve">责任。 </w:t>
      </w:r>
    </w:p>
    <w:p w14:paraId="128ED9C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因不可抗力造成</w:t>
      </w:r>
      <w:r>
        <w:rPr>
          <w:rFonts w:hint="eastAsia" w:ascii="宋体" w:hAnsi="宋体"/>
          <w:color w:val="auto"/>
          <w:sz w:val="24"/>
          <w:szCs w:val="24"/>
          <w:highlight w:val="none"/>
        </w:rPr>
        <w:t>发生应承担保证责任情形的</w:t>
      </w:r>
      <w:r>
        <w:rPr>
          <w:rFonts w:ascii="宋体" w:hAnsi="宋体"/>
          <w:color w:val="auto"/>
          <w:sz w:val="24"/>
          <w:szCs w:val="24"/>
          <w:highlight w:val="none"/>
        </w:rPr>
        <w:t>，我方不承担保证</w:t>
      </w:r>
      <w:r>
        <w:rPr>
          <w:rFonts w:hint="eastAsia" w:ascii="宋体" w:hAnsi="宋体"/>
          <w:color w:val="auto"/>
          <w:sz w:val="24"/>
          <w:szCs w:val="24"/>
          <w:highlight w:val="none"/>
        </w:rPr>
        <w:t>担保</w:t>
      </w:r>
      <w:r>
        <w:rPr>
          <w:rFonts w:ascii="宋体" w:hAnsi="宋体"/>
          <w:color w:val="auto"/>
          <w:sz w:val="24"/>
          <w:szCs w:val="24"/>
          <w:highlight w:val="none"/>
        </w:rPr>
        <w:t>责任。</w:t>
      </w:r>
    </w:p>
    <w:p w14:paraId="721CD548">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七、其他</w:t>
      </w:r>
    </w:p>
    <w:p w14:paraId="31C64D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本保证担保项下的权利不得转让，不得设定担保。贵方未经我方书面同意转让本保证担保或其项下任何权利，</w:t>
      </w:r>
      <w:r>
        <w:rPr>
          <w:rFonts w:hint="eastAsia" w:ascii="宋体" w:hAnsi="宋体"/>
          <w:color w:val="auto"/>
          <w:sz w:val="24"/>
          <w:szCs w:val="24"/>
          <w:highlight w:val="none"/>
        </w:rPr>
        <w:t>对我方不发生法律效力</w:t>
      </w:r>
      <w:r>
        <w:rPr>
          <w:rFonts w:ascii="宋体" w:hAnsi="宋体"/>
          <w:color w:val="auto"/>
          <w:sz w:val="24"/>
          <w:szCs w:val="24"/>
          <w:highlight w:val="none"/>
        </w:rPr>
        <w:t xml:space="preserve">。 </w:t>
      </w:r>
    </w:p>
    <w:p w14:paraId="2A3D4A4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.本</w:t>
      </w:r>
      <w:r>
        <w:rPr>
          <w:rFonts w:hint="eastAsia" w:ascii="宋体" w:hAnsi="宋体"/>
          <w:color w:val="auto"/>
          <w:sz w:val="24"/>
          <w:szCs w:val="24"/>
          <w:highlight w:val="none"/>
        </w:rPr>
        <w:t>保证担保适用的法律为中华人民共和国法律，争议裁判管辖地为中华人民共和国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1A276B5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.本</w:t>
      </w:r>
      <w:r>
        <w:rPr>
          <w:rFonts w:hint="eastAsia" w:ascii="宋体" w:hAnsi="宋体"/>
          <w:color w:val="auto"/>
          <w:sz w:val="24"/>
          <w:szCs w:val="24"/>
          <w:highlight w:val="none"/>
        </w:rPr>
        <w:t>保证担保</w:t>
      </w:r>
      <w:r>
        <w:rPr>
          <w:rFonts w:ascii="宋体" w:hAnsi="宋体"/>
          <w:color w:val="auto"/>
          <w:sz w:val="24"/>
          <w:szCs w:val="24"/>
          <w:highlight w:val="none"/>
        </w:rPr>
        <w:t>自我方法定代表</w:t>
      </w:r>
      <w:r>
        <w:rPr>
          <w:rFonts w:hint="eastAsia" w:ascii="宋体" w:hAnsi="宋体"/>
          <w:color w:val="auto"/>
          <w:sz w:val="24"/>
          <w:szCs w:val="24"/>
          <w:highlight w:val="none"/>
        </w:rPr>
        <w:t>人或授权代表</w:t>
      </w:r>
      <w:r>
        <w:rPr>
          <w:rFonts w:ascii="宋体" w:hAnsi="宋体"/>
          <w:color w:val="auto"/>
          <w:sz w:val="24"/>
          <w:szCs w:val="24"/>
          <w:highlight w:val="none"/>
        </w:rPr>
        <w:t>签字</w:t>
      </w:r>
      <w:r>
        <w:rPr>
          <w:rFonts w:hint="eastAsia" w:ascii="宋体" w:hAnsi="宋体"/>
          <w:color w:val="auto"/>
          <w:sz w:val="24"/>
          <w:szCs w:val="24"/>
          <w:highlight w:val="none"/>
        </w:rPr>
        <w:t>并</w:t>
      </w:r>
      <w:r>
        <w:rPr>
          <w:rFonts w:ascii="宋体" w:hAnsi="宋体"/>
          <w:color w:val="auto"/>
          <w:sz w:val="24"/>
          <w:szCs w:val="24"/>
          <w:highlight w:val="none"/>
        </w:rPr>
        <w:t xml:space="preserve">加盖公章之日起生效。 </w:t>
      </w:r>
    </w:p>
    <w:p w14:paraId="5E23F560">
      <w:pPr>
        <w:spacing w:line="360" w:lineRule="auto"/>
        <w:ind w:firstLine="480" w:firstLineChars="200"/>
        <w:rPr>
          <w:rFonts w:ascii="宋体" w:hAnsi="宋体"/>
          <w:color w:val="auto"/>
          <w:sz w:val="24"/>
          <w:szCs w:val="24"/>
          <w:highlight w:val="none"/>
        </w:rPr>
      </w:pPr>
    </w:p>
    <w:p w14:paraId="0FEF7AD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保 证 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（公</w:t>
      </w:r>
      <w:r>
        <w:rPr>
          <w:rFonts w:ascii="宋体" w:hAnsi="宋体"/>
          <w:color w:val="auto"/>
          <w:sz w:val="24"/>
          <w:szCs w:val="24"/>
          <w:highlight w:val="none"/>
        </w:rPr>
        <w:t xml:space="preserve">章） </w:t>
      </w:r>
    </w:p>
    <w:p w14:paraId="5D541E8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法定代表人（或授权代表）：</w:t>
      </w:r>
      <w:r>
        <w:rPr>
          <w:rFonts w:ascii="宋体" w:hAnsi="宋体"/>
          <w:color w:val="auto"/>
          <w:sz w:val="24"/>
          <w:szCs w:val="24"/>
          <w:highlight w:val="none"/>
        </w:rPr>
        <w:t xml:space="preserve">               （签字） </w:t>
      </w:r>
    </w:p>
    <w:p w14:paraId="1FA754D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址：                                       </w:t>
      </w:r>
    </w:p>
    <w:p w14:paraId="114C28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邮政编码：</w:t>
      </w:r>
      <w:r>
        <w:rPr>
          <w:rFonts w:ascii="宋体" w:hAnsi="宋体"/>
          <w:color w:val="auto"/>
          <w:sz w:val="24"/>
          <w:szCs w:val="24"/>
          <w:highlight w:val="none"/>
        </w:rPr>
        <w:t xml:space="preserve">                 </w:t>
      </w:r>
    </w:p>
    <w:p w14:paraId="4377756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话：                 </w:t>
      </w:r>
    </w:p>
    <w:p w14:paraId="6A7318D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真：                 </w:t>
      </w:r>
    </w:p>
    <w:p w14:paraId="081E575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时 </w:t>
      </w:r>
      <w:r>
        <w:rPr>
          <w:rFonts w:ascii="宋体" w:hAnsi="宋体"/>
          <w:color w:val="auto"/>
          <w:sz w:val="24"/>
          <w:szCs w:val="24"/>
          <w:highlight w:val="none"/>
        </w:rPr>
        <w:t xml:space="preserve">   </w:t>
      </w:r>
      <w:r>
        <w:rPr>
          <w:rFonts w:hint="eastAsia" w:ascii="宋体" w:hAnsi="宋体"/>
          <w:color w:val="auto"/>
          <w:sz w:val="24"/>
          <w:szCs w:val="24"/>
          <w:highlight w:val="none"/>
        </w:rPr>
        <w:t>间：</w:t>
      </w:r>
      <w:r>
        <w:rPr>
          <w:rFonts w:ascii="宋体" w:hAnsi="宋体"/>
          <w:color w:val="auto"/>
          <w:sz w:val="24"/>
          <w:szCs w:val="24"/>
          <w:highlight w:val="none"/>
        </w:rPr>
        <w:t xml:space="preserve">      年      月        日</w:t>
      </w:r>
    </w:p>
    <w:p w14:paraId="41050717">
      <w:pPr>
        <w:rPr>
          <w:color w:val="auto"/>
          <w:highlight w:val="none"/>
        </w:rPr>
      </w:pPr>
    </w:p>
    <w:p w14:paraId="4981FACD">
      <w:pPr>
        <w:spacing w:line="360" w:lineRule="auto"/>
        <w:jc w:val="center"/>
        <w:rPr>
          <w:rFonts w:hint="eastAsia" w:ascii="宋体" w:hAnsi="宋体"/>
          <w:b/>
          <w:bCs/>
          <w:color w:val="auto"/>
          <w:sz w:val="32"/>
          <w:szCs w:val="32"/>
          <w:highlight w:val="none"/>
        </w:rPr>
      </w:pPr>
    </w:p>
    <w:p w14:paraId="5B89A8E3">
      <w:pPr>
        <w:spacing w:line="360" w:lineRule="auto"/>
        <w:jc w:val="center"/>
        <w:rPr>
          <w:rFonts w:hint="eastAsia" w:ascii="宋体" w:hAnsi="宋体"/>
          <w:b/>
          <w:bCs/>
          <w:color w:val="auto"/>
          <w:sz w:val="32"/>
          <w:szCs w:val="32"/>
          <w:highlight w:val="none"/>
        </w:rPr>
      </w:pPr>
    </w:p>
    <w:p w14:paraId="4858C30F">
      <w:pPr>
        <w:spacing w:line="360" w:lineRule="auto"/>
        <w:jc w:val="center"/>
        <w:rPr>
          <w:rFonts w:hint="eastAsia" w:ascii="宋体" w:hAnsi="宋体"/>
          <w:b/>
          <w:bCs/>
          <w:color w:val="auto"/>
          <w:sz w:val="32"/>
          <w:szCs w:val="32"/>
          <w:highlight w:val="none"/>
        </w:rPr>
      </w:pPr>
    </w:p>
    <w:p w14:paraId="5F01606E">
      <w:pPr>
        <w:spacing w:line="360" w:lineRule="auto"/>
        <w:jc w:val="center"/>
        <w:rPr>
          <w:rFonts w:hint="eastAsia" w:ascii="宋体" w:hAnsi="宋体"/>
          <w:b/>
          <w:bCs/>
          <w:color w:val="auto"/>
          <w:sz w:val="32"/>
          <w:szCs w:val="32"/>
          <w:highlight w:val="none"/>
        </w:rPr>
      </w:pPr>
    </w:p>
    <w:p w14:paraId="0F23EC66">
      <w:pPr>
        <w:spacing w:line="360" w:lineRule="auto"/>
        <w:jc w:val="center"/>
        <w:rPr>
          <w:rFonts w:hint="eastAsia" w:ascii="宋体" w:hAnsi="宋体"/>
          <w:b/>
          <w:bCs/>
          <w:color w:val="auto"/>
          <w:sz w:val="32"/>
          <w:szCs w:val="32"/>
          <w:highlight w:val="none"/>
        </w:rPr>
      </w:pPr>
    </w:p>
    <w:p w14:paraId="3A631481">
      <w:pPr>
        <w:spacing w:line="360" w:lineRule="auto"/>
        <w:jc w:val="center"/>
        <w:rPr>
          <w:rFonts w:hint="eastAsia" w:ascii="宋体" w:hAnsi="宋体"/>
          <w:b/>
          <w:bCs/>
          <w:color w:val="auto"/>
          <w:sz w:val="32"/>
          <w:szCs w:val="32"/>
          <w:highlight w:val="none"/>
        </w:rPr>
      </w:pPr>
    </w:p>
    <w:p w14:paraId="536730B2">
      <w:pPr>
        <w:spacing w:line="360" w:lineRule="auto"/>
        <w:jc w:val="center"/>
        <w:rPr>
          <w:rFonts w:hint="eastAsia" w:ascii="宋体" w:hAnsi="宋体"/>
          <w:b/>
          <w:bCs/>
          <w:color w:val="auto"/>
          <w:sz w:val="32"/>
          <w:szCs w:val="32"/>
          <w:highlight w:val="none"/>
        </w:rPr>
      </w:pPr>
    </w:p>
    <w:p w14:paraId="0F9652D8">
      <w:pPr>
        <w:spacing w:line="360" w:lineRule="auto"/>
        <w:jc w:val="center"/>
        <w:rPr>
          <w:rFonts w:hint="eastAsia" w:ascii="宋体" w:hAnsi="宋体"/>
          <w:b/>
          <w:bCs/>
          <w:color w:val="auto"/>
          <w:sz w:val="32"/>
          <w:szCs w:val="32"/>
          <w:highlight w:val="none"/>
        </w:rPr>
      </w:pPr>
    </w:p>
    <w:p w14:paraId="72DF17F8">
      <w:pPr>
        <w:spacing w:line="360" w:lineRule="auto"/>
        <w:jc w:val="center"/>
        <w:rPr>
          <w:rFonts w:hint="eastAsia" w:ascii="宋体" w:hAnsi="宋体"/>
          <w:b/>
          <w:bCs/>
          <w:color w:val="auto"/>
          <w:sz w:val="32"/>
          <w:szCs w:val="32"/>
          <w:highlight w:val="none"/>
        </w:rPr>
      </w:pPr>
    </w:p>
    <w:p w14:paraId="77CD31CD">
      <w:pPr>
        <w:spacing w:line="360" w:lineRule="auto"/>
        <w:jc w:val="center"/>
        <w:rPr>
          <w:rFonts w:hint="eastAsia" w:ascii="宋体" w:hAnsi="宋体"/>
          <w:b/>
          <w:bCs/>
          <w:color w:val="auto"/>
          <w:sz w:val="32"/>
          <w:szCs w:val="32"/>
          <w:highlight w:val="none"/>
        </w:rPr>
      </w:pPr>
    </w:p>
    <w:p w14:paraId="5447307F">
      <w:pPr>
        <w:spacing w:line="360" w:lineRule="auto"/>
        <w:jc w:val="center"/>
        <w:rPr>
          <w:rFonts w:hint="eastAsia" w:ascii="宋体" w:hAnsi="宋体"/>
          <w:b/>
          <w:bCs/>
          <w:color w:val="auto"/>
          <w:sz w:val="32"/>
          <w:szCs w:val="32"/>
          <w:highlight w:val="none"/>
        </w:rPr>
      </w:pPr>
    </w:p>
    <w:p w14:paraId="083B86F6">
      <w:pPr>
        <w:spacing w:line="360" w:lineRule="auto"/>
        <w:jc w:val="center"/>
        <w:rPr>
          <w:rFonts w:hint="eastAsia" w:ascii="宋体" w:hAnsi="宋体"/>
          <w:b/>
          <w:bCs/>
          <w:color w:val="auto"/>
          <w:sz w:val="32"/>
          <w:szCs w:val="32"/>
          <w:highlight w:val="none"/>
        </w:rPr>
      </w:pPr>
    </w:p>
    <w:p w14:paraId="08CD36F0">
      <w:pPr>
        <w:spacing w:line="360" w:lineRule="auto"/>
        <w:jc w:val="center"/>
        <w:rPr>
          <w:rFonts w:hint="eastAsia" w:ascii="宋体" w:hAnsi="宋体"/>
          <w:b/>
          <w:bCs/>
          <w:color w:val="auto"/>
          <w:sz w:val="32"/>
          <w:szCs w:val="32"/>
          <w:highlight w:val="none"/>
        </w:rPr>
      </w:pPr>
    </w:p>
    <w:p w14:paraId="28B4DC39">
      <w:pPr>
        <w:spacing w:line="360" w:lineRule="auto"/>
        <w:jc w:val="both"/>
        <w:rPr>
          <w:rFonts w:hint="eastAsia" w:ascii="宋体" w:hAnsi="宋体"/>
          <w:b/>
          <w:bCs/>
          <w:color w:val="auto"/>
          <w:sz w:val="32"/>
          <w:szCs w:val="32"/>
          <w:highlight w:val="none"/>
        </w:rPr>
      </w:pPr>
    </w:p>
    <w:p w14:paraId="10FE7805">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附件9：支付保函示范文本</w:t>
      </w:r>
    </w:p>
    <w:p w14:paraId="0B4FB7AB">
      <w:pPr>
        <w:spacing w:line="360" w:lineRule="auto"/>
        <w:jc w:val="left"/>
        <w:rPr>
          <w:rFonts w:ascii="黑体" w:hAnsi="黑体" w:eastAsia="黑体" w:cs="黑体"/>
          <w:b/>
          <w:bCs/>
          <w:color w:val="auto"/>
          <w:sz w:val="32"/>
          <w:szCs w:val="32"/>
          <w:highlight w:val="none"/>
        </w:rPr>
      </w:pPr>
    </w:p>
    <w:p w14:paraId="08F9D979">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支付保函示范文本</w:t>
      </w:r>
    </w:p>
    <w:p w14:paraId="29181450">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（独立保函）</w:t>
      </w:r>
    </w:p>
    <w:p w14:paraId="266DC422">
      <w:pPr>
        <w:wordWrap w:val="0"/>
        <w:spacing w:line="360" w:lineRule="auto"/>
        <w:jc w:val="right"/>
        <w:rPr>
          <w:rFonts w:ascii="宋体" w:hAnsi="宋体"/>
          <w:color w:val="auto"/>
          <w:highlight w:val="none"/>
        </w:rPr>
      </w:pPr>
      <w:r>
        <w:rPr>
          <w:rFonts w:hint="eastAsia" w:ascii="宋体" w:hAnsi="宋体"/>
          <w:color w:val="auto"/>
          <w:highlight w:val="none"/>
        </w:rPr>
        <w:t xml:space="preserve">编号： </w:t>
      </w:r>
      <w:r>
        <w:rPr>
          <w:rFonts w:ascii="宋体" w:hAnsi="宋体"/>
          <w:color w:val="auto"/>
          <w:highlight w:val="none"/>
        </w:rPr>
        <w:t xml:space="preserve">          </w:t>
      </w:r>
    </w:p>
    <w:p w14:paraId="642F3EA5">
      <w:pPr>
        <w:spacing w:line="360" w:lineRule="auto"/>
        <w:rPr>
          <w:rFonts w:ascii="宋体" w:hAnsi="宋体"/>
          <w:color w:val="auto"/>
          <w:sz w:val="24"/>
          <w:szCs w:val="24"/>
          <w:highlight w:val="none"/>
        </w:rPr>
      </w:pPr>
      <w:r>
        <w:rPr>
          <w:rFonts w:hint="eastAsia" w:ascii="宋体" w:hAnsi="宋体"/>
          <w:color w:val="auto"/>
          <w:sz w:val="24"/>
          <w:szCs w:val="24"/>
          <w:highlight w:val="none"/>
        </w:rPr>
        <w:t>申请人：</w:t>
      </w:r>
    </w:p>
    <w:p w14:paraId="2C9CB424">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地址</w:t>
      </w:r>
      <w:r>
        <w:rPr>
          <w:rFonts w:ascii="宋体" w:hAnsi="宋体"/>
          <w:color w:val="auto"/>
          <w:sz w:val="24"/>
          <w:szCs w:val="24"/>
          <w:highlight w:val="none"/>
        </w:rPr>
        <w:t>：</w:t>
      </w:r>
    </w:p>
    <w:p w14:paraId="5BAE28F0">
      <w:pPr>
        <w:spacing w:line="360" w:lineRule="auto"/>
        <w:rPr>
          <w:rFonts w:ascii="宋体" w:hAnsi="宋体"/>
          <w:color w:val="auto"/>
          <w:sz w:val="24"/>
          <w:szCs w:val="24"/>
          <w:highlight w:val="none"/>
        </w:rPr>
      </w:pPr>
      <w:r>
        <w:rPr>
          <w:rFonts w:hint="eastAsia" w:ascii="宋体" w:hAnsi="宋体"/>
          <w:color w:val="auto"/>
          <w:sz w:val="24"/>
          <w:szCs w:val="24"/>
          <w:highlight w:val="none"/>
        </w:rPr>
        <w:t>受益人：</w:t>
      </w:r>
    </w:p>
    <w:p w14:paraId="25049D75">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地址：</w:t>
      </w:r>
    </w:p>
    <w:p w14:paraId="74CF59F0">
      <w:pPr>
        <w:spacing w:line="360" w:lineRule="auto"/>
        <w:rPr>
          <w:rFonts w:ascii="宋体" w:hAnsi="宋体"/>
          <w:color w:val="auto"/>
          <w:sz w:val="24"/>
          <w:szCs w:val="24"/>
          <w:highlight w:val="none"/>
        </w:rPr>
      </w:pPr>
      <w:r>
        <w:rPr>
          <w:rFonts w:hint="eastAsia" w:ascii="宋体" w:hAnsi="宋体"/>
          <w:color w:val="auto"/>
          <w:sz w:val="24"/>
          <w:szCs w:val="24"/>
          <w:highlight w:val="none"/>
        </w:rPr>
        <w:t>开立人：</w:t>
      </w:r>
    </w:p>
    <w:p w14:paraId="2D6A24CA">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地址：</w:t>
      </w:r>
    </w:p>
    <w:p w14:paraId="3D6CDC6E">
      <w:pPr>
        <w:spacing w:line="360" w:lineRule="auto"/>
        <w:rPr>
          <w:rFonts w:ascii="宋体" w:hAnsi="宋体"/>
          <w:color w:val="auto"/>
          <w:sz w:val="24"/>
          <w:szCs w:val="24"/>
          <w:highlight w:val="none"/>
        </w:rPr>
      </w:pPr>
      <w:r>
        <w:rPr>
          <w:rFonts w:ascii="宋体" w:hAnsi="宋体"/>
          <w:color w:val="auto"/>
          <w:sz w:val="24"/>
          <w:szCs w:val="24"/>
          <w:highlight w:val="none"/>
        </w:rPr>
        <w:t xml:space="preserve"> </w:t>
      </w:r>
    </w:p>
    <w:p w14:paraId="33411D5A">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rPr>
        <w:t>受益人</w:t>
      </w:r>
      <w:r>
        <w:rPr>
          <w:rFonts w:ascii="宋体" w:hAnsi="宋体"/>
          <w:color w:val="auto"/>
          <w:sz w:val="24"/>
          <w:szCs w:val="24"/>
          <w:highlight w:val="none"/>
        </w:rPr>
        <w:t xml:space="preserve">名称）： </w:t>
      </w:r>
    </w:p>
    <w:p w14:paraId="4DAC01B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受益人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申请人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日就</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工程（以下简称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本工程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）施工和有关事项协商一致共同签订</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hint="eastAsia" w:ascii="宋体" w:hAnsi="宋体"/>
          <w:color w:val="auto"/>
          <w:sz w:val="24"/>
          <w:szCs w:val="24"/>
          <w:highlight w:val="none"/>
        </w:rPr>
        <w:t>（以下简称基础合同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），我方（即</w:t>
      </w:r>
      <w:r>
        <w:rPr>
          <w:rFonts w:hint="eastAsia" w:ascii="宋体" w:hAnsi="宋体"/>
          <w:color w:val="auto"/>
          <w:sz w:val="24"/>
          <w:szCs w:val="24"/>
          <w:highlight w:val="none"/>
          <w:lang w:eastAsia="zh-CN"/>
        </w:rPr>
        <w:t>“</w:t>
      </w:r>
      <w:r>
        <w:rPr>
          <w:rFonts w:hint="eastAsia" w:ascii="宋体" w:hAnsi="宋体"/>
          <w:color w:val="auto"/>
          <w:sz w:val="24"/>
          <w:szCs w:val="24"/>
          <w:highlight w:val="none"/>
        </w:rPr>
        <w:t>开立人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）根据基础合同了解到申请人为基础合同项下之发包人，受益人为基础合同项下之承包人，基于申请人</w:t>
      </w:r>
      <w:r>
        <w:rPr>
          <w:rFonts w:ascii="宋体" w:hAnsi="宋体"/>
          <w:color w:val="auto"/>
          <w:sz w:val="24"/>
          <w:szCs w:val="24"/>
          <w:highlight w:val="none"/>
        </w:rPr>
        <w:t>的请求，我方同意就</w:t>
      </w:r>
      <w:r>
        <w:rPr>
          <w:rFonts w:hint="eastAsia" w:ascii="宋体" w:hAnsi="宋体"/>
          <w:color w:val="auto"/>
          <w:sz w:val="24"/>
          <w:szCs w:val="24"/>
          <w:highlight w:val="none"/>
        </w:rPr>
        <w:t>申请人</w:t>
      </w:r>
      <w:r>
        <w:rPr>
          <w:rFonts w:ascii="宋体" w:hAnsi="宋体"/>
          <w:color w:val="auto"/>
          <w:sz w:val="24"/>
          <w:szCs w:val="24"/>
          <w:highlight w:val="none"/>
        </w:rPr>
        <w:t>履行</w:t>
      </w:r>
      <w:r>
        <w:rPr>
          <w:rFonts w:hint="eastAsia" w:ascii="宋体" w:hAnsi="宋体"/>
          <w:color w:val="auto"/>
          <w:sz w:val="24"/>
          <w:szCs w:val="24"/>
          <w:highlight w:val="none"/>
        </w:rPr>
        <w:t>与贵方签订的基础合同</w:t>
      </w:r>
      <w:r>
        <w:rPr>
          <w:rFonts w:ascii="宋体" w:hAnsi="宋体"/>
          <w:color w:val="auto"/>
          <w:sz w:val="24"/>
          <w:szCs w:val="24"/>
          <w:highlight w:val="none"/>
        </w:rPr>
        <w:t>项下的</w:t>
      </w:r>
      <w:r>
        <w:rPr>
          <w:rFonts w:hint="eastAsia" w:ascii="宋体" w:hAnsi="宋体"/>
          <w:color w:val="auto"/>
          <w:sz w:val="24"/>
          <w:szCs w:val="24"/>
          <w:highlight w:val="none"/>
        </w:rPr>
        <w:t>工程款（指基础合同约定的除工程质量保修金以外的工程款）付款</w:t>
      </w:r>
      <w:r>
        <w:rPr>
          <w:rFonts w:ascii="宋体" w:hAnsi="宋体"/>
          <w:color w:val="auto"/>
          <w:sz w:val="24"/>
          <w:szCs w:val="24"/>
          <w:highlight w:val="none"/>
        </w:rPr>
        <w:t>义务</w:t>
      </w:r>
      <w:r>
        <w:rPr>
          <w:rFonts w:hint="eastAsia" w:ascii="宋体" w:hAnsi="宋体"/>
          <w:color w:val="auto"/>
          <w:sz w:val="24"/>
          <w:szCs w:val="24"/>
          <w:highlight w:val="none"/>
        </w:rPr>
        <w:t>，</w:t>
      </w:r>
      <w:r>
        <w:rPr>
          <w:rFonts w:ascii="宋体" w:hAnsi="宋体"/>
          <w:color w:val="auto"/>
          <w:sz w:val="24"/>
          <w:szCs w:val="24"/>
          <w:highlight w:val="none"/>
        </w:rPr>
        <w:t>向贵方提供不可撤销、</w:t>
      </w:r>
      <w:r>
        <w:rPr>
          <w:rFonts w:hint="eastAsia" w:ascii="宋体" w:hAnsi="宋体"/>
          <w:color w:val="auto"/>
          <w:sz w:val="24"/>
          <w:szCs w:val="24"/>
          <w:highlight w:val="none"/>
        </w:rPr>
        <w:t>不可转让的见索即付</w:t>
      </w:r>
      <w:r>
        <w:rPr>
          <w:rFonts w:ascii="宋体" w:hAnsi="宋体"/>
          <w:color w:val="auto"/>
          <w:sz w:val="24"/>
          <w:szCs w:val="24"/>
          <w:highlight w:val="none"/>
        </w:rPr>
        <w:t>独立</w:t>
      </w:r>
      <w:r>
        <w:rPr>
          <w:rFonts w:hint="eastAsia" w:ascii="宋体" w:hAnsi="宋体"/>
          <w:color w:val="auto"/>
          <w:sz w:val="24"/>
          <w:szCs w:val="24"/>
          <w:highlight w:val="none"/>
        </w:rPr>
        <w:t>保函（以下简称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本保函</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6CAF17B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一、本保函担保范围：申请人未履行基础合同约定的工程款支付义务，应当向贵方承担的违约责任和赔偿因此造成的损失、利息、律师费、诉讼费用等实现债权的费用。</w:t>
      </w:r>
    </w:p>
    <w:p w14:paraId="0F2A407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二、本保函担保金额最高不超过</w:t>
      </w: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ascii="宋体" w:hAnsi="宋体"/>
          <w:color w:val="auto"/>
          <w:sz w:val="24"/>
          <w:szCs w:val="24"/>
          <w:highlight w:val="none"/>
        </w:rPr>
        <w:t>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33F6FB6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三、本保函</w:t>
      </w:r>
      <w:r>
        <w:rPr>
          <w:rFonts w:ascii="宋体" w:hAnsi="宋体"/>
          <w:color w:val="auto"/>
          <w:sz w:val="24"/>
          <w:szCs w:val="24"/>
          <w:highlight w:val="none"/>
        </w:rPr>
        <w:t>有效期自</w:t>
      </w:r>
      <w:r>
        <w:rPr>
          <w:rFonts w:hint="eastAsia" w:ascii="宋体" w:hAnsi="宋体"/>
          <w:color w:val="auto"/>
          <w:sz w:val="24"/>
          <w:szCs w:val="24"/>
          <w:highlight w:val="none"/>
        </w:rPr>
        <w:t>开立之日起</w:t>
      </w:r>
      <w:r>
        <w:rPr>
          <w:rFonts w:ascii="宋体" w:hAnsi="宋体"/>
          <w:color w:val="auto"/>
          <w:sz w:val="24"/>
          <w:szCs w:val="24"/>
          <w:highlight w:val="none"/>
        </w:rPr>
        <w:t>至</w:t>
      </w:r>
      <w:r>
        <w:rPr>
          <w:rFonts w:hint="eastAsia" w:ascii="宋体" w:hAnsi="宋体"/>
          <w:color w:val="auto"/>
          <w:sz w:val="24"/>
          <w:szCs w:val="24"/>
          <w:highlight w:val="none"/>
        </w:rPr>
        <w:t>基础合同约定的除工程质量保修金以外的全部工程结算款项支付之日后</w:t>
      </w:r>
      <w:r>
        <w:rPr>
          <w:rFonts w:ascii="宋体" w:hAnsi="宋体"/>
          <w:color w:val="auto"/>
          <w:sz w:val="24"/>
          <w:szCs w:val="24"/>
          <w:highlight w:val="none"/>
          <w:u w:val="single"/>
        </w:rPr>
        <w:t xml:space="preserve">   </w:t>
      </w:r>
      <w:r>
        <w:rPr>
          <w:rFonts w:ascii="宋体" w:hAnsi="宋体"/>
          <w:color w:val="auto"/>
          <w:sz w:val="24"/>
          <w:szCs w:val="24"/>
          <w:highlight w:val="none"/>
        </w:rPr>
        <w:t>日</w:t>
      </w:r>
      <w:r>
        <w:rPr>
          <w:rFonts w:hint="eastAsia" w:ascii="宋体" w:hAnsi="宋体"/>
          <w:color w:val="auto"/>
          <w:sz w:val="24"/>
          <w:szCs w:val="24"/>
          <w:highlight w:val="none"/>
        </w:rPr>
        <w:t>止，最迟不超过</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ascii="宋体" w:hAnsi="宋体"/>
          <w:color w:val="auto"/>
          <w:sz w:val="24"/>
          <w:szCs w:val="24"/>
          <w:highlight w:val="none"/>
        </w:rPr>
        <w:t xml:space="preserve">。 </w:t>
      </w:r>
    </w:p>
    <w:p w14:paraId="2F6BE83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四、我方承诺，在收到受益人发来的书面付款通知后的</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日内无条件支付，前述书面付款通知即为付款要求之单据，且应满足以下要求：</w:t>
      </w:r>
    </w:p>
    <w:p w14:paraId="49318C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（1）付款通知到达的日期在本保函的有效期内；</w:t>
      </w:r>
    </w:p>
    <w:p w14:paraId="6DD5B67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（2）载明要求支付的金额；</w:t>
      </w:r>
    </w:p>
    <w:p w14:paraId="3513A78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（3）载明申请人违反合同义务的条款和内容；</w:t>
      </w:r>
    </w:p>
    <w:p w14:paraId="0755956F">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（4）声明不存在合同文件约定或我国法律规定免除申请人或开立人支付责任的情形；</w:t>
      </w:r>
    </w:p>
    <w:p w14:paraId="78BAFFD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（5）付款通知应在本保函有效期内到达的地址是：</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p>
    <w:p w14:paraId="565216E2">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受益人发出的书面付款通知应由其为鉴明受益人法定代表人（负责人）或授权代理人签字并加盖公章。</w:t>
      </w:r>
    </w:p>
    <w:p w14:paraId="31517E1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五、</w:t>
      </w:r>
      <w:r>
        <w:rPr>
          <w:rFonts w:ascii="宋体" w:hAnsi="宋体"/>
          <w:color w:val="auto"/>
          <w:sz w:val="24"/>
          <w:szCs w:val="24"/>
          <w:highlight w:val="none"/>
        </w:rPr>
        <w:t>本保函项下的权利不得转让，不得设定担保。贵方未经我方书面同意转 让本保函或其项下任何权利，</w:t>
      </w:r>
      <w:r>
        <w:rPr>
          <w:rFonts w:hint="eastAsia" w:ascii="宋体" w:hAnsi="宋体"/>
          <w:color w:val="auto"/>
          <w:sz w:val="24"/>
          <w:szCs w:val="24"/>
          <w:highlight w:val="none"/>
        </w:rPr>
        <w:t>对我方不发生法律效力</w:t>
      </w:r>
      <w:r>
        <w:rPr>
          <w:rFonts w:ascii="宋体" w:hAnsi="宋体"/>
          <w:color w:val="auto"/>
          <w:sz w:val="24"/>
          <w:szCs w:val="24"/>
          <w:highlight w:val="none"/>
        </w:rPr>
        <w:t xml:space="preserve">。 </w:t>
      </w:r>
    </w:p>
    <w:p w14:paraId="547D9F6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六、与</w:t>
      </w:r>
      <w:r>
        <w:rPr>
          <w:rFonts w:ascii="宋体" w:hAnsi="宋体"/>
          <w:color w:val="auto"/>
          <w:sz w:val="24"/>
          <w:szCs w:val="24"/>
          <w:highlight w:val="none"/>
        </w:rPr>
        <w:t>本保函</w:t>
      </w:r>
      <w:r>
        <w:rPr>
          <w:rFonts w:hint="eastAsia" w:ascii="宋体" w:hAnsi="宋体"/>
          <w:color w:val="auto"/>
          <w:sz w:val="24"/>
          <w:szCs w:val="24"/>
          <w:highlight w:val="none"/>
        </w:rPr>
        <w:t>有关</w:t>
      </w:r>
      <w:r>
        <w:rPr>
          <w:rFonts w:ascii="宋体" w:hAnsi="宋体"/>
          <w:color w:val="auto"/>
          <w:sz w:val="24"/>
          <w:szCs w:val="24"/>
          <w:highlight w:val="none"/>
        </w:rPr>
        <w:t>的基础</w:t>
      </w:r>
      <w:r>
        <w:rPr>
          <w:rFonts w:hint="eastAsia" w:ascii="宋体" w:hAnsi="宋体"/>
          <w:color w:val="auto"/>
          <w:sz w:val="24"/>
          <w:szCs w:val="24"/>
          <w:highlight w:val="none"/>
        </w:rPr>
        <w:t>合同</w:t>
      </w:r>
      <w:r>
        <w:rPr>
          <w:rFonts w:ascii="宋体" w:hAnsi="宋体"/>
          <w:color w:val="auto"/>
          <w:sz w:val="24"/>
          <w:szCs w:val="24"/>
          <w:highlight w:val="none"/>
        </w:rPr>
        <w:t xml:space="preserve">不成立、不生效、无效、被撤销、被解除，不影响本保函的独立有效。 </w:t>
      </w:r>
    </w:p>
    <w:p w14:paraId="608D58B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七、</w:t>
      </w:r>
      <w:r>
        <w:rPr>
          <w:rFonts w:ascii="宋体" w:hAnsi="宋体"/>
          <w:color w:val="auto"/>
          <w:sz w:val="24"/>
          <w:szCs w:val="24"/>
          <w:highlight w:val="none"/>
        </w:rPr>
        <w:t>贵方应在本保函到期后的七日内将本保函正本退回我方注销，但是不论贵方是否按此要求将本保函正本退回我方，我方在本保函项下的义务和责任均在保函</w:t>
      </w:r>
      <w:r>
        <w:rPr>
          <w:rFonts w:hint="eastAsia" w:ascii="宋体" w:hAnsi="宋体"/>
          <w:color w:val="auto"/>
          <w:sz w:val="24"/>
          <w:szCs w:val="24"/>
          <w:highlight w:val="none"/>
        </w:rPr>
        <w:t>有效期</w:t>
      </w:r>
      <w:r>
        <w:rPr>
          <w:rFonts w:ascii="宋体" w:hAnsi="宋体"/>
          <w:color w:val="auto"/>
          <w:sz w:val="24"/>
          <w:szCs w:val="24"/>
          <w:highlight w:val="none"/>
        </w:rPr>
        <w:t xml:space="preserve">到期后自动消灭。 </w:t>
      </w:r>
    </w:p>
    <w:p w14:paraId="0EE1AE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八、</w:t>
      </w:r>
      <w:r>
        <w:rPr>
          <w:rFonts w:ascii="宋体" w:hAnsi="宋体"/>
          <w:color w:val="auto"/>
          <w:sz w:val="24"/>
          <w:szCs w:val="24"/>
          <w:highlight w:val="none"/>
        </w:rPr>
        <w:t>本保函</w:t>
      </w:r>
      <w:r>
        <w:rPr>
          <w:rFonts w:hint="eastAsia" w:ascii="宋体" w:hAnsi="宋体"/>
          <w:color w:val="auto"/>
          <w:sz w:val="24"/>
          <w:szCs w:val="24"/>
          <w:highlight w:val="none"/>
        </w:rPr>
        <w:t>适用的法律为中华人民共和国法律，争议裁判管辖地为中华人民共和国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1D80E1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九、</w:t>
      </w:r>
      <w:r>
        <w:rPr>
          <w:rFonts w:ascii="宋体" w:hAnsi="宋体"/>
          <w:color w:val="auto"/>
          <w:sz w:val="24"/>
          <w:szCs w:val="24"/>
          <w:highlight w:val="none"/>
        </w:rPr>
        <w:t>本保函自我方法定代表人</w:t>
      </w:r>
      <w:r>
        <w:rPr>
          <w:rFonts w:hint="eastAsia" w:ascii="宋体" w:hAnsi="宋体"/>
          <w:color w:val="auto"/>
          <w:sz w:val="24"/>
          <w:szCs w:val="24"/>
          <w:highlight w:val="none"/>
        </w:rPr>
        <w:t>或授权代表</w:t>
      </w:r>
      <w:r>
        <w:rPr>
          <w:rFonts w:ascii="宋体" w:hAnsi="宋体"/>
          <w:color w:val="auto"/>
          <w:sz w:val="24"/>
          <w:szCs w:val="24"/>
          <w:highlight w:val="none"/>
        </w:rPr>
        <w:t>签字</w:t>
      </w:r>
      <w:r>
        <w:rPr>
          <w:rFonts w:hint="eastAsia" w:ascii="宋体" w:hAnsi="宋体"/>
          <w:color w:val="auto"/>
          <w:sz w:val="24"/>
          <w:szCs w:val="24"/>
          <w:highlight w:val="none"/>
        </w:rPr>
        <w:t>并</w:t>
      </w:r>
      <w:r>
        <w:rPr>
          <w:rFonts w:ascii="宋体" w:hAnsi="宋体"/>
          <w:color w:val="auto"/>
          <w:sz w:val="24"/>
          <w:szCs w:val="24"/>
          <w:highlight w:val="none"/>
        </w:rPr>
        <w:t xml:space="preserve">加盖公章之日起生效。 </w:t>
      </w:r>
    </w:p>
    <w:p w14:paraId="24E0C0A8">
      <w:pPr>
        <w:spacing w:line="360" w:lineRule="auto"/>
        <w:ind w:firstLine="480" w:firstLineChars="200"/>
        <w:rPr>
          <w:rFonts w:ascii="宋体" w:hAnsi="宋体"/>
          <w:color w:val="auto"/>
          <w:sz w:val="24"/>
          <w:szCs w:val="24"/>
          <w:highlight w:val="none"/>
        </w:rPr>
      </w:pPr>
    </w:p>
    <w:p w14:paraId="684C6029">
      <w:pPr>
        <w:spacing w:line="360" w:lineRule="auto"/>
        <w:ind w:firstLine="480" w:firstLineChars="200"/>
        <w:rPr>
          <w:rFonts w:ascii="宋体" w:hAnsi="宋体"/>
          <w:color w:val="auto"/>
          <w:sz w:val="24"/>
          <w:szCs w:val="24"/>
          <w:highlight w:val="none"/>
        </w:rPr>
      </w:pPr>
    </w:p>
    <w:p w14:paraId="61F3F7C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开 立 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公</w:t>
      </w:r>
      <w:r>
        <w:rPr>
          <w:rFonts w:ascii="宋体" w:hAnsi="宋体"/>
          <w:color w:val="auto"/>
          <w:sz w:val="24"/>
          <w:szCs w:val="24"/>
          <w:highlight w:val="none"/>
        </w:rPr>
        <w:t xml:space="preserve">章） </w:t>
      </w:r>
    </w:p>
    <w:p w14:paraId="598E08E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法定代表人（或授权代表）：</w:t>
      </w:r>
      <w:r>
        <w:rPr>
          <w:rFonts w:ascii="宋体" w:hAnsi="宋体"/>
          <w:color w:val="auto"/>
          <w:sz w:val="24"/>
          <w:szCs w:val="24"/>
          <w:highlight w:val="none"/>
        </w:rPr>
        <w:t xml:space="preserve">               （签字） </w:t>
      </w:r>
    </w:p>
    <w:p w14:paraId="7BE99DF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址：                                       </w:t>
      </w:r>
    </w:p>
    <w:p w14:paraId="099C513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邮政编码：</w:t>
      </w:r>
      <w:r>
        <w:rPr>
          <w:rFonts w:ascii="宋体" w:hAnsi="宋体"/>
          <w:color w:val="auto"/>
          <w:sz w:val="24"/>
          <w:szCs w:val="24"/>
          <w:highlight w:val="none"/>
        </w:rPr>
        <w:t xml:space="preserve">                 </w:t>
      </w:r>
    </w:p>
    <w:p w14:paraId="576F3AD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话：                 </w:t>
      </w:r>
    </w:p>
    <w:p w14:paraId="6E3432A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真：                 </w:t>
      </w:r>
    </w:p>
    <w:p w14:paraId="0D2CF5A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开立时间：</w:t>
      </w:r>
      <w:r>
        <w:rPr>
          <w:rFonts w:ascii="宋体" w:hAnsi="宋体"/>
          <w:color w:val="auto"/>
          <w:sz w:val="24"/>
          <w:szCs w:val="24"/>
          <w:highlight w:val="none"/>
        </w:rPr>
        <w:t xml:space="preserve">      年      月        日</w:t>
      </w:r>
    </w:p>
    <w:p w14:paraId="70BA8E32">
      <w:pPr>
        <w:spacing w:line="360" w:lineRule="auto"/>
        <w:ind w:firstLine="480" w:firstLineChars="200"/>
        <w:rPr>
          <w:rFonts w:ascii="宋体" w:hAnsi="宋体"/>
          <w:color w:val="auto"/>
          <w:sz w:val="24"/>
          <w:szCs w:val="24"/>
          <w:highlight w:val="none"/>
        </w:rPr>
      </w:pPr>
    </w:p>
    <w:p w14:paraId="60E2D10F">
      <w:pPr>
        <w:spacing w:line="360" w:lineRule="auto"/>
        <w:ind w:firstLine="480" w:firstLineChars="200"/>
        <w:rPr>
          <w:rFonts w:ascii="宋体" w:hAnsi="宋体"/>
          <w:color w:val="auto"/>
          <w:sz w:val="24"/>
          <w:szCs w:val="24"/>
          <w:highlight w:val="none"/>
        </w:rPr>
      </w:pPr>
    </w:p>
    <w:p w14:paraId="2A1C9055">
      <w:pPr>
        <w:spacing w:line="360" w:lineRule="auto"/>
        <w:ind w:firstLine="480" w:firstLineChars="200"/>
        <w:rPr>
          <w:rFonts w:ascii="宋体" w:hAnsi="宋体"/>
          <w:color w:val="auto"/>
          <w:sz w:val="24"/>
          <w:szCs w:val="24"/>
          <w:highlight w:val="none"/>
        </w:rPr>
      </w:pPr>
    </w:p>
    <w:p w14:paraId="6C4927B5">
      <w:pPr>
        <w:spacing w:line="360" w:lineRule="auto"/>
        <w:jc w:val="left"/>
        <w:rPr>
          <w:rFonts w:hint="eastAsia" w:ascii="黑体" w:hAnsi="黑体" w:eastAsia="黑体" w:cs="黑体"/>
          <w:b/>
          <w:bCs/>
          <w:color w:val="auto"/>
          <w:sz w:val="32"/>
          <w:szCs w:val="32"/>
          <w:highlight w:val="none"/>
          <w:lang w:eastAsia="zh-CN"/>
        </w:rPr>
      </w:pPr>
      <w:r>
        <w:rPr>
          <w:rFonts w:hint="eastAsia" w:ascii="仿宋_GB2312" w:eastAsia="仿宋_GB2312" w:cs="仿宋_GB2312"/>
          <w:color w:val="auto"/>
          <w:sz w:val="30"/>
          <w:szCs w:val="30"/>
          <w:highlight w:val="none"/>
          <w:lang w:val="en-US" w:eastAsia="zh-CN"/>
        </w:rPr>
        <w:t xml:space="preserve"> </w:t>
      </w:r>
    </w:p>
    <w:p w14:paraId="7A369D9E">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支付保函示范文本</w:t>
      </w:r>
    </w:p>
    <w:p w14:paraId="0610F9C1">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（非独立保函）</w:t>
      </w:r>
    </w:p>
    <w:p w14:paraId="6634ECA9">
      <w:pPr>
        <w:wordWrap w:val="0"/>
        <w:spacing w:line="360" w:lineRule="auto"/>
        <w:jc w:val="right"/>
        <w:rPr>
          <w:rFonts w:ascii="宋体" w:hAnsi="宋体"/>
          <w:color w:val="auto"/>
          <w:highlight w:val="none"/>
        </w:rPr>
      </w:pPr>
      <w:r>
        <w:rPr>
          <w:rFonts w:hint="eastAsia" w:ascii="宋体" w:hAnsi="宋体"/>
          <w:color w:val="auto"/>
          <w:highlight w:val="none"/>
        </w:rPr>
        <w:t xml:space="preserve">编号： </w:t>
      </w:r>
      <w:r>
        <w:rPr>
          <w:rFonts w:ascii="宋体" w:hAnsi="宋体"/>
          <w:color w:val="auto"/>
          <w:highlight w:val="none"/>
        </w:rPr>
        <w:t xml:space="preserve">     </w:t>
      </w:r>
    </w:p>
    <w:p w14:paraId="7E9A51F4">
      <w:pPr>
        <w:wordWrap w:val="0"/>
        <w:spacing w:line="360" w:lineRule="auto"/>
        <w:jc w:val="right"/>
        <w:rPr>
          <w:rFonts w:ascii="宋体" w:hAnsi="宋体"/>
          <w:color w:val="auto"/>
          <w:highlight w:val="none"/>
        </w:rPr>
      </w:pPr>
      <w:r>
        <w:rPr>
          <w:rFonts w:ascii="宋体" w:hAnsi="宋体"/>
          <w:color w:val="auto"/>
          <w:highlight w:val="none"/>
        </w:rPr>
        <w:t xml:space="preserve">     </w:t>
      </w:r>
    </w:p>
    <w:p w14:paraId="36884B4C">
      <w:pPr>
        <w:spacing w:line="360" w:lineRule="auto"/>
        <w:rPr>
          <w:rFonts w:ascii="宋体" w:hAnsi="宋体"/>
          <w:color w:val="auto"/>
          <w:sz w:val="24"/>
          <w:szCs w:val="24"/>
          <w:highlight w:val="none"/>
        </w:rPr>
      </w:pPr>
      <w:r>
        <w:rPr>
          <w:rFonts w:hint="eastAsia" w:ascii="宋体" w:hAnsi="宋体"/>
          <w:color w:val="auto"/>
          <w:sz w:val="24"/>
          <w:szCs w:val="24"/>
          <w:highlight w:val="none"/>
        </w:rPr>
        <w:t>发包人：</w:t>
      </w:r>
    </w:p>
    <w:p w14:paraId="0C39BDDA">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r>
        <w:rPr>
          <w:rFonts w:ascii="宋体" w:hAnsi="宋体"/>
          <w:color w:val="auto"/>
          <w:sz w:val="24"/>
          <w:szCs w:val="24"/>
          <w:highlight w:val="none"/>
        </w:rPr>
        <w:t>：</w:t>
      </w:r>
    </w:p>
    <w:p w14:paraId="75863BBE">
      <w:pPr>
        <w:spacing w:line="360" w:lineRule="auto"/>
        <w:rPr>
          <w:rFonts w:ascii="宋体" w:hAnsi="宋体"/>
          <w:color w:val="auto"/>
          <w:sz w:val="24"/>
          <w:szCs w:val="24"/>
          <w:highlight w:val="none"/>
        </w:rPr>
      </w:pPr>
      <w:r>
        <w:rPr>
          <w:rFonts w:hint="eastAsia" w:ascii="宋体" w:hAnsi="宋体"/>
          <w:color w:val="auto"/>
          <w:sz w:val="24"/>
          <w:szCs w:val="24"/>
          <w:highlight w:val="none"/>
        </w:rPr>
        <w:t>担保权人/承包人：</w:t>
      </w:r>
      <w:r>
        <w:rPr>
          <w:rFonts w:ascii="宋体" w:hAnsi="宋体"/>
          <w:color w:val="auto"/>
          <w:sz w:val="24"/>
          <w:szCs w:val="24"/>
          <w:highlight w:val="none"/>
        </w:rPr>
        <w:t xml:space="preserve"> </w:t>
      </w:r>
    </w:p>
    <w:p w14:paraId="2FE68F48">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p w14:paraId="276A425E">
      <w:pPr>
        <w:spacing w:line="360" w:lineRule="auto"/>
        <w:rPr>
          <w:rFonts w:ascii="宋体" w:hAnsi="宋体"/>
          <w:color w:val="auto"/>
          <w:sz w:val="24"/>
          <w:szCs w:val="24"/>
          <w:highlight w:val="none"/>
        </w:rPr>
      </w:pPr>
      <w:r>
        <w:rPr>
          <w:rFonts w:hint="eastAsia" w:ascii="宋体" w:hAnsi="宋体"/>
          <w:color w:val="auto"/>
          <w:sz w:val="24"/>
          <w:szCs w:val="24"/>
          <w:highlight w:val="none"/>
        </w:rPr>
        <w:t>保证人：</w:t>
      </w:r>
    </w:p>
    <w:p w14:paraId="68C6BCAA">
      <w:pPr>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p w14:paraId="43668831">
      <w:pPr>
        <w:spacing w:line="360" w:lineRule="auto"/>
        <w:rPr>
          <w:rFonts w:ascii="宋体" w:hAnsi="宋体"/>
          <w:color w:val="auto"/>
          <w:sz w:val="24"/>
          <w:szCs w:val="24"/>
          <w:highlight w:val="none"/>
        </w:rPr>
      </w:pPr>
    </w:p>
    <w:p w14:paraId="57CEC3AB">
      <w:pPr>
        <w:spacing w:line="360" w:lineRule="auto"/>
        <w:rPr>
          <w:rFonts w:ascii="宋体" w:hAnsi="宋体"/>
          <w:color w:val="auto"/>
          <w:sz w:val="24"/>
          <w:szCs w:val="24"/>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w:t>
      </w:r>
      <w:r>
        <w:rPr>
          <w:rFonts w:hint="eastAsia" w:ascii="宋体" w:hAnsi="宋体"/>
          <w:color w:val="auto"/>
          <w:sz w:val="24"/>
          <w:szCs w:val="24"/>
          <w:highlight w:val="none"/>
        </w:rPr>
        <w:t>承包人</w:t>
      </w:r>
      <w:r>
        <w:rPr>
          <w:rFonts w:ascii="宋体" w:hAnsi="宋体"/>
          <w:color w:val="auto"/>
          <w:sz w:val="24"/>
          <w:szCs w:val="24"/>
          <w:highlight w:val="none"/>
        </w:rPr>
        <w:t xml:space="preserve">名称）： </w:t>
      </w:r>
    </w:p>
    <w:p w14:paraId="3C78CE9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鉴于</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发包人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承包人</w:t>
      </w:r>
      <w:r>
        <w:rPr>
          <w:rFonts w:hint="eastAsia" w:ascii="宋体" w:hAnsi="宋体"/>
          <w:color w:val="auto"/>
          <w:sz w:val="24"/>
          <w:szCs w:val="24"/>
          <w:highlight w:val="none"/>
          <w:lang w:eastAsia="zh-CN"/>
        </w:rPr>
        <w:t>”</w:t>
      </w:r>
      <w:r>
        <w:rPr>
          <w:rFonts w:ascii="宋体" w:hAnsi="宋体"/>
          <w:color w:val="auto"/>
          <w:sz w:val="24"/>
          <w:szCs w:val="24"/>
          <w:highlight w:val="none"/>
        </w:rPr>
        <w:t>）</w:t>
      </w:r>
      <w:r>
        <w:rPr>
          <w:rFonts w:hint="eastAsia" w:ascii="宋体" w:hAnsi="宋体"/>
          <w:color w:val="auto"/>
          <w:sz w:val="24"/>
          <w:szCs w:val="24"/>
          <w:highlight w:val="none"/>
        </w:rPr>
        <w:t>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日就</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工程（以下简称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本工程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）施工和有关事项协商一致共同签订</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w:t>
      </w:r>
      <w:r>
        <w:rPr>
          <w:rFonts w:hint="eastAsia" w:ascii="宋体" w:hAnsi="宋体"/>
          <w:color w:val="auto"/>
          <w:sz w:val="24"/>
          <w:szCs w:val="24"/>
          <w:highlight w:val="none"/>
        </w:rPr>
        <w:t>（以下简称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主合同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），我方即保证人基于发包人</w:t>
      </w:r>
      <w:r>
        <w:rPr>
          <w:rFonts w:ascii="宋体" w:hAnsi="宋体"/>
          <w:color w:val="auto"/>
          <w:sz w:val="24"/>
          <w:szCs w:val="24"/>
          <w:highlight w:val="none"/>
        </w:rPr>
        <w:t>的请求，同意就</w:t>
      </w:r>
      <w:r>
        <w:rPr>
          <w:rFonts w:hint="eastAsia" w:ascii="宋体" w:hAnsi="宋体"/>
          <w:color w:val="auto"/>
          <w:sz w:val="24"/>
          <w:szCs w:val="24"/>
          <w:highlight w:val="none"/>
        </w:rPr>
        <w:t>发包人</w:t>
      </w:r>
      <w:r>
        <w:rPr>
          <w:rFonts w:ascii="宋体" w:hAnsi="宋体"/>
          <w:color w:val="auto"/>
          <w:sz w:val="24"/>
          <w:szCs w:val="24"/>
          <w:highlight w:val="none"/>
        </w:rPr>
        <w:t>履行</w:t>
      </w:r>
      <w:r>
        <w:rPr>
          <w:rFonts w:hint="eastAsia" w:ascii="宋体" w:hAnsi="宋体"/>
          <w:color w:val="auto"/>
          <w:sz w:val="24"/>
          <w:szCs w:val="24"/>
          <w:highlight w:val="none"/>
        </w:rPr>
        <w:t>与贵方签订的主合同</w:t>
      </w:r>
      <w:r>
        <w:rPr>
          <w:rFonts w:ascii="宋体" w:hAnsi="宋体"/>
          <w:color w:val="auto"/>
          <w:sz w:val="24"/>
          <w:szCs w:val="24"/>
          <w:highlight w:val="none"/>
        </w:rPr>
        <w:t>项下的</w:t>
      </w:r>
      <w:r>
        <w:rPr>
          <w:rFonts w:hint="eastAsia" w:ascii="宋体" w:hAnsi="宋体"/>
          <w:color w:val="auto"/>
          <w:sz w:val="24"/>
          <w:szCs w:val="24"/>
          <w:highlight w:val="none"/>
        </w:rPr>
        <w:t>工程款（指主合同约定的除工程质量保修金以外的全部工程结算款项）付款</w:t>
      </w:r>
      <w:r>
        <w:rPr>
          <w:rFonts w:ascii="宋体" w:hAnsi="宋体"/>
          <w:color w:val="auto"/>
          <w:sz w:val="24"/>
          <w:szCs w:val="24"/>
          <w:highlight w:val="none"/>
        </w:rPr>
        <w:t>义务</w:t>
      </w:r>
      <w:r>
        <w:rPr>
          <w:rFonts w:hint="eastAsia" w:ascii="宋体" w:hAnsi="宋体"/>
          <w:color w:val="auto"/>
          <w:sz w:val="24"/>
          <w:szCs w:val="24"/>
          <w:highlight w:val="none"/>
        </w:rPr>
        <w:t>，</w:t>
      </w:r>
      <w:r>
        <w:rPr>
          <w:rFonts w:ascii="宋体" w:hAnsi="宋体"/>
          <w:color w:val="auto"/>
          <w:sz w:val="24"/>
          <w:szCs w:val="24"/>
          <w:highlight w:val="none"/>
        </w:rPr>
        <w:t>向贵方提供</w:t>
      </w:r>
      <w:r>
        <w:rPr>
          <w:rFonts w:hint="eastAsia" w:ascii="宋体" w:hAnsi="宋体"/>
          <w:color w:val="auto"/>
          <w:sz w:val="24"/>
          <w:szCs w:val="24"/>
          <w:highlight w:val="none"/>
        </w:rPr>
        <w:t>如下保证担保（以下简称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本保证担保</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145C5376">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一、保证担保的范围及保证担保金额</w:t>
      </w:r>
    </w:p>
    <w:p w14:paraId="746474F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w:t>
      </w:r>
      <w:r>
        <w:rPr>
          <w:rFonts w:hint="eastAsia" w:ascii="宋体" w:hAnsi="宋体"/>
          <w:color w:val="auto"/>
          <w:sz w:val="24"/>
          <w:szCs w:val="24"/>
          <w:highlight w:val="none"/>
        </w:rPr>
        <w:t>保证担保范围：申请人未履行主合同约定的工程款支付义务，应当向贵方承担的违约责任和赔偿因此造成的损失、利息、律师费、诉讼费用等实现债权的费用。</w:t>
      </w:r>
    </w:p>
    <w:p w14:paraId="3251B17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保证担保金额最高不超过</w:t>
      </w:r>
      <w:r>
        <w:rPr>
          <w:rFonts w:ascii="宋体" w:hAnsi="宋体"/>
          <w:color w:val="auto"/>
          <w:sz w:val="24"/>
          <w:szCs w:val="24"/>
          <w:highlight w:val="none"/>
        </w:rPr>
        <w:t>人民币（大写）</w:t>
      </w:r>
      <w:r>
        <w:rPr>
          <w:rFonts w:ascii="宋体" w:hAnsi="宋体"/>
          <w:color w:val="auto"/>
          <w:sz w:val="24"/>
          <w:szCs w:val="24"/>
          <w:highlight w:val="none"/>
          <w:u w:val="single"/>
        </w:rPr>
        <w:t xml:space="preserve">          </w:t>
      </w:r>
      <w:r>
        <w:rPr>
          <w:rFonts w:ascii="宋体" w:hAnsi="宋体"/>
          <w:color w:val="auto"/>
          <w:sz w:val="24"/>
          <w:szCs w:val="24"/>
          <w:highlight w:val="none"/>
        </w:rPr>
        <w:t>元（¥</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p>
    <w:p w14:paraId="25E58A2D">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二、保证担保的方式及保证期间</w:t>
      </w:r>
      <w:r>
        <w:rPr>
          <w:rFonts w:ascii="宋体" w:hAnsi="宋体"/>
          <w:b/>
          <w:bCs/>
          <w:color w:val="auto"/>
          <w:sz w:val="24"/>
          <w:szCs w:val="24"/>
          <w:highlight w:val="none"/>
        </w:rPr>
        <w:t xml:space="preserve"> </w:t>
      </w:r>
    </w:p>
    <w:p w14:paraId="5336B58C">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1.保证担保方式：连带责任保证。</w:t>
      </w:r>
    </w:p>
    <w:p w14:paraId="3AC9161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保证期间：</w:t>
      </w:r>
      <w:r>
        <w:rPr>
          <w:rFonts w:ascii="宋体" w:hAnsi="宋体"/>
          <w:color w:val="auto"/>
          <w:sz w:val="24"/>
          <w:szCs w:val="24"/>
          <w:highlight w:val="none"/>
        </w:rPr>
        <w:t>自</w:t>
      </w:r>
      <w:r>
        <w:rPr>
          <w:rFonts w:hint="eastAsia" w:ascii="宋体" w:hAnsi="宋体"/>
          <w:color w:val="auto"/>
          <w:sz w:val="24"/>
          <w:szCs w:val="24"/>
          <w:highlight w:val="none"/>
        </w:rPr>
        <w:t>出具之日起</w:t>
      </w:r>
      <w:r>
        <w:rPr>
          <w:rFonts w:ascii="宋体" w:hAnsi="宋体"/>
          <w:color w:val="auto"/>
          <w:sz w:val="24"/>
          <w:szCs w:val="24"/>
          <w:highlight w:val="none"/>
        </w:rPr>
        <w:t>至</w:t>
      </w:r>
      <w:r>
        <w:rPr>
          <w:rFonts w:hint="eastAsia" w:ascii="宋体" w:hAnsi="宋体"/>
          <w:color w:val="auto"/>
          <w:sz w:val="24"/>
          <w:szCs w:val="24"/>
          <w:highlight w:val="none"/>
        </w:rPr>
        <w:t>主合同约定的除工程质量保修金以外的工程款支付之日后</w:t>
      </w:r>
      <w:r>
        <w:rPr>
          <w:rFonts w:ascii="宋体" w:hAnsi="宋体"/>
          <w:color w:val="auto"/>
          <w:sz w:val="24"/>
          <w:szCs w:val="24"/>
          <w:highlight w:val="none"/>
          <w:u w:val="single"/>
        </w:rPr>
        <w:t xml:space="preserve">   </w:t>
      </w:r>
      <w:r>
        <w:rPr>
          <w:rFonts w:ascii="宋体" w:hAnsi="宋体"/>
          <w:color w:val="auto"/>
          <w:sz w:val="24"/>
          <w:szCs w:val="24"/>
          <w:highlight w:val="none"/>
        </w:rPr>
        <w:t>日</w:t>
      </w:r>
      <w:r>
        <w:rPr>
          <w:rFonts w:hint="eastAsia" w:ascii="宋体" w:hAnsi="宋体"/>
          <w:color w:val="auto"/>
          <w:sz w:val="24"/>
          <w:szCs w:val="24"/>
          <w:highlight w:val="none"/>
        </w:rPr>
        <w:t>止，最迟不超过</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ascii="宋体" w:hAnsi="宋体"/>
          <w:color w:val="auto"/>
          <w:sz w:val="24"/>
          <w:szCs w:val="24"/>
          <w:highlight w:val="none"/>
        </w:rPr>
        <w:t xml:space="preserve">。 </w:t>
      </w:r>
    </w:p>
    <w:p w14:paraId="67DB4820">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三、承担保证担保责任的形式</w:t>
      </w:r>
    </w:p>
    <w:p w14:paraId="508F83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发包人未按合同约定向贵方支付主合同项下工程款的，由我方在保证金额内代为支付，并赔偿因此给贵方造成的损失，以及利息和律师费、诉讼费用等实现债权的费用。</w:t>
      </w:r>
    </w:p>
    <w:p w14:paraId="09FE2ABF">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四、代偿的安排</w:t>
      </w:r>
      <w:r>
        <w:rPr>
          <w:rFonts w:ascii="宋体" w:hAnsi="宋体"/>
          <w:b/>
          <w:bCs/>
          <w:color w:val="auto"/>
          <w:sz w:val="24"/>
          <w:szCs w:val="24"/>
          <w:highlight w:val="none"/>
        </w:rPr>
        <w:t xml:space="preserve"> </w:t>
      </w:r>
    </w:p>
    <w:p w14:paraId="6890580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1.贵方要求我方承担保证责任的，应向我方发出书面索赔通知及发包人未支付主合同约定工程款的证明材料。索赔通知应写明要求索赔的金额，支付款项应到达的</w:t>
      </w:r>
      <w:r>
        <w:rPr>
          <w:rFonts w:hint="eastAsia" w:ascii="宋体" w:hAnsi="宋体"/>
          <w:color w:val="auto"/>
          <w:sz w:val="24"/>
          <w:szCs w:val="24"/>
          <w:highlight w:val="none"/>
          <w:lang w:eastAsia="zh-CN"/>
        </w:rPr>
        <w:t>账</w:t>
      </w:r>
      <w:r>
        <w:rPr>
          <w:rFonts w:hint="eastAsia" w:ascii="宋体" w:hAnsi="宋体"/>
          <w:color w:val="auto"/>
          <w:sz w:val="24"/>
          <w:szCs w:val="24"/>
          <w:highlight w:val="none"/>
        </w:rPr>
        <w:t>号。</w:t>
      </w:r>
    </w:p>
    <w:p w14:paraId="6F1411F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在出现贵方与发包人因工程质量发生争议，发包人拒绝向贵方支付工程款的情形时，贵方要求我方履行保证责任代为支付的，还需提供项目总监理工程师、监理单位或符合相应条件要求的工程质量检测机构出具的质量说明材料。</w:t>
      </w:r>
    </w:p>
    <w:p w14:paraId="5F68F40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3.我方收到贵方的书面索赔通知及相应证明材料后，在</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工作日内进行核定后按照本保函的承诺承担保证责任。</w:t>
      </w:r>
    </w:p>
    <w:p w14:paraId="1CB7BA77">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五、保证担保责任的解除</w:t>
      </w:r>
      <w:r>
        <w:rPr>
          <w:rFonts w:ascii="宋体" w:hAnsi="宋体"/>
          <w:b/>
          <w:bCs/>
          <w:color w:val="auto"/>
          <w:sz w:val="24"/>
          <w:szCs w:val="24"/>
          <w:highlight w:val="none"/>
        </w:rPr>
        <w:t xml:space="preserve"> </w:t>
      </w:r>
    </w:p>
    <w:p w14:paraId="0E24701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 xml:space="preserve">保证期间届满贵方未向我方书面主张保证责任的，自保证期间届满次日起，我方解除保证责任。 </w:t>
      </w:r>
    </w:p>
    <w:p w14:paraId="36F0CAD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我方按照本</w:t>
      </w:r>
      <w:r>
        <w:rPr>
          <w:rFonts w:hint="eastAsia" w:ascii="宋体" w:hAnsi="宋体"/>
          <w:color w:val="auto"/>
          <w:sz w:val="24"/>
          <w:szCs w:val="24"/>
          <w:highlight w:val="none"/>
        </w:rPr>
        <w:t>保证担保</w:t>
      </w:r>
      <w:r>
        <w:rPr>
          <w:rFonts w:ascii="宋体" w:hAnsi="宋体"/>
          <w:color w:val="auto"/>
          <w:sz w:val="24"/>
          <w:szCs w:val="24"/>
          <w:highlight w:val="none"/>
        </w:rPr>
        <w:t>向贵方履行了</w:t>
      </w:r>
      <w:r>
        <w:rPr>
          <w:rFonts w:hint="eastAsia" w:ascii="宋体" w:hAnsi="宋体"/>
          <w:color w:val="auto"/>
          <w:sz w:val="24"/>
          <w:szCs w:val="24"/>
          <w:highlight w:val="none"/>
        </w:rPr>
        <w:t>保证担保责任</w:t>
      </w:r>
      <w:r>
        <w:rPr>
          <w:rFonts w:ascii="宋体" w:hAnsi="宋体"/>
          <w:color w:val="auto"/>
          <w:sz w:val="24"/>
          <w:szCs w:val="24"/>
          <w:highlight w:val="none"/>
        </w:rPr>
        <w:t>后，自我方向贵方支付</w:t>
      </w:r>
      <w:r>
        <w:rPr>
          <w:rFonts w:hint="eastAsia" w:ascii="宋体" w:hAnsi="宋体"/>
          <w:color w:val="auto"/>
          <w:sz w:val="24"/>
          <w:szCs w:val="24"/>
          <w:highlight w:val="none"/>
        </w:rPr>
        <w:t>的金额达到最高保证担保金额</w:t>
      </w:r>
      <w:r>
        <w:rPr>
          <w:rFonts w:ascii="宋体" w:hAnsi="宋体"/>
          <w:color w:val="auto"/>
          <w:sz w:val="24"/>
          <w:szCs w:val="24"/>
          <w:highlight w:val="none"/>
        </w:rPr>
        <w:t>之日起，</w:t>
      </w:r>
      <w:r>
        <w:rPr>
          <w:rFonts w:hint="eastAsia" w:ascii="宋体" w:hAnsi="宋体"/>
          <w:color w:val="auto"/>
          <w:sz w:val="24"/>
          <w:szCs w:val="24"/>
          <w:highlight w:val="none"/>
        </w:rPr>
        <w:t>保证担保责任</w:t>
      </w:r>
      <w:r>
        <w:rPr>
          <w:rFonts w:ascii="宋体" w:hAnsi="宋体"/>
          <w:color w:val="auto"/>
          <w:sz w:val="24"/>
          <w:szCs w:val="24"/>
          <w:highlight w:val="none"/>
        </w:rPr>
        <w:t xml:space="preserve">解除。 </w:t>
      </w:r>
    </w:p>
    <w:p w14:paraId="3074472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按照法律法规的规定应解除我方保证</w:t>
      </w:r>
      <w:r>
        <w:rPr>
          <w:rFonts w:hint="eastAsia" w:ascii="宋体" w:hAnsi="宋体"/>
          <w:color w:val="auto"/>
          <w:sz w:val="24"/>
          <w:szCs w:val="24"/>
          <w:highlight w:val="none"/>
        </w:rPr>
        <w:t>担保</w:t>
      </w:r>
      <w:r>
        <w:rPr>
          <w:rFonts w:ascii="宋体" w:hAnsi="宋体"/>
          <w:color w:val="auto"/>
          <w:sz w:val="24"/>
          <w:szCs w:val="24"/>
          <w:highlight w:val="none"/>
        </w:rPr>
        <w:t>责任的其它情形的，我方在本保证担保项下的保证</w:t>
      </w:r>
      <w:r>
        <w:rPr>
          <w:rFonts w:hint="eastAsia" w:ascii="宋体" w:hAnsi="宋体"/>
          <w:color w:val="auto"/>
          <w:sz w:val="24"/>
          <w:szCs w:val="24"/>
          <w:highlight w:val="none"/>
        </w:rPr>
        <w:t>担保</w:t>
      </w:r>
      <w:r>
        <w:rPr>
          <w:rFonts w:ascii="宋体" w:hAnsi="宋体"/>
          <w:color w:val="auto"/>
          <w:sz w:val="24"/>
          <w:szCs w:val="24"/>
          <w:highlight w:val="none"/>
        </w:rPr>
        <w:t xml:space="preserve">责任亦解除。 </w:t>
      </w:r>
    </w:p>
    <w:p w14:paraId="20F71F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4.我方解除保证责任后，贵方应按上述约定，自我方保证担保责任解除之日起七</w:t>
      </w:r>
      <w:r>
        <w:rPr>
          <w:rFonts w:ascii="宋体" w:hAnsi="宋体"/>
          <w:color w:val="auto"/>
          <w:sz w:val="24"/>
          <w:szCs w:val="24"/>
          <w:highlight w:val="none"/>
        </w:rPr>
        <w:t>日内，将本保证担保原件返还我方。但是不论贵方是否按此要求将本保证担保</w:t>
      </w:r>
      <w:r>
        <w:rPr>
          <w:rFonts w:hint="eastAsia" w:ascii="宋体" w:hAnsi="宋体"/>
          <w:color w:val="auto"/>
          <w:sz w:val="24"/>
          <w:szCs w:val="24"/>
          <w:highlight w:val="none"/>
        </w:rPr>
        <w:t>原件</w:t>
      </w:r>
      <w:r>
        <w:rPr>
          <w:rFonts w:ascii="宋体" w:hAnsi="宋体"/>
          <w:color w:val="auto"/>
          <w:sz w:val="24"/>
          <w:szCs w:val="24"/>
          <w:highlight w:val="none"/>
        </w:rPr>
        <w:t>退回我方，我方在本保证担保项下的义务和责任均</w:t>
      </w:r>
      <w:r>
        <w:rPr>
          <w:rFonts w:hint="eastAsia" w:ascii="宋体" w:hAnsi="宋体"/>
          <w:color w:val="auto"/>
          <w:sz w:val="24"/>
          <w:szCs w:val="24"/>
          <w:highlight w:val="none"/>
        </w:rPr>
        <w:t>自保证担保责任解除之日</w:t>
      </w:r>
      <w:r>
        <w:rPr>
          <w:rFonts w:ascii="宋体" w:hAnsi="宋体"/>
          <w:color w:val="auto"/>
          <w:sz w:val="24"/>
          <w:szCs w:val="24"/>
          <w:highlight w:val="none"/>
        </w:rPr>
        <w:t>自动消灭。</w:t>
      </w:r>
    </w:p>
    <w:p w14:paraId="77280C72">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六、免责条款</w:t>
      </w:r>
      <w:r>
        <w:rPr>
          <w:rFonts w:ascii="宋体" w:hAnsi="宋体"/>
          <w:b/>
          <w:bCs/>
          <w:color w:val="auto"/>
          <w:sz w:val="24"/>
          <w:szCs w:val="24"/>
          <w:highlight w:val="none"/>
        </w:rPr>
        <w:t xml:space="preserve"> </w:t>
      </w:r>
    </w:p>
    <w:p w14:paraId="2BCB6C6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因贵方</w:t>
      </w:r>
      <w:r>
        <w:rPr>
          <w:rFonts w:hint="eastAsia" w:ascii="宋体" w:hAnsi="宋体"/>
          <w:color w:val="auto"/>
          <w:sz w:val="24"/>
          <w:szCs w:val="24"/>
          <w:highlight w:val="none"/>
        </w:rPr>
        <w:t>原因</w:t>
      </w:r>
      <w:r>
        <w:rPr>
          <w:rFonts w:ascii="宋体" w:hAnsi="宋体"/>
          <w:color w:val="auto"/>
          <w:sz w:val="24"/>
          <w:szCs w:val="24"/>
          <w:highlight w:val="none"/>
        </w:rPr>
        <w:t>致使</w:t>
      </w:r>
      <w:r>
        <w:rPr>
          <w:rFonts w:hint="eastAsia" w:ascii="宋体" w:hAnsi="宋体"/>
          <w:color w:val="auto"/>
          <w:sz w:val="24"/>
          <w:szCs w:val="24"/>
          <w:highlight w:val="none"/>
        </w:rPr>
        <w:t>发包人未履行主合同项下工程款付款义务的</w:t>
      </w:r>
      <w:r>
        <w:rPr>
          <w:rFonts w:ascii="宋体" w:hAnsi="宋体"/>
          <w:color w:val="auto"/>
          <w:sz w:val="24"/>
          <w:szCs w:val="24"/>
          <w:highlight w:val="none"/>
        </w:rPr>
        <w:t>，我方不承担保证</w:t>
      </w:r>
      <w:r>
        <w:rPr>
          <w:rFonts w:hint="eastAsia" w:ascii="宋体" w:hAnsi="宋体"/>
          <w:color w:val="auto"/>
          <w:sz w:val="24"/>
          <w:szCs w:val="24"/>
          <w:highlight w:val="none"/>
        </w:rPr>
        <w:t>担保</w:t>
      </w:r>
      <w:r>
        <w:rPr>
          <w:rFonts w:ascii="宋体" w:hAnsi="宋体"/>
          <w:color w:val="auto"/>
          <w:sz w:val="24"/>
          <w:szCs w:val="24"/>
          <w:highlight w:val="none"/>
        </w:rPr>
        <w:t xml:space="preserve">责任。 </w:t>
      </w:r>
    </w:p>
    <w:p w14:paraId="323E1BA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依照法律规定或贵方与</w:t>
      </w:r>
      <w:r>
        <w:rPr>
          <w:rFonts w:hint="eastAsia" w:ascii="宋体" w:hAnsi="宋体"/>
          <w:color w:val="auto"/>
          <w:sz w:val="24"/>
          <w:szCs w:val="24"/>
          <w:highlight w:val="none"/>
        </w:rPr>
        <w:t>发包</w:t>
      </w:r>
      <w:r>
        <w:rPr>
          <w:rFonts w:ascii="宋体" w:hAnsi="宋体"/>
          <w:color w:val="auto"/>
          <w:sz w:val="24"/>
          <w:szCs w:val="24"/>
          <w:highlight w:val="none"/>
        </w:rPr>
        <w:t>人的另行约定，免除</w:t>
      </w:r>
      <w:r>
        <w:rPr>
          <w:rFonts w:hint="eastAsia" w:ascii="宋体" w:hAnsi="宋体"/>
          <w:color w:val="auto"/>
          <w:sz w:val="24"/>
          <w:szCs w:val="24"/>
          <w:highlight w:val="none"/>
        </w:rPr>
        <w:t>发包</w:t>
      </w:r>
      <w:r>
        <w:rPr>
          <w:rFonts w:ascii="宋体" w:hAnsi="宋体"/>
          <w:color w:val="auto"/>
          <w:sz w:val="24"/>
          <w:szCs w:val="24"/>
          <w:highlight w:val="none"/>
        </w:rPr>
        <w:t>人部分或全部义务的，我方亦免除其相应的保证</w:t>
      </w:r>
      <w:r>
        <w:rPr>
          <w:rFonts w:hint="eastAsia" w:ascii="宋体" w:hAnsi="宋体"/>
          <w:color w:val="auto"/>
          <w:sz w:val="24"/>
          <w:szCs w:val="24"/>
          <w:highlight w:val="none"/>
        </w:rPr>
        <w:t>担保</w:t>
      </w:r>
      <w:r>
        <w:rPr>
          <w:rFonts w:ascii="宋体" w:hAnsi="宋体"/>
          <w:color w:val="auto"/>
          <w:sz w:val="24"/>
          <w:szCs w:val="24"/>
          <w:highlight w:val="none"/>
        </w:rPr>
        <w:t xml:space="preserve">责任。 </w:t>
      </w:r>
    </w:p>
    <w:p w14:paraId="08AA994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因不可抗力造成</w:t>
      </w:r>
      <w:r>
        <w:rPr>
          <w:rFonts w:hint="eastAsia" w:ascii="宋体" w:hAnsi="宋体"/>
          <w:color w:val="auto"/>
          <w:sz w:val="24"/>
          <w:szCs w:val="24"/>
          <w:highlight w:val="none"/>
        </w:rPr>
        <w:t>发包</w:t>
      </w:r>
      <w:r>
        <w:rPr>
          <w:rFonts w:ascii="宋体" w:hAnsi="宋体"/>
          <w:color w:val="auto"/>
          <w:sz w:val="24"/>
          <w:szCs w:val="24"/>
          <w:highlight w:val="none"/>
        </w:rPr>
        <w:t>人</w:t>
      </w:r>
      <w:r>
        <w:rPr>
          <w:rFonts w:hint="eastAsia" w:ascii="宋体" w:hAnsi="宋体"/>
          <w:color w:val="auto"/>
          <w:sz w:val="24"/>
          <w:szCs w:val="24"/>
          <w:highlight w:val="none"/>
        </w:rPr>
        <w:t>未履行主合同项下工程款付款义务的</w:t>
      </w:r>
      <w:r>
        <w:rPr>
          <w:rFonts w:ascii="宋体" w:hAnsi="宋体"/>
          <w:color w:val="auto"/>
          <w:sz w:val="24"/>
          <w:szCs w:val="24"/>
          <w:highlight w:val="none"/>
        </w:rPr>
        <w:t>，我方不承担保证</w:t>
      </w:r>
      <w:r>
        <w:rPr>
          <w:rFonts w:hint="eastAsia" w:ascii="宋体" w:hAnsi="宋体"/>
          <w:color w:val="auto"/>
          <w:sz w:val="24"/>
          <w:szCs w:val="24"/>
          <w:highlight w:val="none"/>
        </w:rPr>
        <w:t>担保</w:t>
      </w:r>
      <w:r>
        <w:rPr>
          <w:rFonts w:ascii="宋体" w:hAnsi="宋体"/>
          <w:color w:val="auto"/>
          <w:sz w:val="24"/>
          <w:szCs w:val="24"/>
          <w:highlight w:val="none"/>
        </w:rPr>
        <w:t>责任。</w:t>
      </w:r>
    </w:p>
    <w:p w14:paraId="5D74CAC0">
      <w:pPr>
        <w:spacing w:line="360" w:lineRule="auto"/>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七、其他</w:t>
      </w:r>
    </w:p>
    <w:p w14:paraId="5DBA0CE0">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本保证担保项下的权利不得转让，不得设定担保。贵方未经我方书面同意转让本保证担保或其项下任何权利，</w:t>
      </w:r>
      <w:r>
        <w:rPr>
          <w:rFonts w:hint="eastAsia" w:ascii="宋体" w:hAnsi="宋体"/>
          <w:color w:val="auto"/>
          <w:sz w:val="24"/>
          <w:szCs w:val="24"/>
          <w:highlight w:val="none"/>
        </w:rPr>
        <w:t>对我方不发生法律效力</w:t>
      </w:r>
      <w:r>
        <w:rPr>
          <w:rFonts w:ascii="宋体" w:hAnsi="宋体"/>
          <w:color w:val="auto"/>
          <w:sz w:val="24"/>
          <w:szCs w:val="24"/>
          <w:highlight w:val="none"/>
        </w:rPr>
        <w:t xml:space="preserve">。 </w:t>
      </w:r>
    </w:p>
    <w:p w14:paraId="0CC24C0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.本</w:t>
      </w:r>
      <w:r>
        <w:rPr>
          <w:rFonts w:hint="eastAsia" w:ascii="宋体" w:hAnsi="宋体"/>
          <w:color w:val="auto"/>
          <w:sz w:val="24"/>
          <w:szCs w:val="24"/>
          <w:highlight w:val="none"/>
        </w:rPr>
        <w:t>保证担保适用的法律为中华人民共和国法律，争议裁判管辖地为中华人民共和国</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ascii="宋体" w:hAnsi="宋体"/>
          <w:color w:val="auto"/>
          <w:sz w:val="24"/>
          <w:szCs w:val="24"/>
          <w:highlight w:val="none"/>
        </w:rPr>
        <w:t xml:space="preserve"> </w:t>
      </w:r>
    </w:p>
    <w:p w14:paraId="6CCA7EFB">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.本</w:t>
      </w:r>
      <w:r>
        <w:rPr>
          <w:rFonts w:hint="eastAsia" w:ascii="宋体" w:hAnsi="宋体"/>
          <w:color w:val="auto"/>
          <w:sz w:val="24"/>
          <w:szCs w:val="24"/>
          <w:highlight w:val="none"/>
        </w:rPr>
        <w:t>保证担保</w:t>
      </w:r>
      <w:r>
        <w:rPr>
          <w:rFonts w:ascii="宋体" w:hAnsi="宋体"/>
          <w:color w:val="auto"/>
          <w:sz w:val="24"/>
          <w:szCs w:val="24"/>
          <w:highlight w:val="none"/>
        </w:rPr>
        <w:t>自我方法定代表</w:t>
      </w:r>
      <w:r>
        <w:rPr>
          <w:rFonts w:hint="eastAsia" w:ascii="宋体" w:hAnsi="宋体"/>
          <w:color w:val="auto"/>
          <w:sz w:val="24"/>
          <w:szCs w:val="24"/>
          <w:highlight w:val="none"/>
        </w:rPr>
        <w:t>人或授权代表</w:t>
      </w:r>
      <w:r>
        <w:rPr>
          <w:rFonts w:ascii="宋体" w:hAnsi="宋体"/>
          <w:color w:val="auto"/>
          <w:sz w:val="24"/>
          <w:szCs w:val="24"/>
          <w:highlight w:val="none"/>
        </w:rPr>
        <w:t>签字</w:t>
      </w:r>
      <w:r>
        <w:rPr>
          <w:rFonts w:hint="eastAsia" w:ascii="宋体" w:hAnsi="宋体"/>
          <w:color w:val="auto"/>
          <w:sz w:val="24"/>
          <w:szCs w:val="24"/>
          <w:highlight w:val="none"/>
        </w:rPr>
        <w:t>并</w:t>
      </w:r>
      <w:r>
        <w:rPr>
          <w:rFonts w:ascii="宋体" w:hAnsi="宋体"/>
          <w:color w:val="auto"/>
          <w:sz w:val="24"/>
          <w:szCs w:val="24"/>
          <w:highlight w:val="none"/>
        </w:rPr>
        <w:t xml:space="preserve">加盖公章之日起生效。 </w:t>
      </w:r>
    </w:p>
    <w:p w14:paraId="5186AB09">
      <w:pPr>
        <w:spacing w:line="360" w:lineRule="auto"/>
        <w:ind w:firstLine="480" w:firstLineChars="200"/>
        <w:rPr>
          <w:rFonts w:ascii="宋体" w:hAnsi="宋体"/>
          <w:color w:val="auto"/>
          <w:sz w:val="24"/>
          <w:szCs w:val="24"/>
          <w:highlight w:val="none"/>
        </w:rPr>
      </w:pPr>
    </w:p>
    <w:p w14:paraId="5EE57D4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保 证 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（公</w:t>
      </w:r>
      <w:r>
        <w:rPr>
          <w:rFonts w:ascii="宋体" w:hAnsi="宋体"/>
          <w:color w:val="auto"/>
          <w:sz w:val="24"/>
          <w:szCs w:val="24"/>
          <w:highlight w:val="none"/>
        </w:rPr>
        <w:t xml:space="preserve">章） </w:t>
      </w:r>
    </w:p>
    <w:p w14:paraId="56C2D6D9">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法定代表人（或授权代表）：</w:t>
      </w:r>
      <w:r>
        <w:rPr>
          <w:rFonts w:ascii="宋体" w:hAnsi="宋体"/>
          <w:color w:val="auto"/>
          <w:sz w:val="24"/>
          <w:szCs w:val="24"/>
          <w:highlight w:val="none"/>
        </w:rPr>
        <w:t xml:space="preserve">               （签字） </w:t>
      </w:r>
    </w:p>
    <w:p w14:paraId="54526C78">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址：                                       </w:t>
      </w:r>
    </w:p>
    <w:p w14:paraId="7874E11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邮政编码：</w:t>
      </w:r>
      <w:r>
        <w:rPr>
          <w:rFonts w:ascii="宋体" w:hAnsi="宋体"/>
          <w:color w:val="auto"/>
          <w:sz w:val="24"/>
          <w:szCs w:val="24"/>
          <w:highlight w:val="none"/>
        </w:rPr>
        <w:t xml:space="preserve">                 </w:t>
      </w:r>
    </w:p>
    <w:p w14:paraId="0168F4E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话：                 </w:t>
      </w:r>
    </w:p>
    <w:p w14:paraId="3ADAAA0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真：                 </w:t>
      </w:r>
    </w:p>
    <w:p w14:paraId="5EEC727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时 </w:t>
      </w:r>
      <w:r>
        <w:rPr>
          <w:rFonts w:ascii="宋体" w:hAnsi="宋体"/>
          <w:color w:val="auto"/>
          <w:sz w:val="24"/>
          <w:szCs w:val="24"/>
          <w:highlight w:val="none"/>
        </w:rPr>
        <w:t xml:space="preserve">   </w:t>
      </w:r>
      <w:r>
        <w:rPr>
          <w:rFonts w:hint="eastAsia" w:ascii="宋体" w:hAnsi="宋体"/>
          <w:color w:val="auto"/>
          <w:sz w:val="24"/>
          <w:szCs w:val="24"/>
          <w:highlight w:val="none"/>
        </w:rPr>
        <w:t>间：</w:t>
      </w:r>
      <w:r>
        <w:rPr>
          <w:rFonts w:ascii="宋体" w:hAnsi="宋体"/>
          <w:color w:val="auto"/>
          <w:sz w:val="24"/>
          <w:szCs w:val="24"/>
          <w:highlight w:val="none"/>
        </w:rPr>
        <w:t xml:space="preserve">      年      月        日</w:t>
      </w:r>
    </w:p>
    <w:p w14:paraId="7B2484B0">
      <w:pPr>
        <w:rPr>
          <w:color w:val="auto"/>
          <w:highlight w:val="none"/>
        </w:rPr>
      </w:pPr>
    </w:p>
    <w:p w14:paraId="089AC38D">
      <w:pPr>
        <w:rPr>
          <w:color w:val="auto"/>
          <w:highlight w:val="none"/>
        </w:rPr>
      </w:pPr>
    </w:p>
    <w:p w14:paraId="7A4BE3F4">
      <w:pPr>
        <w:rPr>
          <w:color w:val="auto"/>
          <w:highlight w:val="none"/>
        </w:rPr>
      </w:pPr>
    </w:p>
    <w:p w14:paraId="1EDCC576">
      <w:pPr>
        <w:rPr>
          <w:color w:val="auto"/>
          <w:highlight w:val="none"/>
        </w:rPr>
      </w:pPr>
    </w:p>
    <w:p w14:paraId="6D44AF16">
      <w:pPr>
        <w:rPr>
          <w:color w:val="auto"/>
          <w:highlight w:val="none"/>
        </w:rPr>
      </w:pPr>
    </w:p>
    <w:p w14:paraId="2D0C0DAB">
      <w:pPr>
        <w:rPr>
          <w:color w:val="auto"/>
          <w:highlight w:val="none"/>
        </w:rPr>
      </w:pPr>
    </w:p>
    <w:p w14:paraId="59EC4C99">
      <w:pPr>
        <w:rPr>
          <w:color w:val="auto"/>
          <w:highlight w:val="none"/>
        </w:rPr>
      </w:pPr>
    </w:p>
    <w:p w14:paraId="13505EB2">
      <w:pPr>
        <w:rPr>
          <w:color w:val="auto"/>
          <w:highlight w:val="none"/>
        </w:rPr>
      </w:pPr>
    </w:p>
    <w:p w14:paraId="40F9B277">
      <w:pPr>
        <w:rPr>
          <w:color w:val="auto"/>
          <w:highlight w:val="none"/>
        </w:rPr>
      </w:pPr>
    </w:p>
    <w:p w14:paraId="114B4040">
      <w:pPr>
        <w:rPr>
          <w:color w:val="auto"/>
          <w:highlight w:val="none"/>
        </w:rPr>
      </w:pPr>
    </w:p>
    <w:p w14:paraId="100DBCF4">
      <w:pPr>
        <w:rPr>
          <w:color w:val="auto"/>
          <w:highlight w:val="none"/>
        </w:rPr>
      </w:pPr>
    </w:p>
    <w:p w14:paraId="522E6F98">
      <w:pPr>
        <w:rPr>
          <w:color w:val="auto"/>
          <w:highlight w:val="none"/>
        </w:rPr>
      </w:pPr>
    </w:p>
    <w:p w14:paraId="5CCDFEC2">
      <w:pPr>
        <w:rPr>
          <w:color w:val="auto"/>
          <w:highlight w:val="none"/>
        </w:rPr>
      </w:pPr>
    </w:p>
    <w:p w14:paraId="2D59BC25">
      <w:pPr>
        <w:rPr>
          <w:color w:val="auto"/>
          <w:highlight w:val="none"/>
        </w:rPr>
      </w:pPr>
    </w:p>
    <w:p w14:paraId="48F9DD8B">
      <w:pPr>
        <w:rPr>
          <w:color w:val="auto"/>
          <w:highlight w:val="none"/>
        </w:rPr>
      </w:pPr>
    </w:p>
    <w:p w14:paraId="04F97A49">
      <w:pPr>
        <w:rPr>
          <w:color w:val="auto"/>
          <w:highlight w:val="none"/>
        </w:rPr>
      </w:pPr>
    </w:p>
    <w:p w14:paraId="724206B5">
      <w:pPr>
        <w:rPr>
          <w:color w:val="auto"/>
          <w:highlight w:val="none"/>
        </w:rPr>
      </w:pPr>
    </w:p>
    <w:p w14:paraId="03D0ED77">
      <w:pPr>
        <w:rPr>
          <w:color w:val="auto"/>
          <w:highlight w:val="none"/>
        </w:rPr>
      </w:pPr>
    </w:p>
    <w:p w14:paraId="5DF97B7B">
      <w:pPr>
        <w:rPr>
          <w:color w:val="auto"/>
          <w:highlight w:val="none"/>
        </w:rPr>
      </w:pPr>
    </w:p>
    <w:p w14:paraId="3FED05D1">
      <w:pPr>
        <w:rPr>
          <w:color w:val="auto"/>
          <w:highlight w:val="none"/>
        </w:rPr>
      </w:pPr>
    </w:p>
    <w:p w14:paraId="6FE1A399">
      <w:pPr>
        <w:rPr>
          <w:color w:val="auto"/>
          <w:highlight w:val="none"/>
        </w:rPr>
      </w:pPr>
    </w:p>
    <w:p w14:paraId="34CECD77">
      <w:pPr>
        <w:rPr>
          <w:color w:val="auto"/>
          <w:highlight w:val="none"/>
        </w:rPr>
      </w:pPr>
    </w:p>
    <w:p w14:paraId="621F9E15">
      <w:pPr>
        <w:rPr>
          <w:color w:val="auto"/>
          <w:highlight w:val="none"/>
        </w:rPr>
      </w:pPr>
    </w:p>
    <w:p w14:paraId="747EBA26">
      <w:pPr>
        <w:rPr>
          <w:color w:val="auto"/>
          <w:highlight w:val="none"/>
        </w:rPr>
      </w:pPr>
    </w:p>
    <w:p w14:paraId="68702578">
      <w:pPr>
        <w:rPr>
          <w:color w:val="auto"/>
          <w:highlight w:val="none"/>
        </w:rPr>
      </w:pPr>
    </w:p>
    <w:p w14:paraId="133825E1">
      <w:pPr>
        <w:rPr>
          <w:color w:val="auto"/>
          <w:highlight w:val="none"/>
        </w:rPr>
      </w:pPr>
    </w:p>
    <w:p w14:paraId="5B0A2439">
      <w:pPr>
        <w:pStyle w:val="52"/>
        <w:rPr>
          <w:color w:val="auto"/>
          <w:highlight w:val="none"/>
        </w:rPr>
      </w:pPr>
    </w:p>
    <w:p w14:paraId="0F8D9C55">
      <w:pPr>
        <w:pStyle w:val="52"/>
        <w:rPr>
          <w:color w:val="auto"/>
          <w:highlight w:val="none"/>
        </w:rPr>
      </w:pPr>
    </w:p>
    <w:p w14:paraId="6176F8D0">
      <w:pPr>
        <w:spacing w:line="360" w:lineRule="auto"/>
        <w:ind w:firstLine="480" w:firstLineChars="200"/>
        <w:rPr>
          <w:rFonts w:ascii="宋体" w:hAnsi="宋体"/>
          <w:color w:val="auto"/>
          <w:sz w:val="24"/>
          <w:szCs w:val="24"/>
          <w:highlight w:val="none"/>
        </w:rPr>
      </w:pPr>
    </w:p>
    <w:p w14:paraId="02FA7E2B">
      <w:pPr>
        <w:spacing w:line="360" w:lineRule="auto"/>
        <w:ind w:firstLine="420" w:firstLineChars="200"/>
        <w:rPr>
          <w:rFonts w:hint="eastAsia"/>
          <w:color w:val="auto"/>
          <w:highlight w:val="none"/>
        </w:rPr>
      </w:pPr>
    </w:p>
    <w:p w14:paraId="40637DA9">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附件10：</w:t>
      </w:r>
      <w:r>
        <w:rPr>
          <w:rFonts w:hint="eastAsia" w:ascii="仿宋_GB2312" w:hAnsi="Arial" w:eastAsia="仿宋_GB2312" w:cs="仿宋_GB2312"/>
          <w:color w:val="auto"/>
          <w:sz w:val="30"/>
          <w:szCs w:val="30"/>
          <w:highlight w:val="none"/>
        </w:rPr>
        <w:t>预付款</w:t>
      </w:r>
      <w:r>
        <w:rPr>
          <w:rFonts w:hint="eastAsia" w:ascii="仿宋_GB2312" w:eastAsia="仿宋_GB2312" w:cs="仿宋_GB2312"/>
          <w:color w:val="auto"/>
          <w:sz w:val="30"/>
          <w:szCs w:val="30"/>
          <w:highlight w:val="none"/>
        </w:rPr>
        <w:t>支付申请（核准）表</w:t>
      </w:r>
    </w:p>
    <w:p w14:paraId="6E74C8BB">
      <w:pPr>
        <w:jc w:val="center"/>
        <w:outlineLvl w:val="9"/>
        <w:rPr>
          <w:rFonts w:hint="eastAsia" w:ascii="宋体" w:hAnsi="宋体"/>
          <w:b/>
          <w:color w:val="auto"/>
          <w:sz w:val="30"/>
          <w:szCs w:val="30"/>
          <w:highlight w:val="none"/>
        </w:rPr>
      </w:pPr>
      <w:r>
        <w:rPr>
          <w:rFonts w:hint="eastAsia" w:ascii="宋体" w:hAnsi="宋体"/>
          <w:b/>
          <w:color w:val="auto"/>
          <w:sz w:val="30"/>
          <w:szCs w:val="30"/>
          <w:highlight w:val="none"/>
        </w:rPr>
        <w:t>预付款支付申请（核准）表</w:t>
      </w:r>
    </w:p>
    <w:p w14:paraId="2954EBDB">
      <w:pPr>
        <w:jc w:val="center"/>
        <w:outlineLvl w:val="9"/>
        <w:rPr>
          <w:rFonts w:hint="eastAsia" w:ascii="宋体" w:hAnsi="宋体" w:eastAsia="宋体"/>
          <w:b/>
          <w:color w:val="auto"/>
          <w:sz w:val="30"/>
          <w:szCs w:val="30"/>
          <w:highlight w:val="none"/>
          <w:lang w:val="en-US" w:eastAsia="zh-CN"/>
        </w:rPr>
      </w:pPr>
      <w:r>
        <w:rPr>
          <w:rFonts w:hint="eastAsia" w:ascii="宋体" w:hAnsi="宋体"/>
          <w:b/>
          <w:color w:val="auto"/>
          <w:sz w:val="30"/>
          <w:szCs w:val="30"/>
          <w:highlight w:val="none"/>
          <w:lang w:eastAsia="zh-CN"/>
        </w:rPr>
        <w:t>（适用于分年度支付）</w:t>
      </w:r>
    </w:p>
    <w:p w14:paraId="09570E20">
      <w:pPr>
        <w:spacing w:line="360" w:lineRule="auto"/>
        <w:ind w:firstLine="420" w:firstLineChars="200"/>
        <w:rPr>
          <w:color w:val="auto"/>
          <w:sz w:val="21"/>
          <w:szCs w:val="21"/>
          <w:highlight w:val="none"/>
        </w:rPr>
      </w:pPr>
      <w:r>
        <w:rPr>
          <w:rFonts w:hint="eastAsia" w:ascii="宋体" w:hAnsi="宋体"/>
          <w:color w:val="auto"/>
          <w:sz w:val="21"/>
          <w:szCs w:val="21"/>
          <w:highlight w:val="none"/>
        </w:rPr>
        <w:t xml:space="preserve">工程名称：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编号：</w:t>
      </w:r>
    </w:p>
    <w:tbl>
      <w:tblPr>
        <w:tblStyle w:val="5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9"/>
        <w:gridCol w:w="4543"/>
      </w:tblGrid>
      <w:tr w14:paraId="1E55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8"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6C4DBB9C">
            <w:pPr>
              <w:keepNext w:val="0"/>
              <w:keepLines w:val="0"/>
              <w:suppressLineNumbers w:val="0"/>
              <w:spacing w:before="0" w:beforeAutospacing="0" w:after="0" w:afterAutospacing="0" w:line="480" w:lineRule="exact"/>
              <w:ind w:left="525" w:leftChars="149" w:right="0" w:hanging="212" w:hangingChars="101"/>
              <w:rPr>
                <w:rFonts w:hint="default"/>
                <w:color w:val="auto"/>
                <w:highlight w:val="none"/>
                <w:u w:val="single"/>
              </w:rPr>
            </w:pPr>
            <w:r>
              <w:rPr>
                <w:rFonts w:hint="eastAsia" w:ascii="宋体" w:hAnsi="宋体"/>
                <w:color w:val="auto"/>
                <w:highlight w:val="none"/>
              </w:rPr>
              <w:t>致：</w:t>
            </w:r>
            <w:r>
              <w:rPr>
                <w:rFonts w:hint="default"/>
                <w:color w:val="auto"/>
                <w:highlight w:val="none"/>
                <w:u w:val="single"/>
              </w:rPr>
              <w:t xml:space="preserve">                                   </w:t>
            </w:r>
            <w:r>
              <w:rPr>
                <w:rFonts w:hint="eastAsia" w:ascii="宋体" w:hAnsi="宋体"/>
                <w:color w:val="auto"/>
                <w:highlight w:val="none"/>
                <w:u w:val="single"/>
              </w:rPr>
              <w:t>（发包人全称）</w:t>
            </w:r>
          </w:p>
          <w:p w14:paraId="21EE32D0">
            <w:pPr>
              <w:keepNext w:val="0"/>
              <w:keepLines w:val="0"/>
              <w:suppressLineNumbers w:val="0"/>
              <w:spacing w:before="0" w:beforeAutospacing="0" w:after="0" w:afterAutospacing="0" w:line="400" w:lineRule="exact"/>
              <w:ind w:left="-4" w:leftChars="-2" w:right="0" w:firstLine="315" w:firstLineChars="150"/>
              <w:rPr>
                <w:rFonts w:hint="default"/>
                <w:color w:val="auto"/>
                <w:highlight w:val="none"/>
              </w:rPr>
            </w:pPr>
            <w:r>
              <w:rPr>
                <w:rFonts w:hint="eastAsia" w:ascii="宋体" w:hAnsi="宋体"/>
                <w:color w:val="auto"/>
                <w:highlight w:val="none"/>
              </w:rPr>
              <w:t>我方根据施工合同的约定</w:t>
            </w:r>
            <w:r>
              <w:rPr>
                <w:rFonts w:hint="eastAsia" w:ascii="宋体" w:hAnsi="宋体"/>
                <w:color w:val="auto"/>
                <w:highlight w:val="none"/>
                <w:lang w:eastAsia="zh-CN"/>
              </w:rPr>
              <w:t>，</w:t>
            </w:r>
            <w:r>
              <w:rPr>
                <w:rFonts w:hint="eastAsia" w:ascii="宋体" w:hAnsi="宋体"/>
                <w:color w:val="auto"/>
                <w:highlight w:val="none"/>
              </w:rPr>
              <w:t>现申请支付</w:t>
            </w:r>
            <w:r>
              <w:rPr>
                <w:rFonts w:hint="eastAsia" w:ascii="宋体" w:hAnsi="宋体"/>
                <w:color w:val="auto"/>
                <w:highlight w:val="none"/>
                <w:u w:val="none"/>
                <w:lang w:eastAsia="zh-CN"/>
              </w:rPr>
              <w:t>第</w:t>
            </w:r>
            <w:r>
              <w:rPr>
                <w:rFonts w:hint="eastAsia" w:ascii="宋体" w:hAnsi="宋体"/>
                <w:color w:val="auto"/>
                <w:highlight w:val="none"/>
                <w:u w:val="single"/>
                <w:lang w:val="en-US" w:eastAsia="zh-CN"/>
              </w:rPr>
              <w:t xml:space="preserve">  </w:t>
            </w:r>
            <w:r>
              <w:rPr>
                <w:rFonts w:hint="eastAsia" w:ascii="宋体" w:hAnsi="宋体"/>
                <w:color w:val="auto"/>
                <w:highlight w:val="none"/>
                <w:u w:val="none"/>
                <w:lang w:val="en-US" w:eastAsia="zh-CN"/>
              </w:rPr>
              <w:t>年</w:t>
            </w:r>
            <w:r>
              <w:rPr>
                <w:rFonts w:hint="eastAsia" w:ascii="宋体" w:hAnsi="宋体"/>
                <w:color w:val="auto"/>
                <w:highlight w:val="none"/>
              </w:rPr>
              <w:t>工程预付款额为</w:t>
            </w:r>
            <w:r>
              <w:rPr>
                <w:rFonts w:hint="eastAsia"/>
                <w:color w:val="auto"/>
                <w:highlight w:val="none"/>
                <w:lang w:eastAsia="zh-CN"/>
              </w:rPr>
              <w:t>（</w:t>
            </w:r>
            <w:r>
              <w:rPr>
                <w:rFonts w:hint="eastAsia" w:ascii="宋体" w:hAnsi="宋体"/>
                <w:color w:val="auto"/>
                <w:highlight w:val="none"/>
              </w:rPr>
              <w:t>大写</w:t>
            </w:r>
            <w:r>
              <w:rPr>
                <w:rFonts w:hint="eastAsia"/>
                <w:color w:val="auto"/>
                <w:highlight w:val="none"/>
                <w:lang w:eastAsia="zh-CN"/>
              </w:rPr>
              <w:t>）</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color w:val="auto"/>
                <w:highlight w:val="none"/>
                <w:lang w:eastAsia="zh-CN"/>
              </w:rPr>
              <w:t>（</w:t>
            </w:r>
            <w:r>
              <w:rPr>
                <w:rFonts w:hint="eastAsia" w:ascii="宋体" w:hAnsi="宋体"/>
                <w:color w:val="auto"/>
                <w:highlight w:val="none"/>
              </w:rPr>
              <w:t>小写</w:t>
            </w:r>
            <w:r>
              <w:rPr>
                <w:rFonts w:hint="eastAsia"/>
                <w:color w:val="auto"/>
                <w:highlight w:val="none"/>
                <w:lang w:eastAsia="zh-CN"/>
              </w:rPr>
              <w:t>）</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请予核准。</w:t>
            </w:r>
          </w:p>
          <w:tbl>
            <w:tblPr>
              <w:tblStyle w:val="54"/>
              <w:tblW w:w="884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2266"/>
              <w:gridCol w:w="1556"/>
              <w:gridCol w:w="1356"/>
              <w:gridCol w:w="1513"/>
              <w:gridCol w:w="1515"/>
            </w:tblGrid>
            <w:tr w14:paraId="531A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cBorders>
                  <w:noWrap w:val="0"/>
                  <w:vAlign w:val="center"/>
                </w:tcPr>
                <w:p w14:paraId="7DB7B026">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序号</w:t>
                  </w:r>
                </w:p>
              </w:tc>
              <w:tc>
                <w:tcPr>
                  <w:tcW w:w="2322" w:type="dxa"/>
                  <w:tcBorders>
                    <w:top w:val="single" w:color="auto" w:sz="4" w:space="0"/>
                    <w:left w:val="single" w:color="auto" w:sz="4" w:space="0"/>
                    <w:bottom w:val="single" w:color="auto" w:sz="4" w:space="0"/>
                    <w:right w:val="single" w:color="auto" w:sz="4" w:space="0"/>
                  </w:tcBorders>
                  <w:noWrap w:val="0"/>
                  <w:vAlign w:val="center"/>
                </w:tcPr>
                <w:p w14:paraId="0B5562A6">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 xml:space="preserve">名 </w:t>
                  </w:r>
                  <w:r>
                    <w:rPr>
                      <w:rFonts w:hint="default"/>
                      <w:color w:val="auto"/>
                      <w:highlight w:val="none"/>
                    </w:rPr>
                    <w:t xml:space="preserve">     </w:t>
                  </w:r>
                  <w:r>
                    <w:rPr>
                      <w:rFonts w:hint="eastAsia" w:ascii="宋体" w:hAnsi="宋体"/>
                      <w:color w:val="auto"/>
                      <w:highlight w:val="none"/>
                    </w:rPr>
                    <w:t>称</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5901C1F2">
                  <w:pPr>
                    <w:keepNext w:val="0"/>
                    <w:keepLines w:val="0"/>
                    <w:suppressLineNumbers w:val="0"/>
                    <w:spacing w:before="0" w:beforeAutospacing="0" w:after="0" w:afterAutospacing="0" w:line="280" w:lineRule="exact"/>
                    <w:ind w:left="0" w:right="0"/>
                    <w:jc w:val="center"/>
                    <w:rPr>
                      <w:rFonts w:hint="eastAsia" w:ascii="宋体" w:hAnsi="宋体" w:eastAsia="宋体"/>
                      <w:color w:val="auto"/>
                      <w:highlight w:val="none"/>
                      <w:lang w:eastAsia="zh-CN"/>
                    </w:rPr>
                  </w:pPr>
                  <w:r>
                    <w:rPr>
                      <w:rFonts w:hint="eastAsia" w:ascii="宋体" w:hAnsi="宋体"/>
                      <w:color w:val="auto"/>
                      <w:highlight w:val="none"/>
                    </w:rPr>
                    <w:t>计算基数</w:t>
                  </w:r>
                  <w:r>
                    <w:rPr>
                      <w:rFonts w:hint="eastAsia" w:ascii="宋体" w:hAnsi="宋体"/>
                      <w:color w:val="auto"/>
                      <w:highlight w:val="none"/>
                      <w:lang w:eastAsia="zh-CN"/>
                    </w:rPr>
                    <w:t>（元）</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474350CF">
                  <w:pPr>
                    <w:keepNext w:val="0"/>
                    <w:keepLines w:val="0"/>
                    <w:suppressLineNumbers w:val="0"/>
                    <w:spacing w:before="0" w:beforeAutospacing="0" w:after="0" w:afterAutospacing="0" w:line="280" w:lineRule="exact"/>
                    <w:ind w:left="0" w:right="0"/>
                    <w:jc w:val="center"/>
                    <w:rPr>
                      <w:rFonts w:hint="default" w:ascii="宋体" w:hAnsi="宋体"/>
                      <w:color w:val="auto"/>
                      <w:highlight w:val="none"/>
                    </w:rPr>
                  </w:pPr>
                  <w:r>
                    <w:rPr>
                      <w:rFonts w:hint="eastAsia" w:ascii="宋体" w:hAnsi="宋体"/>
                      <w:color w:val="auto"/>
                      <w:highlight w:val="none"/>
                    </w:rPr>
                    <w:t>支付比例</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10E9CCC1">
                  <w:pPr>
                    <w:keepNext w:val="0"/>
                    <w:keepLines w:val="0"/>
                    <w:suppressLineNumbers w:val="0"/>
                    <w:spacing w:before="0" w:beforeAutospacing="0" w:after="0" w:afterAutospacing="0" w:line="280" w:lineRule="exact"/>
                    <w:ind w:left="0" w:right="0"/>
                    <w:jc w:val="center"/>
                    <w:rPr>
                      <w:rFonts w:hint="default" w:ascii="宋体" w:hAnsi="宋体"/>
                      <w:color w:val="auto"/>
                      <w:highlight w:val="none"/>
                    </w:rPr>
                  </w:pPr>
                  <w:r>
                    <w:rPr>
                      <w:rFonts w:hint="eastAsia" w:ascii="宋体" w:hAnsi="宋体"/>
                      <w:color w:val="auto"/>
                      <w:highlight w:val="none"/>
                    </w:rPr>
                    <w:t>申请金额（元）</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68F306C3">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复核金额（元）</w:t>
                  </w:r>
                </w:p>
              </w:tc>
            </w:tr>
            <w:tr w14:paraId="393C0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39E62B49">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3B1BF78E">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rPr>
                    <w:t>签约合同价款</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15C58665">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6677C26D">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F3305B1">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281ED168">
                  <w:pPr>
                    <w:keepNext w:val="0"/>
                    <w:keepLines w:val="0"/>
                    <w:suppressLineNumbers w:val="0"/>
                    <w:spacing w:before="0" w:beforeAutospacing="0" w:after="0" w:afterAutospacing="0" w:line="280" w:lineRule="exact"/>
                    <w:ind w:left="0" w:right="0"/>
                    <w:jc w:val="center"/>
                    <w:rPr>
                      <w:rFonts w:hint="eastAsia" w:eastAsia="宋体"/>
                      <w:color w:val="auto"/>
                      <w:highlight w:val="none"/>
                      <w:lang w:val="en-US" w:eastAsia="zh-CN"/>
                    </w:rPr>
                  </w:pPr>
                  <w:r>
                    <w:rPr>
                      <w:rFonts w:hint="eastAsia"/>
                      <w:color w:val="auto"/>
                      <w:highlight w:val="none"/>
                      <w:lang w:val="en-US" w:eastAsia="zh-CN"/>
                    </w:rPr>
                    <w:t>-</w:t>
                  </w:r>
                </w:p>
              </w:tc>
            </w:tr>
            <w:tr w14:paraId="3076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478558F5">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1.1</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6A764C7D">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rPr>
                    <w:t>暂列金额</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0972FAC4">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0799774F">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095E0434">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1CF0E70C">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7476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609FCDFE">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r>
                    <w:rPr>
                      <w:rFonts w:hint="eastAsia"/>
                      <w:color w:val="auto"/>
                      <w:highlight w:val="none"/>
                      <w:lang w:val="en-US" w:eastAsia="zh-CN"/>
                    </w:rPr>
                    <w:t>2</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05AFD628">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rPr>
                    <w:t>专业工程暂估价</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36732010">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8785AC0">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6AC113ED">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33332778">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7A56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636" w:type="dxa"/>
                  <w:tcBorders>
                    <w:top w:val="single" w:color="auto" w:sz="4" w:space="0"/>
                    <w:left w:val="single" w:color="auto" w:sz="4" w:space="0"/>
                    <w:bottom w:val="single" w:color="auto" w:sz="4" w:space="0"/>
                    <w:right w:val="single" w:color="auto" w:sz="4" w:space="0"/>
                  </w:tcBorders>
                  <w:noWrap w:val="0"/>
                  <w:vAlign w:val="top"/>
                </w:tcPr>
                <w:p w14:paraId="58E07E7B">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r>
                    <w:rPr>
                      <w:rFonts w:hint="eastAsia"/>
                      <w:color w:val="auto"/>
                      <w:highlight w:val="none"/>
                      <w:lang w:val="en-US" w:eastAsia="zh-CN"/>
                    </w:rPr>
                    <w:t>3</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5D404772">
                  <w:pPr>
                    <w:keepNext w:val="0"/>
                    <w:keepLines w:val="0"/>
                    <w:suppressLineNumbers w:val="0"/>
                    <w:spacing w:before="0" w:beforeAutospacing="0" w:after="0" w:afterAutospacing="0" w:line="280" w:lineRule="exact"/>
                    <w:ind w:left="0" w:right="0"/>
                    <w:rPr>
                      <w:rFonts w:hint="default" w:ascii="宋体" w:hAnsi="宋体"/>
                      <w:color w:val="auto"/>
                      <w:highlight w:val="none"/>
                      <w:lang w:val="en"/>
                    </w:rPr>
                  </w:pPr>
                  <w:r>
                    <w:rPr>
                      <w:rFonts w:hint="default" w:ascii="宋体" w:hAnsi="宋体"/>
                      <w:color w:val="auto"/>
                      <w:highlight w:val="none"/>
                      <w:lang w:val="en"/>
                    </w:rPr>
                    <w:t>安全生产费</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0298FD20">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2DB4BB95">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22BFA63">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0E71C486">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22CB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6DE3E613">
                  <w:pPr>
                    <w:keepNext w:val="0"/>
                    <w:keepLines w:val="0"/>
                    <w:suppressLineNumbers w:val="0"/>
                    <w:spacing w:before="0" w:beforeAutospacing="0" w:after="0" w:afterAutospacing="0" w:line="280" w:lineRule="exact"/>
                    <w:ind w:left="0" w:right="0"/>
                    <w:jc w:val="center"/>
                    <w:rPr>
                      <w:rFonts w:hint="eastAsia" w:eastAsia="宋体"/>
                      <w:color w:val="auto"/>
                      <w:highlight w:val="none"/>
                      <w:lang w:val="en-US" w:eastAsia="zh-CN"/>
                    </w:rPr>
                  </w:pPr>
                  <w:r>
                    <w:rPr>
                      <w:rFonts w:hint="eastAsia"/>
                      <w:color w:val="auto"/>
                      <w:highlight w:val="none"/>
                      <w:lang w:val="en-US" w:eastAsia="zh-CN"/>
                    </w:rPr>
                    <w:t>2</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4AD52809">
                  <w:pPr>
                    <w:keepNext w:val="0"/>
                    <w:keepLines w:val="0"/>
                    <w:suppressLineNumbers w:val="0"/>
                    <w:spacing w:before="0" w:beforeAutospacing="0" w:after="0" w:afterAutospacing="0" w:line="280" w:lineRule="exact"/>
                    <w:ind w:left="0" w:right="0"/>
                    <w:rPr>
                      <w:rFonts w:hint="eastAsia" w:ascii="宋体" w:hAnsi="宋体" w:eastAsia="宋体"/>
                      <w:color w:val="auto"/>
                      <w:highlight w:val="none"/>
                      <w:lang w:eastAsia="zh-CN"/>
                    </w:rPr>
                  </w:pPr>
                  <w:r>
                    <w:rPr>
                      <w:rFonts w:hint="eastAsia" w:ascii="宋体" w:hAnsi="宋体"/>
                      <w:color w:val="auto"/>
                      <w:highlight w:val="none"/>
                      <w:lang w:eastAsia="zh-CN"/>
                    </w:rPr>
                    <w:t>应付预付款支付基数</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4A988B2E">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1-(1.1+1.2+1.3)</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05BB4A89">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88DB0E4">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18E200EC">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003F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0FB1E31E">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2.1</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61DDDE11">
                  <w:pPr>
                    <w:keepNext w:val="0"/>
                    <w:keepLines w:val="0"/>
                    <w:suppressLineNumbers w:val="0"/>
                    <w:spacing w:before="0" w:beforeAutospacing="0" w:after="0" w:afterAutospacing="0" w:line="280" w:lineRule="exact"/>
                    <w:ind w:left="0" w:right="0"/>
                    <w:rPr>
                      <w:rFonts w:hint="eastAsia" w:ascii="宋体" w:hAnsi="宋体" w:eastAsia="宋体"/>
                      <w:color w:val="auto"/>
                      <w:highlight w:val="none"/>
                      <w:lang w:eastAsia="zh-CN"/>
                    </w:rPr>
                  </w:pPr>
                  <w:r>
                    <w:rPr>
                      <w:rFonts w:hint="eastAsia" w:ascii="宋体" w:hAnsi="宋体"/>
                      <w:color w:val="auto"/>
                      <w:highlight w:val="none"/>
                      <w:lang w:eastAsia="zh-CN"/>
                    </w:rPr>
                    <w:t>第一年应付预付款</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1AE3C322">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4EE29205">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4A1C553">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1FC4B75B">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3E0D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52D34B97">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2.2</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67704E6C">
                  <w:pPr>
                    <w:keepNext w:val="0"/>
                    <w:keepLines w:val="0"/>
                    <w:suppressLineNumbers w:val="0"/>
                    <w:spacing w:before="0" w:beforeAutospacing="0" w:after="0" w:afterAutospacing="0" w:line="280" w:lineRule="exact"/>
                    <w:ind w:left="0" w:right="0"/>
                    <w:rPr>
                      <w:rFonts w:hint="eastAsia" w:ascii="宋体" w:hAnsi="宋体" w:eastAsia="宋体"/>
                      <w:color w:val="auto"/>
                      <w:highlight w:val="none"/>
                      <w:lang w:eastAsia="zh-CN"/>
                    </w:rPr>
                  </w:pPr>
                  <w:r>
                    <w:rPr>
                      <w:rFonts w:hint="eastAsia" w:ascii="宋体" w:hAnsi="宋体"/>
                      <w:color w:val="auto"/>
                      <w:highlight w:val="none"/>
                      <w:lang w:eastAsia="zh-CN"/>
                    </w:rPr>
                    <w:t>第二年应付预付款</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315A4322">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75395A3E">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78259061">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2C8962E3">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79DD3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636" w:type="dxa"/>
                  <w:tcBorders>
                    <w:top w:val="single" w:color="auto" w:sz="4" w:space="0"/>
                    <w:left w:val="single" w:color="auto" w:sz="4" w:space="0"/>
                    <w:bottom w:val="single" w:color="auto" w:sz="4" w:space="0"/>
                    <w:right w:val="single" w:color="auto" w:sz="4" w:space="0"/>
                  </w:tcBorders>
                  <w:noWrap w:val="0"/>
                  <w:vAlign w:val="top"/>
                </w:tcPr>
                <w:p w14:paraId="056FB23A">
                  <w:pPr>
                    <w:keepNext w:val="0"/>
                    <w:keepLines w:val="0"/>
                    <w:suppressLineNumbers w:val="0"/>
                    <w:spacing w:before="0" w:beforeAutospacing="0" w:after="0" w:afterAutospacing="0" w:line="280" w:lineRule="exact"/>
                    <w:ind w:left="0" w:right="0"/>
                    <w:jc w:val="center"/>
                    <w:rPr>
                      <w:rFonts w:hint="eastAsia" w:ascii="宋体" w:hAnsi="宋体" w:eastAsia="宋体"/>
                      <w:color w:val="auto"/>
                      <w:highlight w:val="none"/>
                      <w:lang w:eastAsia="zh-CN"/>
                    </w:rPr>
                  </w:pPr>
                  <w:r>
                    <w:rPr>
                      <w:rFonts w:hint="eastAsia"/>
                      <w:color w:val="auto"/>
                      <w:highlight w:val="none"/>
                      <w:lang w:val="en-US" w:eastAsia="zh-CN"/>
                    </w:rPr>
                    <w:t>……</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3A79545F">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lang w:eastAsia="zh-CN"/>
                    </w:rPr>
                    <w:t>第……年应付预付款</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24D8A81C">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4FA1CE3B">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4703F3F3">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54E73456">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4535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6113DFBB">
                  <w:pPr>
                    <w:keepNext w:val="0"/>
                    <w:keepLines w:val="0"/>
                    <w:suppressLineNumbers w:val="0"/>
                    <w:spacing w:before="0" w:beforeAutospacing="0" w:after="0" w:afterAutospacing="0" w:line="280" w:lineRule="exact"/>
                    <w:ind w:left="0" w:leftChars="0" w:right="0" w:rightChars="0"/>
                    <w:jc w:val="center"/>
                    <w:rPr>
                      <w:rFonts w:hint="eastAsia" w:ascii="Calibri" w:hAnsi="Calibri" w:eastAsia="宋体"/>
                      <w:color w:val="auto"/>
                      <w:highlight w:val="none"/>
                      <w:lang w:val="en-US" w:eastAsia="zh-CN"/>
                    </w:rPr>
                  </w:pPr>
                  <w:r>
                    <w:rPr>
                      <w:rFonts w:hint="eastAsia"/>
                      <w:color w:val="auto"/>
                      <w:highlight w:val="none"/>
                      <w:lang w:val="en-US" w:eastAsia="zh-CN"/>
                    </w:rPr>
                    <w:t>3</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443F1550">
                  <w:pPr>
                    <w:keepNext w:val="0"/>
                    <w:keepLines w:val="0"/>
                    <w:suppressLineNumbers w:val="0"/>
                    <w:spacing w:before="0" w:beforeAutospacing="0" w:after="0" w:afterAutospacing="0" w:line="280" w:lineRule="exact"/>
                    <w:ind w:left="0" w:leftChars="0" w:right="0" w:rightChars="0"/>
                    <w:rPr>
                      <w:rFonts w:hint="default" w:ascii="Calibri" w:hAnsi="Calibri"/>
                      <w:color w:val="auto"/>
                      <w:highlight w:val="none"/>
                    </w:rPr>
                  </w:pPr>
                  <w:r>
                    <w:rPr>
                      <w:rFonts w:hint="eastAsia" w:ascii="宋体" w:hAnsi="宋体"/>
                      <w:color w:val="auto"/>
                      <w:highlight w:val="none"/>
                    </w:rPr>
                    <w:t>累计</w:t>
                  </w:r>
                  <w:r>
                    <w:rPr>
                      <w:rFonts w:hint="eastAsia" w:ascii="宋体" w:hAnsi="宋体"/>
                      <w:color w:val="auto"/>
                      <w:highlight w:val="none"/>
                      <w:lang w:eastAsia="zh-CN"/>
                    </w:rPr>
                    <w:t>应</w:t>
                  </w:r>
                  <w:r>
                    <w:rPr>
                      <w:rFonts w:hint="eastAsia" w:ascii="宋体" w:hAnsi="宋体"/>
                      <w:color w:val="auto"/>
                      <w:highlight w:val="none"/>
                    </w:rPr>
                    <w:t>支付的预付款</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0DAF6F55">
                  <w:pPr>
                    <w:keepNext w:val="0"/>
                    <w:keepLines w:val="0"/>
                    <w:suppressLineNumbers w:val="0"/>
                    <w:spacing w:before="0" w:beforeAutospacing="0" w:after="0" w:afterAutospacing="0" w:line="280" w:lineRule="exact"/>
                    <w:ind w:left="0" w:leftChars="0" w:right="0" w:rightChars="0"/>
                    <w:jc w:val="center"/>
                    <w:rPr>
                      <w:rFonts w:hint="default" w:ascii="Calibri" w:hAnsi="Calibri"/>
                      <w:color w:val="auto"/>
                      <w:highlight w:val="none"/>
                    </w:rPr>
                  </w:pPr>
                  <w:r>
                    <w:rPr>
                      <w:rFonts w:hint="eastAsia"/>
                      <w:color w:val="auto"/>
                      <w:highlight w:val="none"/>
                      <w:lang w:val="en-US" w:eastAsia="zh-CN"/>
                    </w:rPr>
                    <w:t>-</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28D4CA0C">
                  <w:pPr>
                    <w:keepNext w:val="0"/>
                    <w:keepLines w:val="0"/>
                    <w:suppressLineNumbers w:val="0"/>
                    <w:spacing w:before="0" w:beforeAutospacing="0" w:after="0" w:afterAutospacing="0" w:line="280" w:lineRule="exact"/>
                    <w:ind w:left="0" w:leftChars="0" w:right="0" w:rightChars="0"/>
                    <w:jc w:val="center"/>
                    <w:rPr>
                      <w:rFonts w:hint="default" w:ascii="Calibri" w:hAnsi="Calibri"/>
                      <w:color w:val="auto"/>
                      <w:highlight w:val="none"/>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41BC4700">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3F0D41C6">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45B0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cBorders>
                  <w:noWrap w:val="0"/>
                  <w:vAlign w:val="top"/>
                </w:tcPr>
                <w:p w14:paraId="0E2143A1">
                  <w:pPr>
                    <w:keepNext w:val="0"/>
                    <w:keepLines w:val="0"/>
                    <w:suppressLineNumbers w:val="0"/>
                    <w:spacing w:before="0" w:beforeAutospacing="0" w:after="0" w:afterAutospacing="0" w:line="280" w:lineRule="exact"/>
                    <w:ind w:left="0" w:leftChars="0" w:right="0" w:rightChars="0"/>
                    <w:jc w:val="center"/>
                    <w:rPr>
                      <w:rFonts w:hint="default" w:ascii="Calibri" w:hAnsi="Calibri"/>
                      <w:color w:val="auto"/>
                      <w:highlight w:val="none"/>
                    </w:rPr>
                  </w:pPr>
                  <w:r>
                    <w:rPr>
                      <w:rFonts w:hint="eastAsia" w:ascii="Calibri" w:hAnsi="Calibri"/>
                      <w:color w:val="auto"/>
                      <w:highlight w:val="none"/>
                      <w:lang w:val="en-US" w:eastAsia="zh-CN"/>
                    </w:rPr>
                    <w:t>4</w:t>
                  </w:r>
                </w:p>
              </w:tc>
              <w:tc>
                <w:tcPr>
                  <w:tcW w:w="2322" w:type="dxa"/>
                  <w:tcBorders>
                    <w:top w:val="single" w:color="auto" w:sz="4" w:space="0"/>
                    <w:left w:val="single" w:color="auto" w:sz="4" w:space="0"/>
                    <w:bottom w:val="single" w:color="auto" w:sz="4" w:space="0"/>
                    <w:right w:val="single" w:color="auto" w:sz="4" w:space="0"/>
                  </w:tcBorders>
                  <w:noWrap w:val="0"/>
                  <w:vAlign w:val="top"/>
                </w:tcPr>
                <w:p w14:paraId="5B2F7358">
                  <w:pPr>
                    <w:keepNext w:val="0"/>
                    <w:keepLines w:val="0"/>
                    <w:suppressLineNumbers w:val="0"/>
                    <w:spacing w:before="0" w:beforeAutospacing="0" w:after="0" w:afterAutospacing="0" w:line="280" w:lineRule="exact"/>
                    <w:ind w:left="0" w:leftChars="0" w:right="0" w:rightChars="0"/>
                    <w:rPr>
                      <w:rFonts w:hint="default" w:ascii="Calibri" w:hAnsi="Calibri"/>
                      <w:color w:val="auto"/>
                      <w:highlight w:val="none"/>
                    </w:rPr>
                  </w:pPr>
                  <w:r>
                    <w:rPr>
                      <w:rFonts w:hint="eastAsia" w:ascii="宋体" w:hAnsi="宋体"/>
                      <w:color w:val="auto"/>
                      <w:highlight w:val="none"/>
                    </w:rPr>
                    <w:t>累计</w:t>
                  </w:r>
                  <w:r>
                    <w:rPr>
                      <w:rFonts w:hint="eastAsia" w:ascii="宋体" w:hAnsi="宋体"/>
                      <w:color w:val="auto"/>
                      <w:highlight w:val="none"/>
                      <w:lang w:eastAsia="zh-CN"/>
                    </w:rPr>
                    <w:t>已</w:t>
                  </w:r>
                  <w:r>
                    <w:rPr>
                      <w:rFonts w:hint="eastAsia" w:ascii="宋体" w:hAnsi="宋体"/>
                      <w:color w:val="auto"/>
                      <w:highlight w:val="none"/>
                    </w:rPr>
                    <w:t>支付的预付款</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7E4B18D2">
                  <w:pPr>
                    <w:keepNext w:val="0"/>
                    <w:keepLines w:val="0"/>
                    <w:suppressLineNumbers w:val="0"/>
                    <w:spacing w:before="0" w:beforeAutospacing="0" w:after="0" w:afterAutospacing="0" w:line="280" w:lineRule="exact"/>
                    <w:ind w:left="0" w:leftChars="0" w:right="0" w:rightChars="0"/>
                    <w:jc w:val="center"/>
                    <w:rPr>
                      <w:rFonts w:hint="default" w:ascii="Calibri" w:hAnsi="Calibri"/>
                      <w:color w:val="auto"/>
                      <w:highlight w:val="none"/>
                    </w:rPr>
                  </w:pPr>
                  <w:r>
                    <w:rPr>
                      <w:rFonts w:hint="eastAsia"/>
                      <w:color w:val="auto"/>
                      <w:highlight w:val="none"/>
                      <w:lang w:val="en-US" w:eastAsia="zh-CN"/>
                    </w:rPr>
                    <w:t>-</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09DD9511">
                  <w:pPr>
                    <w:keepNext w:val="0"/>
                    <w:keepLines w:val="0"/>
                    <w:suppressLineNumbers w:val="0"/>
                    <w:spacing w:before="0" w:beforeAutospacing="0" w:after="0" w:afterAutospacing="0" w:line="280" w:lineRule="exact"/>
                    <w:ind w:left="0" w:leftChars="0" w:right="0" w:rightChars="0"/>
                    <w:jc w:val="center"/>
                    <w:rPr>
                      <w:rFonts w:hint="default" w:ascii="Calibri" w:hAnsi="Calibri"/>
                      <w:color w:val="auto"/>
                      <w:highlight w:val="none"/>
                    </w:rPr>
                  </w:pPr>
                  <w:r>
                    <w:rPr>
                      <w:rFonts w:hint="eastAsia"/>
                      <w:color w:val="auto"/>
                      <w:highlight w:val="none"/>
                      <w:lang w:val="en-US" w:eastAsia="zh-CN"/>
                    </w:rPr>
                    <w:t>-</w:t>
                  </w:r>
                </w:p>
              </w:tc>
              <w:tc>
                <w:tcPr>
                  <w:tcW w:w="1539" w:type="dxa"/>
                  <w:tcBorders>
                    <w:top w:val="single" w:color="auto" w:sz="4" w:space="0"/>
                    <w:left w:val="single" w:color="auto" w:sz="4" w:space="0"/>
                    <w:bottom w:val="single" w:color="auto" w:sz="4" w:space="0"/>
                    <w:right w:val="single" w:color="auto" w:sz="4" w:space="0"/>
                  </w:tcBorders>
                  <w:noWrap w:val="0"/>
                  <w:vAlign w:val="center"/>
                </w:tcPr>
                <w:p w14:paraId="35092184">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22EC164E">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384D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2F7F3A0F">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2322" w:type="dxa"/>
                  <w:tcBorders>
                    <w:top w:val="single" w:color="auto" w:sz="4" w:space="0"/>
                    <w:left w:val="single" w:color="auto" w:sz="4" w:space="0"/>
                    <w:bottom w:val="single" w:color="auto" w:sz="4" w:space="0"/>
                    <w:right w:val="single" w:color="auto" w:sz="4" w:space="0"/>
                  </w:tcBorders>
                  <w:noWrap w:val="0"/>
                  <w:vAlign w:val="top"/>
                </w:tcPr>
                <w:p w14:paraId="32FD8CCB">
                  <w:pPr>
                    <w:keepNext w:val="0"/>
                    <w:keepLines w:val="0"/>
                    <w:suppressLineNumbers w:val="0"/>
                    <w:spacing w:before="0" w:beforeAutospacing="0" w:after="0" w:afterAutospacing="0" w:line="280" w:lineRule="exact"/>
                    <w:ind w:left="0" w:right="0"/>
                    <w:rPr>
                      <w:rFonts w:hint="default"/>
                      <w:color w:val="auto"/>
                      <w:highlight w:val="none"/>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4098BE5C">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4FBE9AC3">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5A5F5D7E">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7CEABA66">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414E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7ED938DD">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2322" w:type="dxa"/>
                  <w:tcBorders>
                    <w:top w:val="single" w:color="auto" w:sz="4" w:space="0"/>
                    <w:left w:val="single" w:color="auto" w:sz="4" w:space="0"/>
                    <w:bottom w:val="single" w:color="auto" w:sz="4" w:space="0"/>
                    <w:right w:val="single" w:color="auto" w:sz="4" w:space="0"/>
                  </w:tcBorders>
                  <w:noWrap w:val="0"/>
                  <w:vAlign w:val="top"/>
                </w:tcPr>
                <w:p w14:paraId="2B806513">
                  <w:pPr>
                    <w:keepNext w:val="0"/>
                    <w:keepLines w:val="0"/>
                    <w:suppressLineNumbers w:val="0"/>
                    <w:spacing w:before="0" w:beforeAutospacing="0" w:after="0" w:afterAutospacing="0" w:line="280" w:lineRule="exact"/>
                    <w:ind w:left="0" w:right="0"/>
                    <w:rPr>
                      <w:rFonts w:hint="default"/>
                      <w:color w:val="auto"/>
                      <w:highlight w:val="none"/>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0AE41854">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11DF89B">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39" w:type="dxa"/>
                  <w:tcBorders>
                    <w:top w:val="single" w:color="auto" w:sz="4" w:space="0"/>
                    <w:left w:val="single" w:color="auto" w:sz="4" w:space="0"/>
                    <w:bottom w:val="single" w:color="auto" w:sz="4" w:space="0"/>
                    <w:right w:val="single" w:color="auto" w:sz="4" w:space="0"/>
                  </w:tcBorders>
                  <w:noWrap w:val="0"/>
                  <w:vAlign w:val="center"/>
                </w:tcPr>
                <w:p w14:paraId="10B028AE">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4EE1AF0C">
                  <w:pPr>
                    <w:keepNext w:val="0"/>
                    <w:keepLines w:val="0"/>
                    <w:suppressLineNumbers w:val="0"/>
                    <w:spacing w:before="0" w:beforeAutospacing="0" w:after="0" w:afterAutospacing="0" w:line="280" w:lineRule="exact"/>
                    <w:ind w:left="0" w:right="0"/>
                    <w:jc w:val="center"/>
                    <w:rPr>
                      <w:rFonts w:hint="default"/>
                      <w:color w:val="auto"/>
                      <w:highlight w:val="none"/>
                    </w:rPr>
                  </w:pPr>
                </w:p>
              </w:tc>
            </w:tr>
          </w:tbl>
          <w:p w14:paraId="459B82B4">
            <w:pPr>
              <w:keepNext w:val="0"/>
              <w:keepLines w:val="0"/>
              <w:suppressLineNumbers w:val="0"/>
              <w:wordWrap w:val="0"/>
              <w:spacing w:before="0" w:beforeAutospacing="0" w:after="0" w:afterAutospacing="0" w:line="400" w:lineRule="exact"/>
              <w:ind w:left="0" w:right="420"/>
              <w:rPr>
                <w:rFonts w:hint="default" w:ascii="宋体" w:hAnsi="宋体"/>
                <w:color w:val="auto"/>
                <w:highlight w:val="none"/>
              </w:rPr>
            </w:pPr>
            <w:r>
              <w:rPr>
                <w:rFonts w:hint="default"/>
                <w:color w:val="auto"/>
                <w:highlight w:val="none"/>
              </w:rPr>
              <w:t xml:space="preserve">          </w:t>
            </w:r>
          </w:p>
          <w:p w14:paraId="0A811EB3">
            <w:pPr>
              <w:keepNext w:val="0"/>
              <w:keepLines w:val="0"/>
              <w:suppressLineNumbers w:val="0"/>
              <w:wordWrap w:val="0"/>
              <w:spacing w:before="0" w:beforeAutospacing="0" w:after="0" w:afterAutospacing="0" w:line="400" w:lineRule="exact"/>
              <w:ind w:left="0" w:right="420"/>
              <w:rPr>
                <w:rFonts w:hint="default"/>
                <w:color w:val="auto"/>
                <w:highlight w:val="none"/>
              </w:rPr>
            </w:pPr>
            <w:r>
              <w:rPr>
                <w:rFonts w:hint="default"/>
                <w:color w:val="auto"/>
                <w:highlight w:val="none"/>
              </w:rPr>
              <w:t xml:space="preserve">                                  </w:t>
            </w:r>
            <w:r>
              <w:rPr>
                <w:rFonts w:hint="eastAsia"/>
                <w:color w:val="auto"/>
                <w:highlight w:val="none"/>
              </w:rPr>
              <w:t xml:space="preserve">                  </w:t>
            </w:r>
            <w:r>
              <w:rPr>
                <w:rFonts w:hint="eastAsia" w:ascii="宋体" w:hAnsi="宋体"/>
                <w:color w:val="auto"/>
                <w:highlight w:val="none"/>
              </w:rPr>
              <w:t xml:space="preserve">承包人（章） </w:t>
            </w:r>
            <w:r>
              <w:rPr>
                <w:rFonts w:hint="default"/>
                <w:color w:val="auto"/>
                <w:highlight w:val="none"/>
              </w:rPr>
              <w:t xml:space="preserve">            </w:t>
            </w:r>
          </w:p>
          <w:p w14:paraId="556F3EB3">
            <w:pPr>
              <w:keepNext w:val="0"/>
              <w:keepLines w:val="0"/>
              <w:suppressLineNumbers w:val="0"/>
              <w:spacing w:before="0" w:beforeAutospacing="0" w:after="0" w:afterAutospacing="0" w:line="400" w:lineRule="exact"/>
              <w:ind w:left="0" w:right="420" w:firstLine="435"/>
              <w:rPr>
                <w:rFonts w:hint="default"/>
                <w:color w:val="auto"/>
                <w:highlight w:val="none"/>
              </w:rPr>
            </w:pPr>
            <w:r>
              <w:rPr>
                <w:rFonts w:hint="eastAsia" w:ascii="宋体" w:hAnsi="宋体"/>
                <w:color w:val="auto"/>
                <w:highlight w:val="none"/>
              </w:rPr>
              <w:t>造价人员</w:t>
            </w:r>
            <w:r>
              <w:rPr>
                <w:rFonts w:hint="default"/>
                <w:color w:val="auto"/>
                <w:highlight w:val="none"/>
                <w:u w:val="single"/>
              </w:rPr>
              <w:t xml:space="preserve">               </w:t>
            </w:r>
            <w:r>
              <w:rPr>
                <w:rFonts w:hint="eastAsia" w:ascii="宋体" w:hAnsi="宋体"/>
                <w:color w:val="auto"/>
                <w:highlight w:val="none"/>
              </w:rPr>
              <w:t>承包人代表</w:t>
            </w:r>
            <w:r>
              <w:rPr>
                <w:rFonts w:hint="default"/>
                <w:color w:val="auto"/>
                <w:highlight w:val="none"/>
                <w:u w:val="singl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7A0D7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jc w:val="center"/>
        </w:trPr>
        <w:tc>
          <w:tcPr>
            <w:tcW w:w="4529" w:type="dxa"/>
            <w:tcBorders>
              <w:top w:val="single" w:color="auto" w:sz="4" w:space="0"/>
              <w:left w:val="single" w:color="auto" w:sz="4" w:space="0"/>
              <w:bottom w:val="single" w:color="auto" w:sz="4" w:space="0"/>
              <w:right w:val="single" w:color="auto" w:sz="4" w:space="0"/>
            </w:tcBorders>
            <w:noWrap w:val="0"/>
            <w:vAlign w:val="top"/>
          </w:tcPr>
          <w:p w14:paraId="4412EEC1">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58B2CAB3">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□与合同约定不相符</w:t>
            </w:r>
            <w:r>
              <w:rPr>
                <w:rFonts w:hint="eastAsia" w:ascii="宋体" w:hAnsi="宋体"/>
                <w:color w:val="auto"/>
                <w:highlight w:val="none"/>
                <w:lang w:eastAsia="zh-CN"/>
              </w:rPr>
              <w:t>，</w:t>
            </w:r>
            <w:r>
              <w:rPr>
                <w:rFonts w:hint="eastAsia" w:ascii="宋体" w:hAnsi="宋体"/>
                <w:color w:val="auto"/>
                <w:highlight w:val="none"/>
              </w:rPr>
              <w:t>修改意见见附件。</w:t>
            </w:r>
          </w:p>
          <w:p w14:paraId="7FCC02A0">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□与合同约定相符</w:t>
            </w:r>
            <w:r>
              <w:rPr>
                <w:rFonts w:hint="eastAsia" w:ascii="宋体" w:hAnsi="宋体"/>
                <w:color w:val="auto"/>
                <w:highlight w:val="none"/>
                <w:lang w:eastAsia="zh-CN"/>
              </w:rPr>
              <w:t>，</w:t>
            </w:r>
            <w:r>
              <w:rPr>
                <w:rFonts w:hint="eastAsia" w:ascii="宋体" w:hAnsi="宋体"/>
                <w:color w:val="auto"/>
                <w:highlight w:val="none"/>
              </w:rPr>
              <w:t>具体金额由造价工程师复核。</w:t>
            </w:r>
          </w:p>
          <w:p w14:paraId="508FABC7">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监理工程师</w:t>
            </w:r>
            <w:r>
              <w:rPr>
                <w:rFonts w:hint="default"/>
                <w:color w:val="auto"/>
                <w:highlight w:val="none"/>
                <w:u w:val="single"/>
              </w:rPr>
              <w:t xml:space="preserve">           </w:t>
            </w:r>
          </w:p>
          <w:p w14:paraId="33B143F4">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c>
          <w:tcPr>
            <w:tcW w:w="4543" w:type="dxa"/>
            <w:tcBorders>
              <w:top w:val="single" w:color="auto" w:sz="4" w:space="0"/>
              <w:left w:val="single" w:color="auto" w:sz="4" w:space="0"/>
              <w:bottom w:val="single" w:color="auto" w:sz="4" w:space="0"/>
              <w:right w:val="single" w:color="auto" w:sz="4" w:space="0"/>
            </w:tcBorders>
            <w:noWrap w:val="0"/>
            <w:vAlign w:val="top"/>
          </w:tcPr>
          <w:p w14:paraId="1031DDB4">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1322FA22">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你方提出的支付申请经复核</w:t>
            </w:r>
            <w:r>
              <w:rPr>
                <w:rFonts w:hint="eastAsia" w:ascii="宋体" w:hAnsi="宋体"/>
                <w:color w:val="auto"/>
                <w:highlight w:val="none"/>
                <w:lang w:eastAsia="zh-CN"/>
              </w:rPr>
              <w:t>，</w:t>
            </w:r>
            <w:r>
              <w:rPr>
                <w:rFonts w:hint="eastAsia" w:ascii="宋体" w:hAnsi="宋体"/>
                <w:color w:val="auto"/>
                <w:highlight w:val="none"/>
              </w:rPr>
              <w:t>应支付预付款金额为</w:t>
            </w:r>
            <w:r>
              <w:rPr>
                <w:rFonts w:hint="eastAsia"/>
                <w:color w:val="auto"/>
                <w:highlight w:val="none"/>
                <w:lang w:eastAsia="zh-CN"/>
              </w:rPr>
              <w:t>（</w:t>
            </w:r>
            <w:r>
              <w:rPr>
                <w:rFonts w:hint="eastAsia" w:ascii="宋体" w:hAnsi="宋体"/>
                <w:color w:val="auto"/>
                <w:highlight w:val="none"/>
              </w:rPr>
              <w:t>大写</w:t>
            </w:r>
            <w:r>
              <w:rPr>
                <w:rFonts w:hint="eastAsia"/>
                <w:color w:val="auto"/>
                <w:highlight w:val="none"/>
                <w:lang w:eastAsia="zh-CN"/>
              </w:rPr>
              <w:t>）</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元。</w:t>
            </w:r>
          </w:p>
          <w:p w14:paraId="7DC067C8">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造价工程师</w:t>
            </w:r>
            <w:r>
              <w:rPr>
                <w:rFonts w:hint="default"/>
                <w:color w:val="auto"/>
                <w:highlight w:val="none"/>
                <w:u w:val="single"/>
              </w:rPr>
              <w:t xml:space="preserve">           </w:t>
            </w:r>
          </w:p>
          <w:p w14:paraId="59E5189D">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3A6A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52AC5952">
            <w:pPr>
              <w:keepNext w:val="0"/>
              <w:keepLines w:val="0"/>
              <w:suppressLineNumbers w:val="0"/>
              <w:spacing w:before="0" w:beforeAutospacing="0" w:after="0" w:afterAutospacing="0"/>
              <w:ind w:left="0" w:right="0"/>
              <w:rPr>
                <w:rFonts w:hint="default"/>
                <w:color w:val="auto"/>
                <w:highlight w:val="none"/>
              </w:rPr>
            </w:pPr>
            <w:r>
              <w:rPr>
                <w:rFonts w:hint="eastAsia" w:ascii="宋体" w:hAnsi="宋体"/>
                <w:color w:val="auto"/>
                <w:highlight w:val="none"/>
              </w:rPr>
              <w:t>审核意见：</w:t>
            </w:r>
          </w:p>
          <w:p w14:paraId="4C6FA4E4">
            <w:pPr>
              <w:keepNext w:val="0"/>
              <w:keepLines w:val="0"/>
              <w:suppressLineNumbers w:val="0"/>
              <w:spacing w:before="0" w:beforeAutospacing="0" w:after="0" w:afterAutospacing="0"/>
              <w:ind w:left="0" w:right="0" w:firstLine="435"/>
              <w:rPr>
                <w:rFonts w:hint="default"/>
                <w:color w:val="auto"/>
                <w:highlight w:val="none"/>
              </w:rPr>
            </w:pPr>
            <w:r>
              <w:rPr>
                <w:rFonts w:hint="eastAsia" w:ascii="宋体" w:hAnsi="宋体"/>
                <w:color w:val="auto"/>
                <w:highlight w:val="none"/>
              </w:rPr>
              <w:t>□不同意。</w:t>
            </w:r>
          </w:p>
          <w:p w14:paraId="4A9AE89F">
            <w:pPr>
              <w:keepNext w:val="0"/>
              <w:keepLines w:val="0"/>
              <w:suppressLineNumbers w:val="0"/>
              <w:spacing w:before="0" w:beforeAutospacing="0" w:after="0" w:afterAutospacing="0"/>
              <w:ind w:left="0" w:right="0" w:firstLine="420" w:firstLineChars="200"/>
              <w:rPr>
                <w:rFonts w:hint="default"/>
                <w:color w:val="auto"/>
                <w:highlight w:val="none"/>
              </w:rPr>
            </w:pPr>
            <w:r>
              <w:rPr>
                <w:rFonts w:hint="eastAsia" w:ascii="宋体" w:hAnsi="宋体"/>
                <w:color w:val="auto"/>
                <w:highlight w:val="none"/>
              </w:rPr>
              <w:t>□同意</w:t>
            </w:r>
            <w:r>
              <w:rPr>
                <w:rFonts w:hint="eastAsia" w:ascii="宋体" w:hAnsi="宋体"/>
                <w:color w:val="auto"/>
                <w:highlight w:val="none"/>
                <w:lang w:eastAsia="zh-CN"/>
              </w:rPr>
              <w:t>，</w:t>
            </w:r>
            <w:r>
              <w:rPr>
                <w:rFonts w:hint="eastAsia" w:ascii="宋体" w:hAnsi="宋体"/>
                <w:color w:val="auto"/>
                <w:highlight w:val="none"/>
              </w:rPr>
              <w:t>支付时间为本表签发后的</w:t>
            </w:r>
            <w:r>
              <w:rPr>
                <w:rFonts w:hint="eastAsia"/>
                <w:color w:val="auto"/>
                <w:highlight w:val="none"/>
              </w:rPr>
              <w:t>15</w:t>
            </w:r>
            <w:r>
              <w:rPr>
                <w:rFonts w:hint="eastAsia" w:ascii="宋体" w:hAnsi="宋体"/>
                <w:color w:val="auto"/>
                <w:highlight w:val="none"/>
              </w:rPr>
              <w:t>天内。</w:t>
            </w:r>
          </w:p>
          <w:p w14:paraId="5C92894C">
            <w:pPr>
              <w:keepNext w:val="0"/>
              <w:keepLines w:val="0"/>
              <w:suppressLineNumbers w:val="0"/>
              <w:spacing w:before="0" w:beforeAutospacing="0" w:after="0" w:afterAutospacing="0"/>
              <w:ind w:left="0" w:right="735" w:firstLine="6195" w:firstLineChars="2950"/>
              <w:rPr>
                <w:rFonts w:hint="default"/>
                <w:color w:val="auto"/>
                <w:highlight w:val="none"/>
              </w:rPr>
            </w:pPr>
            <w:r>
              <w:rPr>
                <w:rFonts w:hint="eastAsia" w:ascii="宋体" w:hAnsi="宋体"/>
                <w:color w:val="auto"/>
                <w:highlight w:val="none"/>
              </w:rPr>
              <w:t xml:space="preserve">发包人（章） </w:t>
            </w:r>
            <w:r>
              <w:rPr>
                <w:rFonts w:hint="default"/>
                <w:color w:val="auto"/>
                <w:highlight w:val="none"/>
              </w:rPr>
              <w:t xml:space="preserve">          </w:t>
            </w:r>
          </w:p>
          <w:p w14:paraId="5A62BDEE">
            <w:pPr>
              <w:keepNext w:val="0"/>
              <w:keepLines w:val="0"/>
              <w:suppressLineNumbers w:val="0"/>
              <w:spacing w:before="0" w:beforeAutospacing="0" w:after="0" w:afterAutospacing="0"/>
              <w:ind w:left="0" w:right="420" w:firstLine="6195" w:firstLineChars="2950"/>
              <w:rPr>
                <w:rFonts w:hint="default"/>
                <w:color w:val="auto"/>
                <w:highlight w:val="none"/>
                <w:u w:val="single"/>
              </w:rPr>
            </w:pPr>
            <w:r>
              <w:rPr>
                <w:rFonts w:hint="eastAsia" w:ascii="宋体" w:hAnsi="宋体"/>
                <w:color w:val="auto"/>
                <w:highlight w:val="none"/>
              </w:rPr>
              <w:t>发包人代表</w:t>
            </w:r>
            <w:r>
              <w:rPr>
                <w:rFonts w:hint="default"/>
                <w:color w:val="auto"/>
                <w:highlight w:val="none"/>
                <w:u w:val="single"/>
              </w:rPr>
              <w:t xml:space="preserve">             </w:t>
            </w:r>
          </w:p>
          <w:p w14:paraId="0DC5C9AB">
            <w:pPr>
              <w:keepNext w:val="0"/>
              <w:keepLines w:val="0"/>
              <w:suppressLineNumbers w:val="0"/>
              <w:spacing w:before="0" w:beforeAutospacing="0" w:after="0" w:afterAutospacing="0"/>
              <w:ind w:left="0" w:right="420" w:firstLine="6195" w:firstLineChars="2950"/>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bl>
    <w:p w14:paraId="423DE42D">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注：1.在选择栏中的</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内作标识</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 xml:space="preserve">。 </w:t>
      </w:r>
    </w:p>
    <w:p w14:paraId="73BDFD2B">
      <w:pPr>
        <w:ind w:left="720" w:hanging="720" w:hangingChars="400"/>
        <w:rPr>
          <w:rFonts w:ascii="宋体" w:hAnsi="宋体"/>
          <w:color w:val="auto"/>
          <w:sz w:val="18"/>
          <w:szCs w:val="18"/>
          <w:highlight w:val="none"/>
        </w:rPr>
      </w:pPr>
      <w:r>
        <w:rPr>
          <w:rFonts w:hint="eastAsia" w:ascii="宋体" w:hAnsi="宋体"/>
          <w:color w:val="auto"/>
          <w:sz w:val="18"/>
          <w:szCs w:val="18"/>
          <w:highlight w:val="none"/>
        </w:rPr>
        <w:t xml:space="preserve">    </w:t>
      </w:r>
      <w:r>
        <w:rPr>
          <w:rFonts w:ascii="宋体" w:hAnsi="宋体"/>
          <w:color w:val="auto"/>
          <w:sz w:val="18"/>
          <w:szCs w:val="18"/>
          <w:highlight w:val="none"/>
        </w:rPr>
        <w:t xml:space="preserve">  </w:t>
      </w:r>
      <w:r>
        <w:rPr>
          <w:rFonts w:hint="eastAsia" w:ascii="宋体" w:hAnsi="宋体"/>
          <w:color w:val="auto"/>
          <w:sz w:val="18"/>
          <w:szCs w:val="18"/>
          <w:highlight w:val="none"/>
        </w:rPr>
        <w:t xml:space="preserve">  2.本表一式四份</w:t>
      </w:r>
      <w:r>
        <w:rPr>
          <w:rFonts w:hint="eastAsia" w:ascii="宋体" w:hAnsi="宋体"/>
          <w:color w:val="auto"/>
          <w:sz w:val="18"/>
          <w:szCs w:val="18"/>
          <w:highlight w:val="none"/>
          <w:lang w:eastAsia="zh-CN"/>
        </w:rPr>
        <w:t>，</w:t>
      </w:r>
      <w:r>
        <w:rPr>
          <w:rFonts w:hint="eastAsia" w:ascii="宋体" w:hAnsi="宋体"/>
          <w:color w:val="auto"/>
          <w:sz w:val="18"/>
          <w:szCs w:val="18"/>
          <w:highlight w:val="none"/>
        </w:rPr>
        <w:t>由承包人填报</w:t>
      </w:r>
      <w:r>
        <w:rPr>
          <w:rFonts w:hint="eastAsia" w:ascii="宋体" w:hAnsi="宋体"/>
          <w:color w:val="auto"/>
          <w:sz w:val="18"/>
          <w:szCs w:val="18"/>
          <w:highlight w:val="none"/>
          <w:lang w:eastAsia="zh-CN"/>
        </w:rPr>
        <w:t>，</w:t>
      </w:r>
      <w:r>
        <w:rPr>
          <w:rFonts w:hint="eastAsia" w:ascii="宋体" w:hAnsi="宋体"/>
          <w:color w:val="auto"/>
          <w:sz w:val="18"/>
          <w:szCs w:val="18"/>
          <w:highlight w:val="none"/>
        </w:rPr>
        <w:t>发包人、监理人、工程造价咨询人、承包人各存一份。</w:t>
      </w:r>
    </w:p>
    <w:p w14:paraId="37FC5ABE">
      <w:pPr>
        <w:widowControl/>
        <w:ind w:firstLine="720" w:firstLineChars="400"/>
        <w:jc w:val="both"/>
        <w:rPr>
          <w:rFonts w:hint="eastAsia" w:eastAsia="宋体"/>
          <w:color w:val="auto"/>
          <w:sz w:val="21"/>
          <w:szCs w:val="21"/>
          <w:highlight w:val="none"/>
          <w:lang w:eastAsia="zh-CN"/>
        </w:rPr>
      </w:pPr>
      <w:r>
        <w:rPr>
          <w:rFonts w:hint="eastAsia" w:ascii="宋体" w:hAnsi="宋体"/>
          <w:color w:val="auto"/>
          <w:sz w:val="18"/>
          <w:szCs w:val="18"/>
          <w:highlight w:val="none"/>
          <w:lang w:val="en-US" w:eastAsia="zh-CN"/>
        </w:rPr>
        <w:t>3.</w:t>
      </w:r>
      <w:r>
        <w:rPr>
          <w:rFonts w:hint="eastAsia" w:ascii="宋体" w:hAnsi="宋体"/>
          <w:color w:val="auto"/>
          <w:sz w:val="18"/>
          <w:szCs w:val="18"/>
          <w:highlight w:val="none"/>
        </w:rPr>
        <w:t>应付预付款计算基数=签约合同价款-暂列金额-专业工程暂估价-安全生产费</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 xml:space="preserve"> </w:t>
      </w:r>
      <w:r>
        <w:rPr>
          <w:rFonts w:hint="eastAsia" w:ascii="宋体" w:hAnsi="宋体"/>
          <w:color w:val="auto"/>
          <w:sz w:val="24"/>
          <w:highlight w:val="none"/>
          <w:lang w:val="en-US" w:eastAsia="zh-CN"/>
        </w:rPr>
        <w:t xml:space="preserve">                                                                       </w:t>
      </w:r>
      <w:r>
        <w:rPr>
          <w:rFonts w:hint="eastAsia" w:ascii="宋体" w:hAnsi="宋体"/>
          <w:color w:val="auto"/>
          <w:sz w:val="21"/>
          <w:szCs w:val="21"/>
          <w:highlight w:val="none"/>
          <w:lang w:val="en-US" w:eastAsia="zh-CN"/>
        </w:rPr>
        <w:t xml:space="preserve"> </w:t>
      </w:r>
    </w:p>
    <w:p w14:paraId="2AF411C4">
      <w:pPr>
        <w:jc w:val="center"/>
        <w:outlineLvl w:val="9"/>
        <w:rPr>
          <w:rFonts w:hint="eastAsia" w:ascii="宋体" w:hAnsi="宋体"/>
          <w:b/>
          <w:color w:val="auto"/>
          <w:sz w:val="30"/>
          <w:szCs w:val="30"/>
          <w:highlight w:val="none"/>
        </w:rPr>
      </w:pPr>
      <w:r>
        <w:rPr>
          <w:rFonts w:hint="eastAsia" w:ascii="宋体" w:hAnsi="宋体"/>
          <w:b/>
          <w:color w:val="auto"/>
          <w:sz w:val="30"/>
          <w:szCs w:val="30"/>
          <w:highlight w:val="none"/>
        </w:rPr>
        <w:br w:type="page"/>
      </w:r>
      <w:r>
        <w:rPr>
          <w:rFonts w:hint="eastAsia" w:ascii="宋体" w:hAnsi="宋体"/>
          <w:b/>
          <w:color w:val="auto"/>
          <w:sz w:val="30"/>
          <w:szCs w:val="30"/>
          <w:highlight w:val="none"/>
        </w:rPr>
        <w:t>预付款支付申请（核准）表</w:t>
      </w:r>
    </w:p>
    <w:p w14:paraId="1EFC55D7">
      <w:pPr>
        <w:jc w:val="center"/>
        <w:outlineLvl w:val="9"/>
        <w:rPr>
          <w:rFonts w:hint="eastAsia" w:ascii="宋体" w:hAnsi="宋体" w:eastAsia="宋体"/>
          <w:b/>
          <w:color w:val="auto"/>
          <w:sz w:val="36"/>
          <w:szCs w:val="36"/>
          <w:highlight w:val="none"/>
          <w:lang w:val="en-US" w:eastAsia="zh-CN"/>
        </w:rPr>
      </w:pPr>
      <w:r>
        <w:rPr>
          <w:rFonts w:hint="eastAsia" w:ascii="宋体" w:hAnsi="宋体"/>
          <w:b/>
          <w:color w:val="auto"/>
          <w:sz w:val="30"/>
          <w:szCs w:val="30"/>
          <w:highlight w:val="none"/>
          <w:lang w:val="en-US" w:eastAsia="zh-CN"/>
        </w:rPr>
        <w:t>（适用一次性支付）</w:t>
      </w:r>
    </w:p>
    <w:p w14:paraId="4EE8C7BC">
      <w:pPr>
        <w:spacing w:line="360" w:lineRule="auto"/>
        <w:rPr>
          <w:color w:val="auto"/>
          <w:sz w:val="21"/>
          <w:szCs w:val="21"/>
          <w:highlight w:val="none"/>
        </w:rPr>
      </w:pPr>
      <w:r>
        <w:rPr>
          <w:rFonts w:hint="eastAsia" w:ascii="宋体" w:hAnsi="宋体"/>
          <w:color w:val="auto"/>
          <w:sz w:val="21"/>
          <w:szCs w:val="21"/>
          <w:highlight w:val="none"/>
        </w:rPr>
        <w:t xml:space="preserve">工程名称：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编号：</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96"/>
        <w:gridCol w:w="4543"/>
      </w:tblGrid>
      <w:tr w14:paraId="258F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639" w:type="dxa"/>
            <w:gridSpan w:val="2"/>
            <w:tcBorders>
              <w:top w:val="single" w:color="auto" w:sz="4" w:space="0"/>
              <w:left w:val="single" w:color="auto" w:sz="4" w:space="0"/>
              <w:bottom w:val="single" w:color="auto" w:sz="4" w:space="0"/>
              <w:right w:val="single" w:color="auto" w:sz="4" w:space="0"/>
            </w:tcBorders>
            <w:noWrap w:val="0"/>
            <w:vAlign w:val="top"/>
          </w:tcPr>
          <w:p w14:paraId="286E564F">
            <w:pPr>
              <w:keepNext w:val="0"/>
              <w:keepLines w:val="0"/>
              <w:suppressLineNumbers w:val="0"/>
              <w:spacing w:before="0" w:beforeAutospacing="0" w:after="0" w:afterAutospacing="0" w:line="480" w:lineRule="exact"/>
              <w:ind w:left="525" w:leftChars="149" w:right="0" w:hanging="212" w:hangingChars="101"/>
              <w:rPr>
                <w:rFonts w:hint="default"/>
                <w:color w:val="auto"/>
                <w:highlight w:val="none"/>
                <w:u w:val="single"/>
              </w:rPr>
            </w:pPr>
            <w:r>
              <w:rPr>
                <w:rFonts w:hint="eastAsia" w:ascii="宋体" w:hAnsi="宋体"/>
                <w:color w:val="auto"/>
                <w:highlight w:val="none"/>
              </w:rPr>
              <w:t>致：</w:t>
            </w:r>
            <w:r>
              <w:rPr>
                <w:rFonts w:hint="default"/>
                <w:color w:val="auto"/>
                <w:highlight w:val="none"/>
                <w:u w:val="single"/>
              </w:rPr>
              <w:t xml:space="preserve">                                   </w:t>
            </w:r>
            <w:r>
              <w:rPr>
                <w:rFonts w:hint="eastAsia" w:ascii="宋体" w:hAnsi="宋体"/>
                <w:color w:val="auto"/>
                <w:highlight w:val="none"/>
                <w:u w:val="single"/>
              </w:rPr>
              <w:t>（发包人全称）</w:t>
            </w:r>
          </w:p>
          <w:p w14:paraId="2CCE21F5">
            <w:pPr>
              <w:keepNext w:val="0"/>
              <w:keepLines w:val="0"/>
              <w:suppressLineNumbers w:val="0"/>
              <w:spacing w:before="0" w:beforeAutospacing="0" w:after="0" w:afterAutospacing="0" w:line="400" w:lineRule="exact"/>
              <w:ind w:left="-4" w:leftChars="-2" w:right="0" w:firstLine="315" w:firstLineChars="150"/>
              <w:rPr>
                <w:rFonts w:hint="default"/>
                <w:color w:val="auto"/>
                <w:highlight w:val="none"/>
              </w:rPr>
            </w:pPr>
            <w:r>
              <w:rPr>
                <w:rFonts w:hint="eastAsia" w:ascii="宋体" w:hAnsi="宋体"/>
                <w:color w:val="auto"/>
                <w:highlight w:val="none"/>
              </w:rPr>
              <w:t>我方根据施工合同的约定</w:t>
            </w:r>
            <w:r>
              <w:rPr>
                <w:rFonts w:hint="eastAsia" w:ascii="宋体" w:hAnsi="宋体"/>
                <w:color w:val="auto"/>
                <w:highlight w:val="none"/>
                <w:lang w:eastAsia="zh-CN"/>
              </w:rPr>
              <w:t>，</w:t>
            </w:r>
            <w:r>
              <w:rPr>
                <w:rFonts w:hint="eastAsia" w:ascii="宋体" w:hAnsi="宋体"/>
                <w:color w:val="auto"/>
                <w:highlight w:val="none"/>
              </w:rPr>
              <w:t>现申请支付工程预付款额为</w:t>
            </w:r>
            <w:r>
              <w:rPr>
                <w:rFonts w:hint="eastAsia"/>
                <w:color w:val="auto"/>
                <w:highlight w:val="none"/>
                <w:lang w:eastAsia="zh-CN"/>
              </w:rPr>
              <w:t>（</w:t>
            </w:r>
            <w:r>
              <w:rPr>
                <w:rFonts w:hint="eastAsia" w:ascii="宋体" w:hAnsi="宋体"/>
                <w:color w:val="auto"/>
                <w:highlight w:val="none"/>
              </w:rPr>
              <w:t>大写</w:t>
            </w:r>
            <w:r>
              <w:rPr>
                <w:rFonts w:hint="eastAsia"/>
                <w:color w:val="auto"/>
                <w:highlight w:val="none"/>
                <w:lang w:eastAsia="zh-CN"/>
              </w:rPr>
              <w:t>）</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color w:val="auto"/>
                <w:highlight w:val="none"/>
                <w:lang w:eastAsia="zh-CN"/>
              </w:rPr>
              <w:t>（</w:t>
            </w:r>
            <w:r>
              <w:rPr>
                <w:rFonts w:hint="eastAsia" w:ascii="宋体" w:hAnsi="宋体"/>
                <w:color w:val="auto"/>
                <w:highlight w:val="none"/>
              </w:rPr>
              <w:t>小写</w:t>
            </w:r>
            <w:r>
              <w:rPr>
                <w:rFonts w:hint="eastAsia"/>
                <w:color w:val="auto"/>
                <w:highlight w:val="none"/>
                <w:lang w:eastAsia="zh-CN"/>
              </w:rPr>
              <w:t>）</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请予核准。</w:t>
            </w:r>
          </w:p>
          <w:tbl>
            <w:tblPr>
              <w:tblStyle w:val="54"/>
              <w:tblW w:w="884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2211"/>
              <w:gridCol w:w="1661"/>
              <w:gridCol w:w="1336"/>
              <w:gridCol w:w="1498"/>
              <w:gridCol w:w="1500"/>
            </w:tblGrid>
            <w:tr w14:paraId="62E9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cBorders>
                  <w:noWrap w:val="0"/>
                  <w:vAlign w:val="center"/>
                </w:tcPr>
                <w:p w14:paraId="05FEDD80">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序号</w:t>
                  </w:r>
                </w:p>
              </w:tc>
              <w:tc>
                <w:tcPr>
                  <w:tcW w:w="2211" w:type="dxa"/>
                  <w:tcBorders>
                    <w:top w:val="single" w:color="auto" w:sz="4" w:space="0"/>
                    <w:left w:val="single" w:color="auto" w:sz="4" w:space="0"/>
                    <w:bottom w:val="single" w:color="auto" w:sz="4" w:space="0"/>
                    <w:right w:val="single" w:color="auto" w:sz="4" w:space="0"/>
                  </w:tcBorders>
                  <w:noWrap w:val="0"/>
                  <w:vAlign w:val="center"/>
                </w:tcPr>
                <w:p w14:paraId="4D25E525">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 xml:space="preserve">名 </w:t>
                  </w:r>
                  <w:r>
                    <w:rPr>
                      <w:rFonts w:hint="default"/>
                      <w:color w:val="auto"/>
                      <w:highlight w:val="none"/>
                    </w:rPr>
                    <w:t xml:space="preserve">     </w:t>
                  </w:r>
                  <w:r>
                    <w:rPr>
                      <w:rFonts w:hint="eastAsia" w:ascii="宋体" w:hAnsi="宋体"/>
                      <w:color w:val="auto"/>
                      <w:highlight w:val="none"/>
                    </w:rPr>
                    <w:t>称</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535AA9FE">
                  <w:pPr>
                    <w:keepNext w:val="0"/>
                    <w:keepLines w:val="0"/>
                    <w:suppressLineNumbers w:val="0"/>
                    <w:spacing w:before="0" w:beforeAutospacing="0" w:after="0" w:afterAutospacing="0" w:line="280" w:lineRule="exact"/>
                    <w:ind w:left="0" w:right="0"/>
                    <w:jc w:val="center"/>
                    <w:rPr>
                      <w:rFonts w:hint="default" w:ascii="宋体" w:hAnsi="宋体"/>
                      <w:color w:val="auto"/>
                      <w:highlight w:val="none"/>
                    </w:rPr>
                  </w:pPr>
                  <w:r>
                    <w:rPr>
                      <w:rFonts w:hint="eastAsia" w:ascii="宋体" w:hAnsi="宋体"/>
                      <w:color w:val="auto"/>
                      <w:highlight w:val="none"/>
                    </w:rPr>
                    <w:t>计算基数</w:t>
                  </w:r>
                </w:p>
              </w:tc>
              <w:tc>
                <w:tcPr>
                  <w:tcW w:w="1336" w:type="dxa"/>
                  <w:tcBorders>
                    <w:top w:val="single" w:color="auto" w:sz="4" w:space="0"/>
                    <w:left w:val="single" w:color="auto" w:sz="4" w:space="0"/>
                    <w:bottom w:val="single" w:color="auto" w:sz="4" w:space="0"/>
                    <w:right w:val="single" w:color="auto" w:sz="4" w:space="0"/>
                  </w:tcBorders>
                  <w:noWrap w:val="0"/>
                  <w:vAlign w:val="center"/>
                </w:tcPr>
                <w:p w14:paraId="426B5BBD">
                  <w:pPr>
                    <w:keepNext w:val="0"/>
                    <w:keepLines w:val="0"/>
                    <w:suppressLineNumbers w:val="0"/>
                    <w:spacing w:before="0" w:beforeAutospacing="0" w:after="0" w:afterAutospacing="0" w:line="280" w:lineRule="exact"/>
                    <w:ind w:left="0" w:right="0"/>
                    <w:jc w:val="center"/>
                    <w:rPr>
                      <w:rFonts w:hint="default" w:ascii="宋体" w:hAnsi="宋体"/>
                      <w:color w:val="auto"/>
                      <w:highlight w:val="none"/>
                    </w:rPr>
                  </w:pPr>
                  <w:r>
                    <w:rPr>
                      <w:rFonts w:hint="eastAsia" w:ascii="宋体" w:hAnsi="宋体"/>
                      <w:color w:val="auto"/>
                      <w:highlight w:val="none"/>
                    </w:rPr>
                    <w:t>支付比例</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1245A6DF">
                  <w:pPr>
                    <w:keepNext w:val="0"/>
                    <w:keepLines w:val="0"/>
                    <w:suppressLineNumbers w:val="0"/>
                    <w:spacing w:before="0" w:beforeAutospacing="0" w:after="0" w:afterAutospacing="0" w:line="280" w:lineRule="exact"/>
                    <w:ind w:left="0" w:right="0"/>
                    <w:jc w:val="center"/>
                    <w:rPr>
                      <w:rFonts w:hint="default" w:ascii="宋体" w:hAnsi="宋体"/>
                      <w:color w:val="auto"/>
                      <w:highlight w:val="none"/>
                    </w:rPr>
                  </w:pPr>
                  <w:r>
                    <w:rPr>
                      <w:rFonts w:hint="eastAsia" w:ascii="宋体" w:hAnsi="宋体"/>
                      <w:color w:val="auto"/>
                      <w:highlight w:val="none"/>
                    </w:rPr>
                    <w:t>申请金额（元）</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1386B33B">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复核金额（元）</w:t>
                  </w:r>
                </w:p>
              </w:tc>
            </w:tr>
            <w:tr w14:paraId="0D164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4BCF8CC6">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p>
              </w:tc>
              <w:tc>
                <w:tcPr>
                  <w:tcW w:w="2211" w:type="dxa"/>
                  <w:tcBorders>
                    <w:top w:val="single" w:color="auto" w:sz="4" w:space="0"/>
                    <w:left w:val="single" w:color="auto" w:sz="4" w:space="0"/>
                    <w:bottom w:val="single" w:color="auto" w:sz="4" w:space="0"/>
                    <w:right w:val="single" w:color="auto" w:sz="4" w:space="0"/>
                  </w:tcBorders>
                  <w:noWrap w:val="0"/>
                  <w:vAlign w:val="top"/>
                </w:tcPr>
                <w:p w14:paraId="73A90E69">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rPr>
                    <w:t>签约合同价款</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69E19E90">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3275DA16">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44BD8744">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38A3CB52">
                  <w:pPr>
                    <w:keepNext w:val="0"/>
                    <w:keepLines w:val="0"/>
                    <w:suppressLineNumbers w:val="0"/>
                    <w:spacing w:before="0" w:beforeAutospacing="0" w:after="0" w:afterAutospacing="0" w:line="280" w:lineRule="exact"/>
                    <w:ind w:left="0" w:right="0"/>
                    <w:jc w:val="center"/>
                    <w:rPr>
                      <w:rFonts w:hint="eastAsia" w:eastAsia="宋体"/>
                      <w:color w:val="auto"/>
                      <w:highlight w:val="none"/>
                      <w:lang w:val="en-US" w:eastAsia="zh-CN"/>
                    </w:rPr>
                  </w:pPr>
                  <w:r>
                    <w:rPr>
                      <w:rFonts w:hint="eastAsia"/>
                      <w:color w:val="auto"/>
                      <w:highlight w:val="none"/>
                      <w:lang w:val="en-US" w:eastAsia="zh-CN"/>
                    </w:rPr>
                    <w:t>-</w:t>
                  </w:r>
                </w:p>
              </w:tc>
            </w:tr>
            <w:tr w14:paraId="51A3C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331757C3">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1.1</w:t>
                  </w:r>
                </w:p>
              </w:tc>
              <w:tc>
                <w:tcPr>
                  <w:tcW w:w="2211" w:type="dxa"/>
                  <w:tcBorders>
                    <w:top w:val="single" w:color="auto" w:sz="4" w:space="0"/>
                    <w:left w:val="single" w:color="auto" w:sz="4" w:space="0"/>
                    <w:bottom w:val="single" w:color="auto" w:sz="4" w:space="0"/>
                    <w:right w:val="single" w:color="auto" w:sz="4" w:space="0"/>
                  </w:tcBorders>
                  <w:noWrap w:val="0"/>
                  <w:vAlign w:val="top"/>
                </w:tcPr>
                <w:p w14:paraId="59E1C009">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rPr>
                    <w:t>暂列金额</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384A4DC9">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1F39F6E3">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5920286E">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3926925E">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26DD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74AA2A38">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r>
                    <w:rPr>
                      <w:rFonts w:hint="eastAsia"/>
                      <w:color w:val="auto"/>
                      <w:highlight w:val="none"/>
                      <w:lang w:val="en-US" w:eastAsia="zh-CN"/>
                    </w:rPr>
                    <w:t>2</w:t>
                  </w:r>
                </w:p>
              </w:tc>
              <w:tc>
                <w:tcPr>
                  <w:tcW w:w="2211" w:type="dxa"/>
                  <w:tcBorders>
                    <w:top w:val="single" w:color="auto" w:sz="4" w:space="0"/>
                    <w:left w:val="single" w:color="auto" w:sz="4" w:space="0"/>
                    <w:bottom w:val="single" w:color="auto" w:sz="4" w:space="0"/>
                    <w:right w:val="single" w:color="auto" w:sz="4" w:space="0"/>
                  </w:tcBorders>
                  <w:noWrap w:val="0"/>
                  <w:vAlign w:val="top"/>
                </w:tcPr>
                <w:p w14:paraId="39079CC1">
                  <w:pPr>
                    <w:keepNext w:val="0"/>
                    <w:keepLines w:val="0"/>
                    <w:suppressLineNumbers w:val="0"/>
                    <w:spacing w:before="0" w:beforeAutospacing="0" w:after="0" w:afterAutospacing="0" w:line="280" w:lineRule="exact"/>
                    <w:ind w:left="0" w:right="0"/>
                    <w:rPr>
                      <w:rFonts w:hint="default" w:ascii="宋体" w:hAnsi="宋体"/>
                      <w:color w:val="auto"/>
                      <w:highlight w:val="none"/>
                    </w:rPr>
                  </w:pPr>
                  <w:r>
                    <w:rPr>
                      <w:rFonts w:hint="eastAsia" w:ascii="宋体" w:hAnsi="宋体"/>
                      <w:color w:val="auto"/>
                      <w:highlight w:val="none"/>
                    </w:rPr>
                    <w:t>专业工程暂估价</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6741D83F">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1E9C39B6">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0E268D8D">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5B59594F">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14019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636" w:type="dxa"/>
                  <w:tcBorders>
                    <w:top w:val="single" w:color="auto" w:sz="4" w:space="0"/>
                    <w:left w:val="single" w:color="auto" w:sz="4" w:space="0"/>
                    <w:bottom w:val="single" w:color="auto" w:sz="4" w:space="0"/>
                    <w:right w:val="single" w:color="auto" w:sz="4" w:space="0"/>
                  </w:tcBorders>
                  <w:noWrap w:val="0"/>
                  <w:vAlign w:val="top"/>
                </w:tcPr>
                <w:p w14:paraId="7BC15139">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r>
                    <w:rPr>
                      <w:rFonts w:hint="eastAsia"/>
                      <w:color w:val="auto"/>
                      <w:highlight w:val="none"/>
                      <w:lang w:val="en-US" w:eastAsia="zh-CN"/>
                    </w:rPr>
                    <w:t>3</w:t>
                  </w:r>
                </w:p>
              </w:tc>
              <w:tc>
                <w:tcPr>
                  <w:tcW w:w="2211" w:type="dxa"/>
                  <w:tcBorders>
                    <w:top w:val="single" w:color="auto" w:sz="4" w:space="0"/>
                    <w:left w:val="single" w:color="auto" w:sz="4" w:space="0"/>
                    <w:bottom w:val="single" w:color="auto" w:sz="4" w:space="0"/>
                    <w:right w:val="single" w:color="auto" w:sz="4" w:space="0"/>
                  </w:tcBorders>
                  <w:noWrap w:val="0"/>
                  <w:vAlign w:val="top"/>
                </w:tcPr>
                <w:p w14:paraId="27E15FF8">
                  <w:pPr>
                    <w:keepNext w:val="0"/>
                    <w:keepLines w:val="0"/>
                    <w:suppressLineNumbers w:val="0"/>
                    <w:spacing w:before="0" w:beforeAutospacing="0" w:after="0" w:afterAutospacing="0" w:line="280" w:lineRule="exact"/>
                    <w:ind w:left="0" w:right="0"/>
                    <w:rPr>
                      <w:rFonts w:hint="default" w:ascii="宋体" w:hAnsi="宋体"/>
                      <w:color w:val="auto"/>
                      <w:highlight w:val="none"/>
                      <w:lang w:val="en"/>
                    </w:rPr>
                  </w:pPr>
                  <w:r>
                    <w:rPr>
                      <w:rFonts w:hint="default" w:ascii="宋体" w:hAnsi="宋体"/>
                      <w:color w:val="auto"/>
                      <w:highlight w:val="none"/>
                      <w:lang w:val="en"/>
                    </w:rPr>
                    <w:t>安全生产费</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3B4A0CB1">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3E9D912F">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5FE18BAD">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56F1E544">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1E0EA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235006C1">
                  <w:pPr>
                    <w:keepNext w:val="0"/>
                    <w:keepLines w:val="0"/>
                    <w:suppressLineNumbers w:val="0"/>
                    <w:spacing w:before="0" w:beforeAutospacing="0" w:after="0" w:afterAutospacing="0" w:line="280" w:lineRule="exact"/>
                    <w:ind w:left="0" w:right="0"/>
                    <w:jc w:val="center"/>
                    <w:rPr>
                      <w:rFonts w:hint="eastAsia" w:eastAsia="宋体"/>
                      <w:color w:val="auto"/>
                      <w:highlight w:val="none"/>
                      <w:lang w:val="en-US" w:eastAsia="zh-CN"/>
                    </w:rPr>
                  </w:pPr>
                  <w:r>
                    <w:rPr>
                      <w:rFonts w:hint="eastAsia"/>
                      <w:color w:val="auto"/>
                      <w:highlight w:val="none"/>
                      <w:lang w:val="en-US" w:eastAsia="zh-CN"/>
                    </w:rPr>
                    <w:t>2</w:t>
                  </w:r>
                </w:p>
              </w:tc>
              <w:tc>
                <w:tcPr>
                  <w:tcW w:w="2211" w:type="dxa"/>
                  <w:tcBorders>
                    <w:top w:val="single" w:color="auto" w:sz="4" w:space="0"/>
                    <w:left w:val="single" w:color="auto" w:sz="4" w:space="0"/>
                    <w:bottom w:val="single" w:color="auto" w:sz="4" w:space="0"/>
                    <w:right w:val="single" w:color="auto" w:sz="4" w:space="0"/>
                  </w:tcBorders>
                  <w:noWrap w:val="0"/>
                  <w:vAlign w:val="top"/>
                </w:tcPr>
                <w:p w14:paraId="75F45A5F">
                  <w:pPr>
                    <w:keepNext w:val="0"/>
                    <w:keepLines w:val="0"/>
                    <w:suppressLineNumbers w:val="0"/>
                    <w:spacing w:before="0" w:beforeAutospacing="0" w:after="0" w:afterAutospacing="0" w:line="280" w:lineRule="exact"/>
                    <w:ind w:left="0" w:right="0"/>
                    <w:rPr>
                      <w:rFonts w:hint="eastAsia" w:ascii="宋体" w:hAnsi="宋体" w:eastAsia="宋体"/>
                      <w:color w:val="auto"/>
                      <w:highlight w:val="none"/>
                      <w:lang w:eastAsia="zh-CN"/>
                    </w:rPr>
                  </w:pPr>
                  <w:r>
                    <w:rPr>
                      <w:rFonts w:hint="eastAsia" w:ascii="宋体" w:hAnsi="宋体"/>
                      <w:color w:val="auto"/>
                      <w:highlight w:val="none"/>
                      <w:lang w:val="en-US" w:eastAsia="zh-CN"/>
                    </w:rPr>
                    <w:t>应付</w:t>
                  </w:r>
                  <w:r>
                    <w:rPr>
                      <w:rFonts w:hint="eastAsia" w:ascii="宋体" w:hAnsi="宋体"/>
                      <w:color w:val="auto"/>
                      <w:highlight w:val="none"/>
                      <w:lang w:eastAsia="zh-CN"/>
                    </w:rPr>
                    <w:t>预付款</w:t>
                  </w:r>
                </w:p>
              </w:tc>
              <w:tc>
                <w:tcPr>
                  <w:tcW w:w="1661" w:type="dxa"/>
                  <w:tcBorders>
                    <w:top w:val="single" w:color="auto" w:sz="4" w:space="0"/>
                    <w:left w:val="single" w:color="auto" w:sz="4" w:space="0"/>
                    <w:bottom w:val="single" w:color="auto" w:sz="4" w:space="0"/>
                    <w:right w:val="single" w:color="auto" w:sz="4" w:space="0"/>
                  </w:tcBorders>
                  <w:noWrap w:val="0"/>
                  <w:vAlign w:val="center"/>
                </w:tcPr>
                <w:p w14:paraId="76E3E16D">
                  <w:pPr>
                    <w:keepNext w:val="0"/>
                    <w:keepLines w:val="0"/>
                    <w:suppressLineNumbers w:val="0"/>
                    <w:spacing w:before="0" w:beforeAutospacing="0" w:after="0" w:afterAutospacing="0" w:line="280" w:lineRule="exact"/>
                    <w:ind w:left="0" w:right="0"/>
                    <w:jc w:val="center"/>
                    <w:rPr>
                      <w:rFonts w:hint="default" w:eastAsia="宋体"/>
                      <w:color w:val="auto"/>
                      <w:highlight w:val="none"/>
                      <w:lang w:val="en-US" w:eastAsia="zh-CN"/>
                    </w:rPr>
                  </w:pPr>
                  <w:r>
                    <w:rPr>
                      <w:rFonts w:hint="eastAsia"/>
                      <w:color w:val="auto"/>
                      <w:highlight w:val="none"/>
                      <w:lang w:val="en-US" w:eastAsia="zh-CN"/>
                    </w:rPr>
                    <w:t>1-(1.1+1.2+1.3)</w:t>
                  </w:r>
                </w:p>
              </w:tc>
              <w:tc>
                <w:tcPr>
                  <w:tcW w:w="1336" w:type="dxa"/>
                  <w:tcBorders>
                    <w:top w:val="single" w:color="auto" w:sz="4" w:space="0"/>
                    <w:left w:val="single" w:color="auto" w:sz="4" w:space="0"/>
                    <w:bottom w:val="single" w:color="auto" w:sz="4" w:space="0"/>
                    <w:right w:val="single" w:color="auto" w:sz="4" w:space="0"/>
                  </w:tcBorders>
                  <w:noWrap w:val="0"/>
                  <w:vAlign w:val="center"/>
                </w:tcPr>
                <w:p w14:paraId="55BF7E65">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498" w:type="dxa"/>
                  <w:tcBorders>
                    <w:top w:val="single" w:color="auto" w:sz="4" w:space="0"/>
                    <w:left w:val="single" w:color="auto" w:sz="4" w:space="0"/>
                    <w:bottom w:val="single" w:color="auto" w:sz="4" w:space="0"/>
                    <w:right w:val="single" w:color="auto" w:sz="4" w:space="0"/>
                  </w:tcBorders>
                  <w:noWrap w:val="0"/>
                  <w:vAlign w:val="center"/>
                </w:tcPr>
                <w:p w14:paraId="7BF17FDF">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2DA37CDF">
                  <w:pPr>
                    <w:keepNext w:val="0"/>
                    <w:keepLines w:val="0"/>
                    <w:suppressLineNumbers w:val="0"/>
                    <w:spacing w:before="0" w:beforeAutospacing="0" w:after="0" w:afterAutospacing="0" w:line="280" w:lineRule="exact"/>
                    <w:ind w:left="0" w:leftChars="0" w:right="0" w:rightChars="0"/>
                    <w:jc w:val="center"/>
                    <w:rPr>
                      <w:rFonts w:hint="default"/>
                      <w:color w:val="auto"/>
                      <w:highlight w:val="none"/>
                    </w:rPr>
                  </w:pPr>
                  <w:r>
                    <w:rPr>
                      <w:rFonts w:hint="eastAsia"/>
                      <w:color w:val="auto"/>
                      <w:highlight w:val="none"/>
                      <w:lang w:val="en-US" w:eastAsia="zh-CN"/>
                    </w:rPr>
                    <w:t>-</w:t>
                  </w:r>
                </w:p>
              </w:tc>
            </w:tr>
            <w:tr w14:paraId="76C47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58EF5F96">
                  <w:pPr>
                    <w:keepNext w:val="0"/>
                    <w:keepLines w:val="0"/>
                    <w:suppressLineNumbers w:val="0"/>
                    <w:spacing w:before="0" w:beforeAutospacing="0" w:after="0" w:afterAutospacing="0" w:line="280" w:lineRule="exact"/>
                    <w:ind w:left="0" w:leftChars="0" w:right="0" w:rightChars="0"/>
                    <w:jc w:val="center"/>
                    <w:rPr>
                      <w:rFonts w:hint="eastAsia" w:ascii="Calibri" w:hAnsi="Calibri" w:eastAsia="宋体"/>
                      <w:color w:val="auto"/>
                      <w:highlight w:val="none"/>
                      <w:lang w:val="en-US" w:eastAsia="zh-CN"/>
                    </w:rPr>
                  </w:pPr>
                </w:p>
              </w:tc>
              <w:tc>
                <w:tcPr>
                  <w:tcW w:w="2211" w:type="dxa"/>
                  <w:tcBorders>
                    <w:top w:val="single" w:color="auto" w:sz="4" w:space="0"/>
                    <w:left w:val="single" w:color="auto" w:sz="4" w:space="0"/>
                    <w:bottom w:val="single" w:color="auto" w:sz="4" w:space="0"/>
                    <w:right w:val="single" w:color="auto" w:sz="4" w:space="0"/>
                  </w:tcBorders>
                  <w:noWrap w:val="0"/>
                  <w:vAlign w:val="top"/>
                </w:tcPr>
                <w:p w14:paraId="4D5D25DE">
                  <w:pPr>
                    <w:keepNext w:val="0"/>
                    <w:keepLines w:val="0"/>
                    <w:suppressLineNumbers w:val="0"/>
                    <w:spacing w:before="0" w:beforeAutospacing="0" w:after="0" w:afterAutospacing="0" w:line="280" w:lineRule="exact"/>
                    <w:ind w:left="0" w:leftChars="0" w:right="0" w:rightChars="0"/>
                    <w:rPr>
                      <w:rFonts w:hint="default" w:ascii="Calibri" w:hAnsi="Calibri"/>
                      <w:color w:val="auto"/>
                      <w:highlight w:val="none"/>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0031EF73">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503CFE8E">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498" w:type="dxa"/>
                  <w:tcBorders>
                    <w:top w:val="single" w:color="auto" w:sz="4" w:space="0"/>
                    <w:left w:val="single" w:color="auto" w:sz="4" w:space="0"/>
                    <w:bottom w:val="single" w:color="auto" w:sz="4" w:space="0"/>
                    <w:right w:val="single" w:color="auto" w:sz="4" w:space="0"/>
                  </w:tcBorders>
                  <w:noWrap w:val="0"/>
                  <w:vAlign w:val="center"/>
                </w:tcPr>
                <w:p w14:paraId="085B8D0F">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E7E8AB9">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3163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cBorders>
                  <w:noWrap w:val="0"/>
                  <w:vAlign w:val="top"/>
                </w:tcPr>
                <w:p w14:paraId="3B48E7C2">
                  <w:pPr>
                    <w:keepNext w:val="0"/>
                    <w:keepLines w:val="0"/>
                    <w:suppressLineNumbers w:val="0"/>
                    <w:spacing w:before="0" w:beforeAutospacing="0" w:after="0" w:afterAutospacing="0" w:line="280" w:lineRule="exact"/>
                    <w:ind w:left="0" w:leftChars="0" w:right="0" w:rightChars="0"/>
                    <w:jc w:val="center"/>
                    <w:rPr>
                      <w:rFonts w:hint="default" w:ascii="Calibri" w:hAnsi="Calibri"/>
                      <w:color w:val="auto"/>
                      <w:highlight w:val="none"/>
                    </w:rPr>
                  </w:pPr>
                </w:p>
              </w:tc>
              <w:tc>
                <w:tcPr>
                  <w:tcW w:w="2211" w:type="dxa"/>
                  <w:tcBorders>
                    <w:top w:val="single" w:color="auto" w:sz="4" w:space="0"/>
                    <w:left w:val="single" w:color="auto" w:sz="4" w:space="0"/>
                    <w:bottom w:val="single" w:color="auto" w:sz="4" w:space="0"/>
                    <w:right w:val="single" w:color="auto" w:sz="4" w:space="0"/>
                  </w:tcBorders>
                  <w:noWrap w:val="0"/>
                  <w:vAlign w:val="top"/>
                </w:tcPr>
                <w:p w14:paraId="3012B013">
                  <w:pPr>
                    <w:keepNext w:val="0"/>
                    <w:keepLines w:val="0"/>
                    <w:suppressLineNumbers w:val="0"/>
                    <w:spacing w:before="0" w:beforeAutospacing="0" w:after="0" w:afterAutospacing="0" w:line="280" w:lineRule="exact"/>
                    <w:ind w:left="0" w:leftChars="0" w:right="0" w:rightChars="0"/>
                    <w:rPr>
                      <w:rFonts w:hint="default" w:ascii="Calibri" w:hAnsi="Calibri"/>
                      <w:color w:val="auto"/>
                      <w:highlight w:val="none"/>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30CB8511">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641D85CA">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498" w:type="dxa"/>
                  <w:tcBorders>
                    <w:top w:val="single" w:color="auto" w:sz="4" w:space="0"/>
                    <w:left w:val="single" w:color="auto" w:sz="4" w:space="0"/>
                    <w:bottom w:val="single" w:color="auto" w:sz="4" w:space="0"/>
                    <w:right w:val="single" w:color="auto" w:sz="4" w:space="0"/>
                  </w:tcBorders>
                  <w:noWrap w:val="0"/>
                  <w:vAlign w:val="center"/>
                </w:tcPr>
                <w:p w14:paraId="1836AD53">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6EA6962A">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2344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0843E529">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2211" w:type="dxa"/>
                  <w:tcBorders>
                    <w:top w:val="single" w:color="auto" w:sz="4" w:space="0"/>
                    <w:left w:val="single" w:color="auto" w:sz="4" w:space="0"/>
                    <w:bottom w:val="single" w:color="auto" w:sz="4" w:space="0"/>
                    <w:right w:val="single" w:color="auto" w:sz="4" w:space="0"/>
                  </w:tcBorders>
                  <w:noWrap w:val="0"/>
                  <w:vAlign w:val="top"/>
                </w:tcPr>
                <w:p w14:paraId="4DE629B9">
                  <w:pPr>
                    <w:keepNext w:val="0"/>
                    <w:keepLines w:val="0"/>
                    <w:suppressLineNumbers w:val="0"/>
                    <w:spacing w:before="0" w:beforeAutospacing="0" w:after="0" w:afterAutospacing="0" w:line="280" w:lineRule="exact"/>
                    <w:ind w:left="0" w:right="0"/>
                    <w:rPr>
                      <w:rFonts w:hint="default"/>
                      <w:color w:val="auto"/>
                      <w:highlight w:val="none"/>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0455DEDC">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1678100C">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498" w:type="dxa"/>
                  <w:tcBorders>
                    <w:top w:val="single" w:color="auto" w:sz="4" w:space="0"/>
                    <w:left w:val="single" w:color="auto" w:sz="4" w:space="0"/>
                    <w:bottom w:val="single" w:color="auto" w:sz="4" w:space="0"/>
                    <w:right w:val="single" w:color="auto" w:sz="4" w:space="0"/>
                  </w:tcBorders>
                  <w:noWrap w:val="0"/>
                  <w:vAlign w:val="center"/>
                </w:tcPr>
                <w:p w14:paraId="5A2FF824">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7F9F40EF">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4D5CA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61975808">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2211" w:type="dxa"/>
                  <w:tcBorders>
                    <w:top w:val="single" w:color="auto" w:sz="4" w:space="0"/>
                    <w:left w:val="single" w:color="auto" w:sz="4" w:space="0"/>
                    <w:bottom w:val="single" w:color="auto" w:sz="4" w:space="0"/>
                    <w:right w:val="single" w:color="auto" w:sz="4" w:space="0"/>
                  </w:tcBorders>
                  <w:noWrap w:val="0"/>
                  <w:vAlign w:val="top"/>
                </w:tcPr>
                <w:p w14:paraId="4D0BB732">
                  <w:pPr>
                    <w:keepNext w:val="0"/>
                    <w:keepLines w:val="0"/>
                    <w:suppressLineNumbers w:val="0"/>
                    <w:spacing w:before="0" w:beforeAutospacing="0" w:after="0" w:afterAutospacing="0" w:line="280" w:lineRule="exact"/>
                    <w:ind w:left="0" w:right="0"/>
                    <w:rPr>
                      <w:rFonts w:hint="default"/>
                      <w:color w:val="auto"/>
                      <w:highlight w:val="none"/>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1F0E405E">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5799F709">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498" w:type="dxa"/>
                  <w:tcBorders>
                    <w:top w:val="single" w:color="auto" w:sz="4" w:space="0"/>
                    <w:left w:val="single" w:color="auto" w:sz="4" w:space="0"/>
                    <w:bottom w:val="single" w:color="auto" w:sz="4" w:space="0"/>
                    <w:right w:val="single" w:color="auto" w:sz="4" w:space="0"/>
                  </w:tcBorders>
                  <w:noWrap w:val="0"/>
                  <w:vAlign w:val="center"/>
                </w:tcPr>
                <w:p w14:paraId="740B227C">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58B404EC">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79CE9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36" w:type="dxa"/>
                  <w:tcBorders>
                    <w:top w:val="single" w:color="auto" w:sz="4" w:space="0"/>
                    <w:left w:val="single" w:color="auto" w:sz="4" w:space="0"/>
                    <w:bottom w:val="single" w:color="auto" w:sz="4" w:space="0"/>
                    <w:right w:val="single" w:color="auto" w:sz="4" w:space="0"/>
                  </w:tcBorders>
                  <w:noWrap w:val="0"/>
                  <w:vAlign w:val="top"/>
                </w:tcPr>
                <w:p w14:paraId="1258B76B">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2211" w:type="dxa"/>
                  <w:tcBorders>
                    <w:top w:val="single" w:color="auto" w:sz="4" w:space="0"/>
                    <w:left w:val="single" w:color="auto" w:sz="4" w:space="0"/>
                    <w:bottom w:val="single" w:color="auto" w:sz="4" w:space="0"/>
                    <w:right w:val="single" w:color="auto" w:sz="4" w:space="0"/>
                  </w:tcBorders>
                  <w:noWrap w:val="0"/>
                  <w:vAlign w:val="top"/>
                </w:tcPr>
                <w:p w14:paraId="4866F2C8">
                  <w:pPr>
                    <w:keepNext w:val="0"/>
                    <w:keepLines w:val="0"/>
                    <w:suppressLineNumbers w:val="0"/>
                    <w:spacing w:before="0" w:beforeAutospacing="0" w:after="0" w:afterAutospacing="0" w:line="280" w:lineRule="exact"/>
                    <w:ind w:left="0" w:right="0"/>
                    <w:rPr>
                      <w:rFonts w:hint="default"/>
                      <w:color w:val="auto"/>
                      <w:highlight w:val="none"/>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5105FFFB">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62224A29">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498" w:type="dxa"/>
                  <w:tcBorders>
                    <w:top w:val="single" w:color="auto" w:sz="4" w:space="0"/>
                    <w:left w:val="single" w:color="auto" w:sz="4" w:space="0"/>
                    <w:bottom w:val="single" w:color="auto" w:sz="4" w:space="0"/>
                    <w:right w:val="single" w:color="auto" w:sz="4" w:space="0"/>
                  </w:tcBorders>
                  <w:noWrap w:val="0"/>
                  <w:vAlign w:val="center"/>
                </w:tcPr>
                <w:p w14:paraId="7151BA79">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51052B28">
                  <w:pPr>
                    <w:keepNext w:val="0"/>
                    <w:keepLines w:val="0"/>
                    <w:suppressLineNumbers w:val="0"/>
                    <w:spacing w:before="0" w:beforeAutospacing="0" w:after="0" w:afterAutospacing="0" w:line="280" w:lineRule="exact"/>
                    <w:ind w:left="0" w:right="0"/>
                    <w:jc w:val="center"/>
                    <w:rPr>
                      <w:rFonts w:hint="default"/>
                      <w:color w:val="auto"/>
                      <w:highlight w:val="none"/>
                    </w:rPr>
                  </w:pPr>
                </w:p>
              </w:tc>
            </w:tr>
            <w:tr w14:paraId="3B51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Borders>
                    <w:top w:val="single" w:color="auto" w:sz="4" w:space="0"/>
                    <w:left w:val="single" w:color="auto" w:sz="4" w:space="0"/>
                    <w:bottom w:val="single" w:color="auto" w:sz="4" w:space="0"/>
                    <w:right w:val="single" w:color="auto" w:sz="4" w:space="0"/>
                  </w:tcBorders>
                  <w:noWrap w:val="0"/>
                  <w:vAlign w:val="top"/>
                </w:tcPr>
                <w:p w14:paraId="6B1E7D71">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2211" w:type="dxa"/>
                  <w:tcBorders>
                    <w:top w:val="single" w:color="auto" w:sz="4" w:space="0"/>
                    <w:left w:val="single" w:color="auto" w:sz="4" w:space="0"/>
                    <w:bottom w:val="single" w:color="auto" w:sz="4" w:space="0"/>
                    <w:right w:val="single" w:color="auto" w:sz="4" w:space="0"/>
                  </w:tcBorders>
                  <w:noWrap w:val="0"/>
                  <w:vAlign w:val="top"/>
                </w:tcPr>
                <w:p w14:paraId="251B4647">
                  <w:pPr>
                    <w:keepNext w:val="0"/>
                    <w:keepLines w:val="0"/>
                    <w:suppressLineNumbers w:val="0"/>
                    <w:spacing w:before="0" w:beforeAutospacing="0" w:after="0" w:afterAutospacing="0" w:line="280" w:lineRule="exact"/>
                    <w:ind w:left="0" w:right="0"/>
                    <w:rPr>
                      <w:rFonts w:hint="default"/>
                      <w:color w:val="auto"/>
                      <w:highlight w:val="none"/>
                    </w:rPr>
                  </w:pPr>
                </w:p>
              </w:tc>
              <w:tc>
                <w:tcPr>
                  <w:tcW w:w="1661" w:type="dxa"/>
                  <w:tcBorders>
                    <w:top w:val="single" w:color="auto" w:sz="4" w:space="0"/>
                    <w:left w:val="single" w:color="auto" w:sz="4" w:space="0"/>
                    <w:bottom w:val="single" w:color="auto" w:sz="4" w:space="0"/>
                    <w:right w:val="single" w:color="auto" w:sz="4" w:space="0"/>
                  </w:tcBorders>
                  <w:noWrap w:val="0"/>
                  <w:vAlign w:val="center"/>
                </w:tcPr>
                <w:p w14:paraId="62884CBA">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336" w:type="dxa"/>
                  <w:tcBorders>
                    <w:top w:val="single" w:color="auto" w:sz="4" w:space="0"/>
                    <w:left w:val="single" w:color="auto" w:sz="4" w:space="0"/>
                    <w:bottom w:val="single" w:color="auto" w:sz="4" w:space="0"/>
                    <w:right w:val="single" w:color="auto" w:sz="4" w:space="0"/>
                  </w:tcBorders>
                  <w:noWrap w:val="0"/>
                  <w:vAlign w:val="center"/>
                </w:tcPr>
                <w:p w14:paraId="2055E063">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498" w:type="dxa"/>
                  <w:tcBorders>
                    <w:top w:val="single" w:color="auto" w:sz="4" w:space="0"/>
                    <w:left w:val="single" w:color="auto" w:sz="4" w:space="0"/>
                    <w:bottom w:val="single" w:color="auto" w:sz="4" w:space="0"/>
                    <w:right w:val="single" w:color="auto" w:sz="4" w:space="0"/>
                  </w:tcBorders>
                  <w:noWrap w:val="0"/>
                  <w:vAlign w:val="center"/>
                </w:tcPr>
                <w:p w14:paraId="0B13C359">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14:paraId="2E340242">
                  <w:pPr>
                    <w:keepNext w:val="0"/>
                    <w:keepLines w:val="0"/>
                    <w:suppressLineNumbers w:val="0"/>
                    <w:spacing w:before="0" w:beforeAutospacing="0" w:after="0" w:afterAutospacing="0" w:line="280" w:lineRule="exact"/>
                    <w:ind w:left="0" w:right="0"/>
                    <w:jc w:val="center"/>
                    <w:rPr>
                      <w:rFonts w:hint="default"/>
                      <w:color w:val="auto"/>
                      <w:highlight w:val="none"/>
                    </w:rPr>
                  </w:pPr>
                </w:p>
              </w:tc>
            </w:tr>
          </w:tbl>
          <w:p w14:paraId="5E7B7FD3">
            <w:pPr>
              <w:keepNext w:val="0"/>
              <w:keepLines w:val="0"/>
              <w:suppressLineNumbers w:val="0"/>
              <w:wordWrap w:val="0"/>
              <w:spacing w:before="0" w:beforeAutospacing="0" w:after="0" w:afterAutospacing="0" w:line="400" w:lineRule="exact"/>
              <w:ind w:left="0" w:right="420"/>
              <w:rPr>
                <w:rFonts w:hint="default"/>
                <w:color w:val="auto"/>
                <w:highlight w:val="none"/>
              </w:rPr>
            </w:pPr>
            <w:r>
              <w:rPr>
                <w:rFonts w:hint="default"/>
                <w:color w:val="auto"/>
                <w:highlight w:val="none"/>
              </w:rPr>
              <w:t xml:space="preserve">          </w:t>
            </w:r>
          </w:p>
          <w:p w14:paraId="078DCB51">
            <w:pPr>
              <w:keepNext w:val="0"/>
              <w:keepLines w:val="0"/>
              <w:suppressLineNumbers w:val="0"/>
              <w:wordWrap w:val="0"/>
              <w:spacing w:before="0" w:beforeAutospacing="0" w:after="0" w:afterAutospacing="0" w:line="400" w:lineRule="exact"/>
              <w:ind w:left="0" w:right="420"/>
              <w:rPr>
                <w:rFonts w:hint="default"/>
                <w:color w:val="auto"/>
                <w:highlight w:val="none"/>
              </w:rPr>
            </w:pPr>
          </w:p>
          <w:p w14:paraId="01A4B804">
            <w:pPr>
              <w:keepNext w:val="0"/>
              <w:keepLines w:val="0"/>
              <w:suppressLineNumbers w:val="0"/>
              <w:wordWrap w:val="0"/>
              <w:spacing w:before="0" w:beforeAutospacing="0" w:after="0" w:afterAutospacing="0" w:line="400" w:lineRule="exact"/>
              <w:ind w:left="0" w:right="420"/>
              <w:rPr>
                <w:rFonts w:hint="default"/>
                <w:color w:val="auto"/>
                <w:highlight w:val="none"/>
              </w:rPr>
            </w:pPr>
            <w:r>
              <w:rPr>
                <w:rFonts w:hint="default"/>
                <w:color w:val="auto"/>
                <w:highlight w:val="none"/>
              </w:rPr>
              <w:t xml:space="preserve">                                  </w:t>
            </w:r>
            <w:r>
              <w:rPr>
                <w:rFonts w:hint="eastAsia"/>
                <w:color w:val="auto"/>
                <w:highlight w:val="none"/>
              </w:rPr>
              <w:t xml:space="preserve">                  </w:t>
            </w:r>
            <w:r>
              <w:rPr>
                <w:rFonts w:hint="eastAsia" w:ascii="宋体" w:hAnsi="宋体"/>
                <w:color w:val="auto"/>
                <w:highlight w:val="none"/>
              </w:rPr>
              <w:t xml:space="preserve">承包人（章） </w:t>
            </w:r>
            <w:r>
              <w:rPr>
                <w:rFonts w:hint="default"/>
                <w:color w:val="auto"/>
                <w:highlight w:val="none"/>
              </w:rPr>
              <w:t xml:space="preserve">            </w:t>
            </w:r>
          </w:p>
          <w:p w14:paraId="3C9B7E55">
            <w:pPr>
              <w:keepNext w:val="0"/>
              <w:keepLines w:val="0"/>
              <w:suppressLineNumbers w:val="0"/>
              <w:spacing w:before="0" w:beforeAutospacing="0" w:after="0" w:afterAutospacing="0" w:line="400" w:lineRule="exact"/>
              <w:ind w:left="0" w:right="420" w:firstLine="435"/>
              <w:rPr>
                <w:rFonts w:hint="default"/>
                <w:color w:val="auto"/>
                <w:highlight w:val="none"/>
              </w:rPr>
            </w:pPr>
            <w:r>
              <w:rPr>
                <w:rFonts w:hint="eastAsia" w:ascii="宋体" w:hAnsi="宋体"/>
                <w:color w:val="auto"/>
                <w:highlight w:val="none"/>
              </w:rPr>
              <w:t>造价人员</w:t>
            </w:r>
            <w:r>
              <w:rPr>
                <w:rFonts w:hint="default"/>
                <w:color w:val="auto"/>
                <w:highlight w:val="none"/>
                <w:u w:val="single"/>
              </w:rPr>
              <w:t xml:space="preserve">               </w:t>
            </w:r>
            <w:r>
              <w:rPr>
                <w:rFonts w:hint="eastAsia" w:ascii="宋体" w:hAnsi="宋体"/>
                <w:color w:val="auto"/>
                <w:highlight w:val="none"/>
              </w:rPr>
              <w:t>承包人代表</w:t>
            </w:r>
            <w:r>
              <w:rPr>
                <w:rFonts w:hint="default"/>
                <w:color w:val="auto"/>
                <w:highlight w:val="none"/>
                <w:u w:val="singl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73881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9" w:hRule="atLeast"/>
          <w:jc w:val="center"/>
        </w:trPr>
        <w:tc>
          <w:tcPr>
            <w:tcW w:w="5096" w:type="dxa"/>
            <w:tcBorders>
              <w:top w:val="single" w:color="auto" w:sz="4" w:space="0"/>
              <w:left w:val="single" w:color="auto" w:sz="4" w:space="0"/>
              <w:bottom w:val="single" w:color="auto" w:sz="4" w:space="0"/>
              <w:right w:val="single" w:color="auto" w:sz="4" w:space="0"/>
            </w:tcBorders>
            <w:noWrap w:val="0"/>
            <w:vAlign w:val="top"/>
          </w:tcPr>
          <w:p w14:paraId="3FA9880E">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5BB5A186">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□与合同约定不相符</w:t>
            </w:r>
            <w:r>
              <w:rPr>
                <w:rFonts w:hint="eastAsia" w:ascii="宋体" w:hAnsi="宋体"/>
                <w:color w:val="auto"/>
                <w:highlight w:val="none"/>
                <w:lang w:eastAsia="zh-CN"/>
              </w:rPr>
              <w:t>，</w:t>
            </w:r>
            <w:r>
              <w:rPr>
                <w:rFonts w:hint="eastAsia" w:ascii="宋体" w:hAnsi="宋体"/>
                <w:color w:val="auto"/>
                <w:highlight w:val="none"/>
              </w:rPr>
              <w:t>修改意见见附件。</w:t>
            </w:r>
          </w:p>
          <w:p w14:paraId="41BEF107">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□与合同约定相符</w:t>
            </w:r>
            <w:r>
              <w:rPr>
                <w:rFonts w:hint="eastAsia" w:ascii="宋体" w:hAnsi="宋体"/>
                <w:color w:val="auto"/>
                <w:highlight w:val="none"/>
                <w:lang w:eastAsia="zh-CN"/>
              </w:rPr>
              <w:t>，</w:t>
            </w:r>
            <w:r>
              <w:rPr>
                <w:rFonts w:hint="eastAsia" w:ascii="宋体" w:hAnsi="宋体"/>
                <w:color w:val="auto"/>
                <w:highlight w:val="none"/>
              </w:rPr>
              <w:t>具体金额由造价工程师复核。</w:t>
            </w:r>
          </w:p>
          <w:p w14:paraId="58334E34">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监理工程师</w:t>
            </w:r>
            <w:r>
              <w:rPr>
                <w:rFonts w:hint="default"/>
                <w:color w:val="auto"/>
                <w:highlight w:val="none"/>
                <w:u w:val="single"/>
              </w:rPr>
              <w:t xml:space="preserve">           </w:t>
            </w:r>
          </w:p>
          <w:p w14:paraId="11FC14BF">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c>
          <w:tcPr>
            <w:tcW w:w="4543" w:type="dxa"/>
            <w:tcBorders>
              <w:top w:val="single" w:color="auto" w:sz="4" w:space="0"/>
              <w:left w:val="single" w:color="auto" w:sz="4" w:space="0"/>
              <w:bottom w:val="single" w:color="auto" w:sz="4" w:space="0"/>
              <w:right w:val="single" w:color="auto" w:sz="4" w:space="0"/>
            </w:tcBorders>
            <w:noWrap w:val="0"/>
            <w:vAlign w:val="top"/>
          </w:tcPr>
          <w:p w14:paraId="3D655676">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6A33FD8D">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你方提出的支付申请经复核</w:t>
            </w:r>
            <w:r>
              <w:rPr>
                <w:rFonts w:hint="eastAsia" w:ascii="宋体" w:hAnsi="宋体"/>
                <w:color w:val="auto"/>
                <w:highlight w:val="none"/>
                <w:lang w:eastAsia="zh-CN"/>
              </w:rPr>
              <w:t>，</w:t>
            </w:r>
            <w:r>
              <w:rPr>
                <w:rFonts w:hint="eastAsia" w:ascii="宋体" w:hAnsi="宋体"/>
                <w:color w:val="auto"/>
                <w:highlight w:val="none"/>
              </w:rPr>
              <w:t>应支付预付款金额为</w:t>
            </w:r>
            <w:r>
              <w:rPr>
                <w:rFonts w:hint="eastAsia"/>
                <w:color w:val="auto"/>
                <w:highlight w:val="none"/>
                <w:lang w:eastAsia="zh-CN"/>
              </w:rPr>
              <w:t>（</w:t>
            </w:r>
            <w:r>
              <w:rPr>
                <w:rFonts w:hint="eastAsia" w:ascii="宋体" w:hAnsi="宋体"/>
                <w:color w:val="auto"/>
                <w:highlight w:val="none"/>
              </w:rPr>
              <w:t>大写</w:t>
            </w:r>
            <w:r>
              <w:rPr>
                <w:rFonts w:hint="eastAsia"/>
                <w:color w:val="auto"/>
                <w:highlight w:val="none"/>
                <w:lang w:eastAsia="zh-CN"/>
              </w:rPr>
              <w:t>）</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r>
              <w:rPr>
                <w:rFonts w:hint="default"/>
                <w:color w:val="auto"/>
                <w:highlight w:val="none"/>
                <w:u w:val="single"/>
              </w:rPr>
              <w:t xml:space="preserve">   </w:t>
            </w:r>
            <w:r>
              <w:rPr>
                <w:rFonts w:hint="eastAsia"/>
                <w:color w:val="auto"/>
                <w:highlight w:val="none"/>
                <w:u w:val="single"/>
              </w:rPr>
              <w:t xml:space="preserve">   </w:t>
            </w: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元。</w:t>
            </w:r>
          </w:p>
          <w:p w14:paraId="718B01AD">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造价工程师</w:t>
            </w:r>
            <w:r>
              <w:rPr>
                <w:rFonts w:hint="default"/>
                <w:color w:val="auto"/>
                <w:highlight w:val="none"/>
                <w:u w:val="single"/>
              </w:rPr>
              <w:t xml:space="preserve">           </w:t>
            </w:r>
          </w:p>
          <w:p w14:paraId="3AD8AAD3">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326A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2" w:hRule="atLeast"/>
          <w:jc w:val="center"/>
        </w:trPr>
        <w:tc>
          <w:tcPr>
            <w:tcW w:w="9639" w:type="dxa"/>
            <w:gridSpan w:val="2"/>
            <w:tcBorders>
              <w:top w:val="single" w:color="auto" w:sz="4" w:space="0"/>
              <w:left w:val="single" w:color="auto" w:sz="4" w:space="0"/>
              <w:bottom w:val="single" w:color="auto" w:sz="4" w:space="0"/>
              <w:right w:val="single" w:color="auto" w:sz="4" w:space="0"/>
            </w:tcBorders>
            <w:noWrap w:val="0"/>
            <w:vAlign w:val="top"/>
          </w:tcPr>
          <w:p w14:paraId="215CA8F9">
            <w:pPr>
              <w:keepNext w:val="0"/>
              <w:keepLines w:val="0"/>
              <w:suppressLineNumbers w:val="0"/>
              <w:spacing w:before="0" w:beforeAutospacing="0" w:after="0" w:afterAutospacing="0"/>
              <w:ind w:left="0" w:right="0"/>
              <w:rPr>
                <w:rFonts w:hint="default"/>
                <w:color w:val="auto"/>
                <w:highlight w:val="none"/>
              </w:rPr>
            </w:pPr>
            <w:r>
              <w:rPr>
                <w:rFonts w:hint="eastAsia" w:ascii="宋体" w:hAnsi="宋体"/>
                <w:color w:val="auto"/>
                <w:highlight w:val="none"/>
              </w:rPr>
              <w:t>审核意见：</w:t>
            </w:r>
          </w:p>
          <w:p w14:paraId="065E7F55">
            <w:pPr>
              <w:keepNext w:val="0"/>
              <w:keepLines w:val="0"/>
              <w:suppressLineNumbers w:val="0"/>
              <w:spacing w:before="0" w:beforeAutospacing="0" w:after="0" w:afterAutospacing="0"/>
              <w:ind w:left="0" w:right="0" w:firstLine="435"/>
              <w:rPr>
                <w:rFonts w:hint="default"/>
                <w:color w:val="auto"/>
                <w:highlight w:val="none"/>
              </w:rPr>
            </w:pPr>
            <w:r>
              <w:rPr>
                <w:rFonts w:hint="eastAsia" w:ascii="宋体" w:hAnsi="宋体"/>
                <w:color w:val="auto"/>
                <w:highlight w:val="none"/>
              </w:rPr>
              <w:t>□不同意。</w:t>
            </w:r>
          </w:p>
          <w:p w14:paraId="17BF05DE">
            <w:pPr>
              <w:keepNext w:val="0"/>
              <w:keepLines w:val="0"/>
              <w:suppressLineNumbers w:val="0"/>
              <w:spacing w:before="0" w:beforeAutospacing="0" w:after="0" w:afterAutospacing="0"/>
              <w:ind w:left="0" w:right="0" w:firstLine="420" w:firstLineChars="200"/>
              <w:rPr>
                <w:rFonts w:hint="default"/>
                <w:color w:val="auto"/>
                <w:highlight w:val="none"/>
              </w:rPr>
            </w:pPr>
            <w:r>
              <w:rPr>
                <w:rFonts w:hint="eastAsia" w:ascii="宋体" w:hAnsi="宋体"/>
                <w:color w:val="auto"/>
                <w:highlight w:val="none"/>
              </w:rPr>
              <w:t>□同意</w:t>
            </w:r>
            <w:r>
              <w:rPr>
                <w:rFonts w:hint="eastAsia" w:ascii="宋体" w:hAnsi="宋体"/>
                <w:color w:val="auto"/>
                <w:highlight w:val="none"/>
                <w:lang w:eastAsia="zh-CN"/>
              </w:rPr>
              <w:t>，</w:t>
            </w:r>
            <w:r>
              <w:rPr>
                <w:rFonts w:hint="eastAsia" w:ascii="宋体" w:hAnsi="宋体"/>
                <w:color w:val="auto"/>
                <w:highlight w:val="none"/>
              </w:rPr>
              <w:t>支付时间为本表签发后的</w:t>
            </w:r>
            <w:r>
              <w:rPr>
                <w:rFonts w:hint="eastAsia"/>
                <w:color w:val="auto"/>
                <w:highlight w:val="none"/>
              </w:rPr>
              <w:t>15</w:t>
            </w:r>
            <w:r>
              <w:rPr>
                <w:rFonts w:hint="eastAsia" w:ascii="宋体" w:hAnsi="宋体"/>
                <w:color w:val="auto"/>
                <w:highlight w:val="none"/>
              </w:rPr>
              <w:t>天内。</w:t>
            </w:r>
          </w:p>
          <w:p w14:paraId="379D4C3E">
            <w:pPr>
              <w:keepNext w:val="0"/>
              <w:keepLines w:val="0"/>
              <w:suppressLineNumbers w:val="0"/>
              <w:spacing w:before="0" w:beforeAutospacing="0" w:after="0" w:afterAutospacing="0"/>
              <w:ind w:left="0" w:right="735" w:firstLine="6195" w:firstLineChars="2950"/>
              <w:rPr>
                <w:rFonts w:hint="default"/>
                <w:color w:val="auto"/>
                <w:highlight w:val="none"/>
              </w:rPr>
            </w:pPr>
            <w:r>
              <w:rPr>
                <w:rFonts w:hint="eastAsia" w:ascii="宋体" w:hAnsi="宋体"/>
                <w:color w:val="auto"/>
                <w:highlight w:val="none"/>
              </w:rPr>
              <w:t xml:space="preserve">发包人（章） </w:t>
            </w:r>
            <w:r>
              <w:rPr>
                <w:rFonts w:hint="default"/>
                <w:color w:val="auto"/>
                <w:highlight w:val="none"/>
              </w:rPr>
              <w:t xml:space="preserve">          </w:t>
            </w:r>
          </w:p>
          <w:p w14:paraId="2B8F4E87">
            <w:pPr>
              <w:keepNext w:val="0"/>
              <w:keepLines w:val="0"/>
              <w:suppressLineNumbers w:val="0"/>
              <w:spacing w:before="0" w:beforeAutospacing="0" w:after="0" w:afterAutospacing="0"/>
              <w:ind w:left="0" w:right="420" w:firstLine="6195" w:firstLineChars="2950"/>
              <w:rPr>
                <w:rFonts w:hint="default"/>
                <w:color w:val="auto"/>
                <w:highlight w:val="none"/>
                <w:u w:val="single"/>
              </w:rPr>
            </w:pPr>
            <w:r>
              <w:rPr>
                <w:rFonts w:hint="eastAsia" w:ascii="宋体" w:hAnsi="宋体"/>
                <w:color w:val="auto"/>
                <w:highlight w:val="none"/>
              </w:rPr>
              <w:t>发包人代表</w:t>
            </w:r>
            <w:r>
              <w:rPr>
                <w:rFonts w:hint="default"/>
                <w:color w:val="auto"/>
                <w:highlight w:val="none"/>
                <w:u w:val="single"/>
              </w:rPr>
              <w:t xml:space="preserve">             </w:t>
            </w:r>
          </w:p>
          <w:p w14:paraId="0C3A95FC">
            <w:pPr>
              <w:keepNext w:val="0"/>
              <w:keepLines w:val="0"/>
              <w:suppressLineNumbers w:val="0"/>
              <w:spacing w:before="0" w:beforeAutospacing="0" w:after="0" w:afterAutospacing="0"/>
              <w:ind w:left="0" w:right="420" w:firstLine="6195" w:firstLineChars="2950"/>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bl>
    <w:p w14:paraId="41EA1A29">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注：1.在选择栏中的</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内作标识</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 xml:space="preserve">。 </w:t>
      </w:r>
    </w:p>
    <w:p w14:paraId="146BAC8E">
      <w:pPr>
        <w:ind w:left="720" w:hanging="720" w:hangingChars="400"/>
        <w:rPr>
          <w:rFonts w:ascii="宋体" w:hAnsi="宋体"/>
          <w:color w:val="auto"/>
          <w:sz w:val="18"/>
          <w:szCs w:val="18"/>
          <w:highlight w:val="none"/>
        </w:rPr>
      </w:pPr>
      <w:r>
        <w:rPr>
          <w:rFonts w:hint="eastAsia" w:ascii="宋体" w:hAnsi="宋体"/>
          <w:color w:val="auto"/>
          <w:sz w:val="18"/>
          <w:szCs w:val="18"/>
          <w:highlight w:val="none"/>
        </w:rPr>
        <w:t xml:space="preserve">    </w:t>
      </w:r>
      <w:r>
        <w:rPr>
          <w:rFonts w:ascii="宋体" w:hAnsi="宋体"/>
          <w:color w:val="auto"/>
          <w:sz w:val="18"/>
          <w:szCs w:val="18"/>
          <w:highlight w:val="none"/>
        </w:rPr>
        <w:t xml:space="preserve">  </w:t>
      </w:r>
      <w:r>
        <w:rPr>
          <w:rFonts w:hint="eastAsia" w:ascii="宋体" w:hAnsi="宋体"/>
          <w:color w:val="auto"/>
          <w:sz w:val="18"/>
          <w:szCs w:val="18"/>
          <w:highlight w:val="none"/>
        </w:rPr>
        <w:t xml:space="preserve">  2.本表一式四份</w:t>
      </w:r>
      <w:r>
        <w:rPr>
          <w:rFonts w:hint="eastAsia" w:ascii="宋体" w:hAnsi="宋体"/>
          <w:color w:val="auto"/>
          <w:sz w:val="18"/>
          <w:szCs w:val="18"/>
          <w:highlight w:val="none"/>
          <w:lang w:eastAsia="zh-CN"/>
        </w:rPr>
        <w:t>，</w:t>
      </w:r>
      <w:r>
        <w:rPr>
          <w:rFonts w:hint="eastAsia" w:ascii="宋体" w:hAnsi="宋体"/>
          <w:color w:val="auto"/>
          <w:sz w:val="18"/>
          <w:szCs w:val="18"/>
          <w:highlight w:val="none"/>
        </w:rPr>
        <w:t>由承包人填报</w:t>
      </w:r>
      <w:r>
        <w:rPr>
          <w:rFonts w:hint="eastAsia" w:ascii="宋体" w:hAnsi="宋体"/>
          <w:color w:val="auto"/>
          <w:sz w:val="18"/>
          <w:szCs w:val="18"/>
          <w:highlight w:val="none"/>
          <w:lang w:eastAsia="zh-CN"/>
        </w:rPr>
        <w:t>，</w:t>
      </w:r>
      <w:r>
        <w:rPr>
          <w:rFonts w:hint="eastAsia" w:ascii="宋体" w:hAnsi="宋体"/>
          <w:color w:val="auto"/>
          <w:sz w:val="18"/>
          <w:szCs w:val="18"/>
          <w:highlight w:val="none"/>
        </w:rPr>
        <w:t>发包人、监理人、工程造价咨询人、承包人各存一份。</w:t>
      </w:r>
    </w:p>
    <w:p w14:paraId="38309AAA">
      <w:pPr>
        <w:spacing w:before="0" w:beforeLines="0"/>
        <w:ind w:left="714" w:leftChars="340" w:firstLine="0" w:firstLineChars="0"/>
        <w:rPr>
          <w:rFonts w:hint="eastAsia" w:ascii="宋体" w:hAnsi="宋体" w:eastAsia="宋体"/>
          <w:color w:val="auto"/>
          <w:sz w:val="18"/>
          <w:szCs w:val="18"/>
          <w:highlight w:val="none"/>
        </w:rPr>
      </w:pPr>
      <w:r>
        <w:rPr>
          <w:rFonts w:hint="eastAsia" w:ascii="宋体" w:hAnsi="宋体" w:eastAsia="宋体"/>
          <w:color w:val="auto"/>
          <w:sz w:val="18"/>
          <w:szCs w:val="18"/>
          <w:highlight w:val="none"/>
        </w:rPr>
        <w:t>3.应付预付款计算基数=签约合同价款-暂列金额-专业工程暂估价-安全生产费</w:t>
      </w:r>
      <w:r>
        <w:rPr>
          <w:rFonts w:hint="eastAsia" w:ascii="宋体" w:hAnsi="宋体" w:eastAsia="宋体"/>
          <w:color w:val="auto"/>
          <w:sz w:val="18"/>
          <w:szCs w:val="18"/>
          <w:highlight w:val="none"/>
          <w:lang w:eastAsia="zh-CN"/>
        </w:rPr>
        <w:t>。</w:t>
      </w:r>
    </w:p>
    <w:p w14:paraId="5AC62ADA">
      <w:pPr>
        <w:spacing w:before="120" w:beforeLines="50"/>
        <w:ind w:left="1200" w:hanging="1200" w:hangingChars="400"/>
        <w:rPr>
          <w:rFonts w:hint="eastAsia" w:eastAsia="仿宋_GB2312"/>
          <w:color w:val="auto"/>
          <w:sz w:val="30"/>
          <w:szCs w:val="30"/>
          <w:highlight w:val="none"/>
        </w:rPr>
      </w:pPr>
    </w:p>
    <w:p w14:paraId="3AB7840A">
      <w:pPr>
        <w:pStyle w:val="52"/>
        <w:rPr>
          <w:rFonts w:hint="eastAsia" w:eastAsia="仿宋_GB2312"/>
          <w:color w:val="auto"/>
          <w:sz w:val="30"/>
          <w:szCs w:val="30"/>
          <w:highlight w:val="none"/>
        </w:rPr>
      </w:pPr>
    </w:p>
    <w:p w14:paraId="368EDBDF">
      <w:pPr>
        <w:pStyle w:val="52"/>
        <w:rPr>
          <w:rFonts w:hint="eastAsia" w:eastAsia="仿宋_GB2312"/>
          <w:color w:val="auto"/>
          <w:sz w:val="30"/>
          <w:szCs w:val="30"/>
          <w:highlight w:val="none"/>
        </w:rPr>
      </w:pPr>
    </w:p>
    <w:p w14:paraId="30C387B3">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附件11：进度款支付申请（核准）表</w:t>
      </w:r>
    </w:p>
    <w:p w14:paraId="0C1D89F4">
      <w:pPr>
        <w:jc w:val="center"/>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t>进度款支付申请（核准）表</w:t>
      </w:r>
    </w:p>
    <w:p w14:paraId="1CEE6B94">
      <w:pPr>
        <w:rPr>
          <w:color w:val="auto"/>
          <w:sz w:val="24"/>
          <w:szCs w:val="24"/>
          <w:highlight w:val="none"/>
        </w:rPr>
      </w:pPr>
      <w:r>
        <w:rPr>
          <w:rFonts w:hint="eastAsia" w:ascii="宋体" w:hAnsi="宋体"/>
          <w:color w:val="auto"/>
          <w:sz w:val="24"/>
          <w:szCs w:val="24"/>
          <w:highlight w:val="none"/>
        </w:rPr>
        <w:t xml:space="preserve">工程名称：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编号：</w:t>
      </w:r>
    </w:p>
    <w:tbl>
      <w:tblPr>
        <w:tblStyle w:val="54"/>
        <w:tblW w:w="9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9"/>
        <w:gridCol w:w="4552"/>
      </w:tblGrid>
      <w:tr w14:paraId="444C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511" w:type="dxa"/>
            <w:gridSpan w:val="2"/>
            <w:tcBorders>
              <w:top w:val="single" w:color="auto" w:sz="4" w:space="0"/>
              <w:left w:val="single" w:color="auto" w:sz="4" w:space="0"/>
              <w:bottom w:val="single" w:color="auto" w:sz="4" w:space="0"/>
              <w:right w:val="single" w:color="auto" w:sz="4" w:space="0"/>
            </w:tcBorders>
            <w:noWrap w:val="0"/>
            <w:vAlign w:val="top"/>
          </w:tcPr>
          <w:p w14:paraId="17DCF81E">
            <w:pPr>
              <w:keepNext w:val="0"/>
              <w:keepLines w:val="0"/>
              <w:suppressLineNumbers w:val="0"/>
              <w:spacing w:before="0" w:beforeAutospacing="0" w:after="0" w:afterAutospacing="0" w:line="480" w:lineRule="exact"/>
              <w:ind w:left="525" w:leftChars="149" w:right="0" w:hanging="212" w:hangingChars="101"/>
              <w:rPr>
                <w:rFonts w:hint="default" w:ascii="Times New Roman" w:hAnsi="Times New Roman" w:eastAsia="宋体" w:cs="Times New Roman"/>
                <w:color w:val="auto"/>
                <w:highlight w:val="none"/>
                <w:u w:val="single"/>
              </w:rPr>
            </w:pPr>
            <w:r>
              <w:rPr>
                <w:rFonts w:hint="eastAsia" w:ascii="宋体" w:hAnsi="宋体" w:eastAsia="宋体" w:cs="Times New Roman"/>
                <w:color w:val="auto"/>
                <w:highlight w:val="none"/>
              </w:rPr>
              <w:t>致：</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u w:val="single"/>
              </w:rPr>
              <w:t>（发包人全称）</w:t>
            </w:r>
          </w:p>
          <w:p w14:paraId="543F5C05">
            <w:pPr>
              <w:keepNext w:val="0"/>
              <w:keepLines w:val="0"/>
              <w:suppressLineNumbers w:val="0"/>
              <w:spacing w:before="0" w:beforeAutospacing="0" w:after="0" w:afterAutospacing="0" w:line="400" w:lineRule="exact"/>
              <w:ind w:left="-4" w:leftChars="-2" w:right="0" w:firstLine="315" w:firstLineChars="15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我方于</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至</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期间已完成了</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工作，根据施工合同的约定，现申请支付本期的进度款额为</w:t>
            </w:r>
            <w:r>
              <w:rPr>
                <w:rFonts w:hint="eastAsia" w:ascii="宋体" w:hAnsi="宋体" w:cs="Times New Roman"/>
                <w:color w:val="auto"/>
                <w:highlight w:val="none"/>
                <w:lang w:eastAsia="zh-CN"/>
              </w:rPr>
              <w:t>（</w:t>
            </w:r>
            <w:r>
              <w:rPr>
                <w:rFonts w:hint="eastAsia" w:ascii="宋体" w:hAnsi="宋体" w:eastAsia="宋体" w:cs="Times New Roman"/>
                <w:color w:val="auto"/>
                <w:highlight w:val="none"/>
              </w:rPr>
              <w:t>大写</w:t>
            </w:r>
            <w:r>
              <w:rPr>
                <w:rFonts w:hint="eastAsia" w:ascii="宋体" w:hAnsi="宋体" w:cs="Times New Roman"/>
                <w:color w:val="auto"/>
                <w:highlight w:val="none"/>
                <w:lang w:eastAsia="zh-CN"/>
              </w:rPr>
              <w:t>）</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元，</w:t>
            </w:r>
            <w:r>
              <w:rPr>
                <w:rFonts w:hint="eastAsia" w:ascii="宋体" w:hAnsi="宋体" w:cs="Times New Roman"/>
                <w:color w:val="auto"/>
                <w:highlight w:val="none"/>
                <w:lang w:eastAsia="zh-CN"/>
              </w:rPr>
              <w:t>（</w:t>
            </w:r>
            <w:r>
              <w:rPr>
                <w:rFonts w:hint="eastAsia" w:ascii="宋体" w:hAnsi="宋体" w:eastAsia="宋体" w:cs="Times New Roman"/>
                <w:color w:val="auto"/>
                <w:highlight w:val="none"/>
              </w:rPr>
              <w:t>小写</w:t>
            </w:r>
            <w:r>
              <w:rPr>
                <w:rFonts w:hint="eastAsia" w:ascii="宋体" w:hAnsi="宋体" w:cs="Times New Roman"/>
                <w:color w:val="auto"/>
                <w:highlight w:val="none"/>
                <w:lang w:eastAsia="zh-CN"/>
              </w:rPr>
              <w:t>）</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元，请予核准。</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738"/>
              <w:gridCol w:w="4656"/>
              <w:gridCol w:w="1328"/>
              <w:gridCol w:w="1291"/>
              <w:gridCol w:w="572"/>
            </w:tblGrid>
            <w:tr w14:paraId="61DC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699" w:type="dxa"/>
                  <w:tcBorders>
                    <w:top w:val="single" w:color="auto" w:sz="4" w:space="0"/>
                    <w:left w:val="single" w:color="auto" w:sz="4" w:space="0"/>
                    <w:bottom w:val="single" w:color="auto" w:sz="4" w:space="0"/>
                    <w:right w:val="single" w:color="auto" w:sz="4" w:space="0"/>
                  </w:tcBorders>
                  <w:noWrap w:val="0"/>
                  <w:vAlign w:val="center"/>
                </w:tcPr>
                <w:p w14:paraId="0A4394A2">
                  <w:pPr>
                    <w:keepNext w:val="0"/>
                    <w:keepLines w:val="0"/>
                    <w:suppressLineNumbers w:val="0"/>
                    <w:spacing w:before="0" w:beforeAutospacing="0" w:after="0" w:afterAutospacing="0" w:line="280" w:lineRule="exact"/>
                    <w:ind w:left="0" w:right="0"/>
                    <w:jc w:val="center"/>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序号</w:t>
                  </w:r>
                </w:p>
              </w:tc>
              <w:tc>
                <w:tcPr>
                  <w:tcW w:w="5394" w:type="dxa"/>
                  <w:gridSpan w:val="2"/>
                  <w:tcBorders>
                    <w:top w:val="single" w:color="auto" w:sz="4" w:space="0"/>
                    <w:left w:val="single" w:color="auto" w:sz="4" w:space="0"/>
                    <w:bottom w:val="single" w:color="auto" w:sz="4" w:space="0"/>
                    <w:right w:val="single" w:color="auto" w:sz="4" w:space="0"/>
                  </w:tcBorders>
                  <w:noWrap w:val="0"/>
                  <w:vAlign w:val="center"/>
                </w:tcPr>
                <w:p w14:paraId="416E58E6">
                  <w:pPr>
                    <w:keepNext w:val="0"/>
                    <w:keepLines w:val="0"/>
                    <w:suppressLineNumbers w:val="0"/>
                    <w:spacing w:before="0" w:beforeAutospacing="0" w:after="0" w:afterAutospacing="0" w:line="280" w:lineRule="exact"/>
                    <w:ind w:left="0" w:right="0"/>
                    <w:jc w:val="center"/>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 xml:space="preserve">名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称</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42E34A59">
                  <w:pPr>
                    <w:keepNext w:val="0"/>
                    <w:keepLines w:val="0"/>
                    <w:suppressLineNumbers w:val="0"/>
                    <w:spacing w:before="0" w:beforeAutospacing="0" w:after="0" w:afterAutospacing="0" w:line="280" w:lineRule="exact"/>
                    <w:ind w:left="0" w:right="0"/>
                    <w:jc w:val="center"/>
                    <w:rPr>
                      <w:rFonts w:hint="default" w:ascii="Times New Roman" w:hAnsi="Times New Roman" w:eastAsia="宋体" w:cs="Times New Roman"/>
                      <w:color w:val="auto"/>
                      <w:sz w:val="18"/>
                      <w:szCs w:val="18"/>
                      <w:highlight w:val="none"/>
                    </w:rPr>
                  </w:pPr>
                  <w:r>
                    <w:rPr>
                      <w:rFonts w:hint="eastAsia" w:ascii="宋体" w:hAnsi="宋体" w:eastAsia="宋体" w:cs="Times New Roman"/>
                      <w:color w:val="auto"/>
                      <w:sz w:val="18"/>
                      <w:szCs w:val="18"/>
                      <w:highlight w:val="none"/>
                    </w:rPr>
                    <w:t>申请金额（元）</w:t>
                  </w:r>
                </w:p>
              </w:tc>
              <w:tc>
                <w:tcPr>
                  <w:tcW w:w="1291" w:type="dxa"/>
                  <w:tcBorders>
                    <w:top w:val="single" w:color="auto" w:sz="4" w:space="0"/>
                    <w:left w:val="single" w:color="auto" w:sz="4" w:space="0"/>
                    <w:bottom w:val="single" w:color="auto" w:sz="4" w:space="0"/>
                    <w:right w:val="single" w:color="auto" w:sz="4" w:space="0"/>
                  </w:tcBorders>
                  <w:noWrap w:val="0"/>
                  <w:vAlign w:val="center"/>
                </w:tcPr>
                <w:p w14:paraId="3C53BE38">
                  <w:pPr>
                    <w:keepNext w:val="0"/>
                    <w:keepLines w:val="0"/>
                    <w:suppressLineNumbers w:val="0"/>
                    <w:spacing w:before="0" w:beforeAutospacing="0" w:after="0" w:afterAutospacing="0" w:line="280" w:lineRule="exact"/>
                    <w:ind w:left="0" w:right="0"/>
                    <w:jc w:val="center"/>
                    <w:rPr>
                      <w:rFonts w:hint="default" w:ascii="Times New Roman" w:hAnsi="Times New Roman" w:eastAsia="宋体" w:cs="Times New Roman"/>
                      <w:color w:val="auto"/>
                      <w:sz w:val="18"/>
                      <w:szCs w:val="18"/>
                      <w:highlight w:val="none"/>
                    </w:rPr>
                  </w:pPr>
                  <w:r>
                    <w:rPr>
                      <w:rFonts w:hint="eastAsia" w:ascii="宋体" w:hAnsi="宋体" w:eastAsia="宋体" w:cs="Times New Roman"/>
                      <w:color w:val="auto"/>
                      <w:sz w:val="18"/>
                      <w:szCs w:val="18"/>
                      <w:highlight w:val="none"/>
                    </w:rPr>
                    <w:t>核定金额（元）</w:t>
                  </w:r>
                </w:p>
              </w:tc>
              <w:tc>
                <w:tcPr>
                  <w:tcW w:w="572" w:type="dxa"/>
                  <w:tcBorders>
                    <w:top w:val="single" w:color="auto" w:sz="4" w:space="0"/>
                    <w:left w:val="single" w:color="auto" w:sz="4" w:space="0"/>
                    <w:bottom w:val="single" w:color="auto" w:sz="4" w:space="0"/>
                    <w:right w:val="single" w:color="auto" w:sz="4" w:space="0"/>
                  </w:tcBorders>
                  <w:noWrap w:val="0"/>
                  <w:vAlign w:val="center"/>
                </w:tcPr>
                <w:p w14:paraId="6365C0C9">
                  <w:pPr>
                    <w:keepNext w:val="0"/>
                    <w:keepLines w:val="0"/>
                    <w:suppressLineNumbers w:val="0"/>
                    <w:spacing w:before="0" w:beforeAutospacing="0" w:after="0" w:afterAutospacing="0" w:line="280" w:lineRule="exact"/>
                    <w:ind w:left="0" w:right="0"/>
                    <w:jc w:val="center"/>
                    <w:rPr>
                      <w:rFonts w:hint="default" w:ascii="Times New Roman" w:hAnsi="Times New Roman" w:eastAsia="宋体" w:cs="Times New Roman"/>
                      <w:color w:val="auto"/>
                      <w:sz w:val="18"/>
                      <w:szCs w:val="18"/>
                      <w:highlight w:val="none"/>
                    </w:rPr>
                  </w:pPr>
                  <w:r>
                    <w:rPr>
                      <w:rFonts w:hint="eastAsia" w:ascii="宋体" w:hAnsi="宋体" w:eastAsia="宋体" w:cs="Times New Roman"/>
                      <w:color w:val="auto"/>
                      <w:sz w:val="18"/>
                      <w:szCs w:val="18"/>
                      <w:highlight w:val="none"/>
                    </w:rPr>
                    <w:t>备注</w:t>
                  </w:r>
                </w:p>
              </w:tc>
            </w:tr>
            <w:tr w14:paraId="0880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99" w:type="dxa"/>
                  <w:tcBorders>
                    <w:top w:val="single" w:color="auto" w:sz="4" w:space="0"/>
                    <w:left w:val="single" w:color="auto" w:sz="4" w:space="0"/>
                    <w:bottom w:val="single" w:color="auto" w:sz="4" w:space="0"/>
                    <w:right w:val="single" w:color="auto" w:sz="4" w:space="0"/>
                  </w:tcBorders>
                  <w:noWrap w:val="0"/>
                  <w:vAlign w:val="top"/>
                </w:tcPr>
                <w:p w14:paraId="2721BB22">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1</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18BF12E8">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累计已完成的工程价款（不含本期）</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739F2E65">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4B3741E7">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1C4A50E7">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63BC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top"/>
                </w:tcPr>
                <w:p w14:paraId="48545869">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2</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17B59D66">
                  <w:pPr>
                    <w:keepNext w:val="0"/>
                    <w:keepLines w:val="0"/>
                    <w:suppressLineNumbers w:val="0"/>
                    <w:spacing w:before="0" w:beforeAutospacing="0" w:after="0" w:afterAutospacing="0" w:line="280" w:lineRule="exact"/>
                    <w:ind w:left="0" w:right="0"/>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累计已实际支付的工程价款</w:t>
                  </w:r>
                  <w:r>
                    <w:rPr>
                      <w:rFonts w:hint="eastAsia" w:ascii="宋体" w:hAnsi="宋体" w:cs="Times New Roman"/>
                      <w:color w:val="auto"/>
                      <w:highlight w:val="none"/>
                      <w:lang w:eastAsia="zh-CN"/>
                    </w:rPr>
                    <w:t>（含预付款）</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67A51B4F">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2DCAD46A">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1DB9115A">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3C9E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top"/>
                </w:tcPr>
                <w:p w14:paraId="2DE05E3D">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2.1</w:t>
                  </w:r>
                </w:p>
              </w:tc>
              <w:tc>
                <w:tcPr>
                  <w:tcW w:w="738" w:type="dxa"/>
                  <w:tcBorders>
                    <w:top w:val="nil"/>
                    <w:left w:val="single" w:color="auto" w:sz="4" w:space="0"/>
                    <w:bottom w:val="single" w:color="auto" w:sz="4" w:space="0"/>
                    <w:right w:val="single" w:color="auto" w:sz="4" w:space="0"/>
                  </w:tcBorders>
                  <w:noWrap w:val="0"/>
                  <w:vAlign w:val="center"/>
                </w:tcPr>
                <w:p w14:paraId="6976744E">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其中</w:t>
                  </w:r>
                </w:p>
              </w:tc>
              <w:tc>
                <w:tcPr>
                  <w:tcW w:w="4656" w:type="dxa"/>
                  <w:tcBorders>
                    <w:top w:val="single" w:color="auto" w:sz="4" w:space="0"/>
                    <w:left w:val="single" w:color="auto" w:sz="4" w:space="0"/>
                    <w:bottom w:val="single" w:color="auto" w:sz="4" w:space="0"/>
                    <w:right w:val="single" w:color="auto" w:sz="4" w:space="0"/>
                  </w:tcBorders>
                  <w:noWrap w:val="0"/>
                  <w:vAlign w:val="top"/>
                </w:tcPr>
                <w:p w14:paraId="645B6FAE">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预付款</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13C1439A">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4341066F">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7D47DCA3">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114A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top"/>
                </w:tcPr>
                <w:p w14:paraId="2C58B44A">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3</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7AE38AB8">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lang w:eastAsia="zh-CN"/>
                    </w:rPr>
                    <w:t>本</w:t>
                  </w:r>
                  <w:r>
                    <w:rPr>
                      <w:rFonts w:hint="eastAsia" w:ascii="宋体" w:hAnsi="宋体" w:eastAsia="宋体" w:cs="Times New Roman"/>
                      <w:color w:val="auto"/>
                      <w:highlight w:val="none"/>
                    </w:rPr>
                    <w:t>期完成的工程价款</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2A2DF556">
                  <w:pPr>
                    <w:keepNext w:val="0"/>
                    <w:keepLines w:val="0"/>
                    <w:suppressLineNumbers w:val="0"/>
                    <w:spacing w:before="0" w:beforeAutospacing="0" w:after="0" w:afterAutospacing="0" w:line="280" w:lineRule="exact"/>
                    <w:ind w:left="0" w:right="0"/>
                    <w:jc w:val="center"/>
                    <w:rPr>
                      <w:rFonts w:hint="default" w:ascii="宋体" w:hAnsi="宋体" w:eastAsia="宋体" w:cs="Times New Roman"/>
                      <w:b/>
                      <w:bCs/>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12BA9877">
                  <w:pPr>
                    <w:keepNext w:val="0"/>
                    <w:keepLines w:val="0"/>
                    <w:suppressLineNumbers w:val="0"/>
                    <w:spacing w:before="0" w:beforeAutospacing="0" w:after="0" w:afterAutospacing="0" w:line="280" w:lineRule="exact"/>
                    <w:ind w:left="0" w:right="0"/>
                    <w:jc w:val="center"/>
                    <w:rPr>
                      <w:rFonts w:hint="default" w:ascii="宋体" w:hAnsi="宋体" w:eastAsia="宋体" w:cs="Times New Roman"/>
                      <w:b/>
                      <w:bCs/>
                      <w:color w:val="auto"/>
                      <w:highlight w:val="none"/>
                      <w:lang w:val="en-US" w:eastAsia="zh-CN"/>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5D3BCD75">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76C3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center"/>
                </w:tcPr>
                <w:p w14:paraId="601505B6">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3.1</w:t>
                  </w:r>
                </w:p>
              </w:tc>
              <w:tc>
                <w:tcPr>
                  <w:tcW w:w="738" w:type="dxa"/>
                  <w:tcBorders>
                    <w:top w:val="nil"/>
                    <w:left w:val="single" w:color="auto" w:sz="4" w:space="0"/>
                    <w:bottom w:val="single" w:color="auto" w:sz="4" w:space="0"/>
                    <w:right w:val="single" w:color="auto" w:sz="4" w:space="0"/>
                  </w:tcBorders>
                  <w:noWrap w:val="0"/>
                  <w:vAlign w:val="center"/>
                </w:tcPr>
                <w:p w14:paraId="6FA38AB6">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其中</w:t>
                  </w:r>
                </w:p>
              </w:tc>
              <w:tc>
                <w:tcPr>
                  <w:tcW w:w="4656" w:type="dxa"/>
                  <w:tcBorders>
                    <w:top w:val="single" w:color="auto" w:sz="4" w:space="0"/>
                    <w:left w:val="single" w:color="auto" w:sz="4" w:space="0"/>
                    <w:bottom w:val="single" w:color="auto" w:sz="4" w:space="0"/>
                    <w:right w:val="single" w:color="auto" w:sz="4" w:space="0"/>
                  </w:tcBorders>
                  <w:noWrap w:val="0"/>
                  <w:vAlign w:val="top"/>
                </w:tcPr>
                <w:p w14:paraId="1CD7AE21">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人工费</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6012C231">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476AA8C8">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2817C075">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6B81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top"/>
                </w:tcPr>
                <w:p w14:paraId="2F7428ED">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4</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16CE8BD8">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lang w:eastAsia="zh-CN"/>
                    </w:rPr>
                    <w:t>本</w:t>
                  </w:r>
                  <w:r>
                    <w:rPr>
                      <w:rFonts w:hint="eastAsia" w:ascii="宋体" w:hAnsi="宋体" w:eastAsia="宋体" w:cs="Times New Roman"/>
                      <w:color w:val="auto"/>
                      <w:highlight w:val="none"/>
                    </w:rPr>
                    <w:t>期应扣除的工程价款</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0023E527">
                  <w:pPr>
                    <w:keepNext w:val="0"/>
                    <w:keepLines w:val="0"/>
                    <w:suppressLineNumbers w:val="0"/>
                    <w:spacing w:before="0" w:beforeAutospacing="0" w:after="0" w:afterAutospacing="0" w:line="280" w:lineRule="exact"/>
                    <w:ind w:left="0" w:right="0"/>
                    <w:jc w:val="center"/>
                    <w:rPr>
                      <w:rFonts w:hint="default" w:ascii="宋体" w:hAnsi="宋体" w:eastAsia="宋体" w:cs="Times New Roman"/>
                      <w:b/>
                      <w:bCs/>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723AC948">
                  <w:pPr>
                    <w:keepNext w:val="0"/>
                    <w:keepLines w:val="0"/>
                    <w:suppressLineNumbers w:val="0"/>
                    <w:spacing w:before="0" w:beforeAutospacing="0" w:after="0" w:afterAutospacing="0" w:line="280" w:lineRule="exact"/>
                    <w:ind w:left="0" w:right="0"/>
                    <w:jc w:val="center"/>
                    <w:rPr>
                      <w:rFonts w:hint="default" w:ascii="宋体" w:hAnsi="宋体" w:eastAsia="宋体" w:cs="Times New Roman"/>
                      <w:b/>
                      <w:bCs/>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125BF910">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1A2CA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699" w:type="dxa"/>
                  <w:tcBorders>
                    <w:top w:val="single" w:color="auto" w:sz="4" w:space="0"/>
                    <w:left w:val="single" w:color="auto" w:sz="4" w:space="0"/>
                    <w:bottom w:val="single" w:color="auto" w:sz="4" w:space="0"/>
                    <w:right w:val="single" w:color="auto" w:sz="4" w:space="0"/>
                  </w:tcBorders>
                  <w:noWrap w:val="0"/>
                  <w:vAlign w:val="top"/>
                </w:tcPr>
                <w:p w14:paraId="6565AB64">
                  <w:pPr>
                    <w:keepNext w:val="0"/>
                    <w:keepLines w:val="0"/>
                    <w:suppressLineNumbers w:val="0"/>
                    <w:spacing w:before="0" w:beforeAutospacing="0" w:after="0" w:afterAutospacing="0" w:line="280" w:lineRule="exact"/>
                    <w:ind w:left="0" w:right="0"/>
                    <w:jc w:val="center"/>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4.</w:t>
                  </w:r>
                  <w:r>
                    <w:rPr>
                      <w:rFonts w:hint="eastAsia" w:ascii="宋体" w:hAnsi="宋体" w:eastAsia="宋体" w:cs="Times New Roman"/>
                      <w:color w:val="auto"/>
                      <w:highlight w:val="none"/>
                      <w:lang w:val="en-US" w:eastAsia="zh-CN"/>
                    </w:rPr>
                    <w:t>1</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33661C77">
                  <w:pPr>
                    <w:keepNext w:val="0"/>
                    <w:keepLines w:val="0"/>
                    <w:suppressLineNumbers w:val="0"/>
                    <w:spacing w:before="0" w:beforeAutospacing="0" w:after="0" w:afterAutospacing="0"/>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扣除</w:t>
                  </w:r>
                  <w:r>
                    <w:rPr>
                      <w:rFonts w:hint="eastAsia" w:ascii="宋体" w:hAnsi="宋体" w:eastAsia="宋体" w:cs="Times New Roman"/>
                      <w:color w:val="auto"/>
                      <w:highlight w:val="none"/>
                      <w:lang w:eastAsia="zh-CN"/>
                    </w:rPr>
                    <w:t>本</w:t>
                  </w:r>
                  <w:r>
                    <w:rPr>
                      <w:rFonts w:hint="eastAsia" w:ascii="宋体" w:hAnsi="宋体" w:eastAsia="宋体" w:cs="Times New Roman"/>
                      <w:color w:val="auto"/>
                      <w:highlight w:val="none"/>
                    </w:rPr>
                    <w:t>期应抵扣的预付款</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00E4CFAA">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43210DD7">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68E0B1EC">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57C7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top"/>
                </w:tcPr>
                <w:p w14:paraId="236CADED">
                  <w:pPr>
                    <w:keepNext w:val="0"/>
                    <w:keepLines w:val="0"/>
                    <w:suppressLineNumbers w:val="0"/>
                    <w:spacing w:before="0" w:beforeAutospacing="0" w:after="0" w:afterAutospacing="0" w:line="280" w:lineRule="exact"/>
                    <w:ind w:left="0" w:right="0"/>
                    <w:jc w:val="center"/>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4.</w:t>
                  </w:r>
                  <w:r>
                    <w:rPr>
                      <w:rFonts w:hint="eastAsia" w:ascii="宋体" w:hAnsi="宋体" w:eastAsia="宋体" w:cs="Times New Roman"/>
                      <w:color w:val="auto"/>
                      <w:highlight w:val="none"/>
                      <w:lang w:val="en-US" w:eastAsia="zh-CN"/>
                    </w:rPr>
                    <w:t>2</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38186893">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扣除</w:t>
                  </w:r>
                  <w:r>
                    <w:rPr>
                      <w:rFonts w:hint="eastAsia" w:ascii="宋体" w:hAnsi="宋体" w:eastAsia="宋体" w:cs="Times New Roman"/>
                      <w:color w:val="auto"/>
                      <w:highlight w:val="none"/>
                      <w:lang w:eastAsia="zh-CN"/>
                    </w:rPr>
                    <w:t>本</w:t>
                  </w:r>
                  <w:r>
                    <w:rPr>
                      <w:rFonts w:hint="eastAsia" w:ascii="宋体" w:hAnsi="宋体" w:eastAsia="宋体" w:cs="Times New Roman"/>
                      <w:color w:val="auto"/>
                      <w:highlight w:val="none"/>
                    </w:rPr>
                    <w:t>期应预留的质量保证金（如有）</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76CEE36A">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18F75C6D">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12FE1BA7">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6E4E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9" w:type="dxa"/>
                  <w:tcBorders>
                    <w:top w:val="single" w:color="auto" w:sz="4" w:space="0"/>
                    <w:left w:val="single" w:color="auto" w:sz="4" w:space="0"/>
                    <w:bottom w:val="single" w:color="auto" w:sz="4" w:space="0"/>
                    <w:right w:val="single" w:color="auto" w:sz="4" w:space="0"/>
                  </w:tcBorders>
                  <w:noWrap w:val="0"/>
                  <w:vAlign w:val="center"/>
                </w:tcPr>
                <w:p w14:paraId="10D08790">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5</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54D784C7">
                  <w:pPr>
                    <w:keepNext w:val="0"/>
                    <w:keepLines w:val="0"/>
                    <w:suppressLineNumbers w:val="0"/>
                    <w:spacing w:before="0" w:beforeAutospacing="0" w:after="0" w:afterAutospacing="0"/>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已签发的进度款支付证书中出现错误需在当期中支付或扣除的工程价款；</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5E4B42B9">
                  <w:pPr>
                    <w:keepNext w:val="0"/>
                    <w:keepLines w:val="0"/>
                    <w:suppressLineNumbers w:val="0"/>
                    <w:spacing w:before="0" w:beforeAutospacing="0" w:after="0" w:afterAutospacing="0" w:line="280" w:lineRule="exact"/>
                    <w:ind w:left="0" w:right="0"/>
                    <w:jc w:val="center"/>
                    <w:rPr>
                      <w:rFonts w:hint="eastAsia" w:ascii="宋体" w:hAnsi="宋体" w:eastAsia="宋体" w:cs="Times New Roman"/>
                      <w:color w:val="auto"/>
                      <w:highlight w:val="none"/>
                      <w:lang w:val="en-US" w:eastAsia="zh-CN"/>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238FD5CA">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40394AD5">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20DF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center"/>
                </w:tcPr>
                <w:p w14:paraId="597A18D8">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6</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591505D0">
                  <w:pPr>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lang w:eastAsia="zh-CN"/>
                    </w:rPr>
                    <w:t>本</w:t>
                  </w:r>
                  <w:r>
                    <w:rPr>
                      <w:rFonts w:hint="eastAsia" w:ascii="宋体" w:hAnsi="宋体" w:eastAsia="宋体" w:cs="Times New Roman"/>
                      <w:color w:val="auto"/>
                      <w:highlight w:val="none"/>
                    </w:rPr>
                    <w:t>期应支付工程价款</w:t>
                  </w:r>
                  <w:r>
                    <w:rPr>
                      <w:rFonts w:hint="eastAsia" w:ascii="宋体" w:hAnsi="宋体" w:eastAsia="宋体" w:cs="Times New Roman"/>
                      <w:strike w:val="0"/>
                      <w:color w:val="auto"/>
                      <w:highlight w:val="none"/>
                    </w:rPr>
                    <w:t>=&lt;3&gt;</w:t>
                  </w:r>
                </w:p>
                <w:p w14:paraId="60FFE864">
                  <w:pPr>
                    <w:keepNext w:val="0"/>
                    <w:keepLines w:val="0"/>
                    <w:suppressLineNumbers w:val="0"/>
                    <w:spacing w:before="0" w:beforeAutospacing="0" w:after="0" w:afterAutospacing="0" w:line="280" w:lineRule="exact"/>
                    <w:ind w:left="0" w:right="0" w:firstLine="210"/>
                    <w:rPr>
                      <w:rFonts w:hint="default" w:ascii="宋体" w:hAnsi="宋体" w:eastAsia="宋体" w:cs="Times New Roman"/>
                      <w:color w:val="auto"/>
                      <w:highlight w:val="none"/>
                    </w:rPr>
                  </w:pPr>
                  <w:r>
                    <w:rPr>
                      <w:rFonts w:hint="eastAsia" w:ascii="宋体" w:hAnsi="宋体" w:eastAsia="宋体" w:cs="Times New Roman"/>
                      <w:strike w:val="0"/>
                      <w:color w:val="auto"/>
                      <w:highlight w:val="none"/>
                    </w:rPr>
                    <w:t>×支付比例</w:t>
                  </w:r>
                  <w:r>
                    <w:rPr>
                      <w:rFonts w:hint="eastAsia" w:ascii="宋体" w:hAnsi="宋体" w:cs="Times New Roman"/>
                      <w:strike w:val="0"/>
                      <w:color w:val="auto"/>
                      <w:highlight w:val="none"/>
                      <w:lang w:eastAsia="zh-CN"/>
                    </w:rPr>
                    <w:t>－</w:t>
                  </w:r>
                  <w:r>
                    <w:rPr>
                      <w:rFonts w:hint="eastAsia" w:ascii="宋体" w:hAnsi="宋体" w:eastAsia="宋体" w:cs="Times New Roman"/>
                      <w:strike w:val="0"/>
                      <w:color w:val="auto"/>
                      <w:highlight w:val="none"/>
                      <w:lang w:val="en-US" w:eastAsia="zh-CN"/>
                    </w:rPr>
                    <w:t>&lt;4&gt;</w:t>
                  </w:r>
                  <w:r>
                    <w:rPr>
                      <w:rFonts w:hint="eastAsia" w:ascii="宋体" w:hAnsi="宋体" w:eastAsia="宋体" w:cs="Times New Roman"/>
                      <w:strike w:val="0"/>
                      <w:color w:val="auto"/>
                      <w:highlight w:val="none"/>
                    </w:rPr>
                    <w:t>＋&lt;5&gt;</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72E6E3D9">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1A2E9345">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1C4114BC">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7DCD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699" w:type="dxa"/>
                  <w:tcBorders>
                    <w:top w:val="single" w:color="auto" w:sz="4" w:space="0"/>
                    <w:left w:val="single" w:color="auto" w:sz="4" w:space="0"/>
                    <w:bottom w:val="single" w:color="auto" w:sz="4" w:space="0"/>
                    <w:right w:val="single" w:color="auto" w:sz="4" w:space="0"/>
                  </w:tcBorders>
                  <w:noWrap w:val="0"/>
                  <w:vAlign w:val="center"/>
                </w:tcPr>
                <w:p w14:paraId="71622A06">
                  <w:pPr>
                    <w:keepNext w:val="0"/>
                    <w:keepLines w:val="0"/>
                    <w:suppressLineNumbers w:val="0"/>
                    <w:spacing w:before="0" w:beforeAutospacing="0" w:after="0" w:afterAutospacing="0" w:line="280" w:lineRule="exact"/>
                    <w:ind w:left="0" w:right="0"/>
                    <w:jc w:val="center"/>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6.1</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43225BAA">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lang w:val="en-US" w:eastAsia="zh-CN"/>
                    </w:rPr>
                    <w:t>其中：本期应支付</w:t>
                  </w:r>
                  <w:r>
                    <w:rPr>
                      <w:rFonts w:hint="eastAsia" w:ascii="宋体" w:hAnsi="宋体" w:eastAsia="宋体" w:cs="Times New Roman"/>
                      <w:color w:val="auto"/>
                      <w:highlight w:val="none"/>
                    </w:rPr>
                    <w:t>人工费=&lt;3.1&gt;×支付比例</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318BE538">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08B08C84">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7D2B3A35">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r w14:paraId="395C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9" w:type="dxa"/>
                  <w:tcBorders>
                    <w:top w:val="single" w:color="auto" w:sz="4" w:space="0"/>
                    <w:left w:val="single" w:color="auto" w:sz="4" w:space="0"/>
                    <w:bottom w:val="single" w:color="auto" w:sz="4" w:space="0"/>
                    <w:right w:val="single" w:color="auto" w:sz="4" w:space="0"/>
                  </w:tcBorders>
                  <w:noWrap w:val="0"/>
                  <w:vAlign w:val="top"/>
                </w:tcPr>
                <w:p w14:paraId="1BAFC32F">
                  <w:pPr>
                    <w:keepNext w:val="0"/>
                    <w:keepLines w:val="0"/>
                    <w:suppressLineNumbers w:val="0"/>
                    <w:spacing w:before="0" w:beforeAutospacing="0" w:after="0" w:afterAutospacing="0" w:line="280" w:lineRule="exact"/>
                    <w:ind w:left="0" w:right="0"/>
                    <w:jc w:val="center"/>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val="en-US" w:eastAsia="zh-CN"/>
                    </w:rPr>
                    <w:t>7</w:t>
                  </w:r>
                </w:p>
              </w:tc>
              <w:tc>
                <w:tcPr>
                  <w:tcW w:w="5394" w:type="dxa"/>
                  <w:gridSpan w:val="2"/>
                  <w:tcBorders>
                    <w:top w:val="single" w:color="auto" w:sz="4" w:space="0"/>
                    <w:left w:val="single" w:color="auto" w:sz="4" w:space="0"/>
                    <w:bottom w:val="single" w:color="auto" w:sz="4" w:space="0"/>
                    <w:right w:val="single" w:color="auto" w:sz="4" w:space="0"/>
                  </w:tcBorders>
                  <w:noWrap w:val="0"/>
                  <w:vAlign w:val="top"/>
                </w:tcPr>
                <w:p w14:paraId="5ABA344A">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r>
                    <w:rPr>
                      <w:rFonts w:hint="eastAsia" w:ascii="宋体" w:hAnsi="宋体" w:eastAsia="宋体" w:cs="Times New Roman"/>
                      <w:color w:val="auto"/>
                      <w:highlight w:val="none"/>
                    </w:rPr>
                    <w:t>累计已完成的工程价款（含本期）=&lt;1&gt;＋&lt;3&gt;</w:t>
                  </w:r>
                </w:p>
              </w:tc>
              <w:tc>
                <w:tcPr>
                  <w:tcW w:w="1328" w:type="dxa"/>
                  <w:tcBorders>
                    <w:top w:val="single" w:color="auto" w:sz="4" w:space="0"/>
                    <w:left w:val="single" w:color="auto" w:sz="4" w:space="0"/>
                    <w:bottom w:val="single" w:color="auto" w:sz="4" w:space="0"/>
                    <w:right w:val="single" w:color="auto" w:sz="4" w:space="0"/>
                  </w:tcBorders>
                  <w:noWrap w:val="0"/>
                  <w:vAlign w:val="center"/>
                </w:tcPr>
                <w:p w14:paraId="2C7B6C0D">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1291" w:type="dxa"/>
                  <w:tcBorders>
                    <w:top w:val="single" w:color="auto" w:sz="4" w:space="0"/>
                    <w:left w:val="single" w:color="auto" w:sz="4" w:space="0"/>
                    <w:bottom w:val="single" w:color="auto" w:sz="4" w:space="0"/>
                    <w:right w:val="single" w:color="auto" w:sz="4" w:space="0"/>
                  </w:tcBorders>
                  <w:noWrap w:val="0"/>
                  <w:vAlign w:val="center"/>
                </w:tcPr>
                <w:p w14:paraId="028CD564">
                  <w:pPr>
                    <w:keepNext w:val="0"/>
                    <w:keepLines w:val="0"/>
                    <w:suppressLineNumbers w:val="0"/>
                    <w:spacing w:before="0" w:beforeAutospacing="0" w:after="0" w:afterAutospacing="0" w:line="280" w:lineRule="exact"/>
                    <w:ind w:left="0" w:right="0"/>
                    <w:jc w:val="center"/>
                    <w:rPr>
                      <w:rFonts w:hint="default" w:ascii="宋体" w:hAnsi="宋体" w:eastAsia="宋体" w:cs="Times New Roman"/>
                      <w:color w:val="auto"/>
                      <w:highlight w:val="none"/>
                    </w:rPr>
                  </w:pPr>
                </w:p>
              </w:tc>
              <w:tc>
                <w:tcPr>
                  <w:tcW w:w="572" w:type="dxa"/>
                  <w:tcBorders>
                    <w:top w:val="single" w:color="auto" w:sz="4" w:space="0"/>
                    <w:left w:val="single" w:color="auto" w:sz="4" w:space="0"/>
                    <w:bottom w:val="single" w:color="auto" w:sz="4" w:space="0"/>
                    <w:right w:val="single" w:color="auto" w:sz="4" w:space="0"/>
                  </w:tcBorders>
                  <w:noWrap w:val="0"/>
                  <w:vAlign w:val="top"/>
                </w:tcPr>
                <w:p w14:paraId="54525E2D">
                  <w:pPr>
                    <w:keepNext w:val="0"/>
                    <w:keepLines w:val="0"/>
                    <w:suppressLineNumbers w:val="0"/>
                    <w:spacing w:before="0" w:beforeAutospacing="0" w:after="0" w:afterAutospacing="0" w:line="280" w:lineRule="exact"/>
                    <w:ind w:left="0" w:right="0"/>
                    <w:rPr>
                      <w:rFonts w:hint="default" w:ascii="宋体" w:hAnsi="宋体" w:eastAsia="宋体" w:cs="Times New Roman"/>
                      <w:color w:val="auto"/>
                      <w:highlight w:val="none"/>
                    </w:rPr>
                  </w:pPr>
                </w:p>
              </w:tc>
            </w:tr>
          </w:tbl>
          <w:p w14:paraId="0FBC1477">
            <w:pPr>
              <w:keepNext w:val="0"/>
              <w:keepLines w:val="0"/>
              <w:suppressLineNumbers w:val="0"/>
              <w:wordWrap w:val="0"/>
              <w:spacing w:before="0" w:beforeAutospacing="0" w:after="0" w:afterAutospacing="0" w:line="400" w:lineRule="exact"/>
              <w:ind w:left="0" w:right="42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附：上述</w:t>
            </w:r>
            <w:r>
              <w:rPr>
                <w:rFonts w:hint="eastAsia" w:ascii="Times New Roman" w:hAnsi="Times New Roman" w:eastAsia="宋体" w:cs="Times New Roman"/>
                <w:color w:val="auto"/>
                <w:highlight w:val="none"/>
                <w:lang w:val="en-US" w:eastAsia="zh-CN"/>
              </w:rPr>
              <w:t xml:space="preserve">    </w:t>
            </w:r>
            <w:r>
              <w:rPr>
                <w:rFonts w:hint="eastAsia" w:ascii="宋体" w:hAnsi="宋体" w:eastAsia="宋体" w:cs="Times New Roman"/>
                <w:color w:val="auto"/>
                <w:highlight w:val="none"/>
              </w:rPr>
              <w:t>详见附件清单。</w:t>
            </w:r>
          </w:p>
          <w:p w14:paraId="4F1C7074">
            <w:pPr>
              <w:keepNext w:val="0"/>
              <w:keepLines w:val="0"/>
              <w:suppressLineNumbers w:val="0"/>
              <w:wordWrap w:val="0"/>
              <w:spacing w:before="0" w:beforeAutospacing="0" w:after="0" w:afterAutospacing="0" w:line="400" w:lineRule="exact"/>
              <w:ind w:left="0" w:right="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 xml:space="preserve">承包人（章） </w:t>
            </w:r>
            <w:r>
              <w:rPr>
                <w:rFonts w:hint="default" w:ascii="Times New Roman" w:hAnsi="Times New Roman" w:eastAsia="宋体" w:cs="Times New Roman"/>
                <w:color w:val="auto"/>
                <w:highlight w:val="none"/>
              </w:rPr>
              <w:t xml:space="preserve">            </w:t>
            </w:r>
          </w:p>
          <w:p w14:paraId="4A1CE8F3">
            <w:pPr>
              <w:keepNext w:val="0"/>
              <w:keepLines w:val="0"/>
              <w:suppressLineNumbers w:val="0"/>
              <w:spacing w:before="0" w:beforeAutospacing="0" w:after="0" w:afterAutospacing="0" w:line="400" w:lineRule="exact"/>
              <w:ind w:left="0" w:right="420" w:firstLine="435"/>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造价人员</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承包人代表</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 xml:space="preserve">日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期</w:t>
            </w:r>
            <w:r>
              <w:rPr>
                <w:rFonts w:hint="default" w:ascii="Times New Roman" w:hAnsi="Times New Roman" w:eastAsia="宋体" w:cs="Times New Roman"/>
                <w:color w:val="auto"/>
                <w:highlight w:val="none"/>
                <w:u w:val="single"/>
              </w:rPr>
              <w:t xml:space="preserve">               </w:t>
            </w:r>
          </w:p>
        </w:tc>
      </w:tr>
      <w:tr w14:paraId="6323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59" w:type="dxa"/>
            <w:tcBorders>
              <w:top w:val="single" w:color="auto" w:sz="4" w:space="0"/>
              <w:left w:val="single" w:color="auto" w:sz="4" w:space="0"/>
              <w:bottom w:val="single" w:color="auto" w:sz="4" w:space="0"/>
              <w:right w:val="single" w:color="auto" w:sz="4" w:space="0"/>
            </w:tcBorders>
            <w:noWrap w:val="0"/>
            <w:vAlign w:val="top"/>
          </w:tcPr>
          <w:p w14:paraId="12FC3054">
            <w:pPr>
              <w:keepNext w:val="0"/>
              <w:keepLines w:val="0"/>
              <w:suppressLineNumbers w:val="0"/>
              <w:spacing w:before="0" w:beforeAutospacing="0" w:after="0" w:afterAutospacing="0" w:line="360" w:lineRule="exact"/>
              <w:ind w:left="0" w:right="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复核意见：</w:t>
            </w:r>
          </w:p>
          <w:p w14:paraId="24A18ECE">
            <w:pPr>
              <w:keepNext w:val="0"/>
              <w:keepLines w:val="0"/>
              <w:suppressLineNumbers w:val="0"/>
              <w:spacing w:before="0" w:beforeAutospacing="0" w:after="0" w:afterAutospacing="0" w:line="360" w:lineRule="exact"/>
              <w:ind w:left="0" w:right="0" w:firstLine="312"/>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□与实际施工情况不相符，修改意见见附件。</w:t>
            </w:r>
          </w:p>
          <w:p w14:paraId="799C2E05">
            <w:pPr>
              <w:keepNext w:val="0"/>
              <w:keepLines w:val="0"/>
              <w:suppressLineNumbers w:val="0"/>
              <w:spacing w:before="0" w:beforeAutospacing="0" w:after="0" w:afterAutospacing="0" w:line="360" w:lineRule="exact"/>
              <w:ind w:left="0" w:right="0" w:firstLine="312"/>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□与实际施工情况相符，具体金额由造价工程师复核。</w:t>
            </w:r>
          </w:p>
          <w:p w14:paraId="2109F089">
            <w:pPr>
              <w:keepNext w:val="0"/>
              <w:keepLines w:val="0"/>
              <w:suppressLineNumbers w:val="0"/>
              <w:spacing w:before="0" w:beforeAutospacing="0" w:after="0" w:afterAutospacing="0" w:line="360" w:lineRule="exact"/>
              <w:ind w:left="0" w:right="0" w:firstLine="435"/>
              <w:jc w:val="right"/>
              <w:rPr>
                <w:rFonts w:hint="default" w:ascii="Times New Roman" w:hAnsi="Times New Roman" w:eastAsia="宋体" w:cs="Times New Roman"/>
                <w:color w:val="auto"/>
                <w:highlight w:val="none"/>
              </w:rPr>
            </w:pPr>
          </w:p>
          <w:p w14:paraId="5EDAA231">
            <w:pPr>
              <w:keepNext w:val="0"/>
              <w:keepLines w:val="0"/>
              <w:suppressLineNumbers w:val="0"/>
              <w:spacing w:before="0" w:beforeAutospacing="0" w:after="0" w:afterAutospacing="0" w:line="360" w:lineRule="exact"/>
              <w:ind w:left="0" w:right="0"/>
              <w:jc w:val="both"/>
              <w:rPr>
                <w:rFonts w:hint="default" w:ascii="Times New Roman" w:hAnsi="Times New Roman" w:eastAsia="宋体" w:cs="Times New Roman"/>
                <w:color w:val="auto"/>
                <w:highlight w:val="none"/>
                <w:u w:val="single"/>
              </w:rPr>
            </w:pPr>
            <w:r>
              <w:rPr>
                <w:rFonts w:hint="eastAsia" w:ascii="Times New Roman" w:hAnsi="Times New Roman" w:eastAsia="宋体" w:cs="Times New Roman"/>
                <w:color w:val="auto"/>
                <w:highlight w:val="none"/>
                <w:lang w:eastAsia="zh-CN"/>
              </w:rPr>
              <w:t>监理</w:t>
            </w:r>
            <w:r>
              <w:rPr>
                <w:rFonts w:hint="eastAsia" w:ascii="宋体" w:hAnsi="宋体" w:eastAsia="宋体" w:cs="Times New Roman"/>
                <w:color w:val="auto"/>
                <w:highlight w:val="none"/>
              </w:rPr>
              <w:t>工程师</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 xml:space="preserve">日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期</w:t>
            </w:r>
            <w:r>
              <w:rPr>
                <w:rFonts w:hint="default" w:ascii="Times New Roman" w:hAnsi="Times New Roman" w:eastAsia="宋体" w:cs="Times New Roman"/>
                <w:color w:val="auto"/>
                <w:highlight w:val="none"/>
                <w:u w:val="single"/>
              </w:rPr>
              <w:t xml:space="preserve">           </w:t>
            </w:r>
          </w:p>
        </w:tc>
        <w:tc>
          <w:tcPr>
            <w:tcW w:w="4552" w:type="dxa"/>
            <w:tcBorders>
              <w:top w:val="single" w:color="auto" w:sz="4" w:space="0"/>
              <w:left w:val="single" w:color="auto" w:sz="4" w:space="0"/>
              <w:bottom w:val="single" w:color="auto" w:sz="4" w:space="0"/>
              <w:right w:val="single" w:color="auto" w:sz="4" w:space="0"/>
            </w:tcBorders>
            <w:noWrap w:val="0"/>
            <w:vAlign w:val="top"/>
          </w:tcPr>
          <w:p w14:paraId="1CC7CC26">
            <w:pPr>
              <w:keepNext w:val="0"/>
              <w:keepLines w:val="0"/>
              <w:suppressLineNumbers w:val="0"/>
              <w:spacing w:before="0" w:beforeAutospacing="0" w:after="0" w:afterAutospacing="0" w:line="360" w:lineRule="exact"/>
              <w:ind w:left="0" w:right="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复核意见：</w:t>
            </w:r>
          </w:p>
          <w:p w14:paraId="082E1D81">
            <w:pPr>
              <w:keepNext w:val="0"/>
              <w:keepLines w:val="0"/>
              <w:suppressLineNumbers w:val="0"/>
              <w:spacing w:before="0" w:beforeAutospacing="0" w:after="0" w:afterAutospacing="0" w:line="360" w:lineRule="exact"/>
              <w:ind w:left="0" w:right="0" w:firstLine="435"/>
              <w:rPr>
                <w:rFonts w:hint="default" w:ascii="Times New Roman" w:hAnsi="Times New Roman" w:eastAsia="宋体" w:cs="Times New Roman"/>
                <w:color w:val="auto"/>
                <w:highlight w:val="none"/>
                <w:u w:val="single"/>
              </w:rPr>
            </w:pPr>
            <w:r>
              <w:rPr>
                <w:rFonts w:hint="eastAsia" w:ascii="宋体" w:hAnsi="宋体" w:eastAsia="宋体" w:cs="Times New Roman"/>
                <w:color w:val="auto"/>
                <w:highlight w:val="none"/>
              </w:rPr>
              <w:t>你方提出的支付申请经复核，本周期已完成工程价款为</w:t>
            </w:r>
            <w:r>
              <w:rPr>
                <w:rFonts w:hint="eastAsia" w:ascii="宋体" w:hAnsi="宋体" w:cs="Times New Roman"/>
                <w:color w:val="auto"/>
                <w:highlight w:val="none"/>
                <w:lang w:eastAsia="zh-CN"/>
              </w:rPr>
              <w:t>（</w:t>
            </w:r>
            <w:r>
              <w:rPr>
                <w:rFonts w:hint="eastAsia" w:ascii="宋体" w:hAnsi="宋体" w:eastAsia="宋体" w:cs="Times New Roman"/>
                <w:color w:val="auto"/>
                <w:highlight w:val="none"/>
              </w:rPr>
              <w:t>大写</w:t>
            </w:r>
            <w:r>
              <w:rPr>
                <w:rFonts w:hint="eastAsia" w:ascii="宋体" w:hAnsi="宋体" w:cs="Times New Roman"/>
                <w:color w:val="auto"/>
                <w:highlight w:val="none"/>
                <w:lang w:eastAsia="zh-CN"/>
              </w:rPr>
              <w:t>）</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元，（小写）</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元，本期间应支付金额为（大写）</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元，（小写）</w:t>
            </w:r>
            <w:r>
              <w:rPr>
                <w:rFonts w:hint="default" w:ascii="Times New Roman" w:hAnsi="Times New Roman" w:eastAsia="宋体" w:cs="Times New Roman"/>
                <w:color w:val="auto"/>
                <w:highlight w:val="none"/>
                <w:u w:val="single"/>
              </w:rPr>
              <w:t xml:space="preserve">         </w:t>
            </w:r>
            <w:r>
              <w:rPr>
                <w:rFonts w:hint="eastAsia" w:ascii="宋体" w:hAnsi="宋体" w:eastAsia="宋体" w:cs="Times New Roman"/>
                <w:color w:val="auto"/>
                <w:highlight w:val="none"/>
              </w:rPr>
              <w:t>元。</w:t>
            </w:r>
          </w:p>
          <w:p w14:paraId="290306C9">
            <w:pPr>
              <w:keepNext w:val="0"/>
              <w:keepLines w:val="0"/>
              <w:suppressLineNumbers w:val="0"/>
              <w:spacing w:before="0" w:beforeAutospacing="0" w:after="0" w:afterAutospacing="0" w:line="360" w:lineRule="exact"/>
              <w:ind w:left="0" w:right="0"/>
              <w:jc w:val="both"/>
              <w:rPr>
                <w:rFonts w:hint="default" w:ascii="Times New Roman" w:hAnsi="Times New Roman" w:eastAsia="宋体" w:cs="Times New Roman"/>
                <w:color w:val="auto"/>
                <w:highlight w:val="none"/>
                <w:u w:val="single"/>
              </w:rPr>
            </w:pPr>
            <w:r>
              <w:rPr>
                <w:rFonts w:hint="eastAsia" w:ascii="宋体" w:hAnsi="宋体" w:eastAsia="宋体" w:cs="Times New Roman"/>
                <w:color w:val="auto"/>
                <w:highlight w:val="none"/>
              </w:rPr>
              <w:t>造价工程师</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 xml:space="preserve">日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期</w:t>
            </w:r>
            <w:r>
              <w:rPr>
                <w:rFonts w:hint="default" w:ascii="Times New Roman" w:hAnsi="Times New Roman" w:eastAsia="宋体" w:cs="Times New Roman"/>
                <w:color w:val="auto"/>
                <w:highlight w:val="none"/>
                <w:u w:val="single"/>
              </w:rPr>
              <w:t xml:space="preserve">           </w:t>
            </w:r>
          </w:p>
        </w:tc>
      </w:tr>
      <w:tr w14:paraId="1F85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1" w:hRule="atLeast"/>
          <w:jc w:val="center"/>
        </w:trPr>
        <w:tc>
          <w:tcPr>
            <w:tcW w:w="9511" w:type="dxa"/>
            <w:gridSpan w:val="2"/>
            <w:tcBorders>
              <w:top w:val="single" w:color="auto" w:sz="4" w:space="0"/>
              <w:left w:val="single" w:color="auto" w:sz="4" w:space="0"/>
              <w:bottom w:val="single" w:color="auto" w:sz="4" w:space="0"/>
              <w:right w:val="single" w:color="auto" w:sz="4" w:space="0"/>
            </w:tcBorders>
            <w:noWrap w:val="0"/>
            <w:vAlign w:val="top"/>
          </w:tcPr>
          <w:p w14:paraId="2EB53DA7">
            <w:pPr>
              <w:keepNext w:val="0"/>
              <w:keepLines w:val="0"/>
              <w:suppressLineNumbers w:val="0"/>
              <w:spacing w:before="0" w:beforeAutospacing="0" w:after="0" w:afterAutospacing="0" w:line="400" w:lineRule="exact"/>
              <w:ind w:left="0" w:right="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审核意见：</w:t>
            </w:r>
          </w:p>
          <w:p w14:paraId="3827BE44">
            <w:pPr>
              <w:keepNext w:val="0"/>
              <w:keepLines w:val="0"/>
              <w:suppressLineNumbers w:val="0"/>
              <w:spacing w:before="0" w:beforeAutospacing="0" w:after="0" w:afterAutospacing="0" w:line="400" w:lineRule="exact"/>
              <w:ind w:left="0" w:right="0" w:firstLine="435"/>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□不同意。</w:t>
            </w:r>
          </w:p>
          <w:p w14:paraId="7B1B749C">
            <w:pPr>
              <w:keepNext w:val="0"/>
              <w:keepLines w:val="0"/>
              <w:suppressLineNumbers w:val="0"/>
              <w:spacing w:before="0" w:beforeAutospacing="0" w:after="0" w:afterAutospacing="0" w:line="400" w:lineRule="exact"/>
              <w:ind w:left="0" w:right="0" w:firstLine="420" w:firstLineChars="200"/>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□同意，支付时间为本表签发后的</w:t>
            </w:r>
            <w:r>
              <w:rPr>
                <w:rFonts w:hint="eastAsia" w:ascii="Times New Roman" w:hAnsi="Times New Roman" w:eastAsia="宋体" w:cs="Times New Roman"/>
                <w:color w:val="auto"/>
                <w:highlight w:val="none"/>
              </w:rPr>
              <w:t>15</w:t>
            </w:r>
            <w:r>
              <w:rPr>
                <w:rFonts w:hint="eastAsia" w:ascii="宋体" w:hAnsi="宋体" w:eastAsia="宋体" w:cs="Times New Roman"/>
                <w:color w:val="auto"/>
                <w:highlight w:val="none"/>
              </w:rPr>
              <w:t>天内。</w:t>
            </w:r>
          </w:p>
          <w:p w14:paraId="20403C77">
            <w:pPr>
              <w:keepNext w:val="0"/>
              <w:keepLines w:val="0"/>
              <w:suppressLineNumbers w:val="0"/>
              <w:wordWrap w:val="0"/>
              <w:spacing w:before="0" w:beforeAutospacing="0" w:after="0" w:afterAutospacing="0" w:line="400" w:lineRule="exact"/>
              <w:ind w:left="0" w:right="0" w:firstLine="420" w:firstLineChars="200"/>
              <w:jc w:val="right"/>
              <w:rPr>
                <w:rFonts w:hint="default" w:ascii="Times New Roman" w:hAnsi="Times New Roman" w:eastAsia="宋体" w:cs="Times New Roman"/>
                <w:color w:val="auto"/>
                <w:highlight w:val="none"/>
              </w:rPr>
            </w:pPr>
            <w:r>
              <w:rPr>
                <w:rFonts w:hint="eastAsia" w:ascii="宋体" w:hAnsi="宋体" w:eastAsia="宋体" w:cs="Times New Roman"/>
                <w:color w:val="auto"/>
                <w:highlight w:val="none"/>
              </w:rPr>
              <w:t xml:space="preserve">发包人（章） </w:t>
            </w:r>
            <w:r>
              <w:rPr>
                <w:rFonts w:hint="default" w:ascii="Times New Roman" w:hAnsi="Times New Roman" w:eastAsia="宋体" w:cs="Times New Roman"/>
                <w:color w:val="auto"/>
                <w:highlight w:val="none"/>
              </w:rPr>
              <w:t xml:space="preserve">          </w:t>
            </w:r>
          </w:p>
          <w:p w14:paraId="41DEE253">
            <w:pPr>
              <w:keepNext w:val="0"/>
              <w:keepLines w:val="0"/>
              <w:suppressLineNumbers w:val="0"/>
              <w:wordWrap w:val="0"/>
              <w:spacing w:before="0" w:beforeAutospacing="0" w:after="0" w:afterAutospacing="0" w:line="400" w:lineRule="exact"/>
              <w:ind w:left="0" w:right="0" w:firstLine="420" w:firstLineChars="200"/>
              <w:jc w:val="right"/>
              <w:rPr>
                <w:rFonts w:hint="default" w:ascii="Times New Roman" w:hAnsi="Times New Roman" w:eastAsia="宋体" w:cs="Times New Roman"/>
                <w:color w:val="auto"/>
                <w:highlight w:val="none"/>
                <w:u w:val="single"/>
              </w:rPr>
            </w:pPr>
            <w:r>
              <w:rPr>
                <w:rFonts w:hint="eastAsia" w:ascii="宋体" w:hAnsi="宋体" w:eastAsia="宋体" w:cs="Times New Roman"/>
                <w:color w:val="auto"/>
                <w:highlight w:val="none"/>
              </w:rPr>
              <w:t>发包人代表</w:t>
            </w:r>
            <w:r>
              <w:rPr>
                <w:rFonts w:hint="default" w:ascii="Times New Roman" w:hAnsi="Times New Roman" w:eastAsia="宋体" w:cs="Times New Roman"/>
                <w:color w:val="auto"/>
                <w:highlight w:val="none"/>
                <w:u w:val="single"/>
              </w:rPr>
              <w:t xml:space="preserve">             </w:t>
            </w:r>
          </w:p>
          <w:p w14:paraId="099DB396">
            <w:pPr>
              <w:keepNext w:val="0"/>
              <w:keepLines w:val="0"/>
              <w:suppressLineNumbers w:val="0"/>
              <w:wordWrap w:val="0"/>
              <w:spacing w:before="0" w:beforeAutospacing="0" w:after="0" w:afterAutospacing="0" w:line="400" w:lineRule="exact"/>
              <w:ind w:left="0" w:right="0" w:firstLine="420" w:firstLineChars="200"/>
              <w:jc w:val="right"/>
              <w:rPr>
                <w:rFonts w:hint="default" w:ascii="Times New Roman" w:hAnsi="Times New Roman" w:eastAsia="宋体" w:cs="Times New Roman"/>
                <w:color w:val="auto"/>
                <w:highlight w:val="none"/>
                <w:u w:val="single"/>
              </w:rPr>
            </w:pPr>
            <w:r>
              <w:rPr>
                <w:rFonts w:hint="eastAsia" w:ascii="宋体" w:hAnsi="宋体" w:eastAsia="宋体" w:cs="Times New Roman"/>
                <w:color w:val="auto"/>
                <w:highlight w:val="none"/>
              </w:rPr>
              <w:t xml:space="preserve">日 </w:t>
            </w:r>
            <w:r>
              <w:rPr>
                <w:rFonts w:hint="default" w:ascii="Times New Roman" w:hAnsi="Times New Roman" w:eastAsia="宋体" w:cs="Times New Roman"/>
                <w:color w:val="auto"/>
                <w:highlight w:val="none"/>
              </w:rPr>
              <w:t xml:space="preserve">     </w:t>
            </w:r>
            <w:r>
              <w:rPr>
                <w:rFonts w:hint="eastAsia" w:ascii="宋体" w:hAnsi="宋体" w:eastAsia="宋体" w:cs="Times New Roman"/>
                <w:color w:val="auto"/>
                <w:highlight w:val="none"/>
              </w:rPr>
              <w:t>期</w:t>
            </w:r>
            <w:r>
              <w:rPr>
                <w:rFonts w:hint="default" w:ascii="Times New Roman" w:hAnsi="Times New Roman" w:eastAsia="宋体" w:cs="Times New Roman"/>
                <w:color w:val="auto"/>
                <w:highlight w:val="none"/>
                <w:u w:val="single"/>
              </w:rPr>
              <w:t xml:space="preserve">             </w:t>
            </w:r>
          </w:p>
        </w:tc>
      </w:tr>
    </w:tbl>
    <w:p w14:paraId="53951CA9">
      <w:pPr>
        <w:spacing w:beforeLines="50"/>
        <w:ind w:firstLine="360" w:firstLineChars="200"/>
        <w:rPr>
          <w:color w:val="auto"/>
          <w:sz w:val="18"/>
          <w:szCs w:val="18"/>
          <w:highlight w:val="none"/>
        </w:rPr>
      </w:pPr>
      <w:r>
        <w:rPr>
          <w:rFonts w:hint="eastAsia" w:ascii="宋体" w:hAnsi="宋体"/>
          <w:color w:val="auto"/>
          <w:sz w:val="18"/>
          <w:szCs w:val="18"/>
          <w:highlight w:val="none"/>
        </w:rPr>
        <w:t>注：</w:t>
      </w:r>
      <w:r>
        <w:rPr>
          <w:rFonts w:hint="eastAsia"/>
          <w:color w:val="auto"/>
          <w:sz w:val="18"/>
          <w:szCs w:val="18"/>
          <w:highlight w:val="none"/>
        </w:rPr>
        <w:t>1.</w:t>
      </w:r>
      <w:r>
        <w:rPr>
          <w:rFonts w:hint="eastAsia" w:ascii="宋体" w:hAnsi="宋体"/>
          <w:color w:val="auto"/>
          <w:sz w:val="18"/>
          <w:szCs w:val="18"/>
          <w:highlight w:val="none"/>
        </w:rPr>
        <w:t>在选择栏中的</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内作标识</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 xml:space="preserve">。 </w:t>
      </w:r>
    </w:p>
    <w:p w14:paraId="023470FE">
      <w:pPr>
        <w:spacing w:beforeLines="50"/>
        <w:ind w:firstLine="720" w:firstLineChars="400"/>
        <w:rPr>
          <w:rFonts w:ascii="宋体" w:hAnsi="宋体"/>
          <w:color w:val="auto"/>
          <w:sz w:val="18"/>
          <w:szCs w:val="18"/>
          <w:highlight w:val="none"/>
        </w:rPr>
      </w:pPr>
      <w:r>
        <w:rPr>
          <w:rFonts w:hint="eastAsia"/>
          <w:color w:val="auto"/>
          <w:sz w:val="18"/>
          <w:szCs w:val="18"/>
          <w:highlight w:val="none"/>
        </w:rPr>
        <w:t>2.</w:t>
      </w:r>
      <w:r>
        <w:rPr>
          <w:rFonts w:hint="eastAsia" w:ascii="宋体" w:hAnsi="宋体"/>
          <w:color w:val="auto"/>
          <w:sz w:val="18"/>
          <w:szCs w:val="18"/>
          <w:highlight w:val="none"/>
        </w:rPr>
        <w:t>本表一式四份，由承包人填报，发包人、监理人、造价咨询人、承包人各存一份。</w:t>
      </w:r>
    </w:p>
    <w:p w14:paraId="55F9BDDE">
      <w:pPr>
        <w:pStyle w:val="5"/>
        <w:jc w:val="both"/>
        <w:rPr>
          <w:rFonts w:hint="eastAsia" w:ascii="仿宋_GB2312" w:eastAsia="仿宋_GB2312" w:cs="仿宋_GB2312"/>
          <w:color w:val="auto"/>
          <w:sz w:val="30"/>
          <w:szCs w:val="30"/>
          <w:highlight w:val="none"/>
          <w:lang w:eastAsia="zh-CN"/>
        </w:rPr>
      </w:pPr>
      <w:r>
        <w:rPr>
          <w:rFonts w:hint="eastAsia" w:ascii="仿宋_GB2312" w:eastAsia="仿宋_GB2312" w:cs="仿宋_GB2312"/>
          <w:color w:val="auto"/>
          <w:sz w:val="30"/>
          <w:szCs w:val="30"/>
          <w:highlight w:val="none"/>
        </w:rPr>
        <w:t>附件12</w:t>
      </w:r>
      <w:r>
        <w:rPr>
          <w:rFonts w:hint="eastAsia" w:ascii="仿宋_GB2312" w:eastAsia="仿宋_GB2312" w:cs="仿宋_GB2312"/>
          <w:color w:val="auto"/>
          <w:sz w:val="30"/>
          <w:szCs w:val="30"/>
          <w:highlight w:val="none"/>
          <w:lang w:eastAsia="zh-CN"/>
        </w:rPr>
        <w:t>：竣工（施工过程）结算款支付申请（核准）表</w:t>
      </w:r>
    </w:p>
    <w:p w14:paraId="3B004D0B">
      <w:pPr>
        <w:wordWrap/>
        <w:jc w:val="center"/>
        <w:outlineLvl w:val="9"/>
        <w:rPr>
          <w:b/>
          <w:color w:val="auto"/>
          <w:sz w:val="36"/>
          <w:szCs w:val="36"/>
          <w:highlight w:val="none"/>
        </w:rPr>
      </w:pPr>
      <w:r>
        <w:rPr>
          <w:rFonts w:hint="default" w:ascii="宋体" w:hAnsi="宋体"/>
          <w:b/>
          <w:color w:val="auto"/>
          <w:sz w:val="30"/>
          <w:szCs w:val="30"/>
          <w:highlight w:val="none"/>
          <w:lang w:val="en"/>
        </w:rPr>
        <w:t>竣工</w:t>
      </w:r>
      <w:r>
        <w:rPr>
          <w:rFonts w:hint="default" w:ascii="宋体" w:hAnsi="宋体"/>
          <w:b/>
          <w:color w:val="auto"/>
          <w:sz w:val="30"/>
          <w:szCs w:val="30"/>
          <w:highlight w:val="none"/>
          <w:lang w:val="en" w:eastAsia="zh-CN"/>
        </w:rPr>
        <w:t>（施工过程）</w:t>
      </w:r>
      <w:r>
        <w:rPr>
          <w:rFonts w:hint="default" w:ascii="宋体" w:hAnsi="宋体"/>
          <w:b/>
          <w:color w:val="auto"/>
          <w:sz w:val="30"/>
          <w:szCs w:val="30"/>
          <w:highlight w:val="none"/>
          <w:lang w:val="en"/>
        </w:rPr>
        <w:t>结算款支付申请（核准）表</w:t>
      </w:r>
    </w:p>
    <w:p w14:paraId="7160F222">
      <w:pPr>
        <w:ind w:firstLine="420" w:firstLineChars="200"/>
        <w:rPr>
          <w:color w:val="auto"/>
          <w:sz w:val="24"/>
          <w:szCs w:val="24"/>
          <w:highlight w:val="none"/>
        </w:rPr>
      </w:pPr>
      <w:r>
        <w:rPr>
          <w:rFonts w:hint="eastAsia" w:ascii="宋体" w:hAnsi="宋体"/>
          <w:color w:val="auto"/>
          <w:sz w:val="21"/>
          <w:szCs w:val="21"/>
          <w:highlight w:val="none"/>
        </w:rPr>
        <w:t xml:space="preserve">工程名称：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编号：</w:t>
      </w:r>
    </w:p>
    <w:tbl>
      <w:tblPr>
        <w:tblStyle w:val="346"/>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9"/>
        <w:gridCol w:w="4280"/>
      </w:tblGrid>
      <w:tr w14:paraId="47A3C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8" w:hRule="atLeast"/>
          <w:jc w:val="center"/>
        </w:trPr>
        <w:tc>
          <w:tcPr>
            <w:tcW w:w="9229" w:type="dxa"/>
            <w:gridSpan w:val="2"/>
            <w:noWrap w:val="0"/>
            <w:vAlign w:val="top"/>
          </w:tcPr>
          <w:p w14:paraId="5E1B18D3">
            <w:pPr>
              <w:pStyle w:val="345"/>
              <w:spacing w:before="234" w:line="220" w:lineRule="auto"/>
              <w:ind w:left="85"/>
              <w:rPr>
                <w:rFonts w:hint="eastAsia" w:eastAsia="宋体"/>
                <w:color w:val="auto"/>
                <w:sz w:val="21"/>
                <w:szCs w:val="21"/>
                <w:highlight w:val="none"/>
                <w:lang w:eastAsia="zh-CN"/>
              </w:rPr>
            </w:pPr>
            <w:r>
              <w:rPr>
                <w:color w:val="auto"/>
                <w:spacing w:val="1"/>
                <w:sz w:val="21"/>
                <w:szCs w:val="21"/>
                <w:highlight w:val="none"/>
              </w:rPr>
              <w:t>致</w:t>
            </w:r>
            <w:r>
              <w:rPr>
                <w:color w:val="auto"/>
                <w:spacing w:val="-26"/>
                <w:sz w:val="21"/>
                <w:szCs w:val="21"/>
                <w:highlight w:val="none"/>
              </w:rPr>
              <w:t xml:space="preserve"> </w:t>
            </w:r>
            <w:r>
              <w:rPr>
                <w:color w:val="auto"/>
                <w:spacing w:val="1"/>
                <w:sz w:val="21"/>
                <w:szCs w:val="21"/>
                <w:highlight w:val="none"/>
              </w:rPr>
              <w:t>：</w:t>
            </w:r>
            <w:r>
              <w:rPr>
                <w:color w:val="auto"/>
                <w:spacing w:val="3"/>
                <w:sz w:val="21"/>
                <w:szCs w:val="21"/>
                <w:highlight w:val="none"/>
                <w:u w:val="single"/>
              </w:rPr>
              <w:t xml:space="preserve">                   </w:t>
            </w:r>
            <w:r>
              <w:rPr>
                <w:rFonts w:hint="eastAsia" w:eastAsia="宋体"/>
                <w:color w:val="auto"/>
                <w:spacing w:val="1"/>
                <w:sz w:val="21"/>
                <w:szCs w:val="21"/>
                <w:highlight w:val="none"/>
                <w:lang w:eastAsia="zh-CN"/>
              </w:rPr>
              <w:t>（</w:t>
            </w:r>
            <w:r>
              <w:rPr>
                <w:color w:val="auto"/>
                <w:spacing w:val="1"/>
                <w:sz w:val="21"/>
                <w:szCs w:val="21"/>
                <w:highlight w:val="none"/>
              </w:rPr>
              <w:t>发包人全称</w:t>
            </w:r>
            <w:r>
              <w:rPr>
                <w:rFonts w:hint="eastAsia" w:eastAsia="宋体"/>
                <w:color w:val="auto"/>
                <w:spacing w:val="1"/>
                <w:sz w:val="21"/>
                <w:szCs w:val="21"/>
                <w:highlight w:val="none"/>
                <w:lang w:eastAsia="zh-CN"/>
              </w:rPr>
              <w:t>）</w:t>
            </w:r>
          </w:p>
          <w:p w14:paraId="6F38763F">
            <w:pPr>
              <w:pStyle w:val="345"/>
              <w:spacing w:before="59" w:line="248" w:lineRule="auto"/>
              <w:ind w:left="124" w:firstLine="399"/>
              <w:rPr>
                <w:color w:val="auto"/>
                <w:sz w:val="21"/>
                <w:szCs w:val="21"/>
                <w:highlight w:val="none"/>
              </w:rPr>
            </w:pPr>
            <w:r>
              <w:rPr>
                <w:color w:val="auto"/>
                <w:spacing w:val="-5"/>
                <w:sz w:val="21"/>
                <w:szCs w:val="21"/>
                <w:highlight w:val="none"/>
              </w:rPr>
              <w:t>我方于</w:t>
            </w:r>
            <w:r>
              <w:rPr>
                <w:color w:val="auto"/>
                <w:spacing w:val="11"/>
                <w:sz w:val="21"/>
                <w:szCs w:val="21"/>
                <w:highlight w:val="none"/>
                <w:u w:val="single" w:color="auto"/>
              </w:rPr>
              <w:t xml:space="preserve">      </w:t>
            </w:r>
            <w:r>
              <w:rPr>
                <w:color w:val="auto"/>
                <w:spacing w:val="-5"/>
                <w:sz w:val="21"/>
                <w:szCs w:val="21"/>
                <w:highlight w:val="none"/>
              </w:rPr>
              <w:t>至</w:t>
            </w:r>
            <w:r>
              <w:rPr>
                <w:color w:val="auto"/>
                <w:spacing w:val="-93"/>
                <w:sz w:val="21"/>
                <w:szCs w:val="21"/>
                <w:highlight w:val="none"/>
              </w:rPr>
              <w:t xml:space="preserve"> </w:t>
            </w:r>
            <w:r>
              <w:rPr>
                <w:color w:val="auto"/>
                <w:spacing w:val="16"/>
                <w:sz w:val="21"/>
                <w:szCs w:val="21"/>
                <w:highlight w:val="none"/>
                <w:u w:val="single" w:color="auto"/>
              </w:rPr>
              <w:t xml:space="preserve">     </w:t>
            </w:r>
            <w:r>
              <w:rPr>
                <w:color w:val="auto"/>
                <w:spacing w:val="-101"/>
                <w:sz w:val="21"/>
                <w:szCs w:val="21"/>
                <w:highlight w:val="none"/>
              </w:rPr>
              <w:t xml:space="preserve"> </w:t>
            </w:r>
            <w:r>
              <w:rPr>
                <w:color w:val="auto"/>
                <w:spacing w:val="-5"/>
                <w:sz w:val="21"/>
                <w:szCs w:val="21"/>
                <w:highlight w:val="none"/>
              </w:rPr>
              <w:t>期间已完成合同约定的工作</w:t>
            </w:r>
            <w:r>
              <w:rPr>
                <w:rFonts w:hint="eastAsia" w:eastAsia="宋体"/>
                <w:color w:val="auto"/>
                <w:spacing w:val="-5"/>
                <w:sz w:val="21"/>
                <w:szCs w:val="21"/>
                <w:highlight w:val="none"/>
                <w:lang w:eastAsia="zh-CN"/>
              </w:rPr>
              <w:t>，</w:t>
            </w:r>
            <w:r>
              <w:rPr>
                <w:color w:val="auto"/>
                <w:spacing w:val="-5"/>
                <w:sz w:val="21"/>
                <w:szCs w:val="21"/>
                <w:highlight w:val="none"/>
              </w:rPr>
              <w:t>工程已经完工</w:t>
            </w:r>
            <w:r>
              <w:rPr>
                <w:rFonts w:hint="eastAsia" w:eastAsia="宋体"/>
                <w:color w:val="auto"/>
                <w:spacing w:val="-5"/>
                <w:sz w:val="21"/>
                <w:szCs w:val="21"/>
                <w:highlight w:val="none"/>
                <w:lang w:eastAsia="zh-CN"/>
              </w:rPr>
              <w:t>，</w:t>
            </w:r>
            <w:r>
              <w:rPr>
                <w:color w:val="auto"/>
                <w:spacing w:val="-5"/>
                <w:sz w:val="21"/>
                <w:szCs w:val="21"/>
                <w:highlight w:val="none"/>
              </w:rPr>
              <w:t>根据施工合同的约</w:t>
            </w:r>
            <w:r>
              <w:rPr>
                <w:color w:val="auto"/>
                <w:spacing w:val="-6"/>
                <w:sz w:val="21"/>
                <w:szCs w:val="21"/>
                <w:highlight w:val="none"/>
              </w:rPr>
              <w:t>定</w:t>
            </w:r>
            <w:r>
              <w:rPr>
                <w:rFonts w:hint="eastAsia" w:eastAsia="宋体"/>
                <w:color w:val="auto"/>
                <w:spacing w:val="-6"/>
                <w:sz w:val="21"/>
                <w:szCs w:val="21"/>
                <w:highlight w:val="none"/>
                <w:lang w:eastAsia="zh-CN"/>
              </w:rPr>
              <w:t>，</w:t>
            </w:r>
            <w:r>
              <w:rPr>
                <w:color w:val="auto"/>
                <w:spacing w:val="-6"/>
                <w:sz w:val="21"/>
                <w:szCs w:val="21"/>
                <w:highlight w:val="none"/>
              </w:rPr>
              <w:t>现申</w:t>
            </w:r>
            <w:r>
              <w:rPr>
                <w:color w:val="auto"/>
                <w:sz w:val="21"/>
                <w:szCs w:val="21"/>
                <w:highlight w:val="none"/>
              </w:rPr>
              <w:t xml:space="preserve"> </w:t>
            </w:r>
            <w:r>
              <w:rPr>
                <w:color w:val="auto"/>
                <w:spacing w:val="3"/>
                <w:sz w:val="21"/>
                <w:szCs w:val="21"/>
                <w:highlight w:val="none"/>
              </w:rPr>
              <w:t>请支付竣工结算合同款额为</w:t>
            </w:r>
            <w:r>
              <w:rPr>
                <w:rFonts w:hint="eastAsia" w:eastAsia="宋体"/>
                <w:color w:val="auto"/>
                <w:spacing w:val="3"/>
                <w:sz w:val="21"/>
                <w:szCs w:val="21"/>
                <w:highlight w:val="none"/>
                <w:lang w:eastAsia="zh-CN"/>
              </w:rPr>
              <w:t>（</w:t>
            </w:r>
            <w:r>
              <w:rPr>
                <w:color w:val="auto"/>
                <w:spacing w:val="3"/>
                <w:sz w:val="21"/>
                <w:szCs w:val="21"/>
                <w:highlight w:val="none"/>
              </w:rPr>
              <w:t>大写</w:t>
            </w:r>
            <w:r>
              <w:rPr>
                <w:rFonts w:hint="eastAsia" w:eastAsia="宋体"/>
                <w:color w:val="auto"/>
                <w:spacing w:val="3"/>
                <w:sz w:val="21"/>
                <w:szCs w:val="21"/>
                <w:highlight w:val="none"/>
                <w:lang w:eastAsia="zh-CN"/>
              </w:rPr>
              <w:t>）</w:t>
            </w:r>
            <w:r>
              <w:rPr>
                <w:color w:val="auto"/>
                <w:spacing w:val="6"/>
                <w:sz w:val="21"/>
                <w:szCs w:val="21"/>
                <w:highlight w:val="none"/>
                <w:u w:val="single" w:color="auto"/>
              </w:rPr>
              <w:t xml:space="preserve">                </w:t>
            </w:r>
            <w:r>
              <w:rPr>
                <w:rFonts w:hint="eastAsia" w:eastAsia="宋体"/>
                <w:color w:val="auto"/>
                <w:spacing w:val="3"/>
                <w:sz w:val="21"/>
                <w:szCs w:val="21"/>
                <w:highlight w:val="none"/>
                <w:u w:val="single" w:color="auto"/>
                <w:lang w:eastAsia="zh-CN"/>
              </w:rPr>
              <w:t>（</w:t>
            </w:r>
            <w:r>
              <w:rPr>
                <w:color w:val="auto"/>
                <w:spacing w:val="3"/>
                <w:sz w:val="21"/>
                <w:szCs w:val="21"/>
                <w:highlight w:val="none"/>
                <w:u w:val="single" w:color="auto"/>
              </w:rPr>
              <w:t>小</w:t>
            </w:r>
            <w:r>
              <w:rPr>
                <w:color w:val="auto"/>
                <w:spacing w:val="3"/>
                <w:sz w:val="21"/>
                <w:szCs w:val="21"/>
                <w:highlight w:val="none"/>
              </w:rPr>
              <w:t xml:space="preserve">写  </w:t>
            </w:r>
            <w:r>
              <w:rPr>
                <w:color w:val="auto"/>
                <w:spacing w:val="3"/>
                <w:sz w:val="21"/>
                <w:szCs w:val="21"/>
                <w:highlight w:val="none"/>
                <w:u w:val="single" w:color="auto"/>
              </w:rPr>
              <w:t xml:space="preserve">             </w:t>
            </w:r>
            <w:r>
              <w:rPr>
                <w:rFonts w:hint="eastAsia" w:eastAsia="宋体"/>
                <w:color w:val="auto"/>
                <w:spacing w:val="3"/>
                <w:sz w:val="21"/>
                <w:szCs w:val="21"/>
                <w:highlight w:val="none"/>
                <w:lang w:eastAsia="zh-CN"/>
              </w:rPr>
              <w:t>），</w:t>
            </w:r>
            <w:r>
              <w:rPr>
                <w:color w:val="auto"/>
                <w:spacing w:val="3"/>
                <w:sz w:val="21"/>
                <w:szCs w:val="21"/>
                <w:highlight w:val="none"/>
              </w:rPr>
              <w:t>请予核准。</w:t>
            </w:r>
          </w:p>
          <w:p w14:paraId="0B967B12">
            <w:pPr>
              <w:spacing w:line="21" w:lineRule="exact"/>
              <w:rPr>
                <w:rFonts w:ascii="等线" w:hAnsi="等线" w:eastAsia="等线" w:cs="Times New Roman"/>
                <w:color w:val="auto"/>
                <w:highlight w:val="none"/>
              </w:rPr>
            </w:pPr>
          </w:p>
          <w:tbl>
            <w:tblPr>
              <w:tblStyle w:val="346"/>
              <w:tblW w:w="8710" w:type="dxa"/>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5"/>
              <w:gridCol w:w="3396"/>
              <w:gridCol w:w="1588"/>
              <w:gridCol w:w="1558"/>
              <w:gridCol w:w="1593"/>
            </w:tblGrid>
            <w:tr w14:paraId="099EC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575" w:type="dxa"/>
                  <w:noWrap w:val="0"/>
                  <w:vAlign w:val="top"/>
                </w:tcPr>
                <w:p w14:paraId="1214B4F8">
                  <w:pPr>
                    <w:pStyle w:val="345"/>
                    <w:spacing w:before="73" w:line="221" w:lineRule="auto"/>
                    <w:ind w:left="85"/>
                    <w:rPr>
                      <w:color w:val="auto"/>
                      <w:sz w:val="21"/>
                      <w:szCs w:val="21"/>
                      <w:highlight w:val="none"/>
                    </w:rPr>
                  </w:pPr>
                  <w:r>
                    <w:rPr>
                      <w:color w:val="auto"/>
                      <w:spacing w:val="-2"/>
                      <w:sz w:val="21"/>
                      <w:szCs w:val="21"/>
                      <w:highlight w:val="none"/>
                    </w:rPr>
                    <w:t>序号</w:t>
                  </w:r>
                </w:p>
              </w:tc>
              <w:tc>
                <w:tcPr>
                  <w:tcW w:w="3396" w:type="dxa"/>
                  <w:noWrap w:val="0"/>
                  <w:vAlign w:val="top"/>
                </w:tcPr>
                <w:p w14:paraId="67228CD9">
                  <w:pPr>
                    <w:pStyle w:val="345"/>
                    <w:spacing w:before="75" w:line="221" w:lineRule="auto"/>
                    <w:ind w:left="1490"/>
                    <w:rPr>
                      <w:color w:val="auto"/>
                      <w:sz w:val="21"/>
                      <w:szCs w:val="21"/>
                      <w:highlight w:val="none"/>
                    </w:rPr>
                  </w:pPr>
                  <w:r>
                    <w:rPr>
                      <w:color w:val="auto"/>
                      <w:spacing w:val="-3"/>
                      <w:sz w:val="21"/>
                      <w:szCs w:val="21"/>
                      <w:highlight w:val="none"/>
                    </w:rPr>
                    <w:t>名称</w:t>
                  </w:r>
                </w:p>
              </w:tc>
              <w:tc>
                <w:tcPr>
                  <w:tcW w:w="1588" w:type="dxa"/>
                  <w:noWrap w:val="0"/>
                  <w:vAlign w:val="top"/>
                </w:tcPr>
                <w:p w14:paraId="7B115A9C">
                  <w:pPr>
                    <w:pStyle w:val="345"/>
                    <w:spacing w:before="72" w:line="219" w:lineRule="auto"/>
                    <w:ind w:left="204"/>
                    <w:jc w:val="center"/>
                    <w:rPr>
                      <w:rFonts w:hint="eastAsia" w:eastAsia="宋体"/>
                      <w:color w:val="auto"/>
                      <w:sz w:val="21"/>
                      <w:szCs w:val="21"/>
                      <w:highlight w:val="none"/>
                      <w:lang w:eastAsia="zh-CN"/>
                    </w:rPr>
                  </w:pPr>
                  <w:r>
                    <w:rPr>
                      <w:color w:val="auto"/>
                      <w:spacing w:val="5"/>
                      <w:sz w:val="21"/>
                      <w:szCs w:val="21"/>
                      <w:highlight w:val="none"/>
                    </w:rPr>
                    <w:t>申请金额</w:t>
                  </w:r>
                  <w:r>
                    <w:rPr>
                      <w:rFonts w:hint="eastAsia" w:eastAsia="宋体"/>
                      <w:color w:val="auto"/>
                      <w:spacing w:val="5"/>
                      <w:sz w:val="21"/>
                      <w:szCs w:val="21"/>
                      <w:highlight w:val="none"/>
                      <w:lang w:eastAsia="zh-CN"/>
                    </w:rPr>
                    <w:t>（</w:t>
                  </w:r>
                  <w:r>
                    <w:rPr>
                      <w:color w:val="auto"/>
                      <w:spacing w:val="5"/>
                      <w:sz w:val="21"/>
                      <w:szCs w:val="21"/>
                      <w:highlight w:val="none"/>
                    </w:rPr>
                    <w:t>元</w:t>
                  </w:r>
                  <w:r>
                    <w:rPr>
                      <w:rFonts w:hint="eastAsia" w:eastAsia="宋体"/>
                      <w:color w:val="auto"/>
                      <w:spacing w:val="5"/>
                      <w:sz w:val="21"/>
                      <w:szCs w:val="21"/>
                      <w:highlight w:val="none"/>
                      <w:lang w:eastAsia="zh-CN"/>
                    </w:rPr>
                    <w:t>）</w:t>
                  </w:r>
                </w:p>
              </w:tc>
              <w:tc>
                <w:tcPr>
                  <w:tcW w:w="1558" w:type="dxa"/>
                  <w:noWrap w:val="0"/>
                  <w:vAlign w:val="top"/>
                </w:tcPr>
                <w:p w14:paraId="2A592D38">
                  <w:pPr>
                    <w:pStyle w:val="345"/>
                    <w:spacing w:before="72" w:line="219" w:lineRule="auto"/>
                    <w:ind w:left="205"/>
                    <w:jc w:val="center"/>
                    <w:rPr>
                      <w:rFonts w:hint="eastAsia" w:eastAsia="宋体"/>
                      <w:color w:val="auto"/>
                      <w:sz w:val="21"/>
                      <w:szCs w:val="21"/>
                      <w:highlight w:val="none"/>
                      <w:lang w:eastAsia="zh-CN"/>
                    </w:rPr>
                  </w:pPr>
                  <w:r>
                    <w:rPr>
                      <w:color w:val="auto"/>
                      <w:spacing w:val="5"/>
                      <w:sz w:val="21"/>
                      <w:szCs w:val="21"/>
                      <w:highlight w:val="none"/>
                    </w:rPr>
                    <w:t>复核金额</w:t>
                  </w:r>
                  <w:r>
                    <w:rPr>
                      <w:rFonts w:hint="eastAsia" w:eastAsia="宋体"/>
                      <w:color w:val="auto"/>
                      <w:spacing w:val="5"/>
                      <w:sz w:val="21"/>
                      <w:szCs w:val="21"/>
                      <w:highlight w:val="none"/>
                      <w:lang w:eastAsia="zh-CN"/>
                    </w:rPr>
                    <w:t>（</w:t>
                  </w:r>
                  <w:r>
                    <w:rPr>
                      <w:color w:val="auto"/>
                      <w:spacing w:val="5"/>
                      <w:sz w:val="21"/>
                      <w:szCs w:val="21"/>
                      <w:highlight w:val="none"/>
                    </w:rPr>
                    <w:t>元</w:t>
                  </w:r>
                  <w:r>
                    <w:rPr>
                      <w:rFonts w:hint="eastAsia" w:eastAsia="宋体"/>
                      <w:color w:val="auto"/>
                      <w:spacing w:val="5"/>
                      <w:sz w:val="21"/>
                      <w:szCs w:val="21"/>
                      <w:highlight w:val="none"/>
                      <w:lang w:eastAsia="zh-CN"/>
                    </w:rPr>
                    <w:t>）</w:t>
                  </w:r>
                </w:p>
              </w:tc>
              <w:tc>
                <w:tcPr>
                  <w:tcW w:w="1593" w:type="dxa"/>
                  <w:noWrap w:val="0"/>
                  <w:vAlign w:val="top"/>
                </w:tcPr>
                <w:p w14:paraId="52263609">
                  <w:pPr>
                    <w:pStyle w:val="345"/>
                    <w:spacing w:before="73" w:line="221" w:lineRule="auto"/>
                    <w:ind w:left="628"/>
                    <w:rPr>
                      <w:color w:val="auto"/>
                      <w:sz w:val="21"/>
                      <w:szCs w:val="21"/>
                      <w:highlight w:val="none"/>
                    </w:rPr>
                  </w:pPr>
                  <w:r>
                    <w:rPr>
                      <w:color w:val="auto"/>
                      <w:spacing w:val="-3"/>
                      <w:sz w:val="21"/>
                      <w:szCs w:val="21"/>
                      <w:highlight w:val="none"/>
                    </w:rPr>
                    <w:t>备注</w:t>
                  </w:r>
                </w:p>
              </w:tc>
            </w:tr>
            <w:tr w14:paraId="2F4D8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575" w:type="dxa"/>
                  <w:noWrap w:val="0"/>
                  <w:vAlign w:val="top"/>
                </w:tcPr>
                <w:p w14:paraId="52C5F614">
                  <w:pPr>
                    <w:pStyle w:val="345"/>
                    <w:spacing w:before="117" w:line="184" w:lineRule="auto"/>
                    <w:ind w:left="225"/>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1</w:t>
                  </w:r>
                </w:p>
              </w:tc>
              <w:tc>
                <w:tcPr>
                  <w:tcW w:w="3396" w:type="dxa"/>
                  <w:noWrap w:val="0"/>
                  <w:vAlign w:val="top"/>
                </w:tcPr>
                <w:p w14:paraId="66AB8BBC">
                  <w:pPr>
                    <w:pStyle w:val="345"/>
                    <w:spacing w:before="68" w:line="218" w:lineRule="auto"/>
                    <w:ind w:left="0"/>
                    <w:rPr>
                      <w:color w:val="auto"/>
                      <w:sz w:val="21"/>
                      <w:szCs w:val="21"/>
                      <w:highlight w:val="none"/>
                    </w:rPr>
                  </w:pPr>
                  <w:r>
                    <w:rPr>
                      <w:color w:val="auto"/>
                      <w:spacing w:val="-1"/>
                      <w:sz w:val="21"/>
                      <w:szCs w:val="21"/>
                      <w:highlight w:val="none"/>
                    </w:rPr>
                    <w:t>工程竣工</w:t>
                  </w:r>
                  <w:r>
                    <w:rPr>
                      <w:rFonts w:hint="eastAsia" w:eastAsia="宋体"/>
                      <w:color w:val="auto"/>
                      <w:spacing w:val="-1"/>
                      <w:sz w:val="21"/>
                      <w:szCs w:val="21"/>
                      <w:highlight w:val="none"/>
                      <w:lang w:eastAsia="zh-CN"/>
                    </w:rPr>
                    <w:t>（施工过程）</w:t>
                  </w:r>
                  <w:r>
                    <w:rPr>
                      <w:color w:val="auto"/>
                      <w:spacing w:val="-1"/>
                      <w:sz w:val="21"/>
                      <w:szCs w:val="21"/>
                      <w:highlight w:val="none"/>
                    </w:rPr>
                    <w:t>结算价款总额</w:t>
                  </w:r>
                </w:p>
              </w:tc>
              <w:tc>
                <w:tcPr>
                  <w:tcW w:w="1588" w:type="dxa"/>
                  <w:noWrap w:val="0"/>
                  <w:vAlign w:val="top"/>
                </w:tcPr>
                <w:p w14:paraId="4F76FE61">
                  <w:pPr>
                    <w:rPr>
                      <w:rFonts w:ascii="Arial" w:hAnsi="等线" w:eastAsia="等线" w:cs="Times New Roman"/>
                      <w:color w:val="auto"/>
                      <w:sz w:val="21"/>
                      <w:highlight w:val="none"/>
                    </w:rPr>
                  </w:pPr>
                </w:p>
              </w:tc>
              <w:tc>
                <w:tcPr>
                  <w:tcW w:w="1558" w:type="dxa"/>
                  <w:noWrap w:val="0"/>
                  <w:vAlign w:val="top"/>
                </w:tcPr>
                <w:p w14:paraId="2D6025D3">
                  <w:pPr>
                    <w:rPr>
                      <w:rFonts w:ascii="Arial" w:hAnsi="等线" w:eastAsia="等线" w:cs="Times New Roman"/>
                      <w:color w:val="auto"/>
                      <w:sz w:val="21"/>
                      <w:highlight w:val="none"/>
                    </w:rPr>
                  </w:pPr>
                </w:p>
              </w:tc>
              <w:tc>
                <w:tcPr>
                  <w:tcW w:w="1593" w:type="dxa"/>
                  <w:noWrap w:val="0"/>
                  <w:vAlign w:val="top"/>
                </w:tcPr>
                <w:p w14:paraId="186188F1">
                  <w:pPr>
                    <w:rPr>
                      <w:rFonts w:ascii="Arial" w:hAnsi="等线" w:eastAsia="等线" w:cs="Times New Roman"/>
                      <w:color w:val="auto"/>
                      <w:sz w:val="21"/>
                      <w:highlight w:val="none"/>
                    </w:rPr>
                  </w:pPr>
                </w:p>
              </w:tc>
            </w:tr>
            <w:tr w14:paraId="4EA5F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575" w:type="dxa"/>
                  <w:noWrap w:val="0"/>
                  <w:vAlign w:val="top"/>
                </w:tcPr>
                <w:p w14:paraId="1D54C84E">
                  <w:pPr>
                    <w:pStyle w:val="345"/>
                    <w:spacing w:before="130" w:line="183" w:lineRule="auto"/>
                    <w:ind w:left="225"/>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2</w:t>
                  </w:r>
                </w:p>
              </w:tc>
              <w:tc>
                <w:tcPr>
                  <w:tcW w:w="3396" w:type="dxa"/>
                  <w:noWrap w:val="0"/>
                  <w:vAlign w:val="top"/>
                </w:tcPr>
                <w:p w14:paraId="43064CA3">
                  <w:pPr>
                    <w:pStyle w:val="345"/>
                    <w:spacing w:before="80" w:line="218" w:lineRule="auto"/>
                    <w:ind w:left="0"/>
                    <w:rPr>
                      <w:color w:val="auto"/>
                      <w:sz w:val="21"/>
                      <w:szCs w:val="21"/>
                      <w:highlight w:val="none"/>
                    </w:rPr>
                  </w:pPr>
                  <w:r>
                    <w:rPr>
                      <w:color w:val="auto"/>
                      <w:sz w:val="21"/>
                      <w:szCs w:val="21"/>
                      <w:highlight w:val="none"/>
                    </w:rPr>
                    <w:t>累计已实际支付的价款</w:t>
                  </w:r>
                </w:p>
              </w:tc>
              <w:tc>
                <w:tcPr>
                  <w:tcW w:w="1588" w:type="dxa"/>
                  <w:noWrap w:val="0"/>
                  <w:vAlign w:val="top"/>
                </w:tcPr>
                <w:p w14:paraId="78BDA996">
                  <w:pPr>
                    <w:rPr>
                      <w:rFonts w:ascii="Arial" w:hAnsi="等线" w:eastAsia="等线" w:cs="Times New Roman"/>
                      <w:color w:val="auto"/>
                      <w:sz w:val="21"/>
                      <w:highlight w:val="none"/>
                    </w:rPr>
                  </w:pPr>
                </w:p>
              </w:tc>
              <w:tc>
                <w:tcPr>
                  <w:tcW w:w="1558" w:type="dxa"/>
                  <w:noWrap w:val="0"/>
                  <w:vAlign w:val="top"/>
                </w:tcPr>
                <w:p w14:paraId="51B7EB0A">
                  <w:pPr>
                    <w:rPr>
                      <w:rFonts w:ascii="Arial" w:hAnsi="等线" w:eastAsia="等线" w:cs="Times New Roman"/>
                      <w:color w:val="auto"/>
                      <w:sz w:val="21"/>
                      <w:highlight w:val="none"/>
                    </w:rPr>
                  </w:pPr>
                </w:p>
              </w:tc>
              <w:tc>
                <w:tcPr>
                  <w:tcW w:w="1593" w:type="dxa"/>
                  <w:noWrap w:val="0"/>
                  <w:vAlign w:val="top"/>
                </w:tcPr>
                <w:p w14:paraId="6FFB032F">
                  <w:pPr>
                    <w:rPr>
                      <w:rFonts w:ascii="Arial" w:hAnsi="等线" w:eastAsia="等线" w:cs="Times New Roman"/>
                      <w:color w:val="auto"/>
                      <w:sz w:val="21"/>
                      <w:highlight w:val="none"/>
                    </w:rPr>
                  </w:pPr>
                </w:p>
              </w:tc>
            </w:tr>
            <w:tr w14:paraId="6A25F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 w:hRule="atLeast"/>
              </w:trPr>
              <w:tc>
                <w:tcPr>
                  <w:tcW w:w="575" w:type="dxa"/>
                  <w:noWrap w:val="0"/>
                  <w:vAlign w:val="top"/>
                </w:tcPr>
                <w:p w14:paraId="2045A894">
                  <w:pPr>
                    <w:pStyle w:val="345"/>
                    <w:spacing w:before="123" w:line="183" w:lineRule="auto"/>
                    <w:ind w:left="225"/>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3</w:t>
                  </w:r>
                </w:p>
              </w:tc>
              <w:tc>
                <w:tcPr>
                  <w:tcW w:w="3396" w:type="dxa"/>
                  <w:noWrap w:val="0"/>
                  <w:vAlign w:val="top"/>
                </w:tcPr>
                <w:p w14:paraId="308D4903">
                  <w:pPr>
                    <w:pStyle w:val="345"/>
                    <w:spacing w:before="75" w:line="220" w:lineRule="auto"/>
                    <w:ind w:left="0"/>
                    <w:rPr>
                      <w:color w:val="auto"/>
                      <w:sz w:val="21"/>
                      <w:szCs w:val="21"/>
                      <w:highlight w:val="none"/>
                    </w:rPr>
                  </w:pPr>
                  <w:r>
                    <w:rPr>
                      <w:color w:val="auto"/>
                      <w:spacing w:val="-1"/>
                      <w:sz w:val="21"/>
                      <w:szCs w:val="21"/>
                      <w:highlight w:val="none"/>
                    </w:rPr>
                    <w:t>应预留的质量保证金</w:t>
                  </w:r>
                </w:p>
              </w:tc>
              <w:tc>
                <w:tcPr>
                  <w:tcW w:w="1588" w:type="dxa"/>
                  <w:noWrap w:val="0"/>
                  <w:vAlign w:val="top"/>
                </w:tcPr>
                <w:p w14:paraId="5C7F0FFC">
                  <w:pPr>
                    <w:rPr>
                      <w:rFonts w:ascii="Arial" w:hAnsi="等线" w:eastAsia="等线" w:cs="Times New Roman"/>
                      <w:color w:val="auto"/>
                      <w:sz w:val="21"/>
                      <w:highlight w:val="none"/>
                    </w:rPr>
                  </w:pPr>
                </w:p>
              </w:tc>
              <w:tc>
                <w:tcPr>
                  <w:tcW w:w="1558" w:type="dxa"/>
                  <w:noWrap w:val="0"/>
                  <w:vAlign w:val="top"/>
                </w:tcPr>
                <w:p w14:paraId="082B3E46">
                  <w:pPr>
                    <w:rPr>
                      <w:rFonts w:ascii="Arial" w:hAnsi="等线" w:eastAsia="等线" w:cs="Times New Roman"/>
                      <w:color w:val="auto"/>
                      <w:sz w:val="21"/>
                      <w:highlight w:val="none"/>
                    </w:rPr>
                  </w:pPr>
                </w:p>
              </w:tc>
              <w:tc>
                <w:tcPr>
                  <w:tcW w:w="1593" w:type="dxa"/>
                  <w:noWrap w:val="0"/>
                  <w:vAlign w:val="top"/>
                </w:tcPr>
                <w:p w14:paraId="371E80B8">
                  <w:pPr>
                    <w:rPr>
                      <w:rFonts w:ascii="Arial" w:hAnsi="等线" w:eastAsia="等线" w:cs="Times New Roman"/>
                      <w:color w:val="auto"/>
                      <w:sz w:val="21"/>
                      <w:highlight w:val="none"/>
                    </w:rPr>
                  </w:pPr>
                </w:p>
              </w:tc>
            </w:tr>
            <w:tr w14:paraId="0D010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575" w:type="dxa"/>
                  <w:noWrap w:val="0"/>
                  <w:vAlign w:val="top"/>
                </w:tcPr>
                <w:p w14:paraId="6E333C1F">
                  <w:pPr>
                    <w:pStyle w:val="345"/>
                    <w:spacing w:before="125" w:line="182" w:lineRule="auto"/>
                    <w:ind w:left="225"/>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4</w:t>
                  </w:r>
                </w:p>
              </w:tc>
              <w:tc>
                <w:tcPr>
                  <w:tcW w:w="3396" w:type="dxa"/>
                  <w:noWrap w:val="0"/>
                  <w:vAlign w:val="top"/>
                </w:tcPr>
                <w:p w14:paraId="7E0F7371">
                  <w:pPr>
                    <w:pStyle w:val="345"/>
                    <w:spacing w:before="76" w:line="219" w:lineRule="auto"/>
                    <w:ind w:left="0"/>
                    <w:rPr>
                      <w:color w:val="auto"/>
                      <w:sz w:val="21"/>
                      <w:szCs w:val="21"/>
                      <w:highlight w:val="none"/>
                    </w:rPr>
                  </w:pPr>
                  <w:r>
                    <w:rPr>
                      <w:color w:val="auto"/>
                      <w:spacing w:val="-1"/>
                      <w:sz w:val="21"/>
                      <w:szCs w:val="21"/>
                      <w:highlight w:val="none"/>
                    </w:rPr>
                    <w:t>实际应支付的竣工</w:t>
                  </w:r>
                  <w:r>
                    <w:rPr>
                      <w:rFonts w:hint="eastAsia" w:eastAsia="宋体"/>
                      <w:color w:val="auto"/>
                      <w:spacing w:val="-1"/>
                      <w:sz w:val="21"/>
                      <w:szCs w:val="21"/>
                      <w:highlight w:val="none"/>
                      <w:lang w:eastAsia="zh-CN"/>
                    </w:rPr>
                    <w:t>（施工过程）</w:t>
                  </w:r>
                  <w:r>
                    <w:rPr>
                      <w:color w:val="auto"/>
                      <w:spacing w:val="-1"/>
                      <w:sz w:val="21"/>
                      <w:szCs w:val="21"/>
                      <w:highlight w:val="none"/>
                    </w:rPr>
                    <w:t>结算款金额</w:t>
                  </w:r>
                </w:p>
              </w:tc>
              <w:tc>
                <w:tcPr>
                  <w:tcW w:w="1588" w:type="dxa"/>
                  <w:noWrap w:val="0"/>
                  <w:vAlign w:val="top"/>
                </w:tcPr>
                <w:p w14:paraId="330347F6">
                  <w:pPr>
                    <w:rPr>
                      <w:rFonts w:ascii="Arial" w:hAnsi="等线" w:eastAsia="等线" w:cs="Times New Roman"/>
                      <w:color w:val="auto"/>
                      <w:sz w:val="21"/>
                      <w:highlight w:val="none"/>
                    </w:rPr>
                  </w:pPr>
                </w:p>
              </w:tc>
              <w:tc>
                <w:tcPr>
                  <w:tcW w:w="1558" w:type="dxa"/>
                  <w:noWrap w:val="0"/>
                  <w:vAlign w:val="top"/>
                </w:tcPr>
                <w:p w14:paraId="5FFD3532">
                  <w:pPr>
                    <w:rPr>
                      <w:rFonts w:ascii="Arial" w:hAnsi="等线" w:eastAsia="等线" w:cs="Times New Roman"/>
                      <w:color w:val="auto"/>
                      <w:sz w:val="21"/>
                      <w:highlight w:val="none"/>
                    </w:rPr>
                  </w:pPr>
                </w:p>
              </w:tc>
              <w:tc>
                <w:tcPr>
                  <w:tcW w:w="1593" w:type="dxa"/>
                  <w:noWrap w:val="0"/>
                  <w:vAlign w:val="top"/>
                </w:tcPr>
                <w:p w14:paraId="7806ACFA">
                  <w:pPr>
                    <w:rPr>
                      <w:rFonts w:ascii="Arial" w:hAnsi="等线" w:eastAsia="等线" w:cs="Times New Roman"/>
                      <w:color w:val="auto"/>
                      <w:sz w:val="21"/>
                      <w:highlight w:val="none"/>
                    </w:rPr>
                  </w:pPr>
                </w:p>
              </w:tc>
            </w:tr>
          </w:tbl>
          <w:p w14:paraId="1DBAE5D4">
            <w:pPr>
              <w:spacing w:line="330" w:lineRule="auto"/>
              <w:rPr>
                <w:rFonts w:ascii="Arial" w:hAnsi="等线" w:eastAsia="等线" w:cs="Times New Roman"/>
                <w:color w:val="auto"/>
                <w:sz w:val="21"/>
                <w:highlight w:val="none"/>
              </w:rPr>
            </w:pPr>
          </w:p>
          <w:p w14:paraId="6AE7E9DA">
            <w:pPr>
              <w:spacing w:line="330" w:lineRule="auto"/>
              <w:rPr>
                <w:rFonts w:ascii="Arial" w:hAnsi="等线" w:eastAsia="等线" w:cs="Times New Roman"/>
                <w:color w:val="auto"/>
                <w:sz w:val="21"/>
                <w:highlight w:val="none"/>
              </w:rPr>
            </w:pPr>
          </w:p>
          <w:p w14:paraId="0191855E">
            <w:pPr>
              <w:pStyle w:val="345"/>
              <w:spacing w:before="68" w:line="219" w:lineRule="auto"/>
              <w:ind w:left="6824"/>
              <w:rPr>
                <w:rFonts w:hint="eastAsia" w:eastAsia="宋体"/>
                <w:color w:val="auto"/>
                <w:spacing w:val="7"/>
                <w:sz w:val="21"/>
                <w:szCs w:val="21"/>
                <w:highlight w:val="none"/>
                <w:lang w:eastAsia="zh-CN"/>
              </w:rPr>
            </w:pPr>
            <w:r>
              <w:rPr>
                <w:color w:val="auto"/>
                <w:spacing w:val="7"/>
                <w:sz w:val="21"/>
                <w:szCs w:val="21"/>
                <w:highlight w:val="none"/>
              </w:rPr>
              <w:t>承包人</w:t>
            </w:r>
            <w:r>
              <w:rPr>
                <w:rFonts w:hint="eastAsia" w:eastAsia="宋体"/>
                <w:color w:val="auto"/>
                <w:spacing w:val="7"/>
                <w:sz w:val="21"/>
                <w:szCs w:val="21"/>
                <w:highlight w:val="none"/>
                <w:lang w:eastAsia="zh-CN"/>
              </w:rPr>
              <w:t>（</w:t>
            </w:r>
            <w:r>
              <w:rPr>
                <w:color w:val="auto"/>
                <w:spacing w:val="7"/>
                <w:sz w:val="21"/>
                <w:szCs w:val="21"/>
                <w:highlight w:val="none"/>
              </w:rPr>
              <w:t>章</w:t>
            </w:r>
            <w:r>
              <w:rPr>
                <w:rFonts w:hint="eastAsia" w:eastAsia="宋体"/>
                <w:color w:val="auto"/>
                <w:spacing w:val="7"/>
                <w:sz w:val="21"/>
                <w:szCs w:val="21"/>
                <w:highlight w:val="none"/>
                <w:lang w:eastAsia="zh-CN"/>
              </w:rPr>
              <w:t>）</w:t>
            </w:r>
          </w:p>
          <w:p w14:paraId="39CF43F2">
            <w:pPr>
              <w:pStyle w:val="345"/>
              <w:spacing w:before="142" w:line="226" w:lineRule="auto"/>
              <w:ind w:left="104"/>
              <w:rPr>
                <w:color w:val="auto"/>
                <w:sz w:val="21"/>
                <w:szCs w:val="21"/>
                <w:highlight w:val="none"/>
              </w:rPr>
            </w:pPr>
            <w:r>
              <w:rPr>
                <w:color w:val="auto"/>
                <w:spacing w:val="-3"/>
                <w:sz w:val="21"/>
                <w:szCs w:val="21"/>
                <w:highlight w:val="none"/>
                <w:u w:val="none"/>
              </w:rPr>
              <w:t>编制人员</w:t>
            </w:r>
            <w:r>
              <w:rPr>
                <w:color w:val="auto"/>
                <w:spacing w:val="3"/>
                <w:sz w:val="21"/>
                <w:szCs w:val="21"/>
                <w:highlight w:val="none"/>
                <w:u w:val="none"/>
              </w:rPr>
              <w:t xml:space="preserve">                 </w:t>
            </w:r>
            <w:r>
              <w:rPr>
                <w:color w:val="auto"/>
                <w:spacing w:val="-3"/>
                <w:sz w:val="21"/>
                <w:szCs w:val="21"/>
                <w:highlight w:val="none"/>
                <w:u w:val="none"/>
              </w:rPr>
              <w:t>承包人代表</w:t>
            </w:r>
            <w:r>
              <w:rPr>
                <w:color w:val="auto"/>
                <w:spacing w:val="3"/>
                <w:sz w:val="21"/>
                <w:szCs w:val="21"/>
                <w:highlight w:val="none"/>
                <w:u w:val="none"/>
              </w:rPr>
              <w:t xml:space="preserve">                      </w:t>
            </w:r>
            <w:r>
              <w:rPr>
                <w:color w:val="auto"/>
                <w:spacing w:val="-3"/>
                <w:position w:val="1"/>
                <w:sz w:val="21"/>
                <w:szCs w:val="21"/>
                <w:highlight w:val="none"/>
                <w:u w:val="none"/>
              </w:rPr>
              <w:t>日</w:t>
            </w:r>
            <w:r>
              <w:rPr>
                <w:color w:val="auto"/>
                <w:spacing w:val="-31"/>
                <w:position w:val="1"/>
                <w:sz w:val="21"/>
                <w:szCs w:val="21"/>
                <w:highlight w:val="none"/>
                <w:u w:val="none"/>
              </w:rPr>
              <w:t xml:space="preserve"> </w:t>
            </w:r>
            <w:r>
              <w:rPr>
                <w:color w:val="auto"/>
                <w:spacing w:val="-3"/>
                <w:position w:val="1"/>
                <w:sz w:val="21"/>
                <w:szCs w:val="21"/>
                <w:highlight w:val="none"/>
                <w:u w:val="none"/>
              </w:rPr>
              <w:t>期</w:t>
            </w:r>
          </w:p>
        </w:tc>
      </w:tr>
      <w:tr w14:paraId="070D6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9" w:hRule="atLeast"/>
          <w:jc w:val="center"/>
        </w:trPr>
        <w:tc>
          <w:tcPr>
            <w:tcW w:w="4949" w:type="dxa"/>
            <w:noWrap w:val="0"/>
            <w:vAlign w:val="top"/>
          </w:tcPr>
          <w:p w14:paraId="5B39745B">
            <w:pPr>
              <w:spacing w:line="251" w:lineRule="auto"/>
              <w:jc w:val="left"/>
              <w:rPr>
                <w:rFonts w:ascii="等线" w:hAnsi="等线" w:eastAsia="等线" w:cs="Times New Roman"/>
                <w:color w:val="auto"/>
                <w:sz w:val="21"/>
                <w:szCs w:val="21"/>
                <w:highlight w:val="none"/>
              </w:rPr>
            </w:pPr>
            <w:r>
              <w:rPr>
                <w:rFonts w:ascii="等线" w:hAnsi="等线" w:eastAsia="等线" w:cs="Times New Roman"/>
                <w:color w:val="auto"/>
                <w:spacing w:val="-1"/>
                <w:sz w:val="21"/>
                <w:szCs w:val="21"/>
                <w:highlight w:val="none"/>
              </w:rPr>
              <w:t>复核意见：</w:t>
            </w:r>
          </w:p>
          <w:p w14:paraId="02C613AD">
            <w:pPr>
              <w:spacing w:line="360" w:lineRule="exact"/>
              <w:jc w:val="left"/>
              <w:rPr>
                <w:rFonts w:ascii="等线" w:hAnsi="等线" w:eastAsia="等线" w:cs="Times New Roman"/>
                <w:color w:val="auto"/>
                <w:sz w:val="21"/>
                <w:szCs w:val="21"/>
                <w:highlight w:val="none"/>
              </w:rPr>
            </w:pPr>
            <w:r>
              <w:rPr>
                <w:rFonts w:ascii="等线" w:hAnsi="等线" w:eastAsia="等线" w:cs="Times New Roman"/>
                <w:color w:val="auto"/>
                <w:sz w:val="32"/>
                <w:szCs w:val="32"/>
                <w:highlight w:val="none"/>
              </w:rPr>
              <w:t>□</w:t>
            </w:r>
            <w:r>
              <w:rPr>
                <w:rFonts w:ascii="等线" w:hAnsi="等线" w:eastAsia="等线" w:cs="Times New Roman"/>
                <w:color w:val="auto"/>
                <w:sz w:val="21"/>
                <w:szCs w:val="21"/>
                <w:highlight w:val="none"/>
              </w:rPr>
              <w:t>与实际施工情况不相符</w:t>
            </w:r>
            <w:r>
              <w:rPr>
                <w:rFonts w:hint="eastAsia" w:ascii="等线" w:hAnsi="等线" w:eastAsia="等线" w:cs="Times New Roman"/>
                <w:color w:val="auto"/>
                <w:sz w:val="21"/>
                <w:szCs w:val="21"/>
                <w:highlight w:val="none"/>
                <w:lang w:eastAsia="zh-CN"/>
              </w:rPr>
              <w:t>，</w:t>
            </w:r>
            <w:r>
              <w:rPr>
                <w:rFonts w:ascii="等线" w:hAnsi="等线" w:eastAsia="等线" w:cs="Times New Roman"/>
                <w:color w:val="auto"/>
                <w:sz w:val="21"/>
                <w:szCs w:val="21"/>
                <w:highlight w:val="none"/>
              </w:rPr>
              <w:t>修改意见见附件</w:t>
            </w:r>
          </w:p>
          <w:p w14:paraId="7AF8708A">
            <w:pPr>
              <w:spacing w:line="360" w:lineRule="exact"/>
              <w:jc w:val="left"/>
              <w:rPr>
                <w:rFonts w:ascii="等线" w:hAnsi="等线" w:eastAsia="等线" w:cs="Times New Roman"/>
                <w:color w:val="auto"/>
                <w:sz w:val="21"/>
                <w:szCs w:val="21"/>
                <w:highlight w:val="none"/>
              </w:rPr>
            </w:pPr>
            <w:r>
              <w:rPr>
                <w:rFonts w:ascii="等线" w:hAnsi="等线" w:eastAsia="等线" w:cs="Times New Roman"/>
                <w:color w:val="auto"/>
                <w:sz w:val="32"/>
                <w:szCs w:val="32"/>
                <w:highlight w:val="none"/>
              </w:rPr>
              <w:t>□</w:t>
            </w:r>
            <w:r>
              <w:rPr>
                <w:rFonts w:ascii="等线" w:hAnsi="等线" w:eastAsia="等线" w:cs="Times New Roman"/>
                <w:color w:val="auto"/>
                <w:spacing w:val="-8"/>
                <w:sz w:val="21"/>
                <w:szCs w:val="21"/>
                <w:highlight w:val="none"/>
              </w:rPr>
              <w:t>与实际施工情况相符</w:t>
            </w:r>
            <w:r>
              <w:rPr>
                <w:rFonts w:hint="eastAsia" w:ascii="等线" w:hAnsi="等线" w:eastAsia="等线" w:cs="Times New Roman"/>
                <w:color w:val="auto"/>
                <w:spacing w:val="-8"/>
                <w:sz w:val="21"/>
                <w:szCs w:val="21"/>
                <w:highlight w:val="none"/>
                <w:lang w:eastAsia="zh-CN"/>
              </w:rPr>
              <w:t>，</w:t>
            </w:r>
            <w:r>
              <w:rPr>
                <w:rFonts w:ascii="等线" w:hAnsi="等线" w:eastAsia="等线" w:cs="Times New Roman"/>
                <w:color w:val="auto"/>
                <w:spacing w:val="-8"/>
                <w:sz w:val="21"/>
                <w:szCs w:val="21"/>
                <w:highlight w:val="none"/>
              </w:rPr>
              <w:t>具体金额应由造价工程师复核</w:t>
            </w:r>
          </w:p>
          <w:p w14:paraId="09B3F203">
            <w:pPr>
              <w:spacing w:line="251" w:lineRule="auto"/>
              <w:jc w:val="left"/>
              <w:rPr>
                <w:rFonts w:ascii="Arial" w:hAnsi="等线" w:eastAsia="等线" w:cs="Times New Roman"/>
                <w:color w:val="auto"/>
                <w:sz w:val="21"/>
                <w:highlight w:val="none"/>
              </w:rPr>
            </w:pPr>
          </w:p>
          <w:p w14:paraId="22A56BF1">
            <w:pPr>
              <w:spacing w:line="251" w:lineRule="auto"/>
              <w:jc w:val="left"/>
              <w:rPr>
                <w:rFonts w:ascii="Arial" w:hAnsi="等线" w:eastAsia="等线" w:cs="Times New Roman"/>
                <w:color w:val="auto"/>
                <w:sz w:val="21"/>
                <w:highlight w:val="none"/>
              </w:rPr>
            </w:pPr>
          </w:p>
          <w:p w14:paraId="0167E339">
            <w:pPr>
              <w:spacing w:line="251" w:lineRule="auto"/>
              <w:jc w:val="left"/>
              <w:rPr>
                <w:rFonts w:ascii="Arial" w:hAnsi="等线" w:eastAsia="等线" w:cs="Times New Roman"/>
                <w:color w:val="auto"/>
                <w:sz w:val="21"/>
                <w:highlight w:val="none"/>
              </w:rPr>
            </w:pPr>
          </w:p>
          <w:p w14:paraId="093DE7FE">
            <w:pPr>
              <w:spacing w:line="251" w:lineRule="auto"/>
              <w:jc w:val="left"/>
              <w:rPr>
                <w:rFonts w:ascii="Arial" w:hAnsi="等线" w:eastAsia="等线" w:cs="Times New Roman"/>
                <w:color w:val="auto"/>
                <w:sz w:val="21"/>
                <w:highlight w:val="none"/>
              </w:rPr>
            </w:pPr>
          </w:p>
          <w:p w14:paraId="12DD7D7E">
            <w:pPr>
              <w:spacing w:line="251" w:lineRule="auto"/>
              <w:ind w:firstLine="0"/>
              <w:jc w:val="left"/>
              <w:rPr>
                <w:rFonts w:hint="eastAsia" w:ascii="宋体" w:hAnsi="宋体" w:eastAsia="等线" w:cs="Times New Roman"/>
                <w:color w:val="auto"/>
                <w:highlight w:val="none"/>
              </w:rPr>
            </w:pPr>
          </w:p>
          <w:p w14:paraId="754CDA2E">
            <w:pPr>
              <w:spacing w:line="251" w:lineRule="auto"/>
              <w:ind w:firstLine="2310" w:firstLineChars="1100"/>
              <w:jc w:val="left"/>
              <w:rPr>
                <w:rFonts w:ascii="等线" w:hAnsi="等线" w:eastAsia="等线" w:cs="Times New Roman"/>
                <w:color w:val="auto"/>
                <w:highlight w:val="none"/>
                <w:u w:val="single"/>
              </w:rPr>
            </w:pPr>
            <w:r>
              <w:rPr>
                <w:rFonts w:hint="eastAsia" w:ascii="宋体" w:hAnsi="宋体" w:eastAsia="宋体" w:cs="Times New Roman"/>
                <w:color w:val="auto"/>
                <w:highlight w:val="none"/>
                <w:lang w:eastAsia="zh-CN"/>
              </w:rPr>
              <w:t>监理</w:t>
            </w:r>
            <w:r>
              <w:rPr>
                <w:rFonts w:hint="eastAsia" w:ascii="宋体" w:hAnsi="宋体" w:eastAsia="宋体" w:cs="Times New Roman"/>
                <w:color w:val="auto"/>
                <w:highlight w:val="none"/>
              </w:rPr>
              <w:t>工程师</w:t>
            </w:r>
            <w:r>
              <w:rPr>
                <w:rFonts w:ascii="等线" w:hAnsi="等线" w:eastAsia="等线" w:cs="Times New Roman"/>
                <w:color w:val="auto"/>
                <w:highlight w:val="none"/>
                <w:u w:val="single"/>
              </w:rPr>
              <w:t xml:space="preserve">           </w:t>
            </w:r>
          </w:p>
          <w:p w14:paraId="56DCCC40">
            <w:pPr>
              <w:spacing w:line="251" w:lineRule="auto"/>
              <w:jc w:val="left"/>
              <w:rPr>
                <w:rFonts w:ascii="等线" w:hAnsi="等线" w:eastAsia="等线" w:cs="Times New Roman"/>
                <w:color w:val="auto"/>
                <w:sz w:val="21"/>
                <w:szCs w:val="21"/>
                <w:highlight w:val="none"/>
              </w:rPr>
            </w:pPr>
            <w:r>
              <w:rPr>
                <w:rFonts w:ascii="等线" w:hAnsi="等线" w:eastAsia="等线" w:cs="Times New Roman"/>
                <w:color w:val="auto"/>
                <w:highlight w:val="none"/>
              </w:rPr>
              <w:t xml:space="preserve">       </w:t>
            </w:r>
            <w:r>
              <w:rPr>
                <w:rFonts w:hint="eastAsia" w:ascii="等线" w:hAnsi="等线" w:eastAsia="等线" w:cs="Times New Roman"/>
                <w:color w:val="auto"/>
                <w:highlight w:val="none"/>
                <w:lang w:val="en-US" w:eastAsia="zh-CN"/>
              </w:rPr>
              <w:t xml:space="preserve"> </w:t>
            </w:r>
            <w:r>
              <w:rPr>
                <w:rFonts w:ascii="等线" w:hAnsi="等线" w:eastAsia="等线" w:cs="Times New Roman"/>
                <w:color w:val="auto"/>
                <w:highlight w:val="none"/>
              </w:rPr>
              <w:t xml:space="preserve"> </w:t>
            </w:r>
            <w:r>
              <w:rPr>
                <w:rFonts w:hint="eastAsia" w:ascii="等线" w:hAnsi="等线" w:eastAsia="等线" w:cs="Times New Roman"/>
                <w:color w:val="auto"/>
                <w:highlight w:val="none"/>
                <w:lang w:val="en-US" w:eastAsia="zh-CN"/>
              </w:rPr>
              <w:t xml:space="preserve">            </w:t>
            </w:r>
            <w:r>
              <w:rPr>
                <w:rFonts w:hint="eastAsia" w:ascii="宋体" w:hAnsi="宋体" w:eastAsia="等线" w:cs="Times New Roman"/>
                <w:color w:val="auto"/>
                <w:highlight w:val="none"/>
              </w:rPr>
              <w:t>日</w:t>
            </w:r>
            <w:r>
              <w:rPr>
                <w:rFonts w:hint="eastAsia" w:ascii="宋体" w:hAnsi="宋体" w:eastAsia="等线" w:cs="Times New Roman"/>
                <w:color w:val="auto"/>
                <w:highlight w:val="none"/>
                <w:lang w:val="en-US" w:eastAsia="zh-CN"/>
              </w:rPr>
              <w:t xml:space="preserve">   </w:t>
            </w:r>
            <w:r>
              <w:rPr>
                <w:rFonts w:ascii="等线" w:hAnsi="等线" w:eastAsia="等线" w:cs="Times New Roman"/>
                <w:color w:val="auto"/>
                <w:highlight w:val="none"/>
              </w:rPr>
              <w:t xml:space="preserve">  </w:t>
            </w:r>
            <w:r>
              <w:rPr>
                <w:rFonts w:hint="eastAsia" w:ascii="宋体" w:hAnsi="宋体" w:eastAsia="等线" w:cs="Times New Roman"/>
                <w:color w:val="auto"/>
                <w:highlight w:val="none"/>
              </w:rPr>
              <w:t>期</w:t>
            </w:r>
            <w:r>
              <w:rPr>
                <w:rFonts w:ascii="等线" w:hAnsi="等线" w:eastAsia="等线" w:cs="Times New Roman"/>
                <w:color w:val="auto"/>
                <w:highlight w:val="none"/>
                <w:u w:val="single"/>
              </w:rPr>
              <w:t xml:space="preserve">           </w:t>
            </w:r>
          </w:p>
        </w:tc>
        <w:tc>
          <w:tcPr>
            <w:tcW w:w="4280" w:type="dxa"/>
            <w:noWrap w:val="0"/>
            <w:vAlign w:val="top"/>
          </w:tcPr>
          <w:p w14:paraId="66892CE5">
            <w:pPr>
              <w:pStyle w:val="345"/>
              <w:spacing w:before="68" w:line="219" w:lineRule="auto"/>
              <w:ind w:left="115"/>
              <w:rPr>
                <w:color w:val="auto"/>
                <w:sz w:val="21"/>
                <w:szCs w:val="21"/>
                <w:highlight w:val="none"/>
              </w:rPr>
            </w:pPr>
            <w:r>
              <w:rPr>
                <w:color w:val="auto"/>
                <w:spacing w:val="-1"/>
                <w:sz w:val="21"/>
                <w:szCs w:val="21"/>
                <w:highlight w:val="none"/>
              </w:rPr>
              <w:t>复核意见：</w:t>
            </w:r>
          </w:p>
          <w:p w14:paraId="0CB2B7CA">
            <w:pPr>
              <w:pStyle w:val="345"/>
              <w:spacing w:before="60" w:line="233" w:lineRule="auto"/>
              <w:ind w:left="115" w:firstLine="415"/>
              <w:rPr>
                <w:color w:val="auto"/>
                <w:sz w:val="21"/>
                <w:szCs w:val="21"/>
                <w:highlight w:val="none"/>
              </w:rPr>
            </w:pPr>
            <w:r>
              <w:rPr>
                <w:color w:val="auto"/>
                <w:spacing w:val="-3"/>
                <w:sz w:val="21"/>
                <w:szCs w:val="21"/>
                <w:highlight w:val="none"/>
              </w:rPr>
              <w:t>你方提出的竣工</w:t>
            </w:r>
            <w:r>
              <w:rPr>
                <w:rFonts w:hint="eastAsia"/>
                <w:color w:val="auto"/>
                <w:spacing w:val="-3"/>
                <w:sz w:val="21"/>
                <w:szCs w:val="21"/>
                <w:highlight w:val="none"/>
              </w:rPr>
              <w:t>（施工过程）</w:t>
            </w:r>
            <w:r>
              <w:rPr>
                <w:color w:val="auto"/>
                <w:spacing w:val="-3"/>
                <w:sz w:val="21"/>
                <w:szCs w:val="21"/>
                <w:highlight w:val="none"/>
              </w:rPr>
              <w:t>结算款支付申请经复核</w:t>
            </w:r>
            <w:r>
              <w:rPr>
                <w:rFonts w:hint="eastAsia" w:eastAsia="宋体"/>
                <w:color w:val="auto"/>
                <w:spacing w:val="-3"/>
                <w:sz w:val="21"/>
                <w:szCs w:val="21"/>
                <w:highlight w:val="none"/>
                <w:lang w:eastAsia="zh-CN"/>
              </w:rPr>
              <w:t>，</w:t>
            </w:r>
            <w:r>
              <w:rPr>
                <w:color w:val="auto"/>
                <w:spacing w:val="11"/>
                <w:sz w:val="21"/>
                <w:szCs w:val="21"/>
                <w:highlight w:val="none"/>
              </w:rPr>
              <w:t xml:space="preserve"> </w:t>
            </w:r>
            <w:r>
              <w:rPr>
                <w:color w:val="auto"/>
                <w:spacing w:val="1"/>
                <w:sz w:val="21"/>
                <w:szCs w:val="21"/>
                <w:highlight w:val="none"/>
              </w:rPr>
              <w:t>竣工</w:t>
            </w:r>
            <w:r>
              <w:rPr>
                <w:rFonts w:hint="eastAsia"/>
                <w:color w:val="auto"/>
                <w:spacing w:val="1"/>
                <w:sz w:val="21"/>
                <w:szCs w:val="21"/>
                <w:highlight w:val="none"/>
              </w:rPr>
              <w:t>（施工过程）</w:t>
            </w:r>
            <w:r>
              <w:rPr>
                <w:color w:val="auto"/>
                <w:spacing w:val="1"/>
                <w:sz w:val="21"/>
                <w:szCs w:val="21"/>
                <w:highlight w:val="none"/>
              </w:rPr>
              <w:t>结算款总额为</w:t>
            </w:r>
            <w:r>
              <w:rPr>
                <w:rFonts w:hint="eastAsia" w:eastAsia="宋体"/>
                <w:color w:val="auto"/>
                <w:spacing w:val="1"/>
                <w:sz w:val="21"/>
                <w:szCs w:val="21"/>
                <w:highlight w:val="none"/>
                <w:lang w:eastAsia="zh-CN"/>
              </w:rPr>
              <w:t>（</w:t>
            </w:r>
            <w:r>
              <w:rPr>
                <w:color w:val="auto"/>
                <w:spacing w:val="1"/>
                <w:sz w:val="21"/>
                <w:szCs w:val="21"/>
                <w:highlight w:val="none"/>
              </w:rPr>
              <w:t>大写</w:t>
            </w:r>
            <w:r>
              <w:rPr>
                <w:rFonts w:hint="eastAsia" w:eastAsia="宋体"/>
                <w:color w:val="auto"/>
                <w:spacing w:val="1"/>
                <w:sz w:val="21"/>
                <w:szCs w:val="21"/>
                <w:highlight w:val="none"/>
                <w:u w:val="single" w:color="auto"/>
                <w:lang w:eastAsia="zh-CN"/>
              </w:rPr>
              <w:t>）</w:t>
            </w:r>
            <w:r>
              <w:rPr>
                <w:color w:val="auto"/>
                <w:spacing w:val="28"/>
                <w:sz w:val="21"/>
                <w:szCs w:val="21"/>
                <w:highlight w:val="none"/>
                <w:u w:val="single" w:color="auto"/>
              </w:rPr>
              <w:t xml:space="preserve">  </w:t>
            </w:r>
            <w:r>
              <w:rPr>
                <w:color w:val="auto"/>
                <w:sz w:val="21"/>
                <w:szCs w:val="21"/>
                <w:highlight w:val="none"/>
                <w:u w:val="single" w:color="auto"/>
              </w:rPr>
              <w:t xml:space="preserve">    </w:t>
            </w:r>
            <w:r>
              <w:rPr>
                <w:rFonts w:hint="eastAsia" w:eastAsia="宋体"/>
                <w:color w:val="auto"/>
                <w:sz w:val="21"/>
                <w:szCs w:val="21"/>
                <w:highlight w:val="none"/>
                <w:lang w:eastAsia="zh-CN"/>
              </w:rPr>
              <w:t>（</w:t>
            </w:r>
            <w:r>
              <w:rPr>
                <w:color w:val="auto"/>
                <w:sz w:val="21"/>
                <w:szCs w:val="21"/>
                <w:highlight w:val="none"/>
              </w:rPr>
              <w:t>小写</w:t>
            </w:r>
            <w:r>
              <w:rPr>
                <w:color w:val="auto"/>
                <w:spacing w:val="11"/>
                <w:sz w:val="21"/>
                <w:szCs w:val="21"/>
                <w:highlight w:val="none"/>
                <w:u w:val="single" w:color="auto"/>
              </w:rPr>
              <w:t xml:space="preserve">        </w:t>
            </w:r>
            <w:r>
              <w:rPr>
                <w:color w:val="auto"/>
                <w:spacing w:val="-98"/>
                <w:sz w:val="21"/>
                <w:szCs w:val="21"/>
                <w:highlight w:val="none"/>
              </w:rPr>
              <w:t xml:space="preserve"> </w:t>
            </w:r>
            <w:r>
              <w:rPr>
                <w:rFonts w:hint="eastAsia" w:eastAsia="宋体"/>
                <w:color w:val="auto"/>
                <w:sz w:val="21"/>
                <w:szCs w:val="21"/>
                <w:highlight w:val="none"/>
                <w:lang w:eastAsia="zh-CN"/>
              </w:rPr>
              <w:t>），</w:t>
            </w:r>
          </w:p>
          <w:p w14:paraId="3B5CC85B">
            <w:pPr>
              <w:pStyle w:val="345"/>
              <w:spacing w:before="67" w:line="216" w:lineRule="auto"/>
              <w:ind w:left="115"/>
              <w:rPr>
                <w:rFonts w:ascii="Arial"/>
                <w:color w:val="auto"/>
                <w:sz w:val="21"/>
                <w:highlight w:val="none"/>
              </w:rPr>
            </w:pPr>
            <w:r>
              <w:rPr>
                <w:color w:val="auto"/>
                <w:sz w:val="21"/>
                <w:szCs w:val="21"/>
                <w:highlight w:val="none"/>
              </w:rPr>
              <w:t>扣除前期支付以及质量</w:t>
            </w:r>
            <w:r>
              <w:rPr>
                <w:color w:val="auto"/>
                <w:spacing w:val="2"/>
                <w:sz w:val="21"/>
                <w:szCs w:val="21"/>
                <w:highlight w:val="none"/>
              </w:rPr>
              <w:t>保证金后应支付金额为</w:t>
            </w:r>
            <w:r>
              <w:rPr>
                <w:rFonts w:hint="eastAsia" w:eastAsia="宋体"/>
                <w:color w:val="auto"/>
                <w:spacing w:val="2"/>
                <w:sz w:val="21"/>
                <w:szCs w:val="21"/>
                <w:highlight w:val="none"/>
                <w:lang w:eastAsia="zh-CN"/>
              </w:rPr>
              <w:t>（</w:t>
            </w:r>
            <w:r>
              <w:rPr>
                <w:color w:val="auto"/>
                <w:spacing w:val="2"/>
                <w:sz w:val="21"/>
                <w:szCs w:val="21"/>
                <w:highlight w:val="none"/>
              </w:rPr>
              <w:t>大写</w:t>
            </w:r>
            <w:r>
              <w:rPr>
                <w:rFonts w:hint="eastAsia" w:eastAsia="宋体"/>
                <w:color w:val="auto"/>
                <w:spacing w:val="7"/>
                <w:sz w:val="21"/>
                <w:szCs w:val="21"/>
                <w:highlight w:val="none"/>
                <w:lang w:eastAsia="zh-CN"/>
              </w:rPr>
              <w:t>）</w:t>
            </w:r>
            <w:r>
              <w:rPr>
                <w:rFonts w:hint="eastAsia" w:eastAsia="宋体"/>
                <w:color w:val="auto"/>
                <w:spacing w:val="2"/>
                <w:sz w:val="21"/>
                <w:szCs w:val="21"/>
                <w:highlight w:val="none"/>
                <w:u w:val="single"/>
                <w:lang w:val="en-US" w:eastAsia="zh-CN"/>
              </w:rPr>
              <w:t xml:space="preserve">       </w:t>
            </w:r>
            <w:r>
              <w:rPr>
                <w:color w:val="auto"/>
                <w:spacing w:val="-39"/>
                <w:sz w:val="21"/>
                <w:szCs w:val="21"/>
                <w:highlight w:val="none"/>
                <w:u w:val="single" w:color="auto"/>
              </w:rPr>
              <w:t xml:space="preserve"> </w:t>
            </w:r>
            <w:r>
              <w:rPr>
                <w:color w:val="auto"/>
                <w:spacing w:val="-100"/>
                <w:sz w:val="21"/>
                <w:szCs w:val="21"/>
                <w:highlight w:val="none"/>
              </w:rPr>
              <w:t xml:space="preserve"> </w:t>
            </w:r>
            <w:r>
              <w:rPr>
                <w:color w:val="auto"/>
                <w:spacing w:val="8"/>
                <w:sz w:val="21"/>
                <w:szCs w:val="21"/>
                <w:highlight w:val="none"/>
                <w:u w:val="single" w:color="auto"/>
              </w:rPr>
              <w:t xml:space="preserve">           </w:t>
            </w:r>
            <w:r>
              <w:rPr>
                <w:color w:val="auto"/>
                <w:spacing w:val="7"/>
                <w:sz w:val="21"/>
                <w:szCs w:val="21"/>
                <w:highlight w:val="none"/>
              </w:rPr>
              <w:t xml:space="preserve"> </w:t>
            </w:r>
            <w:r>
              <w:rPr>
                <w:rFonts w:hint="eastAsia" w:eastAsia="宋体"/>
                <w:color w:val="auto"/>
                <w:spacing w:val="-18"/>
                <w:sz w:val="21"/>
                <w:szCs w:val="21"/>
                <w:highlight w:val="none"/>
                <w:lang w:eastAsia="zh-CN"/>
              </w:rPr>
              <w:t>（</w:t>
            </w:r>
            <w:r>
              <w:rPr>
                <w:color w:val="auto"/>
                <w:spacing w:val="4"/>
                <w:sz w:val="21"/>
                <w:szCs w:val="21"/>
                <w:highlight w:val="none"/>
              </w:rPr>
              <w:t xml:space="preserve"> </w:t>
            </w:r>
            <w:r>
              <w:rPr>
                <w:color w:val="auto"/>
                <w:spacing w:val="-18"/>
                <w:sz w:val="21"/>
                <w:szCs w:val="21"/>
                <w:highlight w:val="none"/>
              </w:rPr>
              <w:t>小</w:t>
            </w:r>
            <w:r>
              <w:rPr>
                <w:color w:val="auto"/>
                <w:spacing w:val="2"/>
                <w:sz w:val="21"/>
                <w:szCs w:val="21"/>
                <w:highlight w:val="none"/>
              </w:rPr>
              <w:t xml:space="preserve"> </w:t>
            </w:r>
            <w:r>
              <w:rPr>
                <w:color w:val="auto"/>
                <w:spacing w:val="-18"/>
                <w:sz w:val="21"/>
                <w:szCs w:val="21"/>
                <w:highlight w:val="none"/>
              </w:rPr>
              <w:t>写</w:t>
            </w:r>
            <w:r>
              <w:rPr>
                <w:color w:val="auto"/>
                <w:spacing w:val="3"/>
                <w:sz w:val="21"/>
                <w:szCs w:val="21"/>
                <w:highlight w:val="none"/>
                <w:u w:val="single" w:color="auto"/>
              </w:rPr>
              <w:t xml:space="preserve">                   </w:t>
            </w:r>
            <w:r>
              <w:rPr>
                <w:rFonts w:hint="eastAsia" w:eastAsia="宋体"/>
                <w:color w:val="auto"/>
                <w:spacing w:val="-18"/>
                <w:sz w:val="21"/>
                <w:szCs w:val="21"/>
                <w:highlight w:val="none"/>
                <w:lang w:eastAsia="zh-CN"/>
              </w:rPr>
              <w:t>）</w:t>
            </w:r>
            <w:r>
              <w:rPr>
                <w:color w:val="auto"/>
                <w:spacing w:val="-18"/>
                <w:sz w:val="21"/>
                <w:szCs w:val="21"/>
                <w:highlight w:val="none"/>
              </w:rPr>
              <w:t>。</w:t>
            </w:r>
          </w:p>
          <w:p w14:paraId="573DA7E9">
            <w:pPr>
              <w:spacing w:line="360" w:lineRule="exact"/>
              <w:ind w:firstLine="435"/>
              <w:jc w:val="center"/>
              <w:rPr>
                <w:rFonts w:ascii="等线" w:hAnsi="等线" w:eastAsia="等线" w:cs="Times New Roman"/>
                <w:color w:val="auto"/>
                <w:highlight w:val="none"/>
                <w:u w:val="single"/>
              </w:rPr>
            </w:pPr>
            <w:r>
              <w:rPr>
                <w:rFonts w:ascii="等线" w:hAnsi="等线" w:eastAsia="等线" w:cs="Times New Roman"/>
                <w:color w:val="auto"/>
                <w:highlight w:val="none"/>
              </w:rPr>
              <w:t xml:space="preserve"> </w:t>
            </w:r>
            <w:r>
              <w:rPr>
                <w:rFonts w:hint="eastAsia" w:ascii="宋体" w:hAnsi="宋体" w:eastAsia="等线" w:cs="Times New Roman"/>
                <w:color w:val="auto"/>
                <w:highlight w:val="none"/>
              </w:rPr>
              <w:t>造价工程师</w:t>
            </w:r>
            <w:r>
              <w:rPr>
                <w:rFonts w:ascii="等线" w:hAnsi="等线" w:eastAsia="等线" w:cs="Times New Roman"/>
                <w:color w:val="auto"/>
                <w:highlight w:val="none"/>
                <w:u w:val="single"/>
              </w:rPr>
              <w:t xml:space="preserve">           </w:t>
            </w:r>
          </w:p>
          <w:p w14:paraId="17F383FF">
            <w:pPr>
              <w:pStyle w:val="345"/>
              <w:spacing w:before="69" w:line="227" w:lineRule="auto"/>
              <w:ind w:left="2792" w:hanging="1387"/>
              <w:rPr>
                <w:color w:val="auto"/>
                <w:sz w:val="21"/>
                <w:szCs w:val="21"/>
                <w:highlight w:val="none"/>
              </w:rPr>
            </w:pPr>
            <w:r>
              <w:rPr>
                <w:rFonts w:hint="eastAsia" w:ascii="宋体" w:hAnsi="宋体" w:eastAsia="宋体" w:cs="Times New Roman"/>
                <w:color w:val="auto"/>
                <w:kern w:val="2"/>
                <w:sz w:val="21"/>
                <w:szCs w:val="24"/>
                <w:highlight w:val="none"/>
                <w:lang w:val="en-US" w:eastAsia="zh-CN" w:bidi="ar-SA"/>
              </w:rPr>
              <w:t xml:space="preserve">     日     期</w:t>
            </w:r>
            <w:r>
              <w:rPr>
                <w:rFonts w:ascii="Times New Roman" w:hAnsi="Times New Roman" w:eastAsia="宋体" w:cs="Times New Roman"/>
                <w:color w:val="auto"/>
                <w:kern w:val="2"/>
                <w:sz w:val="21"/>
                <w:szCs w:val="24"/>
                <w:highlight w:val="none"/>
                <w:u w:val="single"/>
                <w:lang w:val="en-US" w:eastAsia="zh-CN" w:bidi="ar-SA"/>
              </w:rPr>
              <w:t xml:space="preserve">          </w:t>
            </w:r>
          </w:p>
        </w:tc>
      </w:tr>
      <w:tr w14:paraId="30C80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8" w:hRule="atLeast"/>
          <w:jc w:val="center"/>
        </w:trPr>
        <w:tc>
          <w:tcPr>
            <w:tcW w:w="9229" w:type="dxa"/>
            <w:gridSpan w:val="2"/>
            <w:noWrap w:val="0"/>
            <w:vAlign w:val="top"/>
          </w:tcPr>
          <w:p w14:paraId="235F4BFA">
            <w:pPr>
              <w:pStyle w:val="345"/>
              <w:spacing w:before="264" w:line="257" w:lineRule="auto"/>
              <w:ind w:left="14" w:right="8058" w:firstLine="99"/>
              <w:rPr>
                <w:rFonts w:ascii="Arial"/>
                <w:color w:val="auto"/>
                <w:sz w:val="21"/>
                <w:highlight w:val="none"/>
              </w:rPr>
            </w:pPr>
            <w:r>
              <w:rPr>
                <w:color w:val="auto"/>
                <w:spacing w:val="-1"/>
                <w:sz w:val="21"/>
                <w:szCs w:val="21"/>
                <w:highlight w:val="none"/>
              </w:rPr>
              <w:t>审核意见：</w:t>
            </w:r>
            <w:r>
              <w:rPr>
                <w:color w:val="auto"/>
                <w:sz w:val="21"/>
                <w:szCs w:val="21"/>
                <w:highlight w:val="none"/>
              </w:rPr>
              <w:t xml:space="preserve"> </w:t>
            </w:r>
            <w:r>
              <w:rPr>
                <w:rFonts w:hint="eastAsia" w:eastAsia="宋体"/>
                <w:color w:val="auto"/>
                <w:sz w:val="21"/>
                <w:szCs w:val="21"/>
                <w:highlight w:val="none"/>
                <w:lang w:val="en-US" w:eastAsia="zh-CN"/>
              </w:rPr>
              <w:t xml:space="preserve">  </w:t>
            </w:r>
            <w:r>
              <w:rPr>
                <w:color w:val="auto"/>
                <w:spacing w:val="4"/>
                <w:sz w:val="21"/>
                <w:szCs w:val="21"/>
                <w:highlight w:val="none"/>
              </w:rPr>
              <w:t>口</w:t>
            </w:r>
            <w:r>
              <w:rPr>
                <w:rFonts w:hint="eastAsia" w:ascii="Arial" w:hAnsi="Arial" w:eastAsia="Arial" w:cs="Arial"/>
                <w:color w:val="auto"/>
                <w:spacing w:val="4"/>
                <w:sz w:val="21"/>
                <w:szCs w:val="21"/>
                <w:highlight w:val="none"/>
                <w:lang w:eastAsia="zh-CN"/>
              </w:rPr>
              <w:t>不同意</w:t>
            </w:r>
            <w:r>
              <w:rPr>
                <w:color w:val="auto"/>
                <w:sz w:val="21"/>
                <w:szCs w:val="21"/>
                <w:highlight w:val="none"/>
              </w:rPr>
              <w:t xml:space="preserve"> </w:t>
            </w:r>
            <w:r>
              <w:rPr>
                <w:color w:val="auto"/>
                <w:spacing w:val="4"/>
                <w:sz w:val="21"/>
                <w:szCs w:val="21"/>
                <w:highlight w:val="none"/>
              </w:rPr>
              <w:t>口同意</w:t>
            </w:r>
          </w:p>
          <w:p w14:paraId="2B2B3611">
            <w:pPr>
              <w:pStyle w:val="345"/>
              <w:spacing w:before="68" w:line="219" w:lineRule="auto"/>
              <w:ind w:left="0" w:firstLine="6379" w:firstLineChars="2848"/>
              <w:rPr>
                <w:rFonts w:hint="eastAsia" w:eastAsia="宋体"/>
                <w:color w:val="auto"/>
                <w:sz w:val="21"/>
                <w:szCs w:val="21"/>
                <w:highlight w:val="none"/>
                <w:lang w:eastAsia="zh-CN"/>
              </w:rPr>
            </w:pPr>
            <w:r>
              <w:rPr>
                <w:color w:val="auto"/>
                <w:spacing w:val="7"/>
                <w:sz w:val="21"/>
                <w:szCs w:val="21"/>
                <w:highlight w:val="none"/>
              </w:rPr>
              <w:t>发包人</w:t>
            </w:r>
            <w:r>
              <w:rPr>
                <w:rFonts w:hint="eastAsia" w:eastAsia="宋体"/>
                <w:color w:val="auto"/>
                <w:spacing w:val="7"/>
                <w:sz w:val="21"/>
                <w:szCs w:val="21"/>
                <w:highlight w:val="none"/>
                <w:lang w:eastAsia="zh-CN"/>
              </w:rPr>
              <w:t>（</w:t>
            </w:r>
            <w:r>
              <w:rPr>
                <w:color w:val="auto"/>
                <w:spacing w:val="7"/>
                <w:sz w:val="21"/>
                <w:szCs w:val="21"/>
                <w:highlight w:val="none"/>
              </w:rPr>
              <w:t>章</w:t>
            </w:r>
            <w:r>
              <w:rPr>
                <w:rFonts w:hint="eastAsia" w:eastAsia="宋体"/>
                <w:color w:val="auto"/>
                <w:spacing w:val="7"/>
                <w:sz w:val="21"/>
                <w:szCs w:val="21"/>
                <w:highlight w:val="none"/>
                <w:lang w:eastAsia="zh-CN"/>
              </w:rPr>
              <w:t>）</w:t>
            </w:r>
          </w:p>
          <w:p w14:paraId="19928291">
            <w:pPr>
              <w:wordWrap w:val="0"/>
              <w:spacing w:line="400" w:lineRule="exact"/>
              <w:ind w:firstLine="420" w:firstLineChars="200"/>
              <w:jc w:val="center"/>
              <w:rPr>
                <w:rFonts w:ascii="等线" w:hAnsi="等线" w:eastAsia="等线" w:cs="Times New Roman"/>
                <w:color w:val="auto"/>
                <w:highlight w:val="none"/>
                <w:u w:val="single"/>
              </w:rPr>
            </w:pPr>
            <w:r>
              <w:rPr>
                <w:rFonts w:hint="eastAsia" w:ascii="宋体" w:hAnsi="宋体" w:eastAsia="等线" w:cs="Times New Roman"/>
                <w:color w:val="auto"/>
                <w:highlight w:val="none"/>
                <w:lang w:val="en-US" w:eastAsia="zh-CN"/>
              </w:rPr>
              <w:t xml:space="preserve">                                                      </w:t>
            </w:r>
            <w:r>
              <w:rPr>
                <w:rFonts w:hint="eastAsia" w:ascii="Arial" w:hAnsi="Arial" w:eastAsia="Arial" w:cs="Arial"/>
                <w:color w:val="auto"/>
                <w:spacing w:val="7"/>
                <w:kern w:val="2"/>
                <w:sz w:val="21"/>
                <w:szCs w:val="21"/>
                <w:highlight w:val="none"/>
                <w:lang w:val="en-US" w:eastAsia="en-US" w:bidi="ar-SA"/>
              </w:rPr>
              <w:t>发包人代表</w:t>
            </w:r>
            <w:r>
              <w:rPr>
                <w:rFonts w:ascii="等线" w:hAnsi="等线" w:eastAsia="等线" w:cs="Times New Roman"/>
                <w:color w:val="auto"/>
                <w:highlight w:val="none"/>
                <w:u w:val="single"/>
              </w:rPr>
              <w:t xml:space="preserve">          </w:t>
            </w:r>
          </w:p>
          <w:p w14:paraId="6A1D3955">
            <w:pPr>
              <w:pStyle w:val="345"/>
              <w:spacing w:before="51" w:line="243" w:lineRule="auto"/>
              <w:ind w:left="0" w:firstLine="5700" w:firstLineChars="2500"/>
              <w:rPr>
                <w:color w:val="auto"/>
                <w:sz w:val="21"/>
                <w:szCs w:val="21"/>
                <w:highlight w:val="none"/>
              </w:rPr>
            </w:pPr>
            <w:r>
              <w:rPr>
                <w:color w:val="auto"/>
                <w:spacing w:val="9"/>
                <w:sz w:val="21"/>
                <w:szCs w:val="21"/>
                <w:highlight w:val="none"/>
                <w:u w:val="single" w:color="auto"/>
              </w:rPr>
              <w:t xml:space="preserve">         </w:t>
            </w:r>
            <w:r>
              <w:rPr>
                <w:color w:val="auto"/>
                <w:sz w:val="21"/>
                <w:szCs w:val="21"/>
                <w:highlight w:val="none"/>
              </w:rPr>
              <w:t xml:space="preserve">  </w:t>
            </w:r>
            <w:r>
              <w:rPr>
                <w:color w:val="auto"/>
                <w:spacing w:val="-15"/>
                <w:sz w:val="21"/>
                <w:szCs w:val="21"/>
                <w:highlight w:val="none"/>
                <w:u w:val="single" w:color="auto"/>
              </w:rPr>
              <w:t>日期</w:t>
            </w:r>
            <w:r>
              <w:rPr>
                <w:color w:val="auto"/>
                <w:spacing w:val="-21"/>
                <w:sz w:val="21"/>
                <w:szCs w:val="21"/>
                <w:highlight w:val="none"/>
                <w:u w:val="single" w:color="auto"/>
              </w:rPr>
              <w:t xml:space="preserve"> </w:t>
            </w:r>
            <w:r>
              <w:rPr>
                <w:color w:val="auto"/>
                <w:spacing w:val="-100"/>
                <w:sz w:val="21"/>
                <w:szCs w:val="21"/>
                <w:highlight w:val="none"/>
              </w:rPr>
              <w:t xml:space="preserve"> </w:t>
            </w:r>
            <w:r>
              <w:rPr>
                <w:color w:val="auto"/>
                <w:sz w:val="21"/>
                <w:szCs w:val="21"/>
                <w:highlight w:val="none"/>
                <w:u w:val="single" w:color="auto"/>
              </w:rPr>
              <w:t xml:space="preserve">            </w:t>
            </w:r>
          </w:p>
        </w:tc>
      </w:tr>
    </w:tbl>
    <w:p w14:paraId="6430D6DE">
      <w:pPr>
        <w:pStyle w:val="19"/>
        <w:spacing w:before="153" w:line="200" w:lineRule="exact"/>
        <w:ind w:left="424"/>
        <w:jc w:val="left"/>
        <w:rPr>
          <w:color w:val="auto"/>
          <w:sz w:val="19"/>
          <w:szCs w:val="19"/>
          <w:highlight w:val="none"/>
        </w:rPr>
      </w:pPr>
      <w:r>
        <w:rPr>
          <w:color w:val="auto"/>
          <w:spacing w:val="-13"/>
          <w:sz w:val="19"/>
          <w:szCs w:val="19"/>
          <w:highlight w:val="none"/>
        </w:rPr>
        <w:t>注：1</w:t>
      </w:r>
      <w:r>
        <w:rPr>
          <w:rFonts w:hint="eastAsia"/>
          <w:color w:val="auto"/>
          <w:spacing w:val="70"/>
          <w:sz w:val="19"/>
          <w:szCs w:val="19"/>
          <w:highlight w:val="none"/>
          <w:lang w:val="en-US" w:eastAsia="zh-CN"/>
        </w:rPr>
        <w:t>.</w:t>
      </w:r>
      <w:r>
        <w:rPr>
          <w:color w:val="auto"/>
          <w:spacing w:val="-13"/>
          <w:sz w:val="19"/>
          <w:szCs w:val="19"/>
          <w:highlight w:val="none"/>
        </w:rPr>
        <w:t>应在选择栏中的</w:t>
      </w:r>
      <w:r>
        <w:rPr>
          <w:rFonts w:hint="eastAsia"/>
          <w:color w:val="auto"/>
          <w:spacing w:val="-13"/>
          <w:sz w:val="19"/>
          <w:szCs w:val="19"/>
          <w:highlight w:val="none"/>
          <w:lang w:eastAsia="zh-CN"/>
        </w:rPr>
        <w:t>“</w:t>
      </w:r>
      <w:r>
        <w:rPr>
          <w:color w:val="auto"/>
          <w:spacing w:val="-13"/>
          <w:sz w:val="19"/>
          <w:szCs w:val="19"/>
          <w:highlight w:val="none"/>
        </w:rPr>
        <w:t>□</w:t>
      </w:r>
      <w:r>
        <w:rPr>
          <w:rFonts w:hint="eastAsia"/>
          <w:color w:val="auto"/>
          <w:spacing w:val="-13"/>
          <w:sz w:val="19"/>
          <w:szCs w:val="19"/>
          <w:highlight w:val="none"/>
          <w:lang w:eastAsia="zh-CN"/>
        </w:rPr>
        <w:t>”</w:t>
      </w:r>
      <w:r>
        <w:rPr>
          <w:color w:val="auto"/>
          <w:spacing w:val="-13"/>
          <w:sz w:val="19"/>
          <w:szCs w:val="19"/>
          <w:highlight w:val="none"/>
        </w:rPr>
        <w:t>内作标识</w:t>
      </w:r>
      <w:r>
        <w:rPr>
          <w:rFonts w:hint="eastAsia"/>
          <w:color w:val="auto"/>
          <w:spacing w:val="-13"/>
          <w:sz w:val="19"/>
          <w:szCs w:val="19"/>
          <w:highlight w:val="none"/>
          <w:lang w:eastAsia="zh-CN"/>
        </w:rPr>
        <w:t>“</w:t>
      </w:r>
      <w:r>
        <w:rPr>
          <w:color w:val="auto"/>
          <w:spacing w:val="-70"/>
          <w:sz w:val="19"/>
          <w:szCs w:val="19"/>
          <w:highlight w:val="none"/>
        </w:rPr>
        <w:t xml:space="preserve"> </w:t>
      </w:r>
      <w:r>
        <w:rPr>
          <w:color w:val="auto"/>
          <w:spacing w:val="-13"/>
          <w:sz w:val="19"/>
          <w:szCs w:val="19"/>
          <w:highlight w:val="none"/>
        </w:rPr>
        <w:t>√</w:t>
      </w:r>
      <w:r>
        <w:rPr>
          <w:rFonts w:hint="eastAsia"/>
          <w:color w:val="auto"/>
          <w:spacing w:val="-13"/>
          <w:sz w:val="19"/>
          <w:szCs w:val="19"/>
          <w:highlight w:val="none"/>
          <w:lang w:eastAsia="zh-CN"/>
        </w:rPr>
        <w:t>”；</w:t>
      </w:r>
    </w:p>
    <w:p w14:paraId="7ADFCBA6">
      <w:pPr>
        <w:spacing w:line="200" w:lineRule="exact"/>
        <w:ind w:firstLine="372" w:firstLineChars="200"/>
        <w:jc w:val="both"/>
        <w:outlineLvl w:val="9"/>
        <w:rPr>
          <w:rFonts w:hint="eastAsia"/>
          <w:color w:val="auto"/>
          <w:spacing w:val="-3"/>
          <w:sz w:val="19"/>
          <w:szCs w:val="19"/>
          <w:highlight w:val="none"/>
          <w:lang w:eastAsia="zh-CN"/>
        </w:rPr>
      </w:pPr>
      <w:r>
        <w:rPr>
          <w:color w:val="auto"/>
          <w:spacing w:val="-2"/>
          <w:sz w:val="19"/>
          <w:szCs w:val="19"/>
          <w:highlight w:val="none"/>
        </w:rPr>
        <w:t>2</w:t>
      </w:r>
      <w:r>
        <w:rPr>
          <w:rFonts w:hint="eastAsia"/>
          <w:color w:val="auto"/>
          <w:spacing w:val="-2"/>
          <w:sz w:val="19"/>
          <w:szCs w:val="19"/>
          <w:highlight w:val="none"/>
          <w:lang w:val="en-US" w:eastAsia="zh-CN"/>
        </w:rPr>
        <w:t>.</w:t>
      </w:r>
      <w:r>
        <w:rPr>
          <w:color w:val="auto"/>
          <w:spacing w:val="-2"/>
          <w:sz w:val="19"/>
          <w:szCs w:val="19"/>
          <w:highlight w:val="none"/>
        </w:rPr>
        <w:t>本表应一式四份</w:t>
      </w:r>
      <w:r>
        <w:rPr>
          <w:rFonts w:hint="eastAsia"/>
          <w:color w:val="auto"/>
          <w:spacing w:val="-2"/>
          <w:sz w:val="19"/>
          <w:szCs w:val="19"/>
          <w:highlight w:val="none"/>
          <w:lang w:eastAsia="zh-CN"/>
        </w:rPr>
        <w:t>，</w:t>
      </w:r>
      <w:r>
        <w:rPr>
          <w:color w:val="auto"/>
          <w:spacing w:val="-2"/>
          <w:sz w:val="19"/>
          <w:szCs w:val="19"/>
          <w:highlight w:val="none"/>
        </w:rPr>
        <w:t>由承包人填报</w:t>
      </w:r>
      <w:r>
        <w:rPr>
          <w:rFonts w:hint="eastAsia"/>
          <w:color w:val="auto"/>
          <w:spacing w:val="-2"/>
          <w:sz w:val="19"/>
          <w:szCs w:val="19"/>
          <w:highlight w:val="none"/>
          <w:lang w:eastAsia="zh-CN"/>
        </w:rPr>
        <w:t>，</w:t>
      </w:r>
      <w:r>
        <w:rPr>
          <w:color w:val="auto"/>
          <w:spacing w:val="-2"/>
          <w:sz w:val="19"/>
          <w:szCs w:val="19"/>
          <w:highlight w:val="none"/>
        </w:rPr>
        <w:t>发包人、监理人、工程</w:t>
      </w:r>
      <w:r>
        <w:rPr>
          <w:color w:val="auto"/>
          <w:spacing w:val="-3"/>
          <w:sz w:val="19"/>
          <w:szCs w:val="19"/>
          <w:highlight w:val="none"/>
        </w:rPr>
        <w:t>造价咨询人、承包人各存一份</w:t>
      </w:r>
      <w:r>
        <w:rPr>
          <w:rFonts w:hint="eastAsia"/>
          <w:color w:val="auto"/>
          <w:spacing w:val="-3"/>
          <w:sz w:val="19"/>
          <w:szCs w:val="19"/>
          <w:highlight w:val="none"/>
          <w:lang w:eastAsia="zh-CN"/>
        </w:rPr>
        <w:t>。</w:t>
      </w:r>
    </w:p>
    <w:p w14:paraId="64D3A7C4">
      <w:pPr>
        <w:pStyle w:val="52"/>
        <w:rPr>
          <w:color w:val="auto"/>
          <w:highlight w:val="none"/>
        </w:rPr>
      </w:pPr>
    </w:p>
    <w:p w14:paraId="4E998BFE">
      <w:pPr>
        <w:pStyle w:val="5"/>
        <w:jc w:val="both"/>
        <w:rPr>
          <w:rFonts w:hint="eastAsia"/>
          <w:b/>
          <w:color w:val="auto"/>
          <w:sz w:val="30"/>
          <w:szCs w:val="30"/>
          <w:highlight w:val="none"/>
        </w:rPr>
      </w:pPr>
      <w:r>
        <w:rPr>
          <w:rFonts w:hint="eastAsia" w:ascii="仿宋_GB2312" w:eastAsia="仿宋_GB2312" w:cs="仿宋_GB2312"/>
          <w:color w:val="auto"/>
          <w:sz w:val="30"/>
          <w:szCs w:val="30"/>
          <w:highlight w:val="none"/>
        </w:rPr>
        <w:t>附件13：工程保修与结清结算支付申请（核准）表</w:t>
      </w:r>
    </w:p>
    <w:p w14:paraId="22A888A3">
      <w:pPr>
        <w:wordWrap/>
        <w:spacing w:before="0" w:after="0"/>
        <w:jc w:val="center"/>
        <w:outlineLvl w:val="9"/>
        <w:rPr>
          <w:rFonts w:ascii="宋体" w:hAnsi="宋体"/>
          <w:b/>
          <w:color w:val="auto"/>
          <w:sz w:val="30"/>
          <w:szCs w:val="30"/>
          <w:highlight w:val="none"/>
          <w:lang w:val="en"/>
        </w:rPr>
      </w:pPr>
      <w:r>
        <w:rPr>
          <w:rFonts w:hint="default" w:ascii="宋体" w:hAnsi="宋体" w:eastAsia="宋体" w:cs="Times New Roman"/>
          <w:b/>
          <w:bCs w:val="0"/>
          <w:color w:val="auto"/>
          <w:kern w:val="2"/>
          <w:sz w:val="30"/>
          <w:szCs w:val="30"/>
          <w:highlight w:val="none"/>
          <w:lang w:val="en"/>
        </w:rPr>
        <w:t>工程保修与结清结算支付申请</w:t>
      </w:r>
      <w:r>
        <w:rPr>
          <w:rFonts w:hint="eastAsia" w:ascii="宋体" w:hAnsi="宋体" w:cs="Times New Roman"/>
          <w:b/>
          <w:bCs w:val="0"/>
          <w:color w:val="auto"/>
          <w:kern w:val="2"/>
          <w:sz w:val="30"/>
          <w:szCs w:val="30"/>
          <w:highlight w:val="none"/>
          <w:lang w:val="en" w:eastAsia="zh-CN"/>
        </w:rPr>
        <w:t>（</w:t>
      </w:r>
      <w:r>
        <w:rPr>
          <w:rFonts w:hint="default" w:ascii="宋体" w:hAnsi="宋体" w:eastAsia="宋体" w:cs="Times New Roman"/>
          <w:b/>
          <w:bCs w:val="0"/>
          <w:color w:val="auto"/>
          <w:kern w:val="2"/>
          <w:sz w:val="30"/>
          <w:szCs w:val="30"/>
          <w:highlight w:val="none"/>
          <w:lang w:val="en"/>
        </w:rPr>
        <w:t>核准</w:t>
      </w:r>
      <w:r>
        <w:rPr>
          <w:rFonts w:hint="eastAsia" w:ascii="宋体" w:hAnsi="宋体" w:cs="Times New Roman"/>
          <w:b/>
          <w:bCs w:val="0"/>
          <w:color w:val="auto"/>
          <w:kern w:val="2"/>
          <w:sz w:val="30"/>
          <w:szCs w:val="30"/>
          <w:highlight w:val="none"/>
          <w:lang w:val="en" w:eastAsia="zh-CN"/>
        </w:rPr>
        <w:t>）</w:t>
      </w:r>
      <w:r>
        <w:rPr>
          <w:rFonts w:hint="default" w:ascii="宋体" w:hAnsi="宋体" w:eastAsia="宋体" w:cs="Times New Roman"/>
          <w:b/>
          <w:bCs w:val="0"/>
          <w:color w:val="auto"/>
          <w:kern w:val="2"/>
          <w:sz w:val="30"/>
          <w:szCs w:val="30"/>
          <w:highlight w:val="none"/>
          <w:lang w:val="en"/>
        </w:rPr>
        <w:t>表</w:t>
      </w:r>
    </w:p>
    <w:p w14:paraId="51EEA871">
      <w:pPr>
        <w:rPr>
          <w:rFonts w:ascii="宋体" w:hAnsi="宋体"/>
          <w:color w:val="auto"/>
          <w:kern w:val="0"/>
          <w:highlight w:val="none"/>
        </w:rPr>
      </w:pPr>
      <w:r>
        <w:rPr>
          <w:rFonts w:hint="eastAsia" w:ascii="宋体" w:hAnsi="宋体"/>
          <w:color w:val="auto"/>
          <w:kern w:val="0"/>
          <w:highlight w:val="none"/>
        </w:rPr>
        <w:t>工程</w:t>
      </w:r>
      <w:r>
        <w:rPr>
          <w:rFonts w:hint="eastAsia" w:ascii="宋体" w:hAnsi="宋体"/>
          <w:color w:val="auto"/>
          <w:spacing w:val="-3"/>
          <w:kern w:val="0"/>
          <w:highlight w:val="none"/>
        </w:rPr>
        <w:t>名</w:t>
      </w:r>
      <w:r>
        <w:rPr>
          <w:rFonts w:hint="eastAsia" w:ascii="宋体" w:hAnsi="宋体"/>
          <w:color w:val="auto"/>
          <w:kern w:val="0"/>
          <w:highlight w:val="none"/>
        </w:rPr>
        <w:t>称：</w:t>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标</w:t>
      </w:r>
      <w:r>
        <w:rPr>
          <w:rFonts w:hint="eastAsia" w:ascii="宋体" w:hAnsi="宋体"/>
          <w:color w:val="auto"/>
          <w:spacing w:val="-3"/>
          <w:kern w:val="0"/>
          <w:highlight w:val="none"/>
        </w:rPr>
        <w:t>段</w:t>
      </w:r>
      <w:r>
        <w:rPr>
          <w:rFonts w:hint="eastAsia" w:ascii="宋体" w:hAnsi="宋体"/>
          <w:color w:val="auto"/>
          <w:kern w:val="0"/>
          <w:highlight w:val="none"/>
        </w:rPr>
        <w:t>：</w:t>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kern w:val="0"/>
          <w:highlight w:val="none"/>
        </w:rPr>
        <w:tab/>
      </w:r>
      <w:r>
        <w:rPr>
          <w:rFonts w:hint="eastAsia" w:ascii="宋体" w:hAnsi="宋体"/>
          <w:color w:val="auto"/>
          <w:spacing w:val="-3"/>
          <w:kern w:val="0"/>
          <w:highlight w:val="none"/>
        </w:rPr>
        <w:t>编</w:t>
      </w:r>
      <w:r>
        <w:rPr>
          <w:rFonts w:hint="eastAsia" w:ascii="宋体" w:hAnsi="宋体"/>
          <w:color w:val="auto"/>
          <w:kern w:val="0"/>
          <w:highlight w:val="none"/>
        </w:rPr>
        <w:t>号：</w:t>
      </w:r>
    </w:p>
    <w:p w14:paraId="0280BF5F">
      <w:pPr>
        <w:spacing w:before="9" w:line="40" w:lineRule="exact"/>
        <w:rPr>
          <w:rFonts w:ascii="宋体" w:hAnsi="宋体"/>
          <w:color w:val="auto"/>
          <w:sz w:val="4"/>
          <w:szCs w:val="4"/>
          <w:highlight w:val="none"/>
        </w:rPr>
      </w:pPr>
      <w:r>
        <w:rPr>
          <w:rFonts w:hint="eastAsia" w:ascii="宋体" w:hAnsi="宋体"/>
          <w:color w:val="auto"/>
          <w:sz w:val="4"/>
          <w:szCs w:val="4"/>
          <w:highlight w:val="none"/>
        </w:rPr>
        <w:t xml:space="preserve"> </w:t>
      </w:r>
    </w:p>
    <w:tbl>
      <w:tblPr>
        <w:tblStyle w:val="54"/>
        <w:tblW w:w="9602" w:type="dxa"/>
        <w:jc w:val="center"/>
        <w:tblLayout w:type="fixed"/>
        <w:tblCellMar>
          <w:top w:w="0" w:type="dxa"/>
          <w:left w:w="0" w:type="dxa"/>
          <w:bottom w:w="0" w:type="dxa"/>
          <w:right w:w="0" w:type="dxa"/>
        </w:tblCellMar>
      </w:tblPr>
      <w:tblGrid>
        <w:gridCol w:w="2524"/>
        <w:gridCol w:w="2414"/>
        <w:gridCol w:w="983"/>
        <w:gridCol w:w="3681"/>
      </w:tblGrid>
      <w:tr w14:paraId="576F4BA3">
        <w:tblPrEx>
          <w:tblCellMar>
            <w:top w:w="0" w:type="dxa"/>
            <w:left w:w="0" w:type="dxa"/>
            <w:bottom w:w="0" w:type="dxa"/>
            <w:right w:w="0" w:type="dxa"/>
          </w:tblCellMar>
        </w:tblPrEx>
        <w:trPr>
          <w:trHeight w:val="401" w:hRule="atLeast"/>
          <w:jc w:val="center"/>
        </w:trPr>
        <w:tc>
          <w:tcPr>
            <w:tcW w:w="9602" w:type="dxa"/>
            <w:gridSpan w:val="4"/>
            <w:tcBorders>
              <w:top w:val="single" w:color="000000" w:sz="4" w:space="0"/>
              <w:left w:val="single" w:color="000000" w:sz="4" w:space="0"/>
              <w:bottom w:val="nil"/>
              <w:right w:val="single" w:color="000000" w:sz="4" w:space="0"/>
            </w:tcBorders>
            <w:noWrap w:val="0"/>
            <w:vAlign w:val="top"/>
          </w:tcPr>
          <w:p w14:paraId="1EF650B9">
            <w:pPr>
              <w:keepNext w:val="0"/>
              <w:keepLines w:val="0"/>
              <w:suppressLineNumbers w:val="0"/>
              <w:spacing w:before="54" w:beforeAutospacing="0" w:after="0" w:afterAutospacing="0"/>
              <w:ind w:left="0" w:right="0"/>
              <w:rPr>
                <w:rFonts w:hint="default" w:ascii="宋体" w:hAnsi="宋体"/>
                <w:color w:val="auto"/>
                <w:kern w:val="0"/>
                <w:highlight w:val="none"/>
              </w:rPr>
            </w:pPr>
            <w:r>
              <w:rPr>
                <w:rFonts w:hint="eastAsia" w:ascii="宋体" w:hAnsi="宋体"/>
                <w:color w:val="auto"/>
                <w:kern w:val="0"/>
                <w:highlight w:val="none"/>
              </w:rPr>
              <w:t>致：</w:t>
            </w:r>
            <w:r>
              <w:rPr>
                <w:rFonts w:hint="eastAsia" w:ascii="宋体" w:hAnsi="宋体"/>
                <w:color w:val="auto"/>
                <w:kern w:val="0"/>
                <w:highlight w:val="none"/>
                <w:u w:val="single" w:color="000000"/>
              </w:rPr>
              <w:tab/>
            </w:r>
            <w:r>
              <w:rPr>
                <w:rFonts w:hint="eastAsia" w:ascii="宋体" w:hAnsi="宋体"/>
                <w:color w:val="auto"/>
                <w:kern w:val="0"/>
                <w:highlight w:val="none"/>
                <w:u w:val="single" w:color="000000"/>
              </w:rPr>
              <w:t xml:space="preserve">     （发包人全称）</w:t>
            </w:r>
          </w:p>
        </w:tc>
      </w:tr>
      <w:tr w14:paraId="39395AC0">
        <w:tblPrEx>
          <w:tblCellMar>
            <w:top w:w="0" w:type="dxa"/>
            <w:left w:w="0" w:type="dxa"/>
            <w:bottom w:w="0" w:type="dxa"/>
            <w:right w:w="0" w:type="dxa"/>
          </w:tblCellMar>
        </w:tblPrEx>
        <w:trPr>
          <w:trHeight w:val="631" w:hRule="atLeast"/>
          <w:jc w:val="center"/>
        </w:trPr>
        <w:tc>
          <w:tcPr>
            <w:tcW w:w="9602" w:type="dxa"/>
            <w:gridSpan w:val="4"/>
            <w:tcBorders>
              <w:top w:val="nil"/>
              <w:left w:val="single" w:color="000000" w:sz="4" w:space="0"/>
              <w:bottom w:val="nil"/>
              <w:right w:val="single" w:color="000000" w:sz="4" w:space="0"/>
            </w:tcBorders>
            <w:noWrap w:val="0"/>
            <w:vAlign w:val="top"/>
          </w:tcPr>
          <w:p w14:paraId="55862E88">
            <w:pPr>
              <w:keepNext w:val="0"/>
              <w:keepLines w:val="0"/>
              <w:suppressLineNumbers w:val="0"/>
              <w:spacing w:before="0" w:beforeAutospacing="0" w:after="0" w:afterAutospacing="0" w:line="246" w:lineRule="exact"/>
              <w:ind w:left="0" w:right="0" w:firstLine="428" w:firstLineChars="200"/>
              <w:rPr>
                <w:rFonts w:hint="default" w:ascii="宋体" w:hAnsi="宋体"/>
                <w:color w:val="auto"/>
                <w:kern w:val="0"/>
                <w:highlight w:val="none"/>
              </w:rPr>
            </w:pPr>
            <w:r>
              <w:rPr>
                <w:rFonts w:hint="eastAsia" w:ascii="宋体" w:hAnsi="宋体"/>
                <w:color w:val="auto"/>
                <w:spacing w:val="2"/>
                <w:kern w:val="0"/>
                <w:highlight w:val="none"/>
              </w:rPr>
              <w:t>我方</w:t>
            </w:r>
            <w:r>
              <w:rPr>
                <w:rFonts w:hint="eastAsia" w:ascii="宋体" w:hAnsi="宋体"/>
                <w:color w:val="auto"/>
                <w:spacing w:val="-1"/>
                <w:kern w:val="0"/>
                <w:highlight w:val="none"/>
              </w:rPr>
              <w:t>于</w:t>
            </w:r>
            <w:r>
              <w:rPr>
                <w:rFonts w:hint="eastAsia" w:ascii="宋体" w:hAnsi="宋体"/>
                <w:color w:val="auto"/>
                <w:spacing w:val="-1"/>
                <w:kern w:val="0"/>
                <w:highlight w:val="none"/>
                <w:u w:val="single" w:color="000000"/>
              </w:rPr>
              <w:tab/>
            </w:r>
            <w:r>
              <w:rPr>
                <w:rFonts w:hint="eastAsia" w:ascii="宋体" w:hAnsi="宋体"/>
                <w:color w:val="auto"/>
                <w:spacing w:val="-1"/>
                <w:kern w:val="0"/>
                <w:highlight w:val="none"/>
                <w:u w:val="single" w:color="000000"/>
              </w:rPr>
              <w:t xml:space="preserve">      </w:t>
            </w:r>
            <w:r>
              <w:rPr>
                <w:rFonts w:hint="eastAsia" w:ascii="宋体" w:hAnsi="宋体"/>
                <w:color w:val="auto"/>
                <w:kern w:val="0"/>
                <w:highlight w:val="none"/>
              </w:rPr>
              <w:t>至</w:t>
            </w:r>
            <w:r>
              <w:rPr>
                <w:rFonts w:hint="eastAsia" w:ascii="宋体" w:hAnsi="宋体"/>
                <w:color w:val="auto"/>
                <w:kern w:val="0"/>
                <w:highlight w:val="none"/>
                <w:u w:val="single" w:color="000000"/>
              </w:rPr>
              <w:tab/>
            </w:r>
            <w:r>
              <w:rPr>
                <w:rFonts w:hint="eastAsia" w:ascii="宋体" w:hAnsi="宋体"/>
                <w:color w:val="auto"/>
                <w:kern w:val="0"/>
                <w:highlight w:val="none"/>
                <w:u w:val="single" w:color="000000"/>
              </w:rPr>
              <w:t xml:space="preserve">       </w:t>
            </w:r>
            <w:r>
              <w:rPr>
                <w:rFonts w:hint="eastAsia" w:ascii="宋体" w:hAnsi="宋体"/>
                <w:color w:val="auto"/>
                <w:spacing w:val="2"/>
                <w:kern w:val="0"/>
                <w:highlight w:val="none"/>
              </w:rPr>
              <w:t>期间</w:t>
            </w:r>
            <w:r>
              <w:rPr>
                <w:rFonts w:hint="eastAsia" w:ascii="宋体" w:hAnsi="宋体"/>
                <w:color w:val="auto"/>
                <w:kern w:val="0"/>
                <w:highlight w:val="none"/>
              </w:rPr>
              <w:t>已</w:t>
            </w:r>
            <w:r>
              <w:rPr>
                <w:rFonts w:hint="eastAsia" w:ascii="宋体" w:hAnsi="宋体"/>
                <w:color w:val="auto"/>
                <w:spacing w:val="2"/>
                <w:kern w:val="0"/>
                <w:highlight w:val="none"/>
              </w:rPr>
              <w:t>完</w:t>
            </w:r>
            <w:r>
              <w:rPr>
                <w:rFonts w:hint="eastAsia" w:ascii="宋体" w:hAnsi="宋体"/>
                <w:color w:val="auto"/>
                <w:kern w:val="0"/>
                <w:highlight w:val="none"/>
              </w:rPr>
              <w:t>成了缺陷修复</w:t>
            </w:r>
            <w:r>
              <w:rPr>
                <w:rFonts w:hint="eastAsia" w:ascii="宋体" w:hAnsi="宋体"/>
                <w:color w:val="auto"/>
                <w:spacing w:val="2"/>
                <w:kern w:val="0"/>
                <w:highlight w:val="none"/>
              </w:rPr>
              <w:t>工作</w:t>
            </w:r>
            <w:r>
              <w:rPr>
                <w:rFonts w:hint="eastAsia" w:ascii="宋体" w:hAnsi="宋体"/>
                <w:color w:val="auto"/>
                <w:kern w:val="0"/>
                <w:highlight w:val="none"/>
                <w:lang w:eastAsia="zh-CN"/>
              </w:rPr>
              <w:t>，</w:t>
            </w:r>
            <w:r>
              <w:rPr>
                <w:rFonts w:hint="eastAsia" w:ascii="宋体" w:hAnsi="宋体"/>
                <w:color w:val="auto"/>
                <w:spacing w:val="2"/>
                <w:kern w:val="0"/>
                <w:highlight w:val="none"/>
              </w:rPr>
              <w:t>根</w:t>
            </w:r>
            <w:r>
              <w:rPr>
                <w:rFonts w:hint="eastAsia" w:ascii="宋体" w:hAnsi="宋体"/>
                <w:color w:val="auto"/>
                <w:kern w:val="0"/>
                <w:highlight w:val="none"/>
              </w:rPr>
              <w:t>据</w:t>
            </w:r>
            <w:r>
              <w:rPr>
                <w:rFonts w:hint="eastAsia" w:ascii="宋体" w:hAnsi="宋体"/>
                <w:color w:val="auto"/>
                <w:spacing w:val="2"/>
                <w:kern w:val="0"/>
                <w:highlight w:val="none"/>
              </w:rPr>
              <w:t>施</w:t>
            </w:r>
            <w:r>
              <w:rPr>
                <w:rFonts w:hint="eastAsia" w:ascii="宋体" w:hAnsi="宋体"/>
                <w:color w:val="auto"/>
                <w:kern w:val="0"/>
                <w:highlight w:val="none"/>
              </w:rPr>
              <w:t>工</w:t>
            </w:r>
            <w:r>
              <w:rPr>
                <w:rFonts w:hint="eastAsia" w:ascii="宋体" w:hAnsi="宋体"/>
                <w:color w:val="auto"/>
                <w:spacing w:val="2"/>
                <w:kern w:val="0"/>
                <w:highlight w:val="none"/>
              </w:rPr>
              <w:t>合</w:t>
            </w:r>
            <w:r>
              <w:rPr>
                <w:rFonts w:hint="eastAsia" w:ascii="宋体" w:hAnsi="宋体"/>
                <w:color w:val="auto"/>
                <w:kern w:val="0"/>
                <w:highlight w:val="none"/>
              </w:rPr>
              <w:t>同</w:t>
            </w:r>
            <w:r>
              <w:rPr>
                <w:rFonts w:hint="eastAsia" w:ascii="宋体" w:hAnsi="宋体"/>
                <w:color w:val="auto"/>
                <w:spacing w:val="2"/>
                <w:kern w:val="0"/>
                <w:highlight w:val="none"/>
              </w:rPr>
              <w:t>的约</w:t>
            </w:r>
            <w:r>
              <w:rPr>
                <w:rFonts w:hint="eastAsia" w:ascii="宋体" w:hAnsi="宋体"/>
                <w:color w:val="auto"/>
                <w:kern w:val="0"/>
                <w:highlight w:val="none"/>
              </w:rPr>
              <w:t>定</w:t>
            </w:r>
            <w:r>
              <w:rPr>
                <w:rFonts w:hint="eastAsia" w:ascii="宋体" w:hAnsi="宋体"/>
                <w:color w:val="auto"/>
                <w:kern w:val="0"/>
                <w:highlight w:val="none"/>
                <w:lang w:eastAsia="zh-CN"/>
              </w:rPr>
              <w:t>，</w:t>
            </w:r>
            <w:r>
              <w:rPr>
                <w:rFonts w:hint="eastAsia" w:ascii="宋体" w:hAnsi="宋体"/>
                <w:color w:val="auto"/>
                <w:spacing w:val="2"/>
                <w:kern w:val="0"/>
                <w:highlight w:val="none"/>
              </w:rPr>
              <w:t>现申</w:t>
            </w:r>
            <w:r>
              <w:rPr>
                <w:rFonts w:hint="eastAsia" w:ascii="宋体" w:hAnsi="宋体"/>
                <w:color w:val="auto"/>
                <w:kern w:val="0"/>
                <w:highlight w:val="none"/>
              </w:rPr>
              <w:t>请</w:t>
            </w:r>
            <w:r>
              <w:rPr>
                <w:rFonts w:hint="eastAsia" w:ascii="宋体" w:hAnsi="宋体"/>
                <w:color w:val="auto"/>
                <w:spacing w:val="2"/>
                <w:kern w:val="0"/>
                <w:highlight w:val="none"/>
              </w:rPr>
              <w:t>支</w:t>
            </w:r>
            <w:r>
              <w:rPr>
                <w:rFonts w:hint="eastAsia" w:ascii="宋体" w:hAnsi="宋体"/>
                <w:color w:val="auto"/>
                <w:kern w:val="0"/>
                <w:highlight w:val="none"/>
              </w:rPr>
              <w:t>付工程保修结算</w:t>
            </w:r>
            <w:r>
              <w:rPr>
                <w:rFonts w:hint="eastAsia" w:ascii="宋体" w:hAnsi="宋体"/>
                <w:color w:val="auto"/>
                <w:spacing w:val="2"/>
                <w:kern w:val="0"/>
                <w:highlight w:val="none"/>
              </w:rPr>
              <w:t>的</w:t>
            </w:r>
            <w:r>
              <w:rPr>
                <w:rFonts w:hint="eastAsia" w:ascii="宋体" w:hAnsi="宋体"/>
                <w:color w:val="auto"/>
                <w:kern w:val="0"/>
                <w:highlight w:val="none"/>
              </w:rPr>
              <w:t>合同款额为（大写）</w:t>
            </w:r>
            <w:r>
              <w:rPr>
                <w:rFonts w:hint="eastAsia" w:ascii="宋体" w:hAnsi="宋体"/>
                <w:color w:val="auto"/>
                <w:kern w:val="0"/>
                <w:highlight w:val="none"/>
                <w:u w:val="single" w:color="000000"/>
              </w:rPr>
              <w:tab/>
            </w:r>
            <w:r>
              <w:rPr>
                <w:rFonts w:hint="eastAsia" w:ascii="宋体" w:hAnsi="宋体"/>
                <w:color w:val="auto"/>
                <w:kern w:val="0"/>
                <w:highlight w:val="none"/>
                <w:u w:val="single" w:color="000000"/>
              </w:rPr>
              <w:t xml:space="preserve">         </w:t>
            </w:r>
            <w:r>
              <w:rPr>
                <w:rFonts w:hint="eastAsia" w:ascii="宋体" w:hAnsi="宋体"/>
                <w:color w:val="auto"/>
                <w:kern w:val="0"/>
                <w:highlight w:val="none"/>
              </w:rPr>
              <w:t>（小写</w:t>
            </w:r>
            <w:r>
              <w:rPr>
                <w:rFonts w:hint="eastAsia" w:ascii="宋体" w:hAnsi="宋体"/>
                <w:color w:val="auto"/>
                <w:kern w:val="0"/>
                <w:highlight w:val="none"/>
                <w:u w:val="single"/>
              </w:rPr>
              <w:t xml:space="preserve">           </w:t>
            </w:r>
            <w:r>
              <w:rPr>
                <w:rFonts w:hint="eastAsia" w:ascii="宋体" w:hAnsi="宋体"/>
                <w:color w:val="auto"/>
                <w:kern w:val="0"/>
                <w:highlight w:val="none"/>
              </w:rPr>
              <w:t>）</w:t>
            </w:r>
            <w:r>
              <w:rPr>
                <w:rFonts w:hint="eastAsia" w:ascii="宋体" w:hAnsi="宋体"/>
                <w:color w:val="auto"/>
                <w:kern w:val="0"/>
                <w:highlight w:val="none"/>
                <w:lang w:eastAsia="zh-CN"/>
              </w:rPr>
              <w:t>，</w:t>
            </w:r>
            <w:r>
              <w:rPr>
                <w:rFonts w:hint="eastAsia" w:ascii="宋体" w:hAnsi="宋体"/>
                <w:color w:val="auto"/>
                <w:kern w:val="0"/>
                <w:highlight w:val="none"/>
              </w:rPr>
              <w:t>请予核准。</w:t>
            </w:r>
          </w:p>
        </w:tc>
      </w:tr>
      <w:tr w14:paraId="57A5340B">
        <w:tblPrEx>
          <w:tblCellMar>
            <w:top w:w="0" w:type="dxa"/>
            <w:left w:w="0" w:type="dxa"/>
            <w:bottom w:w="0" w:type="dxa"/>
            <w:right w:w="0" w:type="dxa"/>
          </w:tblCellMar>
        </w:tblPrEx>
        <w:trPr>
          <w:trHeight w:val="3352" w:hRule="atLeast"/>
          <w:jc w:val="center"/>
        </w:trPr>
        <w:tc>
          <w:tcPr>
            <w:tcW w:w="9602" w:type="dxa"/>
            <w:gridSpan w:val="4"/>
            <w:tcBorders>
              <w:top w:val="nil"/>
              <w:left w:val="single" w:color="000000" w:sz="4" w:space="0"/>
              <w:bottom w:val="nil"/>
              <w:right w:val="single" w:color="000000" w:sz="4" w:space="0"/>
            </w:tcBorders>
            <w:noWrap w:val="0"/>
            <w:vAlign w:val="top"/>
          </w:tcPr>
          <w:p w14:paraId="2F9D45DA">
            <w:pPr>
              <w:keepNext w:val="0"/>
              <w:keepLines w:val="0"/>
              <w:suppressLineNumbers w:val="0"/>
              <w:spacing w:before="0" w:beforeAutospacing="0" w:after="0" w:afterAutospacing="0" w:line="200" w:lineRule="exact"/>
              <w:ind w:left="0" w:right="0"/>
              <w:rPr>
                <w:rFonts w:hint="default" w:ascii="宋体" w:hAnsi="宋体"/>
                <w:color w:val="auto"/>
                <w:kern w:val="0"/>
                <w:highlight w:val="none"/>
              </w:rPr>
            </w:pPr>
          </w:p>
          <w:p w14:paraId="214CAC46">
            <w:pPr>
              <w:keepNext w:val="0"/>
              <w:keepLines w:val="0"/>
              <w:suppressLineNumbers w:val="0"/>
              <w:spacing w:before="0" w:beforeAutospacing="0" w:after="120" w:afterAutospacing="0"/>
              <w:ind w:left="0" w:right="0"/>
              <w:rPr>
                <w:rFonts w:hint="default"/>
                <w:color w:val="auto"/>
                <w:highlight w:val="none"/>
              </w:rPr>
            </w:pPr>
          </w:p>
          <w:tbl>
            <w:tblPr>
              <w:tblStyle w:val="54"/>
              <w:tblW w:w="863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36"/>
              <w:gridCol w:w="3060"/>
              <w:gridCol w:w="1676"/>
              <w:gridCol w:w="1676"/>
              <w:gridCol w:w="890"/>
            </w:tblGrid>
            <w:tr w14:paraId="16F4B4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0" w:hRule="atLeast"/>
                <w:jc w:val="center"/>
              </w:trPr>
              <w:tc>
                <w:tcPr>
                  <w:tcW w:w="1336" w:type="dxa"/>
                  <w:tcBorders>
                    <w:top w:val="single" w:color="000000" w:sz="6" w:space="0"/>
                    <w:left w:val="single" w:color="000000" w:sz="6" w:space="0"/>
                    <w:bottom w:val="single" w:color="000000" w:sz="6" w:space="0"/>
                    <w:right w:val="single" w:color="000000" w:sz="6" w:space="0"/>
                  </w:tcBorders>
                  <w:noWrap w:val="0"/>
                  <w:vAlign w:val="center"/>
                </w:tcPr>
                <w:p w14:paraId="20CF9D83">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序号</w:t>
                  </w:r>
                </w:p>
              </w:tc>
              <w:tc>
                <w:tcPr>
                  <w:tcW w:w="3060" w:type="dxa"/>
                  <w:tcBorders>
                    <w:top w:val="single" w:color="000000" w:sz="6" w:space="0"/>
                    <w:left w:val="nil"/>
                    <w:bottom w:val="single" w:color="000000" w:sz="6" w:space="0"/>
                    <w:right w:val="single" w:color="000000" w:sz="6" w:space="0"/>
                  </w:tcBorders>
                  <w:noWrap w:val="0"/>
                  <w:vAlign w:val="center"/>
                </w:tcPr>
                <w:p w14:paraId="619ECD7B">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名称</w:t>
                  </w:r>
                </w:p>
              </w:tc>
              <w:tc>
                <w:tcPr>
                  <w:tcW w:w="1676" w:type="dxa"/>
                  <w:tcBorders>
                    <w:top w:val="single" w:color="000000" w:sz="6" w:space="0"/>
                    <w:left w:val="nil"/>
                    <w:bottom w:val="single" w:color="000000" w:sz="6" w:space="0"/>
                    <w:right w:val="single" w:color="000000" w:sz="6" w:space="0"/>
                  </w:tcBorders>
                  <w:noWrap w:val="0"/>
                  <w:vAlign w:val="center"/>
                </w:tcPr>
                <w:p w14:paraId="211DA045">
                  <w:pPr>
                    <w:keepNext w:val="0"/>
                    <w:keepLines w:val="0"/>
                    <w:suppressLineNumbers w:val="0"/>
                    <w:spacing w:before="0" w:beforeAutospacing="0" w:after="0" w:afterAutospacing="0" w:line="200" w:lineRule="exact"/>
                    <w:ind w:left="0" w:right="0"/>
                    <w:jc w:val="center"/>
                    <w:rPr>
                      <w:rFonts w:hint="eastAsia" w:ascii="宋体" w:hAnsi="宋体" w:eastAsia="宋体"/>
                      <w:color w:val="auto"/>
                      <w:kern w:val="0"/>
                      <w:sz w:val="21"/>
                      <w:szCs w:val="21"/>
                      <w:highlight w:val="none"/>
                      <w:lang w:eastAsia="zh-CN"/>
                    </w:rPr>
                  </w:pPr>
                  <w:r>
                    <w:rPr>
                      <w:rFonts w:hint="eastAsia" w:ascii="宋体" w:hAnsi="宋体"/>
                      <w:color w:val="auto"/>
                      <w:kern w:val="0"/>
                      <w:sz w:val="21"/>
                      <w:szCs w:val="21"/>
                      <w:highlight w:val="none"/>
                    </w:rPr>
                    <w:t>申请金额</w:t>
                  </w:r>
                  <w:r>
                    <w:rPr>
                      <w:rFonts w:hint="eastAsia" w:ascii="宋体" w:hAnsi="宋体"/>
                      <w:color w:val="auto"/>
                      <w:kern w:val="0"/>
                      <w:sz w:val="21"/>
                      <w:szCs w:val="21"/>
                      <w:highlight w:val="none"/>
                      <w:lang w:eastAsia="zh-CN"/>
                    </w:rPr>
                    <w:t>（</w:t>
                  </w:r>
                  <w:r>
                    <w:rPr>
                      <w:rFonts w:hint="eastAsia" w:ascii="宋体" w:hAnsi="宋体"/>
                      <w:color w:val="auto"/>
                      <w:kern w:val="0"/>
                      <w:sz w:val="21"/>
                      <w:szCs w:val="21"/>
                      <w:highlight w:val="none"/>
                    </w:rPr>
                    <w:t>元</w:t>
                  </w:r>
                  <w:r>
                    <w:rPr>
                      <w:rFonts w:hint="eastAsia" w:ascii="宋体" w:hAnsi="宋体"/>
                      <w:color w:val="auto"/>
                      <w:kern w:val="0"/>
                      <w:sz w:val="21"/>
                      <w:szCs w:val="21"/>
                      <w:highlight w:val="none"/>
                      <w:lang w:eastAsia="zh-CN"/>
                    </w:rPr>
                    <w:t>）</w:t>
                  </w:r>
                </w:p>
              </w:tc>
              <w:tc>
                <w:tcPr>
                  <w:tcW w:w="1676" w:type="dxa"/>
                  <w:tcBorders>
                    <w:top w:val="single" w:color="000000" w:sz="6" w:space="0"/>
                    <w:left w:val="nil"/>
                    <w:bottom w:val="single" w:color="000000" w:sz="6" w:space="0"/>
                    <w:right w:val="single" w:color="000000" w:sz="6" w:space="0"/>
                  </w:tcBorders>
                  <w:noWrap w:val="0"/>
                  <w:vAlign w:val="center"/>
                </w:tcPr>
                <w:p w14:paraId="31B0928E">
                  <w:pPr>
                    <w:keepNext w:val="0"/>
                    <w:keepLines w:val="0"/>
                    <w:suppressLineNumbers w:val="0"/>
                    <w:spacing w:before="0" w:beforeAutospacing="0" w:after="0" w:afterAutospacing="0" w:line="200" w:lineRule="exact"/>
                    <w:ind w:left="0" w:right="0"/>
                    <w:jc w:val="center"/>
                    <w:rPr>
                      <w:rFonts w:hint="eastAsia" w:ascii="宋体" w:hAnsi="宋体" w:eastAsia="宋体"/>
                      <w:color w:val="auto"/>
                      <w:kern w:val="0"/>
                      <w:sz w:val="21"/>
                      <w:szCs w:val="21"/>
                      <w:highlight w:val="none"/>
                      <w:lang w:eastAsia="zh-CN"/>
                    </w:rPr>
                  </w:pPr>
                  <w:r>
                    <w:rPr>
                      <w:rFonts w:hint="eastAsia" w:ascii="宋体" w:hAnsi="宋体"/>
                      <w:color w:val="auto"/>
                      <w:kern w:val="0"/>
                      <w:sz w:val="21"/>
                      <w:szCs w:val="21"/>
                      <w:highlight w:val="none"/>
                    </w:rPr>
                    <w:t>复核金额</w:t>
                  </w:r>
                  <w:r>
                    <w:rPr>
                      <w:rFonts w:hint="eastAsia" w:ascii="宋体" w:hAnsi="宋体"/>
                      <w:color w:val="auto"/>
                      <w:kern w:val="0"/>
                      <w:sz w:val="21"/>
                      <w:szCs w:val="21"/>
                      <w:highlight w:val="none"/>
                      <w:lang w:eastAsia="zh-CN"/>
                    </w:rPr>
                    <w:t>（</w:t>
                  </w:r>
                  <w:r>
                    <w:rPr>
                      <w:rFonts w:hint="eastAsia" w:ascii="宋体" w:hAnsi="宋体"/>
                      <w:color w:val="auto"/>
                      <w:kern w:val="0"/>
                      <w:sz w:val="21"/>
                      <w:szCs w:val="21"/>
                      <w:highlight w:val="none"/>
                    </w:rPr>
                    <w:t>元</w:t>
                  </w:r>
                  <w:r>
                    <w:rPr>
                      <w:rFonts w:hint="eastAsia" w:ascii="宋体" w:hAnsi="宋体"/>
                      <w:color w:val="auto"/>
                      <w:kern w:val="0"/>
                      <w:sz w:val="21"/>
                      <w:szCs w:val="21"/>
                      <w:highlight w:val="none"/>
                      <w:lang w:eastAsia="zh-CN"/>
                    </w:rPr>
                    <w:t>）</w:t>
                  </w:r>
                </w:p>
              </w:tc>
              <w:tc>
                <w:tcPr>
                  <w:tcW w:w="890" w:type="dxa"/>
                  <w:tcBorders>
                    <w:top w:val="single" w:color="000000" w:sz="6" w:space="0"/>
                    <w:left w:val="nil"/>
                    <w:bottom w:val="single" w:color="000000" w:sz="6" w:space="0"/>
                    <w:right w:val="single" w:color="000000" w:sz="6" w:space="0"/>
                  </w:tcBorders>
                  <w:noWrap w:val="0"/>
                  <w:vAlign w:val="center"/>
                </w:tcPr>
                <w:p w14:paraId="531FD8BC">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备注</w:t>
                  </w:r>
                </w:p>
              </w:tc>
            </w:tr>
            <w:tr w14:paraId="502B0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37" w:hRule="atLeast"/>
                <w:jc w:val="center"/>
              </w:trPr>
              <w:tc>
                <w:tcPr>
                  <w:tcW w:w="1336" w:type="dxa"/>
                  <w:tcBorders>
                    <w:top w:val="single" w:color="000000" w:sz="6" w:space="0"/>
                    <w:left w:val="single" w:color="000000" w:sz="6" w:space="0"/>
                    <w:bottom w:val="single" w:color="000000" w:sz="6" w:space="0"/>
                    <w:right w:val="single" w:color="000000" w:sz="6" w:space="0"/>
                  </w:tcBorders>
                  <w:noWrap w:val="0"/>
                  <w:vAlign w:val="center"/>
                </w:tcPr>
                <w:p w14:paraId="26B10EDE">
                  <w:pPr>
                    <w:keepNext w:val="0"/>
                    <w:keepLines w:val="0"/>
                    <w:suppressLineNumbers w:val="0"/>
                    <w:spacing w:before="0" w:beforeAutospacing="0" w:after="0" w:afterAutospacing="0" w:line="200" w:lineRule="exact"/>
                    <w:ind w:left="0" w:right="0"/>
                    <w:jc w:val="both"/>
                    <w:rPr>
                      <w:rFonts w:hint="default" w:ascii="宋体" w:hAnsi="宋体"/>
                      <w:color w:val="auto"/>
                      <w:kern w:val="0"/>
                      <w:sz w:val="21"/>
                      <w:szCs w:val="21"/>
                      <w:highlight w:val="none"/>
                    </w:rPr>
                  </w:pPr>
                  <w:r>
                    <w:rPr>
                      <w:rFonts w:hint="eastAsia" w:ascii="宋体" w:hAnsi="宋体"/>
                      <w:color w:val="auto"/>
                      <w:kern w:val="0"/>
                      <w:sz w:val="21"/>
                      <w:szCs w:val="21"/>
                      <w:highlight w:val="none"/>
                    </w:rPr>
                    <w:t>1</w:t>
                  </w:r>
                </w:p>
              </w:tc>
              <w:tc>
                <w:tcPr>
                  <w:tcW w:w="3060" w:type="dxa"/>
                  <w:tcBorders>
                    <w:top w:val="single" w:color="000000" w:sz="6" w:space="0"/>
                    <w:left w:val="nil"/>
                    <w:bottom w:val="single" w:color="000000" w:sz="6" w:space="0"/>
                    <w:right w:val="single" w:color="000000" w:sz="6" w:space="0"/>
                  </w:tcBorders>
                  <w:noWrap w:val="0"/>
                  <w:vAlign w:val="center"/>
                </w:tcPr>
                <w:p w14:paraId="7D5349BC">
                  <w:pPr>
                    <w:keepNext w:val="0"/>
                    <w:keepLines w:val="0"/>
                    <w:suppressLineNumbers w:val="0"/>
                    <w:spacing w:before="0" w:beforeAutospacing="0" w:after="0" w:afterAutospacing="0" w:line="243" w:lineRule="exact"/>
                    <w:ind w:left="0" w:right="0"/>
                    <w:rPr>
                      <w:rFonts w:hint="default" w:ascii="宋体" w:hAnsi="宋体"/>
                      <w:color w:val="auto"/>
                      <w:kern w:val="0"/>
                      <w:sz w:val="21"/>
                      <w:szCs w:val="21"/>
                      <w:highlight w:val="none"/>
                    </w:rPr>
                  </w:pPr>
                  <w:r>
                    <w:rPr>
                      <w:rFonts w:hint="eastAsia" w:ascii="宋体" w:hAnsi="宋体"/>
                      <w:color w:val="auto"/>
                      <w:kern w:val="0"/>
                      <w:sz w:val="21"/>
                      <w:szCs w:val="21"/>
                      <w:highlight w:val="none"/>
                    </w:rPr>
                    <w:t>已预留的质量保证金</w:t>
                  </w:r>
                </w:p>
              </w:tc>
              <w:tc>
                <w:tcPr>
                  <w:tcW w:w="1676" w:type="dxa"/>
                  <w:tcBorders>
                    <w:top w:val="single" w:color="000000" w:sz="6" w:space="0"/>
                    <w:left w:val="nil"/>
                    <w:bottom w:val="single" w:color="000000" w:sz="6" w:space="0"/>
                    <w:right w:val="single" w:color="000000" w:sz="6" w:space="0"/>
                  </w:tcBorders>
                  <w:noWrap w:val="0"/>
                  <w:vAlign w:val="center"/>
                </w:tcPr>
                <w:p w14:paraId="2BA411FC">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1676" w:type="dxa"/>
                  <w:tcBorders>
                    <w:top w:val="single" w:color="000000" w:sz="6" w:space="0"/>
                    <w:left w:val="nil"/>
                    <w:bottom w:val="single" w:color="000000" w:sz="6" w:space="0"/>
                    <w:right w:val="single" w:color="000000" w:sz="6" w:space="0"/>
                  </w:tcBorders>
                  <w:noWrap w:val="0"/>
                  <w:vAlign w:val="center"/>
                </w:tcPr>
                <w:p w14:paraId="1F608C96">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890" w:type="dxa"/>
                  <w:tcBorders>
                    <w:top w:val="single" w:color="000000" w:sz="6" w:space="0"/>
                    <w:left w:val="nil"/>
                    <w:bottom w:val="single" w:color="000000" w:sz="6" w:space="0"/>
                    <w:right w:val="single" w:color="000000" w:sz="6" w:space="0"/>
                  </w:tcBorders>
                  <w:noWrap w:val="0"/>
                  <w:vAlign w:val="center"/>
                </w:tcPr>
                <w:p w14:paraId="7AF60908">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r>
            <w:tr w14:paraId="7833E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8" w:hRule="atLeast"/>
                <w:jc w:val="center"/>
              </w:trPr>
              <w:tc>
                <w:tcPr>
                  <w:tcW w:w="1336" w:type="dxa"/>
                  <w:tcBorders>
                    <w:top w:val="single" w:color="000000" w:sz="6" w:space="0"/>
                    <w:left w:val="single" w:color="000000" w:sz="6" w:space="0"/>
                    <w:bottom w:val="single" w:color="000000" w:sz="6" w:space="0"/>
                    <w:right w:val="single" w:color="000000" w:sz="6" w:space="0"/>
                  </w:tcBorders>
                  <w:noWrap w:val="0"/>
                  <w:vAlign w:val="center"/>
                </w:tcPr>
                <w:p w14:paraId="6B8772A5">
                  <w:pPr>
                    <w:keepNext w:val="0"/>
                    <w:keepLines w:val="0"/>
                    <w:suppressLineNumbers w:val="0"/>
                    <w:spacing w:before="0" w:beforeAutospacing="0" w:after="0" w:afterAutospacing="0" w:line="200" w:lineRule="exact"/>
                    <w:ind w:left="0" w:right="0"/>
                    <w:jc w:val="both"/>
                    <w:rPr>
                      <w:rFonts w:hint="default" w:ascii="宋体" w:hAnsi="宋体"/>
                      <w:color w:val="auto"/>
                      <w:kern w:val="0"/>
                      <w:sz w:val="21"/>
                      <w:szCs w:val="21"/>
                      <w:highlight w:val="none"/>
                    </w:rPr>
                  </w:pPr>
                  <w:r>
                    <w:rPr>
                      <w:rFonts w:hint="eastAsia" w:ascii="宋体" w:hAnsi="宋体"/>
                      <w:color w:val="auto"/>
                      <w:kern w:val="0"/>
                      <w:sz w:val="21"/>
                      <w:szCs w:val="21"/>
                      <w:highlight w:val="none"/>
                    </w:rPr>
                    <w:t>2</w:t>
                  </w:r>
                </w:p>
              </w:tc>
              <w:tc>
                <w:tcPr>
                  <w:tcW w:w="3060" w:type="dxa"/>
                  <w:tcBorders>
                    <w:top w:val="single" w:color="000000" w:sz="6" w:space="0"/>
                    <w:left w:val="nil"/>
                    <w:bottom w:val="single" w:color="000000" w:sz="6" w:space="0"/>
                    <w:right w:val="single" w:color="000000" w:sz="6" w:space="0"/>
                  </w:tcBorders>
                  <w:noWrap w:val="0"/>
                  <w:vAlign w:val="center"/>
                </w:tcPr>
                <w:p w14:paraId="34682989">
                  <w:pPr>
                    <w:keepNext w:val="0"/>
                    <w:keepLines w:val="0"/>
                    <w:suppressLineNumbers w:val="0"/>
                    <w:spacing w:before="0" w:beforeAutospacing="0" w:after="0" w:afterAutospacing="0" w:line="245" w:lineRule="exact"/>
                    <w:ind w:left="0" w:right="0"/>
                    <w:rPr>
                      <w:rFonts w:hint="default" w:ascii="宋体" w:hAnsi="宋体"/>
                      <w:color w:val="auto"/>
                      <w:kern w:val="0"/>
                      <w:sz w:val="21"/>
                      <w:szCs w:val="21"/>
                      <w:highlight w:val="none"/>
                    </w:rPr>
                  </w:pPr>
                  <w:r>
                    <w:rPr>
                      <w:rFonts w:hint="eastAsia" w:ascii="宋体" w:hAnsi="宋体"/>
                      <w:color w:val="auto"/>
                      <w:kern w:val="0"/>
                      <w:sz w:val="21"/>
                      <w:szCs w:val="21"/>
                      <w:highlight w:val="none"/>
                    </w:rPr>
                    <w:t>应增加因发包人原因造成缺陷的修复金额</w:t>
                  </w:r>
                </w:p>
              </w:tc>
              <w:tc>
                <w:tcPr>
                  <w:tcW w:w="1676" w:type="dxa"/>
                  <w:tcBorders>
                    <w:top w:val="single" w:color="000000" w:sz="6" w:space="0"/>
                    <w:left w:val="nil"/>
                    <w:bottom w:val="single" w:color="000000" w:sz="6" w:space="0"/>
                    <w:right w:val="single" w:color="000000" w:sz="6" w:space="0"/>
                  </w:tcBorders>
                  <w:noWrap w:val="0"/>
                  <w:vAlign w:val="center"/>
                </w:tcPr>
                <w:p w14:paraId="1E59AE26">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1676" w:type="dxa"/>
                  <w:tcBorders>
                    <w:top w:val="single" w:color="000000" w:sz="6" w:space="0"/>
                    <w:left w:val="nil"/>
                    <w:bottom w:val="single" w:color="000000" w:sz="6" w:space="0"/>
                    <w:right w:val="single" w:color="000000" w:sz="6" w:space="0"/>
                  </w:tcBorders>
                  <w:noWrap w:val="0"/>
                  <w:vAlign w:val="center"/>
                </w:tcPr>
                <w:p w14:paraId="0C918840">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890" w:type="dxa"/>
                  <w:tcBorders>
                    <w:top w:val="single" w:color="000000" w:sz="6" w:space="0"/>
                    <w:left w:val="nil"/>
                    <w:bottom w:val="single" w:color="000000" w:sz="6" w:space="0"/>
                    <w:right w:val="single" w:color="000000" w:sz="6" w:space="0"/>
                  </w:tcBorders>
                  <w:noWrap w:val="0"/>
                  <w:vAlign w:val="center"/>
                </w:tcPr>
                <w:p w14:paraId="1794F915">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r>
            <w:tr w14:paraId="53AAB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43" w:hRule="atLeast"/>
                <w:jc w:val="center"/>
              </w:trPr>
              <w:tc>
                <w:tcPr>
                  <w:tcW w:w="1336" w:type="dxa"/>
                  <w:tcBorders>
                    <w:top w:val="single" w:color="000000" w:sz="6" w:space="0"/>
                    <w:left w:val="single" w:color="000000" w:sz="6" w:space="0"/>
                    <w:bottom w:val="single" w:color="000000" w:sz="6" w:space="0"/>
                    <w:right w:val="single" w:color="000000" w:sz="6" w:space="0"/>
                  </w:tcBorders>
                  <w:noWrap w:val="0"/>
                  <w:vAlign w:val="center"/>
                </w:tcPr>
                <w:p w14:paraId="1519D3F4">
                  <w:pPr>
                    <w:keepNext w:val="0"/>
                    <w:keepLines w:val="0"/>
                    <w:suppressLineNumbers w:val="0"/>
                    <w:spacing w:before="0" w:beforeAutospacing="0" w:after="0" w:afterAutospacing="0" w:line="200" w:lineRule="exact"/>
                    <w:ind w:left="0" w:right="0"/>
                    <w:jc w:val="both"/>
                    <w:rPr>
                      <w:rFonts w:hint="default" w:ascii="宋体" w:hAnsi="宋体"/>
                      <w:color w:val="auto"/>
                      <w:kern w:val="0"/>
                      <w:sz w:val="21"/>
                      <w:szCs w:val="21"/>
                      <w:highlight w:val="none"/>
                    </w:rPr>
                  </w:pPr>
                  <w:r>
                    <w:rPr>
                      <w:rFonts w:hint="eastAsia" w:ascii="宋体" w:hAnsi="宋体"/>
                      <w:color w:val="auto"/>
                      <w:kern w:val="0"/>
                      <w:sz w:val="21"/>
                      <w:szCs w:val="21"/>
                      <w:highlight w:val="none"/>
                    </w:rPr>
                    <w:t>3</w:t>
                  </w:r>
                </w:p>
              </w:tc>
              <w:tc>
                <w:tcPr>
                  <w:tcW w:w="3060" w:type="dxa"/>
                  <w:tcBorders>
                    <w:top w:val="single" w:color="000000" w:sz="6" w:space="0"/>
                    <w:left w:val="nil"/>
                    <w:bottom w:val="single" w:color="000000" w:sz="6" w:space="0"/>
                    <w:right w:val="single" w:color="000000" w:sz="6" w:space="0"/>
                  </w:tcBorders>
                  <w:noWrap w:val="0"/>
                  <w:vAlign w:val="center"/>
                </w:tcPr>
                <w:p w14:paraId="40141717">
                  <w:pPr>
                    <w:keepNext w:val="0"/>
                    <w:keepLines w:val="0"/>
                    <w:suppressLineNumbers w:val="0"/>
                    <w:spacing w:before="0" w:beforeAutospacing="0" w:after="0" w:afterAutospacing="0" w:line="243" w:lineRule="exact"/>
                    <w:ind w:left="0" w:right="0"/>
                    <w:rPr>
                      <w:rFonts w:hint="default" w:ascii="宋体" w:hAnsi="宋体"/>
                      <w:color w:val="auto"/>
                      <w:kern w:val="0"/>
                      <w:sz w:val="21"/>
                      <w:szCs w:val="21"/>
                      <w:highlight w:val="none"/>
                    </w:rPr>
                  </w:pPr>
                  <w:r>
                    <w:rPr>
                      <w:rFonts w:hint="eastAsia" w:ascii="宋体" w:hAnsi="宋体"/>
                      <w:color w:val="auto"/>
                      <w:kern w:val="0"/>
                      <w:sz w:val="21"/>
                      <w:szCs w:val="21"/>
                      <w:highlight w:val="none"/>
                    </w:rPr>
                    <w:t>应扣减承包人不修复缺陷、发包人组织修复的金额</w:t>
                  </w:r>
                </w:p>
              </w:tc>
              <w:tc>
                <w:tcPr>
                  <w:tcW w:w="1676" w:type="dxa"/>
                  <w:tcBorders>
                    <w:top w:val="single" w:color="000000" w:sz="6" w:space="0"/>
                    <w:left w:val="nil"/>
                    <w:bottom w:val="single" w:color="000000" w:sz="6" w:space="0"/>
                    <w:right w:val="single" w:color="000000" w:sz="6" w:space="0"/>
                  </w:tcBorders>
                  <w:noWrap w:val="0"/>
                  <w:vAlign w:val="center"/>
                </w:tcPr>
                <w:p w14:paraId="7DEE76EF">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1676" w:type="dxa"/>
                  <w:tcBorders>
                    <w:top w:val="single" w:color="000000" w:sz="6" w:space="0"/>
                    <w:left w:val="nil"/>
                    <w:bottom w:val="single" w:color="000000" w:sz="6" w:space="0"/>
                    <w:right w:val="single" w:color="000000" w:sz="6" w:space="0"/>
                  </w:tcBorders>
                  <w:noWrap w:val="0"/>
                  <w:vAlign w:val="center"/>
                </w:tcPr>
                <w:p w14:paraId="3429B6AB">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890" w:type="dxa"/>
                  <w:tcBorders>
                    <w:top w:val="single" w:color="000000" w:sz="6" w:space="0"/>
                    <w:left w:val="nil"/>
                    <w:bottom w:val="single" w:color="000000" w:sz="6" w:space="0"/>
                    <w:right w:val="single" w:color="000000" w:sz="6" w:space="0"/>
                  </w:tcBorders>
                  <w:noWrap w:val="0"/>
                  <w:vAlign w:val="center"/>
                </w:tcPr>
                <w:p w14:paraId="3E2333F7">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r>
            <w:tr w14:paraId="467992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6" w:hRule="atLeast"/>
                <w:jc w:val="center"/>
              </w:trPr>
              <w:tc>
                <w:tcPr>
                  <w:tcW w:w="1336" w:type="dxa"/>
                  <w:tcBorders>
                    <w:top w:val="single" w:color="000000" w:sz="6" w:space="0"/>
                    <w:left w:val="single" w:color="000000" w:sz="6" w:space="0"/>
                    <w:bottom w:val="single" w:color="000000" w:sz="6" w:space="0"/>
                    <w:right w:val="single" w:color="000000" w:sz="6" w:space="0"/>
                  </w:tcBorders>
                  <w:noWrap w:val="0"/>
                  <w:vAlign w:val="center"/>
                </w:tcPr>
                <w:p w14:paraId="05B9D703">
                  <w:pPr>
                    <w:keepNext w:val="0"/>
                    <w:keepLines w:val="0"/>
                    <w:suppressLineNumbers w:val="0"/>
                    <w:spacing w:before="0" w:beforeAutospacing="0" w:after="0" w:afterAutospacing="0" w:line="200" w:lineRule="exact"/>
                    <w:ind w:left="0" w:right="0"/>
                    <w:jc w:val="both"/>
                    <w:rPr>
                      <w:rFonts w:hint="default" w:ascii="宋体" w:hAnsi="宋体"/>
                      <w:color w:val="auto"/>
                      <w:kern w:val="0"/>
                      <w:sz w:val="21"/>
                      <w:szCs w:val="21"/>
                      <w:highlight w:val="none"/>
                    </w:rPr>
                  </w:pPr>
                  <w:r>
                    <w:rPr>
                      <w:rFonts w:hint="eastAsia" w:ascii="宋体" w:hAnsi="宋体"/>
                      <w:color w:val="auto"/>
                      <w:kern w:val="0"/>
                      <w:sz w:val="21"/>
                      <w:szCs w:val="21"/>
                      <w:highlight w:val="none"/>
                    </w:rPr>
                    <w:t>4</w:t>
                  </w:r>
                </w:p>
              </w:tc>
              <w:tc>
                <w:tcPr>
                  <w:tcW w:w="3060" w:type="dxa"/>
                  <w:tcBorders>
                    <w:top w:val="single" w:color="000000" w:sz="6" w:space="0"/>
                    <w:left w:val="nil"/>
                    <w:bottom w:val="single" w:color="000000" w:sz="6" w:space="0"/>
                    <w:right w:val="single" w:color="000000" w:sz="6" w:space="0"/>
                  </w:tcBorders>
                  <w:noWrap w:val="0"/>
                  <w:vAlign w:val="center"/>
                </w:tcPr>
                <w:p w14:paraId="7878300D">
                  <w:pPr>
                    <w:keepNext w:val="0"/>
                    <w:keepLines w:val="0"/>
                    <w:suppressLineNumbers w:val="0"/>
                    <w:spacing w:before="0" w:beforeAutospacing="0" w:after="0" w:afterAutospacing="0" w:line="243" w:lineRule="exact"/>
                    <w:ind w:left="0" w:right="0"/>
                    <w:rPr>
                      <w:rFonts w:hint="default" w:ascii="宋体" w:hAnsi="宋体"/>
                      <w:color w:val="auto"/>
                      <w:kern w:val="0"/>
                      <w:sz w:val="21"/>
                      <w:szCs w:val="21"/>
                      <w:highlight w:val="none"/>
                    </w:rPr>
                  </w:pPr>
                  <w:r>
                    <w:rPr>
                      <w:rFonts w:hint="eastAsia" w:ascii="宋体" w:hAnsi="宋体"/>
                      <w:color w:val="auto"/>
                      <w:kern w:val="0"/>
                      <w:sz w:val="21"/>
                      <w:szCs w:val="21"/>
                      <w:highlight w:val="none"/>
                    </w:rPr>
                    <w:t>最终应支付的合同价款</w:t>
                  </w:r>
                </w:p>
              </w:tc>
              <w:tc>
                <w:tcPr>
                  <w:tcW w:w="1676" w:type="dxa"/>
                  <w:tcBorders>
                    <w:top w:val="single" w:color="000000" w:sz="6" w:space="0"/>
                    <w:left w:val="nil"/>
                    <w:bottom w:val="single" w:color="000000" w:sz="6" w:space="0"/>
                    <w:right w:val="single" w:color="000000" w:sz="6" w:space="0"/>
                  </w:tcBorders>
                  <w:noWrap w:val="0"/>
                  <w:vAlign w:val="center"/>
                </w:tcPr>
                <w:p w14:paraId="48FBC744">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1676" w:type="dxa"/>
                  <w:tcBorders>
                    <w:top w:val="single" w:color="000000" w:sz="6" w:space="0"/>
                    <w:left w:val="nil"/>
                    <w:bottom w:val="single" w:color="000000" w:sz="6" w:space="0"/>
                    <w:right w:val="single" w:color="000000" w:sz="6" w:space="0"/>
                  </w:tcBorders>
                  <w:noWrap w:val="0"/>
                  <w:vAlign w:val="center"/>
                </w:tcPr>
                <w:p w14:paraId="51588230">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c>
                <w:tcPr>
                  <w:tcW w:w="890" w:type="dxa"/>
                  <w:tcBorders>
                    <w:top w:val="single" w:color="000000" w:sz="6" w:space="0"/>
                    <w:left w:val="nil"/>
                    <w:bottom w:val="single" w:color="000000" w:sz="6" w:space="0"/>
                    <w:right w:val="single" w:color="000000" w:sz="6" w:space="0"/>
                  </w:tcBorders>
                  <w:noWrap w:val="0"/>
                  <w:vAlign w:val="center"/>
                </w:tcPr>
                <w:p w14:paraId="7CBFA511">
                  <w:pPr>
                    <w:keepNext w:val="0"/>
                    <w:keepLines w:val="0"/>
                    <w:suppressLineNumbers w:val="0"/>
                    <w:spacing w:before="0" w:beforeAutospacing="0" w:after="0" w:afterAutospacing="0" w:line="200" w:lineRule="exact"/>
                    <w:ind w:left="0" w:right="0"/>
                    <w:jc w:val="center"/>
                    <w:rPr>
                      <w:rFonts w:hint="default" w:ascii="宋体" w:hAnsi="宋体"/>
                      <w:color w:val="auto"/>
                      <w:kern w:val="0"/>
                      <w:sz w:val="21"/>
                      <w:szCs w:val="21"/>
                      <w:highlight w:val="none"/>
                    </w:rPr>
                  </w:pPr>
                </w:p>
              </w:tc>
            </w:tr>
          </w:tbl>
          <w:p w14:paraId="3EC48D75">
            <w:pPr>
              <w:keepNext w:val="0"/>
              <w:keepLines w:val="0"/>
              <w:suppressLineNumbers w:val="0"/>
              <w:spacing w:before="10" w:beforeAutospacing="0" w:after="0" w:afterAutospacing="0" w:line="220" w:lineRule="exact"/>
              <w:ind w:left="0" w:right="0"/>
              <w:rPr>
                <w:rFonts w:hint="default" w:ascii="宋体" w:hAnsi="宋体"/>
                <w:color w:val="auto"/>
                <w:kern w:val="0"/>
                <w:highlight w:val="none"/>
              </w:rPr>
            </w:pPr>
          </w:p>
          <w:p w14:paraId="4B51F439">
            <w:pPr>
              <w:keepNext w:val="0"/>
              <w:keepLines w:val="0"/>
              <w:suppressLineNumbers w:val="0"/>
              <w:spacing w:before="10" w:beforeAutospacing="0" w:after="0" w:afterAutospacing="0" w:line="220" w:lineRule="exact"/>
              <w:ind w:left="0" w:right="0"/>
              <w:rPr>
                <w:rFonts w:hint="default" w:ascii="宋体" w:hAnsi="宋体"/>
                <w:color w:val="auto"/>
                <w:kern w:val="0"/>
                <w:highlight w:val="none"/>
              </w:rPr>
            </w:pPr>
            <w:r>
              <w:rPr>
                <w:rFonts w:hint="eastAsia" w:ascii="宋体" w:hAnsi="宋体"/>
                <w:color w:val="auto"/>
                <w:kern w:val="0"/>
                <w:highlight w:val="none"/>
              </w:rPr>
              <w:t>附：上述3、4详见附件清单。</w:t>
            </w:r>
          </w:p>
          <w:p w14:paraId="1DB09340">
            <w:pPr>
              <w:keepNext w:val="0"/>
              <w:keepLines w:val="0"/>
              <w:suppressLineNumbers w:val="0"/>
              <w:spacing w:before="0" w:beforeAutospacing="0" w:after="0" w:afterAutospacing="0"/>
              <w:ind w:left="0" w:right="0"/>
              <w:jc w:val="center"/>
              <w:rPr>
                <w:rFonts w:hint="default" w:ascii="宋体" w:hAnsi="宋体"/>
                <w:color w:val="auto"/>
                <w:kern w:val="0"/>
                <w:highlight w:val="none"/>
              </w:rPr>
            </w:pPr>
          </w:p>
        </w:tc>
      </w:tr>
      <w:tr w14:paraId="35A2AB82">
        <w:tblPrEx>
          <w:tblCellMar>
            <w:top w:w="0" w:type="dxa"/>
            <w:left w:w="0" w:type="dxa"/>
            <w:bottom w:w="0" w:type="dxa"/>
            <w:right w:w="0" w:type="dxa"/>
          </w:tblCellMar>
        </w:tblPrEx>
        <w:trPr>
          <w:trHeight w:val="239" w:hRule="atLeast"/>
          <w:jc w:val="center"/>
        </w:trPr>
        <w:tc>
          <w:tcPr>
            <w:tcW w:w="9602" w:type="dxa"/>
            <w:gridSpan w:val="4"/>
            <w:tcBorders>
              <w:top w:val="nil"/>
              <w:left w:val="single" w:color="000000" w:sz="4" w:space="0"/>
              <w:bottom w:val="nil"/>
              <w:right w:val="single" w:color="000000" w:sz="4" w:space="0"/>
            </w:tcBorders>
            <w:noWrap w:val="0"/>
            <w:vAlign w:val="top"/>
          </w:tcPr>
          <w:p w14:paraId="2267CB05">
            <w:pPr>
              <w:keepNext w:val="0"/>
              <w:keepLines w:val="0"/>
              <w:suppressLineNumbers w:val="0"/>
              <w:wordWrap w:val="0"/>
              <w:spacing w:before="0" w:beforeAutospacing="0" w:after="0" w:afterAutospacing="0" w:line="246" w:lineRule="exact"/>
              <w:ind w:left="0" w:right="360"/>
              <w:jc w:val="right"/>
              <w:rPr>
                <w:rFonts w:hint="default" w:ascii="宋体" w:hAnsi="宋体"/>
                <w:color w:val="auto"/>
                <w:kern w:val="0"/>
                <w:highlight w:val="none"/>
              </w:rPr>
            </w:pPr>
            <w:r>
              <w:rPr>
                <w:rFonts w:hint="eastAsia" w:ascii="宋体" w:hAnsi="宋体"/>
                <w:color w:val="auto"/>
                <w:kern w:val="0"/>
                <w:highlight w:val="none"/>
              </w:rPr>
              <w:t>承包人</w:t>
            </w:r>
            <w:r>
              <w:rPr>
                <w:rFonts w:hint="eastAsia" w:ascii="宋体" w:hAnsi="宋体"/>
                <w:color w:val="auto"/>
                <w:kern w:val="0"/>
                <w:highlight w:val="none"/>
                <w:lang w:eastAsia="zh-CN"/>
              </w:rPr>
              <w:t>（</w:t>
            </w:r>
            <w:r>
              <w:rPr>
                <w:rFonts w:hint="eastAsia" w:ascii="宋体" w:hAnsi="宋体"/>
                <w:color w:val="auto"/>
                <w:kern w:val="0"/>
                <w:highlight w:val="none"/>
              </w:rPr>
              <w:t>章</w:t>
            </w:r>
            <w:r>
              <w:rPr>
                <w:rFonts w:hint="eastAsia" w:ascii="宋体" w:hAnsi="宋体"/>
                <w:color w:val="auto"/>
                <w:kern w:val="0"/>
                <w:highlight w:val="none"/>
                <w:lang w:eastAsia="zh-CN"/>
              </w:rPr>
              <w:t>）</w:t>
            </w:r>
            <w:r>
              <w:rPr>
                <w:rFonts w:hint="eastAsia" w:ascii="宋体" w:hAnsi="宋体"/>
                <w:color w:val="auto"/>
                <w:kern w:val="0"/>
                <w:highlight w:val="none"/>
              </w:rPr>
              <w:t xml:space="preserve">           </w:t>
            </w:r>
          </w:p>
        </w:tc>
      </w:tr>
      <w:tr w14:paraId="1B9EB375">
        <w:tblPrEx>
          <w:tblCellMar>
            <w:top w:w="0" w:type="dxa"/>
            <w:left w:w="0" w:type="dxa"/>
            <w:bottom w:w="0" w:type="dxa"/>
            <w:right w:w="0" w:type="dxa"/>
          </w:tblCellMar>
        </w:tblPrEx>
        <w:trPr>
          <w:trHeight w:val="645" w:hRule="atLeast"/>
          <w:jc w:val="center"/>
        </w:trPr>
        <w:tc>
          <w:tcPr>
            <w:tcW w:w="2524" w:type="dxa"/>
            <w:tcBorders>
              <w:top w:val="nil"/>
              <w:left w:val="single" w:color="auto" w:sz="4" w:space="0"/>
              <w:bottom w:val="nil"/>
              <w:right w:val="nil"/>
            </w:tcBorders>
            <w:noWrap w:val="0"/>
            <w:vAlign w:val="top"/>
          </w:tcPr>
          <w:p w14:paraId="6D981A97">
            <w:pPr>
              <w:keepNext w:val="0"/>
              <w:keepLines w:val="0"/>
              <w:suppressLineNumbers w:val="0"/>
              <w:spacing w:before="0" w:beforeAutospacing="0" w:after="0" w:afterAutospacing="0" w:line="246" w:lineRule="exact"/>
              <w:ind w:left="0" w:right="0"/>
              <w:rPr>
                <w:rFonts w:hint="eastAsia" w:ascii="宋体" w:hAnsi="宋体"/>
                <w:color w:val="auto"/>
                <w:kern w:val="0"/>
                <w:highlight w:val="none"/>
              </w:rPr>
            </w:pPr>
          </w:p>
          <w:p w14:paraId="7303F67E">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kern w:val="0"/>
                <w:highlight w:val="none"/>
              </w:rPr>
              <w:t>编制人员</w:t>
            </w:r>
            <w:r>
              <w:rPr>
                <w:rFonts w:hint="eastAsia" w:ascii="宋体" w:hAnsi="宋体"/>
                <w:color w:val="auto"/>
                <w:kern w:val="0"/>
                <w:highlight w:val="none"/>
                <w:u w:val="single"/>
              </w:rPr>
              <w:t xml:space="preserve">            </w:t>
            </w:r>
          </w:p>
        </w:tc>
        <w:tc>
          <w:tcPr>
            <w:tcW w:w="3397" w:type="dxa"/>
            <w:gridSpan w:val="2"/>
            <w:tcBorders>
              <w:top w:val="nil"/>
              <w:left w:val="nil"/>
              <w:bottom w:val="nil"/>
              <w:right w:val="nil"/>
            </w:tcBorders>
            <w:noWrap w:val="0"/>
            <w:vAlign w:val="top"/>
          </w:tcPr>
          <w:p w14:paraId="2BDDC9AB">
            <w:pPr>
              <w:keepNext w:val="0"/>
              <w:keepLines w:val="0"/>
              <w:suppressLineNumbers w:val="0"/>
              <w:spacing w:before="0" w:beforeAutospacing="0" w:after="0" w:afterAutospacing="0" w:line="246" w:lineRule="exact"/>
              <w:ind w:left="0" w:right="0"/>
              <w:rPr>
                <w:rFonts w:hint="eastAsia" w:ascii="宋体" w:hAnsi="宋体"/>
                <w:color w:val="auto"/>
                <w:kern w:val="0"/>
                <w:highlight w:val="none"/>
              </w:rPr>
            </w:pPr>
          </w:p>
          <w:p w14:paraId="06BA9B9C">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kern w:val="0"/>
                <w:highlight w:val="none"/>
              </w:rPr>
              <w:t>承包人代表</w:t>
            </w:r>
            <w:r>
              <w:rPr>
                <w:rFonts w:hint="eastAsia" w:ascii="宋体" w:hAnsi="宋体"/>
                <w:color w:val="auto"/>
                <w:kern w:val="0"/>
                <w:highlight w:val="none"/>
                <w:u w:val="single"/>
              </w:rPr>
              <w:t xml:space="preserve">            </w:t>
            </w:r>
          </w:p>
        </w:tc>
        <w:tc>
          <w:tcPr>
            <w:tcW w:w="3681" w:type="dxa"/>
            <w:tcBorders>
              <w:top w:val="nil"/>
              <w:left w:val="nil"/>
              <w:bottom w:val="nil"/>
              <w:right w:val="single" w:color="auto" w:sz="4" w:space="0"/>
            </w:tcBorders>
            <w:noWrap w:val="0"/>
            <w:vAlign w:val="top"/>
          </w:tcPr>
          <w:p w14:paraId="5180649E">
            <w:pPr>
              <w:keepNext w:val="0"/>
              <w:keepLines w:val="0"/>
              <w:suppressLineNumbers w:val="0"/>
              <w:spacing w:before="0" w:beforeAutospacing="0" w:after="0" w:afterAutospacing="0" w:line="246" w:lineRule="exact"/>
              <w:ind w:left="0" w:right="0"/>
              <w:rPr>
                <w:rFonts w:hint="eastAsia" w:ascii="宋体" w:hAnsi="宋体"/>
                <w:color w:val="auto"/>
                <w:kern w:val="0"/>
                <w:highlight w:val="none"/>
              </w:rPr>
            </w:pPr>
          </w:p>
          <w:p w14:paraId="703F32F6">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kern w:val="0"/>
                <w:highlight w:val="none"/>
              </w:rPr>
              <w:t>日期</w:t>
            </w:r>
            <w:r>
              <w:rPr>
                <w:rFonts w:hint="eastAsia" w:ascii="宋体" w:hAnsi="宋体"/>
                <w:color w:val="auto"/>
                <w:kern w:val="0"/>
                <w:highlight w:val="none"/>
                <w:u w:val="single"/>
              </w:rPr>
              <w:t xml:space="preserve">            </w:t>
            </w:r>
          </w:p>
        </w:tc>
      </w:tr>
      <w:tr w14:paraId="13A9A6F4">
        <w:tblPrEx>
          <w:tblCellMar>
            <w:top w:w="0" w:type="dxa"/>
            <w:left w:w="0" w:type="dxa"/>
            <w:bottom w:w="0" w:type="dxa"/>
            <w:right w:w="0" w:type="dxa"/>
          </w:tblCellMar>
        </w:tblPrEx>
        <w:trPr>
          <w:trHeight w:val="479" w:hRule="atLeast"/>
          <w:jc w:val="center"/>
        </w:trPr>
        <w:tc>
          <w:tcPr>
            <w:tcW w:w="4938" w:type="dxa"/>
            <w:gridSpan w:val="2"/>
            <w:tcBorders>
              <w:top w:val="single" w:color="000000" w:sz="4" w:space="0"/>
              <w:left w:val="single" w:color="000000" w:sz="4" w:space="0"/>
              <w:bottom w:val="nil"/>
              <w:right w:val="single" w:color="000000" w:sz="4" w:space="0"/>
            </w:tcBorders>
            <w:noWrap w:val="0"/>
            <w:vAlign w:val="center"/>
          </w:tcPr>
          <w:p w14:paraId="388D4671">
            <w:pPr>
              <w:keepNext w:val="0"/>
              <w:keepLines w:val="0"/>
              <w:suppressLineNumbers w:val="0"/>
              <w:spacing w:before="0" w:beforeAutospacing="0" w:after="0" w:afterAutospacing="0"/>
              <w:ind w:left="0" w:right="0"/>
              <w:rPr>
                <w:rFonts w:hint="default" w:ascii="宋体" w:hAnsi="宋体"/>
                <w:color w:val="auto"/>
                <w:kern w:val="0"/>
                <w:highlight w:val="none"/>
              </w:rPr>
            </w:pPr>
            <w:r>
              <w:rPr>
                <w:rFonts w:hint="eastAsia" w:ascii="宋体" w:hAnsi="宋体"/>
                <w:color w:val="auto"/>
                <w:kern w:val="0"/>
                <w:highlight w:val="none"/>
              </w:rPr>
              <w:t>复核意见：</w:t>
            </w:r>
          </w:p>
        </w:tc>
        <w:tc>
          <w:tcPr>
            <w:tcW w:w="4664" w:type="dxa"/>
            <w:gridSpan w:val="2"/>
            <w:tcBorders>
              <w:top w:val="single" w:color="000000" w:sz="4" w:space="0"/>
              <w:left w:val="nil"/>
              <w:bottom w:val="nil"/>
              <w:right w:val="single" w:color="000000" w:sz="4" w:space="0"/>
            </w:tcBorders>
            <w:noWrap w:val="0"/>
            <w:vAlign w:val="center"/>
          </w:tcPr>
          <w:p w14:paraId="7B4AD61C">
            <w:pPr>
              <w:keepNext w:val="0"/>
              <w:keepLines w:val="0"/>
              <w:suppressLineNumbers w:val="0"/>
              <w:spacing w:before="0" w:beforeAutospacing="0" w:after="0" w:afterAutospacing="0"/>
              <w:ind w:left="0" w:right="0"/>
              <w:rPr>
                <w:rFonts w:hint="default" w:ascii="宋体" w:hAnsi="宋体"/>
                <w:color w:val="auto"/>
                <w:kern w:val="0"/>
                <w:highlight w:val="none"/>
              </w:rPr>
            </w:pPr>
            <w:r>
              <w:rPr>
                <w:rFonts w:hint="eastAsia" w:ascii="宋体" w:hAnsi="宋体"/>
                <w:color w:val="auto"/>
                <w:kern w:val="0"/>
                <w:highlight w:val="none"/>
              </w:rPr>
              <w:t>复核意见：</w:t>
            </w:r>
          </w:p>
        </w:tc>
      </w:tr>
      <w:tr w14:paraId="16A9088A">
        <w:tblPrEx>
          <w:tblCellMar>
            <w:top w:w="0" w:type="dxa"/>
            <w:left w:w="0" w:type="dxa"/>
            <w:bottom w:w="0" w:type="dxa"/>
            <w:right w:w="0" w:type="dxa"/>
          </w:tblCellMar>
        </w:tblPrEx>
        <w:trPr>
          <w:trHeight w:val="601" w:hRule="atLeast"/>
          <w:jc w:val="center"/>
        </w:trPr>
        <w:tc>
          <w:tcPr>
            <w:tcW w:w="4938" w:type="dxa"/>
            <w:gridSpan w:val="2"/>
            <w:tcBorders>
              <w:top w:val="nil"/>
              <w:left w:val="single" w:color="000000" w:sz="4" w:space="0"/>
              <w:bottom w:val="nil"/>
              <w:right w:val="single" w:color="000000" w:sz="4" w:space="0"/>
            </w:tcBorders>
            <w:noWrap w:val="0"/>
            <w:vAlign w:val="center"/>
          </w:tcPr>
          <w:p w14:paraId="4B154A0B">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kern w:val="0"/>
                <w:highlight w:val="none"/>
              </w:rPr>
              <w:t>□与实际施工情况不相符</w:t>
            </w:r>
            <w:r>
              <w:rPr>
                <w:rFonts w:hint="eastAsia" w:ascii="宋体" w:hAnsi="宋体"/>
                <w:color w:val="auto"/>
                <w:kern w:val="0"/>
                <w:highlight w:val="none"/>
                <w:lang w:eastAsia="zh-CN"/>
              </w:rPr>
              <w:t>，</w:t>
            </w:r>
            <w:r>
              <w:rPr>
                <w:rFonts w:hint="eastAsia" w:ascii="宋体" w:hAnsi="宋体"/>
                <w:color w:val="auto"/>
                <w:kern w:val="0"/>
                <w:highlight w:val="none"/>
              </w:rPr>
              <w:t>修改意见见附件</w:t>
            </w:r>
          </w:p>
        </w:tc>
        <w:tc>
          <w:tcPr>
            <w:tcW w:w="4664" w:type="dxa"/>
            <w:gridSpan w:val="2"/>
            <w:vMerge w:val="restart"/>
            <w:tcBorders>
              <w:top w:val="nil"/>
              <w:left w:val="nil"/>
              <w:bottom w:val="nil"/>
              <w:right w:val="single" w:color="000000" w:sz="4" w:space="0"/>
            </w:tcBorders>
            <w:noWrap w:val="0"/>
            <w:vAlign w:val="top"/>
          </w:tcPr>
          <w:p w14:paraId="7660D3D1">
            <w:pPr>
              <w:keepNext w:val="0"/>
              <w:keepLines w:val="0"/>
              <w:suppressLineNumbers w:val="0"/>
              <w:spacing w:before="0" w:beforeAutospacing="0" w:after="0" w:afterAutospacing="0" w:line="246" w:lineRule="exact"/>
              <w:ind w:left="0" w:right="0" w:firstLine="428" w:firstLineChars="200"/>
              <w:rPr>
                <w:rFonts w:hint="default" w:ascii="宋体" w:hAnsi="宋体"/>
                <w:color w:val="auto"/>
                <w:kern w:val="0"/>
                <w:highlight w:val="none"/>
              </w:rPr>
            </w:pPr>
            <w:r>
              <w:rPr>
                <w:rFonts w:hint="eastAsia" w:ascii="宋体" w:hAnsi="宋体"/>
                <w:color w:val="auto"/>
                <w:spacing w:val="2"/>
                <w:kern w:val="0"/>
                <w:highlight w:val="none"/>
              </w:rPr>
              <w:t>你方提出的支付申请经复核</w:t>
            </w:r>
            <w:r>
              <w:rPr>
                <w:rFonts w:hint="eastAsia" w:ascii="宋体" w:hAnsi="宋体"/>
                <w:color w:val="auto"/>
                <w:spacing w:val="2"/>
                <w:kern w:val="0"/>
                <w:highlight w:val="none"/>
                <w:lang w:eastAsia="zh-CN"/>
              </w:rPr>
              <w:t>，</w:t>
            </w:r>
            <w:r>
              <w:rPr>
                <w:rFonts w:hint="eastAsia" w:ascii="宋体" w:hAnsi="宋体"/>
                <w:color w:val="auto"/>
                <w:spacing w:val="2"/>
                <w:kern w:val="0"/>
                <w:highlight w:val="none"/>
              </w:rPr>
              <w:t>本期间应支付金额为（大写）</w:t>
            </w:r>
            <w:r>
              <w:rPr>
                <w:rFonts w:hint="eastAsia" w:ascii="宋体" w:hAnsi="宋体"/>
                <w:color w:val="auto"/>
                <w:spacing w:val="2"/>
                <w:kern w:val="0"/>
                <w:highlight w:val="none"/>
                <w:u w:val="single"/>
              </w:rPr>
              <w:tab/>
            </w:r>
            <w:r>
              <w:rPr>
                <w:rFonts w:hint="eastAsia" w:ascii="宋体" w:hAnsi="宋体"/>
                <w:color w:val="auto"/>
                <w:spacing w:val="2"/>
                <w:kern w:val="0"/>
                <w:highlight w:val="none"/>
                <w:u w:val="single"/>
              </w:rPr>
              <w:tab/>
            </w:r>
            <w:r>
              <w:rPr>
                <w:rFonts w:hint="eastAsia" w:ascii="宋体" w:hAnsi="宋体"/>
                <w:color w:val="auto"/>
                <w:spacing w:val="2"/>
                <w:kern w:val="0"/>
                <w:highlight w:val="none"/>
                <w:u w:val="single"/>
              </w:rPr>
              <w:t xml:space="preserve"> </w:t>
            </w:r>
            <w:r>
              <w:rPr>
                <w:rFonts w:hint="eastAsia" w:ascii="宋体" w:hAnsi="宋体"/>
                <w:color w:val="auto"/>
                <w:spacing w:val="2"/>
                <w:kern w:val="0"/>
                <w:highlight w:val="none"/>
              </w:rPr>
              <w:t>（小写</w:t>
            </w:r>
            <w:r>
              <w:rPr>
                <w:rFonts w:hint="eastAsia" w:ascii="宋体" w:hAnsi="宋体"/>
                <w:color w:val="auto"/>
                <w:spacing w:val="2"/>
                <w:kern w:val="0"/>
                <w:highlight w:val="none"/>
                <w:u w:val="single"/>
              </w:rPr>
              <w:tab/>
            </w:r>
            <w:r>
              <w:rPr>
                <w:rFonts w:hint="eastAsia" w:ascii="宋体" w:hAnsi="宋体"/>
                <w:color w:val="auto"/>
                <w:spacing w:val="2"/>
                <w:kern w:val="0"/>
                <w:highlight w:val="none"/>
                <w:u w:val="single"/>
              </w:rPr>
              <w:tab/>
            </w:r>
            <w:r>
              <w:rPr>
                <w:rFonts w:hint="eastAsia" w:ascii="宋体" w:hAnsi="宋体"/>
                <w:color w:val="auto"/>
                <w:spacing w:val="2"/>
                <w:kern w:val="0"/>
                <w:highlight w:val="none"/>
                <w:u w:val="single"/>
              </w:rPr>
              <w:t xml:space="preserve">      </w:t>
            </w:r>
            <w:r>
              <w:rPr>
                <w:rFonts w:hint="eastAsia" w:ascii="宋体" w:hAnsi="宋体"/>
                <w:color w:val="auto"/>
                <w:spacing w:val="2"/>
                <w:kern w:val="0"/>
                <w:highlight w:val="none"/>
                <w:u w:val="single"/>
              </w:rPr>
              <w:tab/>
            </w:r>
            <w:r>
              <w:rPr>
                <w:rFonts w:hint="eastAsia" w:ascii="宋体" w:hAnsi="宋体"/>
                <w:color w:val="auto"/>
                <w:spacing w:val="2"/>
                <w:kern w:val="0"/>
                <w:highlight w:val="none"/>
              </w:rPr>
              <w:t>）。</w:t>
            </w:r>
          </w:p>
        </w:tc>
      </w:tr>
      <w:tr w14:paraId="5F76E5DC">
        <w:tblPrEx>
          <w:tblCellMar>
            <w:top w:w="0" w:type="dxa"/>
            <w:left w:w="0" w:type="dxa"/>
            <w:bottom w:w="0" w:type="dxa"/>
            <w:right w:w="0" w:type="dxa"/>
          </w:tblCellMar>
        </w:tblPrEx>
        <w:trPr>
          <w:trHeight w:val="623" w:hRule="atLeast"/>
          <w:jc w:val="center"/>
        </w:trPr>
        <w:tc>
          <w:tcPr>
            <w:tcW w:w="4938" w:type="dxa"/>
            <w:gridSpan w:val="2"/>
            <w:tcBorders>
              <w:top w:val="nil"/>
              <w:left w:val="single" w:color="000000" w:sz="4" w:space="0"/>
              <w:bottom w:val="nil"/>
              <w:right w:val="single" w:color="000000" w:sz="4" w:space="0"/>
            </w:tcBorders>
            <w:noWrap w:val="0"/>
            <w:vAlign w:val="center"/>
          </w:tcPr>
          <w:p w14:paraId="68974CB3">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spacing w:val="7"/>
                <w:kern w:val="0"/>
                <w:highlight w:val="none"/>
              </w:rPr>
              <w:t>□与实际施工</w:t>
            </w:r>
            <w:r>
              <w:rPr>
                <w:rFonts w:hint="eastAsia" w:ascii="宋体" w:hAnsi="宋体"/>
                <w:color w:val="auto"/>
                <w:spacing w:val="4"/>
                <w:kern w:val="0"/>
                <w:highlight w:val="none"/>
              </w:rPr>
              <w:t>情</w:t>
            </w:r>
            <w:r>
              <w:rPr>
                <w:rFonts w:hint="eastAsia" w:ascii="宋体" w:hAnsi="宋体"/>
                <w:color w:val="auto"/>
                <w:spacing w:val="7"/>
                <w:kern w:val="0"/>
                <w:highlight w:val="none"/>
              </w:rPr>
              <w:t>况相符</w:t>
            </w:r>
            <w:r>
              <w:rPr>
                <w:rFonts w:hint="eastAsia" w:ascii="宋体" w:hAnsi="宋体"/>
                <w:color w:val="auto"/>
                <w:spacing w:val="7"/>
                <w:kern w:val="0"/>
                <w:highlight w:val="none"/>
                <w:lang w:eastAsia="zh-CN"/>
              </w:rPr>
              <w:t>，</w:t>
            </w:r>
            <w:r>
              <w:rPr>
                <w:rFonts w:hint="eastAsia" w:ascii="宋体" w:hAnsi="宋体"/>
                <w:color w:val="auto"/>
                <w:spacing w:val="4"/>
                <w:kern w:val="0"/>
                <w:highlight w:val="none"/>
              </w:rPr>
              <w:t>具体</w:t>
            </w:r>
            <w:r>
              <w:rPr>
                <w:rFonts w:hint="eastAsia" w:ascii="宋体" w:hAnsi="宋体"/>
                <w:color w:val="auto"/>
                <w:spacing w:val="7"/>
                <w:kern w:val="0"/>
                <w:highlight w:val="none"/>
              </w:rPr>
              <w:t>金额应由造价工</w:t>
            </w:r>
            <w:r>
              <w:rPr>
                <w:rFonts w:hint="eastAsia" w:ascii="宋体" w:hAnsi="宋体"/>
                <w:color w:val="auto"/>
                <w:spacing w:val="4"/>
                <w:kern w:val="0"/>
                <w:highlight w:val="none"/>
              </w:rPr>
              <w:t>程</w:t>
            </w:r>
            <w:r>
              <w:rPr>
                <w:rFonts w:hint="eastAsia" w:ascii="宋体" w:hAnsi="宋体"/>
                <w:color w:val="auto"/>
                <w:spacing w:val="7"/>
                <w:kern w:val="0"/>
                <w:highlight w:val="none"/>
              </w:rPr>
              <w:t>师</w:t>
            </w:r>
            <w:r>
              <w:rPr>
                <w:rFonts w:hint="eastAsia" w:ascii="宋体" w:hAnsi="宋体"/>
                <w:color w:val="auto"/>
                <w:kern w:val="0"/>
                <w:highlight w:val="none"/>
              </w:rPr>
              <w:t>复核</w:t>
            </w:r>
          </w:p>
        </w:tc>
        <w:tc>
          <w:tcPr>
            <w:tcW w:w="4664" w:type="dxa"/>
            <w:gridSpan w:val="2"/>
            <w:vMerge w:val="continue"/>
            <w:tcBorders>
              <w:top w:val="nil"/>
              <w:left w:val="nil"/>
              <w:bottom w:val="nil"/>
              <w:right w:val="single" w:color="000000" w:sz="4" w:space="0"/>
            </w:tcBorders>
            <w:noWrap w:val="0"/>
            <w:vAlign w:val="center"/>
          </w:tcPr>
          <w:p w14:paraId="6F2C4D47">
            <w:pPr>
              <w:keepNext w:val="0"/>
              <w:keepLines w:val="0"/>
              <w:widowControl/>
              <w:suppressLineNumbers w:val="0"/>
              <w:spacing w:before="0" w:beforeAutospacing="0" w:after="0" w:afterAutospacing="0"/>
              <w:ind w:left="0" w:right="0"/>
              <w:jc w:val="left"/>
              <w:rPr>
                <w:rFonts w:hint="default" w:ascii="宋体" w:hAnsi="宋体"/>
                <w:color w:val="auto"/>
                <w:kern w:val="0"/>
                <w:highlight w:val="none"/>
              </w:rPr>
            </w:pPr>
          </w:p>
        </w:tc>
      </w:tr>
      <w:tr w14:paraId="34FF92C9">
        <w:tblPrEx>
          <w:tblCellMar>
            <w:top w:w="0" w:type="dxa"/>
            <w:left w:w="0" w:type="dxa"/>
            <w:bottom w:w="0" w:type="dxa"/>
            <w:right w:w="0" w:type="dxa"/>
          </w:tblCellMar>
        </w:tblPrEx>
        <w:trPr>
          <w:trHeight w:val="70" w:hRule="atLeast"/>
          <w:jc w:val="center"/>
        </w:trPr>
        <w:tc>
          <w:tcPr>
            <w:tcW w:w="4938" w:type="dxa"/>
            <w:gridSpan w:val="2"/>
            <w:tcBorders>
              <w:top w:val="nil"/>
              <w:left w:val="single" w:color="000000" w:sz="4" w:space="0"/>
              <w:bottom w:val="nil"/>
              <w:right w:val="single" w:color="000000" w:sz="4" w:space="0"/>
            </w:tcBorders>
            <w:noWrap w:val="0"/>
            <w:vAlign w:val="center"/>
          </w:tcPr>
          <w:p w14:paraId="6E820ADD">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p>
        </w:tc>
        <w:tc>
          <w:tcPr>
            <w:tcW w:w="4664" w:type="dxa"/>
            <w:gridSpan w:val="2"/>
            <w:tcBorders>
              <w:top w:val="nil"/>
              <w:left w:val="nil"/>
              <w:bottom w:val="nil"/>
              <w:right w:val="single" w:color="000000" w:sz="4" w:space="0"/>
            </w:tcBorders>
            <w:noWrap w:val="0"/>
            <w:vAlign w:val="center"/>
          </w:tcPr>
          <w:p w14:paraId="048AC595">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p>
        </w:tc>
      </w:tr>
      <w:tr w14:paraId="37353A26">
        <w:tblPrEx>
          <w:tblCellMar>
            <w:top w:w="0" w:type="dxa"/>
            <w:left w:w="0" w:type="dxa"/>
            <w:bottom w:w="0" w:type="dxa"/>
            <w:right w:w="0" w:type="dxa"/>
          </w:tblCellMar>
        </w:tblPrEx>
        <w:trPr>
          <w:trHeight w:val="899" w:hRule="atLeast"/>
          <w:jc w:val="center"/>
        </w:trPr>
        <w:tc>
          <w:tcPr>
            <w:tcW w:w="4938" w:type="dxa"/>
            <w:gridSpan w:val="2"/>
            <w:tcBorders>
              <w:top w:val="nil"/>
              <w:left w:val="single" w:color="000000" w:sz="4" w:space="0"/>
              <w:bottom w:val="single" w:color="000000" w:sz="4" w:space="0"/>
              <w:right w:val="single" w:color="000000" w:sz="4" w:space="0"/>
            </w:tcBorders>
            <w:noWrap w:val="0"/>
            <w:vAlign w:val="center"/>
          </w:tcPr>
          <w:p w14:paraId="439DBA30">
            <w:pPr>
              <w:keepNext w:val="0"/>
              <w:keepLines w:val="0"/>
              <w:suppressLineNumbers w:val="0"/>
              <w:wordWrap w:val="0"/>
              <w:spacing w:before="0" w:beforeAutospacing="0" w:after="0" w:afterAutospacing="0" w:line="278" w:lineRule="auto"/>
              <w:ind w:left="0" w:right="0"/>
              <w:jc w:val="right"/>
              <w:rPr>
                <w:rFonts w:hint="default" w:ascii="宋体" w:hAnsi="宋体"/>
                <w:color w:val="auto"/>
                <w:kern w:val="0"/>
                <w:highlight w:val="none"/>
                <w:u w:val="single" w:color="000000"/>
              </w:rPr>
            </w:pPr>
            <w:r>
              <w:rPr>
                <w:rFonts w:hint="eastAsia" w:ascii="宋体" w:hAnsi="宋体"/>
                <w:color w:val="auto"/>
                <w:kern w:val="0"/>
                <w:highlight w:val="none"/>
              </w:rPr>
              <w:t>监理工程师</w:t>
            </w:r>
            <w:r>
              <w:rPr>
                <w:rFonts w:hint="eastAsia" w:ascii="宋体" w:hAnsi="宋体"/>
                <w:color w:val="auto"/>
                <w:kern w:val="0"/>
                <w:highlight w:val="none"/>
                <w:u w:val="single"/>
              </w:rPr>
              <w:t xml:space="preserve">         </w:t>
            </w:r>
          </w:p>
          <w:p w14:paraId="3986ADA7">
            <w:pPr>
              <w:keepNext w:val="0"/>
              <w:keepLines w:val="0"/>
              <w:suppressLineNumbers w:val="0"/>
              <w:wordWrap w:val="0"/>
              <w:spacing w:before="0" w:beforeAutospacing="0" w:after="0" w:afterAutospacing="0" w:line="278" w:lineRule="auto"/>
              <w:ind w:left="0" w:right="0"/>
              <w:jc w:val="right"/>
              <w:rPr>
                <w:rFonts w:hint="default" w:ascii="宋体" w:hAnsi="宋体"/>
                <w:color w:val="auto"/>
                <w:kern w:val="0"/>
                <w:highlight w:val="none"/>
              </w:rPr>
            </w:pPr>
            <w:r>
              <w:rPr>
                <w:rFonts w:hint="eastAsia" w:ascii="宋体" w:hAnsi="宋体"/>
                <w:color w:val="auto"/>
                <w:kern w:val="0"/>
                <w:highlight w:val="none"/>
              </w:rPr>
              <w:t>日期</w:t>
            </w:r>
            <w:r>
              <w:rPr>
                <w:rFonts w:hint="eastAsia" w:ascii="宋体" w:hAnsi="宋体"/>
                <w:color w:val="auto"/>
                <w:kern w:val="0"/>
                <w:highlight w:val="none"/>
                <w:u w:val="single"/>
              </w:rPr>
              <w:t xml:space="preserve">         </w:t>
            </w:r>
          </w:p>
        </w:tc>
        <w:tc>
          <w:tcPr>
            <w:tcW w:w="4664" w:type="dxa"/>
            <w:gridSpan w:val="2"/>
            <w:tcBorders>
              <w:top w:val="nil"/>
              <w:left w:val="nil"/>
              <w:bottom w:val="single" w:color="000000" w:sz="4" w:space="0"/>
              <w:right w:val="single" w:color="000000" w:sz="4" w:space="0"/>
            </w:tcBorders>
            <w:noWrap w:val="0"/>
            <w:vAlign w:val="center"/>
          </w:tcPr>
          <w:p w14:paraId="4B236FA6">
            <w:pPr>
              <w:keepNext w:val="0"/>
              <w:keepLines w:val="0"/>
              <w:suppressLineNumbers w:val="0"/>
              <w:wordWrap w:val="0"/>
              <w:spacing w:before="0" w:beforeAutospacing="0" w:after="0" w:afterAutospacing="0" w:line="278" w:lineRule="auto"/>
              <w:ind w:left="0" w:right="0"/>
              <w:jc w:val="right"/>
              <w:rPr>
                <w:rFonts w:hint="default" w:ascii="宋体" w:hAnsi="宋体"/>
                <w:color w:val="auto"/>
                <w:kern w:val="0"/>
                <w:highlight w:val="none"/>
                <w:u w:val="single" w:color="000000"/>
              </w:rPr>
            </w:pPr>
            <w:r>
              <w:rPr>
                <w:rFonts w:hint="eastAsia" w:ascii="宋体" w:hAnsi="宋体"/>
                <w:color w:val="auto"/>
                <w:kern w:val="0"/>
                <w:highlight w:val="none"/>
              </w:rPr>
              <w:t>一级注册造价工程师</w:t>
            </w:r>
            <w:r>
              <w:rPr>
                <w:rFonts w:hint="eastAsia" w:ascii="宋体" w:hAnsi="宋体"/>
                <w:color w:val="auto"/>
                <w:kern w:val="0"/>
                <w:highlight w:val="none"/>
                <w:u w:val="single"/>
              </w:rPr>
              <w:t xml:space="preserve">         </w:t>
            </w:r>
          </w:p>
          <w:p w14:paraId="23B255F5">
            <w:pPr>
              <w:keepNext w:val="0"/>
              <w:keepLines w:val="0"/>
              <w:suppressLineNumbers w:val="0"/>
              <w:wordWrap w:val="0"/>
              <w:spacing w:before="0" w:beforeAutospacing="0" w:after="0" w:afterAutospacing="0" w:line="278" w:lineRule="auto"/>
              <w:ind w:left="0" w:right="0"/>
              <w:jc w:val="right"/>
              <w:rPr>
                <w:rFonts w:hint="default" w:ascii="宋体" w:hAnsi="宋体"/>
                <w:color w:val="auto"/>
                <w:kern w:val="0"/>
                <w:highlight w:val="none"/>
              </w:rPr>
            </w:pPr>
            <w:r>
              <w:rPr>
                <w:rFonts w:hint="eastAsia" w:ascii="宋体" w:hAnsi="宋体"/>
                <w:color w:val="auto"/>
                <w:kern w:val="0"/>
                <w:highlight w:val="none"/>
              </w:rPr>
              <w:t>日期</w:t>
            </w:r>
            <w:r>
              <w:rPr>
                <w:rFonts w:hint="eastAsia" w:ascii="宋体" w:hAnsi="宋体"/>
                <w:color w:val="auto"/>
                <w:kern w:val="0"/>
                <w:highlight w:val="none"/>
                <w:u w:val="single"/>
              </w:rPr>
              <w:t xml:space="preserve">         </w:t>
            </w:r>
          </w:p>
        </w:tc>
      </w:tr>
      <w:tr w14:paraId="6B101CC8">
        <w:tblPrEx>
          <w:tblCellMar>
            <w:top w:w="0" w:type="dxa"/>
            <w:left w:w="0" w:type="dxa"/>
            <w:bottom w:w="0" w:type="dxa"/>
            <w:right w:w="0" w:type="dxa"/>
          </w:tblCellMar>
        </w:tblPrEx>
        <w:trPr>
          <w:trHeight w:val="403" w:hRule="atLeast"/>
          <w:jc w:val="center"/>
        </w:trPr>
        <w:tc>
          <w:tcPr>
            <w:tcW w:w="9602" w:type="dxa"/>
            <w:gridSpan w:val="4"/>
            <w:tcBorders>
              <w:top w:val="single" w:color="000000" w:sz="4" w:space="0"/>
              <w:left w:val="single" w:color="000000" w:sz="4" w:space="0"/>
              <w:bottom w:val="nil"/>
              <w:right w:val="single" w:color="000000" w:sz="4" w:space="0"/>
            </w:tcBorders>
            <w:noWrap w:val="0"/>
            <w:vAlign w:val="center"/>
          </w:tcPr>
          <w:p w14:paraId="44DEE441">
            <w:pPr>
              <w:keepNext w:val="0"/>
              <w:keepLines w:val="0"/>
              <w:suppressLineNumbers w:val="0"/>
              <w:spacing w:before="56" w:beforeAutospacing="0" w:after="0" w:afterAutospacing="0"/>
              <w:ind w:left="0" w:right="0"/>
              <w:rPr>
                <w:rFonts w:hint="default" w:ascii="宋体" w:hAnsi="宋体"/>
                <w:color w:val="auto"/>
                <w:kern w:val="0"/>
                <w:highlight w:val="none"/>
              </w:rPr>
            </w:pPr>
            <w:r>
              <w:rPr>
                <w:rFonts w:hint="eastAsia" w:ascii="宋体" w:hAnsi="宋体"/>
                <w:color w:val="auto"/>
                <w:kern w:val="0"/>
                <w:highlight w:val="none"/>
              </w:rPr>
              <w:t>审核意见：</w:t>
            </w:r>
          </w:p>
        </w:tc>
      </w:tr>
      <w:tr w14:paraId="70994FD4">
        <w:tblPrEx>
          <w:tblCellMar>
            <w:top w:w="0" w:type="dxa"/>
            <w:left w:w="0" w:type="dxa"/>
            <w:bottom w:w="0" w:type="dxa"/>
            <w:right w:w="0" w:type="dxa"/>
          </w:tblCellMar>
        </w:tblPrEx>
        <w:trPr>
          <w:trHeight w:val="319" w:hRule="atLeast"/>
          <w:jc w:val="center"/>
        </w:trPr>
        <w:tc>
          <w:tcPr>
            <w:tcW w:w="9602" w:type="dxa"/>
            <w:gridSpan w:val="4"/>
            <w:tcBorders>
              <w:top w:val="nil"/>
              <w:left w:val="single" w:color="000000" w:sz="4" w:space="0"/>
              <w:bottom w:val="nil"/>
              <w:right w:val="single" w:color="000000" w:sz="4" w:space="0"/>
            </w:tcBorders>
            <w:noWrap w:val="0"/>
            <w:vAlign w:val="center"/>
          </w:tcPr>
          <w:p w14:paraId="5A0F41A0">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kern w:val="0"/>
                <w:highlight w:val="none"/>
              </w:rPr>
              <w:t>□不同意</w:t>
            </w:r>
          </w:p>
        </w:tc>
      </w:tr>
      <w:tr w14:paraId="02F37395">
        <w:tblPrEx>
          <w:tblCellMar>
            <w:top w:w="0" w:type="dxa"/>
            <w:left w:w="0" w:type="dxa"/>
            <w:bottom w:w="0" w:type="dxa"/>
            <w:right w:w="0" w:type="dxa"/>
          </w:tblCellMar>
        </w:tblPrEx>
        <w:trPr>
          <w:trHeight w:val="319" w:hRule="atLeast"/>
          <w:jc w:val="center"/>
        </w:trPr>
        <w:tc>
          <w:tcPr>
            <w:tcW w:w="9602" w:type="dxa"/>
            <w:gridSpan w:val="4"/>
            <w:tcBorders>
              <w:top w:val="nil"/>
              <w:left w:val="single" w:color="000000" w:sz="4" w:space="0"/>
              <w:bottom w:val="nil"/>
              <w:right w:val="single" w:color="000000" w:sz="4" w:space="0"/>
            </w:tcBorders>
            <w:noWrap w:val="0"/>
            <w:vAlign w:val="center"/>
          </w:tcPr>
          <w:p w14:paraId="2EE0FA2F">
            <w:pPr>
              <w:keepNext w:val="0"/>
              <w:keepLines w:val="0"/>
              <w:suppressLineNumbers w:val="0"/>
              <w:spacing w:before="0" w:beforeAutospacing="0" w:after="0" w:afterAutospacing="0" w:line="246" w:lineRule="exact"/>
              <w:ind w:left="0" w:right="0"/>
              <w:rPr>
                <w:rFonts w:hint="default" w:ascii="宋体" w:hAnsi="宋体"/>
                <w:color w:val="auto"/>
                <w:kern w:val="0"/>
                <w:highlight w:val="none"/>
              </w:rPr>
            </w:pPr>
            <w:r>
              <w:rPr>
                <w:rFonts w:hint="eastAsia" w:ascii="宋体" w:hAnsi="宋体"/>
                <w:color w:val="auto"/>
                <w:kern w:val="0"/>
                <w:highlight w:val="none"/>
              </w:rPr>
              <w:t>□同意</w:t>
            </w:r>
          </w:p>
        </w:tc>
      </w:tr>
      <w:tr w14:paraId="0B64435F">
        <w:tblPrEx>
          <w:tblCellMar>
            <w:top w:w="0" w:type="dxa"/>
            <w:left w:w="0" w:type="dxa"/>
            <w:bottom w:w="0" w:type="dxa"/>
            <w:right w:w="0" w:type="dxa"/>
          </w:tblCellMar>
        </w:tblPrEx>
        <w:trPr>
          <w:trHeight w:val="319" w:hRule="atLeast"/>
          <w:jc w:val="center"/>
        </w:trPr>
        <w:tc>
          <w:tcPr>
            <w:tcW w:w="9602" w:type="dxa"/>
            <w:gridSpan w:val="4"/>
            <w:tcBorders>
              <w:top w:val="nil"/>
              <w:left w:val="single" w:color="000000" w:sz="4" w:space="0"/>
              <w:bottom w:val="nil"/>
              <w:right w:val="single" w:color="000000" w:sz="4" w:space="0"/>
            </w:tcBorders>
            <w:noWrap w:val="0"/>
            <w:vAlign w:val="top"/>
          </w:tcPr>
          <w:p w14:paraId="0894AF63">
            <w:pPr>
              <w:keepNext w:val="0"/>
              <w:keepLines w:val="0"/>
              <w:suppressLineNumbers w:val="0"/>
              <w:wordWrap w:val="0"/>
              <w:spacing w:before="0" w:beforeAutospacing="0" w:after="0" w:afterAutospacing="0" w:line="246" w:lineRule="exact"/>
              <w:ind w:left="0" w:right="360"/>
              <w:jc w:val="right"/>
              <w:rPr>
                <w:rFonts w:hint="default" w:ascii="宋体" w:hAnsi="宋体"/>
                <w:color w:val="auto"/>
                <w:kern w:val="0"/>
                <w:highlight w:val="none"/>
              </w:rPr>
            </w:pPr>
            <w:r>
              <w:rPr>
                <w:rFonts w:hint="eastAsia" w:ascii="宋体" w:hAnsi="宋体"/>
                <w:color w:val="auto"/>
                <w:kern w:val="0"/>
                <w:highlight w:val="none"/>
              </w:rPr>
              <w:t xml:space="preserve">发包人（章）     </w:t>
            </w:r>
          </w:p>
        </w:tc>
      </w:tr>
      <w:tr w14:paraId="18D1C7F6">
        <w:tblPrEx>
          <w:tblCellMar>
            <w:top w:w="0" w:type="dxa"/>
            <w:left w:w="0" w:type="dxa"/>
            <w:bottom w:w="0" w:type="dxa"/>
            <w:right w:w="0" w:type="dxa"/>
          </w:tblCellMar>
        </w:tblPrEx>
        <w:trPr>
          <w:trHeight w:val="319" w:hRule="atLeast"/>
          <w:jc w:val="center"/>
        </w:trPr>
        <w:tc>
          <w:tcPr>
            <w:tcW w:w="9602" w:type="dxa"/>
            <w:gridSpan w:val="4"/>
            <w:tcBorders>
              <w:top w:val="nil"/>
              <w:left w:val="single" w:color="000000" w:sz="4" w:space="0"/>
              <w:bottom w:val="nil"/>
              <w:right w:val="single" w:color="000000" w:sz="4" w:space="0"/>
            </w:tcBorders>
            <w:noWrap w:val="0"/>
            <w:vAlign w:val="top"/>
          </w:tcPr>
          <w:p w14:paraId="6D602526">
            <w:pPr>
              <w:keepNext w:val="0"/>
              <w:keepLines w:val="0"/>
              <w:suppressLineNumbers w:val="0"/>
              <w:spacing w:before="0" w:beforeAutospacing="0" w:after="0" w:afterAutospacing="0" w:line="246" w:lineRule="exact"/>
              <w:ind w:left="0" w:right="0"/>
              <w:jc w:val="right"/>
              <w:rPr>
                <w:rFonts w:hint="default" w:ascii="宋体" w:hAnsi="宋体"/>
                <w:color w:val="auto"/>
                <w:kern w:val="0"/>
                <w:highlight w:val="none"/>
              </w:rPr>
            </w:pPr>
            <w:r>
              <w:rPr>
                <w:rFonts w:hint="eastAsia" w:ascii="宋体" w:hAnsi="宋体"/>
                <w:color w:val="auto"/>
                <w:kern w:val="0"/>
                <w:highlight w:val="none"/>
              </w:rPr>
              <w:t>发包人代表</w:t>
            </w:r>
            <w:r>
              <w:rPr>
                <w:rFonts w:hint="eastAsia" w:ascii="宋体" w:hAnsi="宋体"/>
                <w:color w:val="auto"/>
                <w:kern w:val="0"/>
                <w:highlight w:val="none"/>
                <w:u w:val="single"/>
              </w:rPr>
              <w:tab/>
            </w:r>
            <w:r>
              <w:rPr>
                <w:rFonts w:hint="eastAsia" w:ascii="宋体" w:hAnsi="宋体"/>
                <w:color w:val="auto"/>
                <w:kern w:val="0"/>
                <w:highlight w:val="none"/>
                <w:u w:val="single"/>
              </w:rPr>
              <w:t xml:space="preserve">    </w:t>
            </w:r>
            <w:r>
              <w:rPr>
                <w:rFonts w:hint="eastAsia" w:ascii="宋体" w:hAnsi="宋体"/>
                <w:color w:val="auto"/>
                <w:kern w:val="0"/>
                <w:highlight w:val="none"/>
                <w:u w:val="single" w:color="000000"/>
              </w:rPr>
              <w:tab/>
            </w:r>
          </w:p>
        </w:tc>
      </w:tr>
      <w:tr w14:paraId="6B8AAF21">
        <w:tblPrEx>
          <w:tblCellMar>
            <w:top w:w="0" w:type="dxa"/>
            <w:left w:w="0" w:type="dxa"/>
            <w:bottom w:w="0" w:type="dxa"/>
            <w:right w:w="0" w:type="dxa"/>
          </w:tblCellMar>
        </w:tblPrEx>
        <w:trPr>
          <w:trHeight w:val="489" w:hRule="atLeast"/>
          <w:jc w:val="center"/>
        </w:trPr>
        <w:tc>
          <w:tcPr>
            <w:tcW w:w="9602" w:type="dxa"/>
            <w:gridSpan w:val="4"/>
            <w:tcBorders>
              <w:top w:val="nil"/>
              <w:left w:val="single" w:color="000000" w:sz="4" w:space="0"/>
              <w:bottom w:val="single" w:color="000000" w:sz="4" w:space="0"/>
              <w:right w:val="single" w:color="000000" w:sz="4" w:space="0"/>
            </w:tcBorders>
            <w:noWrap w:val="0"/>
            <w:vAlign w:val="top"/>
          </w:tcPr>
          <w:p w14:paraId="20DC0038">
            <w:pPr>
              <w:keepNext w:val="0"/>
              <w:keepLines w:val="0"/>
              <w:suppressLineNumbers w:val="0"/>
              <w:wordWrap w:val="0"/>
              <w:spacing w:before="0" w:beforeAutospacing="0" w:after="0" w:afterAutospacing="0" w:line="246" w:lineRule="exact"/>
              <w:ind w:left="0" w:right="0"/>
              <w:jc w:val="right"/>
              <w:rPr>
                <w:rFonts w:hint="default" w:ascii="宋体" w:hAnsi="宋体"/>
                <w:color w:val="auto"/>
                <w:kern w:val="0"/>
                <w:highlight w:val="none"/>
              </w:rPr>
            </w:pPr>
            <w:r>
              <w:rPr>
                <w:rFonts w:hint="eastAsia" w:ascii="宋体" w:hAnsi="宋体"/>
                <w:color w:val="auto"/>
                <w:kern w:val="0"/>
                <w:highlight w:val="none"/>
              </w:rPr>
              <w:t>日期</w:t>
            </w:r>
            <w:r>
              <w:rPr>
                <w:rFonts w:hint="eastAsia" w:ascii="宋体" w:hAnsi="宋体"/>
                <w:color w:val="auto"/>
                <w:kern w:val="0"/>
                <w:highlight w:val="none"/>
                <w:u w:val="single" w:color="000000"/>
              </w:rPr>
              <w:tab/>
            </w:r>
            <w:r>
              <w:rPr>
                <w:rFonts w:hint="eastAsia" w:ascii="宋体" w:hAnsi="宋体"/>
                <w:color w:val="auto"/>
                <w:kern w:val="0"/>
                <w:highlight w:val="none"/>
                <w:u w:val="single" w:color="000000"/>
              </w:rPr>
              <w:t xml:space="preserve">      </w:t>
            </w:r>
          </w:p>
        </w:tc>
      </w:tr>
    </w:tbl>
    <w:p w14:paraId="1C1F7AD6">
      <w:pPr>
        <w:spacing w:line="243" w:lineRule="exact"/>
        <w:ind w:firstLine="0" w:firstLineChars="0"/>
        <w:rPr>
          <w:rFonts w:ascii="宋体" w:hAnsi="宋体"/>
          <w:color w:val="auto"/>
          <w:sz w:val="18"/>
          <w:szCs w:val="18"/>
          <w:highlight w:val="none"/>
        </w:rPr>
      </w:pPr>
      <w:r>
        <w:rPr>
          <w:rFonts w:hint="eastAsia" w:ascii="宋体" w:hAnsi="宋体"/>
          <w:color w:val="auto"/>
          <w:sz w:val="18"/>
          <w:szCs w:val="18"/>
          <w:highlight w:val="none"/>
        </w:rPr>
        <w:t>注：</w:t>
      </w:r>
      <w:r>
        <w:rPr>
          <w:rFonts w:hint="eastAsia" w:ascii="宋体" w:hAnsi="宋体"/>
          <w:color w:val="auto"/>
          <w:spacing w:val="1"/>
          <w:sz w:val="18"/>
          <w:szCs w:val="18"/>
          <w:highlight w:val="none"/>
        </w:rPr>
        <w:t>1  应</w:t>
      </w:r>
      <w:r>
        <w:rPr>
          <w:rFonts w:hint="eastAsia" w:ascii="宋体" w:hAnsi="宋体"/>
          <w:color w:val="auto"/>
          <w:sz w:val="18"/>
          <w:szCs w:val="18"/>
          <w:highlight w:val="none"/>
        </w:rPr>
        <w:t>在选择栏中的</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内作标识</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pacing w:val="-92"/>
          <w:sz w:val="18"/>
          <w:szCs w:val="18"/>
          <w:highlight w:val="none"/>
          <w:lang w:eastAsia="zh-CN"/>
        </w:rPr>
        <w:t>”</w:t>
      </w:r>
      <w:r>
        <w:rPr>
          <w:rFonts w:hint="eastAsia" w:ascii="宋体" w:hAnsi="宋体"/>
          <w:color w:val="auto"/>
          <w:sz w:val="18"/>
          <w:szCs w:val="18"/>
          <w:highlight w:val="none"/>
        </w:rPr>
        <w:t>。如监理人已退场</w:t>
      </w:r>
      <w:r>
        <w:rPr>
          <w:rFonts w:hint="eastAsia" w:ascii="宋体" w:hAnsi="宋体"/>
          <w:color w:val="auto"/>
          <w:sz w:val="18"/>
          <w:szCs w:val="18"/>
          <w:highlight w:val="none"/>
          <w:lang w:eastAsia="zh-CN"/>
        </w:rPr>
        <w:t>，</w:t>
      </w:r>
      <w:r>
        <w:rPr>
          <w:rFonts w:hint="eastAsia" w:ascii="宋体" w:hAnsi="宋体"/>
          <w:color w:val="auto"/>
          <w:sz w:val="18"/>
          <w:szCs w:val="18"/>
          <w:highlight w:val="none"/>
        </w:rPr>
        <w:t>监理工程师栏可空缺；</w:t>
      </w:r>
    </w:p>
    <w:p w14:paraId="5D55734F">
      <w:pPr>
        <w:spacing w:before="46"/>
        <w:ind w:firstLine="364" w:firstLineChars="200"/>
        <w:jc w:val="left"/>
        <w:rPr>
          <w:rFonts w:hint="eastAsia" w:ascii="宋体" w:hAnsi="宋体"/>
          <w:color w:val="auto"/>
          <w:sz w:val="18"/>
          <w:szCs w:val="18"/>
          <w:highlight w:val="none"/>
        </w:rPr>
      </w:pPr>
      <w:r>
        <w:rPr>
          <w:rFonts w:hint="eastAsia" w:ascii="宋体" w:hAnsi="宋体"/>
          <w:color w:val="auto"/>
          <w:spacing w:val="1"/>
          <w:sz w:val="18"/>
          <w:szCs w:val="18"/>
          <w:highlight w:val="none"/>
        </w:rPr>
        <w:t xml:space="preserve">2  </w:t>
      </w:r>
      <w:r>
        <w:rPr>
          <w:rFonts w:hint="eastAsia" w:ascii="宋体" w:hAnsi="宋体"/>
          <w:color w:val="auto"/>
          <w:sz w:val="18"/>
          <w:szCs w:val="18"/>
          <w:highlight w:val="none"/>
        </w:rPr>
        <w:t>本表一式四份</w:t>
      </w:r>
      <w:r>
        <w:rPr>
          <w:rFonts w:hint="eastAsia" w:ascii="宋体" w:hAnsi="宋体"/>
          <w:color w:val="auto"/>
          <w:sz w:val="18"/>
          <w:szCs w:val="18"/>
          <w:highlight w:val="none"/>
          <w:lang w:eastAsia="zh-CN"/>
        </w:rPr>
        <w:t>，</w:t>
      </w:r>
      <w:r>
        <w:rPr>
          <w:rFonts w:hint="eastAsia" w:ascii="宋体" w:hAnsi="宋体"/>
          <w:color w:val="auto"/>
          <w:sz w:val="18"/>
          <w:szCs w:val="18"/>
          <w:highlight w:val="none"/>
        </w:rPr>
        <w:t>应由承包人填报</w:t>
      </w:r>
      <w:r>
        <w:rPr>
          <w:rFonts w:hint="eastAsia" w:ascii="宋体" w:hAnsi="宋体"/>
          <w:color w:val="auto"/>
          <w:sz w:val="18"/>
          <w:szCs w:val="18"/>
          <w:highlight w:val="none"/>
          <w:lang w:eastAsia="zh-CN"/>
        </w:rPr>
        <w:t>，</w:t>
      </w:r>
      <w:r>
        <w:rPr>
          <w:rFonts w:hint="eastAsia" w:ascii="宋体" w:hAnsi="宋体"/>
          <w:color w:val="auto"/>
          <w:sz w:val="18"/>
          <w:szCs w:val="18"/>
          <w:highlight w:val="none"/>
        </w:rPr>
        <w:t>发包人、监理人、工程造价咨询人、承包人各存一份；</w:t>
      </w:r>
    </w:p>
    <w:p w14:paraId="204FED28">
      <w:pPr>
        <w:spacing w:before="46" w:beforeLines="0"/>
        <w:ind w:left="0" w:firstLine="364" w:firstLineChars="200"/>
        <w:rPr>
          <w:rFonts w:ascii="宋体"/>
          <w:color w:val="auto"/>
          <w:sz w:val="30"/>
          <w:szCs w:val="30"/>
          <w:highlight w:val="none"/>
        </w:rPr>
      </w:pPr>
      <w:r>
        <w:rPr>
          <w:rFonts w:hint="eastAsia" w:ascii="宋体" w:hAnsi="宋体"/>
          <w:color w:val="auto"/>
          <w:spacing w:val="1"/>
          <w:sz w:val="18"/>
          <w:szCs w:val="18"/>
          <w:highlight w:val="none"/>
        </w:rPr>
        <w:t xml:space="preserve">3  </w:t>
      </w:r>
      <w:r>
        <w:rPr>
          <w:rFonts w:hint="eastAsia" w:ascii="宋体" w:hAnsi="宋体"/>
          <w:color w:val="auto"/>
          <w:sz w:val="18"/>
          <w:szCs w:val="18"/>
          <w:highlight w:val="none"/>
        </w:rPr>
        <w:t>编制人员、一级注册造价工程师应签字和盖章</w:t>
      </w:r>
      <w:r>
        <w:rPr>
          <w:rFonts w:hint="eastAsia" w:ascii="宋体" w:hAnsi="宋体"/>
          <w:color w:val="auto"/>
          <w:sz w:val="18"/>
          <w:szCs w:val="18"/>
          <w:highlight w:val="none"/>
          <w:lang w:eastAsia="zh-CN"/>
        </w:rPr>
        <w:t>，</w:t>
      </w:r>
      <w:r>
        <w:rPr>
          <w:rFonts w:hint="eastAsia" w:ascii="宋体" w:hAnsi="宋体"/>
          <w:color w:val="auto"/>
          <w:sz w:val="18"/>
          <w:szCs w:val="18"/>
          <w:highlight w:val="none"/>
        </w:rPr>
        <w:t>承包人代表、监理工程师、发包人代表应签字或盖章。</w:t>
      </w:r>
    </w:p>
    <w:p w14:paraId="62DFCC4E">
      <w:pPr>
        <w:spacing w:before="46" w:beforeLines="0"/>
        <w:ind w:left="0" w:firstLine="300" w:firstLineChars="100"/>
        <w:rPr>
          <w:rFonts w:ascii="宋体"/>
          <w:color w:val="auto"/>
          <w:sz w:val="30"/>
          <w:szCs w:val="30"/>
          <w:highlight w:val="none"/>
        </w:rPr>
      </w:pPr>
    </w:p>
    <w:p w14:paraId="12A98E6A">
      <w:pPr>
        <w:spacing w:before="46" w:beforeLines="0"/>
        <w:ind w:left="0" w:firstLine="300" w:firstLineChars="100"/>
        <w:rPr>
          <w:rFonts w:ascii="宋体"/>
          <w:color w:val="auto"/>
          <w:sz w:val="30"/>
          <w:szCs w:val="30"/>
          <w:highlight w:val="none"/>
        </w:rPr>
      </w:pPr>
    </w:p>
    <w:p w14:paraId="7FAD64C4">
      <w:pPr>
        <w:pStyle w:val="5"/>
        <w:jc w:val="both"/>
        <w:rPr>
          <w:rFonts w:hint="eastAsia"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rPr>
        <w:t>附件14：进度款支付分解表</w:t>
      </w:r>
    </w:p>
    <w:p w14:paraId="67798002">
      <w:pPr>
        <w:ind w:firstLine="0" w:firstLineChars="0"/>
        <w:jc w:val="center"/>
        <w:outlineLvl w:val="9"/>
        <w:rPr>
          <w:rFonts w:ascii="宋体" w:hAnsi="宋体"/>
          <w:b/>
          <w:color w:val="auto"/>
          <w:kern w:val="2"/>
          <w:sz w:val="30"/>
          <w:szCs w:val="30"/>
          <w:highlight w:val="none"/>
          <w:lang w:val="en"/>
        </w:rPr>
      </w:pPr>
      <w:r>
        <w:rPr>
          <w:rFonts w:hint="default" w:ascii="宋体" w:hAnsi="宋体"/>
          <w:b/>
          <w:color w:val="auto"/>
          <w:sz w:val="30"/>
          <w:szCs w:val="30"/>
          <w:highlight w:val="none"/>
          <w:lang w:val="en"/>
        </w:rPr>
        <w:t>进度款支付分解表</w:t>
      </w:r>
      <w:r>
        <w:rPr>
          <w:rFonts w:hint="default" w:ascii="宋体" w:hAnsi="宋体"/>
          <w:b/>
          <w:color w:val="auto"/>
          <w:sz w:val="30"/>
          <w:szCs w:val="30"/>
          <w:highlight w:val="none"/>
          <w:lang w:val="en" w:eastAsia="zh-CN"/>
        </w:rPr>
        <w:t>（适用于</w:t>
      </w:r>
      <w:r>
        <w:rPr>
          <w:rFonts w:hint="default" w:ascii="宋体" w:hAnsi="宋体"/>
          <w:b/>
          <w:color w:val="auto"/>
          <w:sz w:val="30"/>
          <w:szCs w:val="30"/>
          <w:highlight w:val="none"/>
          <w:lang w:val="en"/>
        </w:rPr>
        <w:t>总价合同</w:t>
      </w:r>
      <w:r>
        <w:rPr>
          <w:rFonts w:hint="default" w:ascii="宋体" w:hAnsi="宋体"/>
          <w:b/>
          <w:color w:val="auto"/>
          <w:sz w:val="30"/>
          <w:szCs w:val="30"/>
          <w:highlight w:val="none"/>
          <w:lang w:val="en" w:eastAsia="zh-CN"/>
        </w:rPr>
        <w:t>）</w:t>
      </w:r>
    </w:p>
    <w:p w14:paraId="001BB9EF">
      <w:pPr>
        <w:spacing w:line="360" w:lineRule="auto"/>
        <w:rPr>
          <w:rFonts w:hint="eastAsia" w:ascii="宋体" w:hAnsi="宋体" w:cs="宋体"/>
          <w:color w:val="auto"/>
          <w:kern w:val="0"/>
          <w:highlight w:val="none"/>
        </w:rPr>
      </w:pPr>
      <w:r>
        <w:rPr>
          <w:rFonts w:hint="eastAsia" w:ascii="宋体" w:hAnsi="宋体" w:cs="宋体"/>
          <w:color w:val="auto"/>
          <w:kern w:val="0"/>
          <w:highlight w:val="none"/>
        </w:rPr>
        <w:t>工程名称：</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3119"/>
        <w:gridCol w:w="675"/>
        <w:gridCol w:w="2268"/>
        <w:gridCol w:w="1276"/>
      </w:tblGrid>
      <w:tr w14:paraId="141B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55A0832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进度款期次</w:t>
            </w:r>
          </w:p>
        </w:tc>
        <w:tc>
          <w:tcPr>
            <w:tcW w:w="3794" w:type="dxa"/>
            <w:gridSpan w:val="2"/>
            <w:noWrap w:val="0"/>
            <w:vAlign w:val="top"/>
          </w:tcPr>
          <w:p w14:paraId="051CD1E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形象进度</w:t>
            </w:r>
          </w:p>
        </w:tc>
        <w:tc>
          <w:tcPr>
            <w:tcW w:w="2268" w:type="dxa"/>
            <w:noWrap w:val="0"/>
            <w:vAlign w:val="top"/>
          </w:tcPr>
          <w:p w14:paraId="3CEB8A3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进度款付款金额（元）</w:t>
            </w:r>
          </w:p>
        </w:tc>
        <w:tc>
          <w:tcPr>
            <w:tcW w:w="1276" w:type="dxa"/>
            <w:noWrap w:val="0"/>
            <w:vAlign w:val="top"/>
          </w:tcPr>
          <w:p w14:paraId="4C02614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备注</w:t>
            </w:r>
          </w:p>
        </w:tc>
      </w:tr>
      <w:tr w14:paraId="6418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4D2E6A1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第一期</w:t>
            </w:r>
          </w:p>
        </w:tc>
        <w:tc>
          <w:tcPr>
            <w:tcW w:w="3794" w:type="dxa"/>
            <w:gridSpan w:val="2"/>
            <w:noWrap w:val="0"/>
            <w:vAlign w:val="top"/>
          </w:tcPr>
          <w:p w14:paraId="159A9CE1">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2268" w:type="dxa"/>
            <w:noWrap w:val="0"/>
            <w:vAlign w:val="top"/>
          </w:tcPr>
          <w:p w14:paraId="62E92D8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1276" w:type="dxa"/>
            <w:noWrap w:val="0"/>
            <w:vAlign w:val="top"/>
          </w:tcPr>
          <w:p w14:paraId="50D3CD4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r>
      <w:tr w14:paraId="7C00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5601DD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第二期</w:t>
            </w:r>
          </w:p>
        </w:tc>
        <w:tc>
          <w:tcPr>
            <w:tcW w:w="3794" w:type="dxa"/>
            <w:gridSpan w:val="2"/>
            <w:noWrap w:val="0"/>
            <w:vAlign w:val="top"/>
          </w:tcPr>
          <w:p w14:paraId="1AF2180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2268" w:type="dxa"/>
            <w:noWrap w:val="0"/>
            <w:vAlign w:val="top"/>
          </w:tcPr>
          <w:p w14:paraId="44C02272">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1276" w:type="dxa"/>
            <w:noWrap w:val="0"/>
            <w:vAlign w:val="top"/>
          </w:tcPr>
          <w:p w14:paraId="0A7801B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r>
      <w:tr w14:paraId="2B025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040C09C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第三期</w:t>
            </w:r>
          </w:p>
        </w:tc>
        <w:tc>
          <w:tcPr>
            <w:tcW w:w="3794" w:type="dxa"/>
            <w:gridSpan w:val="2"/>
            <w:noWrap w:val="0"/>
            <w:vAlign w:val="top"/>
          </w:tcPr>
          <w:p w14:paraId="5BF6CDE4">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2268" w:type="dxa"/>
            <w:noWrap w:val="0"/>
            <w:vAlign w:val="top"/>
          </w:tcPr>
          <w:p w14:paraId="4D92AF45">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1276" w:type="dxa"/>
            <w:noWrap w:val="0"/>
            <w:vAlign w:val="top"/>
          </w:tcPr>
          <w:p w14:paraId="7BAB931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r>
      <w:tr w14:paraId="5E75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noWrap w:val="0"/>
            <w:vAlign w:val="top"/>
          </w:tcPr>
          <w:p w14:paraId="24A9556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r>
              <w:rPr>
                <w:rFonts w:hint="default" w:ascii="宋体" w:hAnsi="宋体" w:eastAsia="宋体" w:cs="宋体"/>
                <w:color w:val="auto"/>
                <w:kern w:val="0"/>
                <w:highlight w:val="none"/>
              </w:rPr>
              <w:t>……</w:t>
            </w:r>
          </w:p>
        </w:tc>
        <w:tc>
          <w:tcPr>
            <w:tcW w:w="3794" w:type="dxa"/>
            <w:gridSpan w:val="2"/>
            <w:noWrap w:val="0"/>
            <w:vAlign w:val="top"/>
          </w:tcPr>
          <w:p w14:paraId="1AC1B65F">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2268" w:type="dxa"/>
            <w:noWrap w:val="0"/>
            <w:vAlign w:val="top"/>
          </w:tcPr>
          <w:p w14:paraId="7AE9EF4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c>
          <w:tcPr>
            <w:tcW w:w="1276" w:type="dxa"/>
            <w:noWrap w:val="0"/>
            <w:vAlign w:val="top"/>
          </w:tcPr>
          <w:p w14:paraId="1385E25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kern w:val="0"/>
                <w:highlight w:val="none"/>
              </w:rPr>
            </w:pPr>
          </w:p>
        </w:tc>
      </w:tr>
      <w:tr w14:paraId="0D82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trPr>
        <w:tc>
          <w:tcPr>
            <w:tcW w:w="4536" w:type="dxa"/>
            <w:gridSpan w:val="2"/>
            <w:noWrap w:val="0"/>
            <w:vAlign w:val="top"/>
          </w:tcPr>
          <w:p w14:paraId="5DC9F1CD">
            <w:pPr>
              <w:keepNext w:val="0"/>
              <w:keepLines w:val="0"/>
              <w:suppressLineNumbers w:val="0"/>
              <w:spacing w:before="0" w:beforeAutospacing="0" w:after="0" w:afterAutospacing="0" w:line="360" w:lineRule="exact"/>
              <w:ind w:left="0" w:right="0" w:firstLine="435"/>
              <w:jc w:val="right"/>
              <w:rPr>
                <w:rFonts w:hint="eastAsia" w:ascii="Calibri" w:hAnsi="Calibri" w:eastAsia="宋体" w:cs="Times New Roman"/>
                <w:color w:val="auto"/>
                <w:highlight w:val="none"/>
              </w:rPr>
            </w:pPr>
          </w:p>
          <w:p w14:paraId="0662E6E0">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p>
          <w:p w14:paraId="557EB007">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发包人代表签字：</w:t>
            </w:r>
          </w:p>
          <w:p w14:paraId="5E903557">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p>
          <w:p w14:paraId="6BFB98DB">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发包人（盖公章）</w:t>
            </w:r>
          </w:p>
          <w:p w14:paraId="12420A86">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p>
          <w:p w14:paraId="47E7FBEC">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u w:val="single"/>
              </w:rPr>
            </w:pPr>
            <w:r>
              <w:rPr>
                <w:rFonts w:hint="default" w:ascii="Calibri" w:hAnsi="Calibri" w:eastAsia="宋体" w:cs="Times New Roman"/>
                <w:color w:val="auto"/>
                <w:highlight w:val="none"/>
              </w:rPr>
              <w:t xml:space="preserve">    </w:t>
            </w:r>
            <w:r>
              <w:rPr>
                <w:rFonts w:hint="eastAsia" w:ascii="Calibri" w:hAnsi="Calibri" w:eastAsia="宋体" w:cs="Times New Roman"/>
                <w:color w:val="auto"/>
                <w:highlight w:val="none"/>
              </w:rPr>
              <w:t xml:space="preserve">    日      期        </w:t>
            </w:r>
            <w:r>
              <w:rPr>
                <w:rFonts w:hint="eastAsia" w:ascii="Calibri" w:hAnsi="Calibri" w:eastAsia="宋体" w:cs="Times New Roman"/>
                <w:color w:val="auto"/>
                <w:highlight w:val="none"/>
                <w:u w:val="single"/>
              </w:rPr>
              <w:t xml:space="preserve">   </w:t>
            </w:r>
          </w:p>
        </w:tc>
        <w:tc>
          <w:tcPr>
            <w:tcW w:w="4219" w:type="dxa"/>
            <w:gridSpan w:val="3"/>
            <w:noWrap w:val="0"/>
            <w:vAlign w:val="top"/>
          </w:tcPr>
          <w:p w14:paraId="772BBEC9">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p>
          <w:p w14:paraId="0AD442CC">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u w:val="single"/>
              </w:rPr>
            </w:pPr>
          </w:p>
          <w:p w14:paraId="11BB0B5B">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承包人代表签字：</w:t>
            </w:r>
          </w:p>
          <w:p w14:paraId="0265D68A">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p>
          <w:p w14:paraId="638E87F5">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r>
              <w:rPr>
                <w:rFonts w:hint="eastAsia" w:ascii="Calibri" w:hAnsi="Calibri" w:eastAsia="宋体" w:cs="Times New Roman"/>
                <w:color w:val="auto"/>
                <w:highlight w:val="none"/>
              </w:rPr>
              <w:t>承包人（盖公章）</w:t>
            </w:r>
          </w:p>
          <w:p w14:paraId="4891357F">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rPr>
            </w:pPr>
          </w:p>
          <w:p w14:paraId="70B1736D">
            <w:pPr>
              <w:keepNext w:val="0"/>
              <w:keepLines w:val="0"/>
              <w:suppressLineNumbers w:val="0"/>
              <w:spacing w:before="0" w:beforeAutospacing="0" w:after="0" w:afterAutospacing="0" w:line="360" w:lineRule="exact"/>
              <w:ind w:left="0" w:right="0" w:firstLine="435"/>
              <w:jc w:val="center"/>
              <w:rPr>
                <w:rFonts w:hint="eastAsia" w:ascii="Calibri" w:hAnsi="Calibri" w:eastAsia="宋体" w:cs="Times New Roman"/>
                <w:color w:val="auto"/>
                <w:highlight w:val="none"/>
                <w:u w:val="single"/>
              </w:rPr>
            </w:pPr>
            <w:r>
              <w:rPr>
                <w:rFonts w:hint="default" w:ascii="Calibri" w:hAnsi="Calibri" w:eastAsia="宋体" w:cs="Times New Roman"/>
                <w:color w:val="auto"/>
                <w:highlight w:val="none"/>
              </w:rPr>
              <w:t xml:space="preserve">    </w:t>
            </w:r>
            <w:r>
              <w:rPr>
                <w:rFonts w:hint="eastAsia" w:ascii="Calibri" w:hAnsi="Calibri" w:eastAsia="宋体" w:cs="Times New Roman"/>
                <w:color w:val="auto"/>
                <w:highlight w:val="none"/>
              </w:rPr>
              <w:t xml:space="preserve">    日      期</w:t>
            </w:r>
            <w:r>
              <w:rPr>
                <w:rFonts w:hint="eastAsia" w:ascii="Calibri" w:hAnsi="Calibri" w:eastAsia="宋体" w:cs="Times New Roman"/>
                <w:color w:val="auto"/>
                <w:highlight w:val="none"/>
                <w:u w:val="single"/>
              </w:rPr>
              <w:t xml:space="preserve">        </w:t>
            </w:r>
          </w:p>
        </w:tc>
      </w:tr>
    </w:tbl>
    <w:p w14:paraId="5E2ACE9F">
      <w:pPr>
        <w:spacing w:line="360" w:lineRule="auto"/>
        <w:rPr>
          <w:rFonts w:ascii="宋体"/>
          <w:color w:val="auto"/>
          <w:highlight w:val="none"/>
        </w:rPr>
      </w:pPr>
    </w:p>
    <w:p w14:paraId="21720EBE">
      <w:pPr>
        <w:spacing w:line="360" w:lineRule="auto"/>
        <w:rPr>
          <w:rFonts w:ascii="宋体"/>
          <w:color w:val="auto"/>
          <w:highlight w:val="none"/>
        </w:rPr>
      </w:pPr>
    </w:p>
    <w:p w14:paraId="58A7055E">
      <w:pPr>
        <w:spacing w:line="360" w:lineRule="auto"/>
        <w:rPr>
          <w:rFonts w:ascii="宋体"/>
          <w:color w:val="auto"/>
          <w:highlight w:val="none"/>
        </w:rPr>
      </w:pPr>
    </w:p>
    <w:p w14:paraId="77724A5F">
      <w:pPr>
        <w:spacing w:line="360" w:lineRule="auto"/>
        <w:rPr>
          <w:rFonts w:ascii="宋体"/>
          <w:color w:val="auto"/>
          <w:highlight w:val="none"/>
        </w:rPr>
      </w:pPr>
    </w:p>
    <w:p w14:paraId="49AB8B27">
      <w:pPr>
        <w:spacing w:line="360" w:lineRule="auto"/>
        <w:rPr>
          <w:rFonts w:ascii="宋体"/>
          <w:color w:val="auto"/>
          <w:highlight w:val="none"/>
        </w:rPr>
      </w:pPr>
    </w:p>
    <w:p w14:paraId="3375C74D">
      <w:pPr>
        <w:spacing w:line="360" w:lineRule="auto"/>
        <w:rPr>
          <w:rFonts w:ascii="宋体"/>
          <w:color w:val="auto"/>
          <w:highlight w:val="none"/>
        </w:rPr>
      </w:pPr>
    </w:p>
    <w:p w14:paraId="5FFA3501">
      <w:pPr>
        <w:pStyle w:val="52"/>
        <w:rPr>
          <w:rFonts w:ascii="宋体"/>
          <w:color w:val="auto"/>
          <w:highlight w:val="none"/>
        </w:rPr>
      </w:pPr>
    </w:p>
    <w:p w14:paraId="0473CB1E">
      <w:pPr>
        <w:pStyle w:val="52"/>
        <w:rPr>
          <w:rFonts w:ascii="宋体"/>
          <w:color w:val="auto"/>
          <w:highlight w:val="none"/>
        </w:rPr>
      </w:pPr>
    </w:p>
    <w:p w14:paraId="0206934E">
      <w:pPr>
        <w:pStyle w:val="52"/>
        <w:rPr>
          <w:rFonts w:ascii="宋体"/>
          <w:color w:val="auto"/>
          <w:highlight w:val="none"/>
        </w:rPr>
      </w:pPr>
    </w:p>
    <w:p w14:paraId="54ACCB7E">
      <w:pPr>
        <w:pStyle w:val="52"/>
        <w:rPr>
          <w:rFonts w:ascii="宋体"/>
          <w:color w:val="auto"/>
          <w:highlight w:val="none"/>
        </w:rPr>
      </w:pPr>
    </w:p>
    <w:p w14:paraId="4F2CB322">
      <w:pPr>
        <w:pStyle w:val="52"/>
        <w:rPr>
          <w:rFonts w:ascii="宋体"/>
          <w:color w:val="auto"/>
          <w:highlight w:val="none"/>
        </w:rPr>
      </w:pPr>
    </w:p>
    <w:p w14:paraId="7CD1D1AF">
      <w:pPr>
        <w:pStyle w:val="52"/>
        <w:rPr>
          <w:rFonts w:ascii="宋体"/>
          <w:color w:val="auto"/>
          <w:highlight w:val="none"/>
        </w:rPr>
      </w:pPr>
    </w:p>
    <w:p w14:paraId="045B6C09">
      <w:pPr>
        <w:pStyle w:val="52"/>
        <w:rPr>
          <w:rFonts w:ascii="宋体"/>
          <w:color w:val="auto"/>
          <w:highlight w:val="none"/>
        </w:rPr>
      </w:pPr>
    </w:p>
    <w:p w14:paraId="22B4CDC0">
      <w:pPr>
        <w:pStyle w:val="52"/>
        <w:rPr>
          <w:rFonts w:ascii="宋体"/>
          <w:color w:val="auto"/>
          <w:highlight w:val="none"/>
        </w:rPr>
      </w:pPr>
    </w:p>
    <w:p w14:paraId="24AB3C7C">
      <w:pPr>
        <w:pStyle w:val="52"/>
        <w:rPr>
          <w:rFonts w:ascii="宋体"/>
          <w:color w:val="auto"/>
          <w:highlight w:val="none"/>
        </w:rPr>
      </w:pPr>
    </w:p>
    <w:p w14:paraId="3D0B2C1C">
      <w:pPr>
        <w:pStyle w:val="52"/>
        <w:rPr>
          <w:rFonts w:ascii="宋体"/>
          <w:color w:val="auto"/>
          <w:highlight w:val="none"/>
        </w:rPr>
      </w:pPr>
    </w:p>
    <w:p w14:paraId="13D8B345">
      <w:pPr>
        <w:pStyle w:val="52"/>
        <w:rPr>
          <w:rFonts w:ascii="宋体"/>
          <w:color w:val="auto"/>
          <w:highlight w:val="none"/>
        </w:rPr>
      </w:pPr>
    </w:p>
    <w:p w14:paraId="77B48792">
      <w:pPr>
        <w:pStyle w:val="5"/>
        <w:jc w:val="both"/>
        <w:rPr>
          <w:rFonts w:hint="eastAsia" w:ascii="仿宋_GB2312" w:eastAsia="仿宋_GB2312" w:cs="仿宋_GB2312"/>
          <w:color w:val="auto"/>
          <w:sz w:val="30"/>
          <w:szCs w:val="30"/>
          <w:highlight w:val="none"/>
          <w:lang w:val="en-US" w:eastAsia="zh-CN"/>
        </w:rPr>
      </w:pPr>
      <w:bookmarkStart w:id="433" w:name="_Toc173801266"/>
      <w:bookmarkStart w:id="434" w:name="_Toc475060052"/>
      <w:bookmarkStart w:id="435" w:name="_Toc1731322991"/>
      <w:bookmarkStart w:id="436" w:name="_Toc1316360315"/>
      <w:bookmarkStart w:id="437" w:name="_Toc441683618"/>
      <w:bookmarkStart w:id="438" w:name="_Toc1842771986"/>
      <w:bookmarkStart w:id="439" w:name="_Toc633689172"/>
      <w:bookmarkStart w:id="440" w:name="_Toc1909664075"/>
      <w:bookmarkStart w:id="441" w:name="_Toc12824"/>
      <w:bookmarkStart w:id="442" w:name="_Toc1130643390"/>
      <w:bookmarkStart w:id="443" w:name="_Toc1827315382"/>
      <w:bookmarkStart w:id="444" w:name="_Toc564658636"/>
      <w:bookmarkStart w:id="445" w:name="_Toc1993706012"/>
      <w:bookmarkStart w:id="446" w:name="_Toc1300612461"/>
      <w:bookmarkStart w:id="447" w:name="_Toc5300"/>
      <w:r>
        <w:rPr>
          <w:rFonts w:hint="eastAsia" w:ascii="仿宋_GB2312" w:eastAsia="仿宋_GB2312" w:cs="仿宋_GB2312"/>
          <w:color w:val="auto"/>
          <w:sz w:val="30"/>
          <w:szCs w:val="30"/>
          <w:highlight w:val="none"/>
          <w:lang w:val="en" w:eastAsia="zh-CN"/>
        </w:rPr>
        <w:t>附件</w:t>
      </w:r>
      <w:r>
        <w:rPr>
          <w:rFonts w:hint="eastAsia" w:ascii="仿宋_GB2312" w:eastAsia="仿宋_GB2312" w:cs="仿宋_GB2312"/>
          <w:color w:val="auto"/>
          <w:sz w:val="30"/>
          <w:szCs w:val="30"/>
          <w:highlight w:val="none"/>
          <w:lang w:val="en-US" w:eastAsia="zh-CN"/>
        </w:rPr>
        <w:t>15：措施项目费用分拆表</w:t>
      </w:r>
    </w:p>
    <w:p w14:paraId="22D812D7">
      <w:pPr>
        <w:wordWrap/>
        <w:jc w:val="center"/>
        <w:outlineLvl w:val="9"/>
        <w:rPr>
          <w:rFonts w:ascii="宋体" w:hAnsi="宋体" w:eastAsia="宋体" w:cs="Times New Roman"/>
          <w:b/>
          <w:color w:val="auto"/>
          <w:sz w:val="30"/>
          <w:szCs w:val="30"/>
          <w:highlight w:val="none"/>
          <w:lang w:val="en"/>
        </w:rPr>
      </w:pPr>
      <w:r>
        <w:rPr>
          <w:rFonts w:hint="default" w:ascii="宋体" w:hAnsi="宋体" w:eastAsia="宋体" w:cs="Times New Roman"/>
          <w:b/>
          <w:color w:val="auto"/>
          <w:sz w:val="30"/>
          <w:szCs w:val="30"/>
          <w:highlight w:val="none"/>
          <w:lang w:val="en"/>
        </w:rPr>
        <w:t xml:space="preserve"> 措施项目费用分拆表</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27482579">
      <w:pPr>
        <w:pStyle w:val="52"/>
        <w:ind w:firstLine="210"/>
        <w:rPr>
          <w:rFonts w:ascii="宋体" w:hAnsi="宋体"/>
          <w:b/>
          <w:color w:val="auto"/>
          <w:sz w:val="32"/>
          <w:szCs w:val="32"/>
          <w:highlight w:val="none"/>
        </w:rPr>
      </w:pPr>
      <w:r>
        <w:rPr>
          <w:rFonts w:hint="eastAsia" w:ascii="宋体" w:hAnsi="宋体"/>
          <w:color w:val="auto"/>
          <w:highlight w:val="none"/>
        </w:rPr>
        <w:t>工程</w:t>
      </w:r>
      <w:r>
        <w:rPr>
          <w:rFonts w:hint="eastAsia" w:ascii="宋体" w:hAnsi="宋体"/>
          <w:color w:val="auto"/>
          <w:spacing w:val="-3"/>
          <w:highlight w:val="none"/>
        </w:rPr>
        <w:t>名</w:t>
      </w:r>
      <w:r>
        <w:rPr>
          <w:rFonts w:hint="eastAsia" w:ascii="宋体" w:hAnsi="宋体"/>
          <w:color w:val="auto"/>
          <w:highlight w:val="none"/>
        </w:rPr>
        <w:t>称：</w:t>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ab/>
      </w:r>
      <w:r>
        <w:rPr>
          <w:rFonts w:hint="eastAsia" w:ascii="宋体" w:hAnsi="宋体"/>
          <w:color w:val="auto"/>
          <w:highlight w:val="none"/>
        </w:rPr>
        <w:t xml:space="preserve">  第   </w:t>
      </w:r>
      <w:r>
        <w:rPr>
          <w:rFonts w:hint="eastAsia" w:ascii="宋体" w:hAnsi="宋体"/>
          <w:color w:val="auto"/>
          <w:spacing w:val="-3"/>
          <w:highlight w:val="none"/>
        </w:rPr>
        <w:t xml:space="preserve">页 </w:t>
      </w:r>
      <w:r>
        <w:rPr>
          <w:rFonts w:hint="eastAsia" w:ascii="宋体" w:hAnsi="宋体"/>
          <w:color w:val="auto"/>
          <w:highlight w:val="none"/>
        </w:rPr>
        <w:t>共   页</w:t>
      </w:r>
    </w:p>
    <w:tbl>
      <w:tblPr>
        <w:tblStyle w:val="54"/>
        <w:tblW w:w="5035"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5"/>
        <w:gridCol w:w="709"/>
        <w:gridCol w:w="1151"/>
        <w:gridCol w:w="756"/>
        <w:gridCol w:w="907"/>
        <w:gridCol w:w="1096"/>
        <w:gridCol w:w="693"/>
        <w:gridCol w:w="856"/>
        <w:gridCol w:w="936"/>
        <w:gridCol w:w="1142"/>
      </w:tblGrid>
      <w:tr w14:paraId="7C13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atLeast"/>
        </w:trPr>
        <w:tc>
          <w:tcPr>
            <w:tcW w:w="564" w:type="dxa"/>
            <w:vMerge w:val="restart"/>
            <w:tcBorders>
              <w:top w:val="single" w:color="auto" w:sz="4" w:space="0"/>
              <w:left w:val="single" w:color="auto" w:sz="4" w:space="0"/>
              <w:bottom w:val="single" w:color="auto" w:sz="4" w:space="0"/>
              <w:right w:val="single" w:color="auto" w:sz="4" w:space="0"/>
            </w:tcBorders>
            <w:noWrap w:val="0"/>
            <w:vAlign w:val="center"/>
          </w:tcPr>
          <w:p w14:paraId="10CFF4F4">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序号</w:t>
            </w:r>
          </w:p>
        </w:tc>
        <w:tc>
          <w:tcPr>
            <w:tcW w:w="829" w:type="dxa"/>
            <w:vMerge w:val="restart"/>
            <w:tcBorders>
              <w:top w:val="single" w:color="auto" w:sz="4" w:space="0"/>
              <w:left w:val="nil"/>
              <w:bottom w:val="single" w:color="auto" w:sz="4" w:space="0"/>
              <w:right w:val="single" w:color="auto" w:sz="4" w:space="0"/>
            </w:tcBorders>
            <w:noWrap w:val="0"/>
            <w:vAlign w:val="center"/>
          </w:tcPr>
          <w:p w14:paraId="1655EBA0">
            <w:pPr>
              <w:keepNext w:val="0"/>
              <w:keepLines w:val="0"/>
              <w:widowControl/>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项目</w:t>
            </w:r>
          </w:p>
          <w:p w14:paraId="71FF786B">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编码</w:t>
            </w:r>
          </w:p>
        </w:tc>
        <w:tc>
          <w:tcPr>
            <w:tcW w:w="1380" w:type="dxa"/>
            <w:vMerge w:val="restart"/>
            <w:tcBorders>
              <w:top w:val="single" w:color="auto" w:sz="4" w:space="0"/>
              <w:left w:val="nil"/>
              <w:bottom w:val="single" w:color="auto" w:sz="4" w:space="0"/>
              <w:right w:val="single" w:color="auto" w:sz="4" w:space="0"/>
            </w:tcBorders>
            <w:noWrap w:val="0"/>
            <w:vAlign w:val="center"/>
          </w:tcPr>
          <w:p w14:paraId="066488C7">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措施项目名称</w:t>
            </w:r>
          </w:p>
        </w:tc>
        <w:tc>
          <w:tcPr>
            <w:tcW w:w="785" w:type="dxa"/>
            <w:vMerge w:val="restart"/>
            <w:tcBorders>
              <w:top w:val="single" w:color="auto" w:sz="4" w:space="0"/>
              <w:left w:val="nil"/>
              <w:bottom w:val="single" w:color="auto" w:sz="4" w:space="0"/>
              <w:right w:val="single" w:color="auto" w:sz="4" w:space="0"/>
            </w:tcBorders>
            <w:noWrap w:val="0"/>
            <w:vAlign w:val="center"/>
          </w:tcPr>
          <w:p w14:paraId="6AB8CD5B">
            <w:pPr>
              <w:keepNext w:val="0"/>
              <w:keepLines w:val="0"/>
              <w:widowControl/>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价格</w:t>
            </w:r>
          </w:p>
          <w:p w14:paraId="6FDB481A">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（元）</w:t>
            </w:r>
          </w:p>
        </w:tc>
        <w:tc>
          <w:tcPr>
            <w:tcW w:w="2206" w:type="dxa"/>
            <w:gridSpan w:val="2"/>
            <w:tcBorders>
              <w:top w:val="single" w:color="auto" w:sz="4" w:space="0"/>
              <w:left w:val="nil"/>
              <w:bottom w:val="single" w:color="auto" w:sz="4" w:space="0"/>
              <w:right w:val="single" w:color="auto" w:sz="4" w:space="0"/>
            </w:tcBorders>
            <w:noWrap w:val="0"/>
            <w:vAlign w:val="center"/>
          </w:tcPr>
          <w:p w14:paraId="112DD160">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1.初始设立费用</w:t>
            </w:r>
          </w:p>
        </w:tc>
        <w:tc>
          <w:tcPr>
            <w:tcW w:w="1641" w:type="dxa"/>
            <w:gridSpan w:val="2"/>
            <w:tcBorders>
              <w:top w:val="single" w:color="auto" w:sz="4" w:space="0"/>
              <w:left w:val="nil"/>
              <w:bottom w:val="single" w:color="auto" w:sz="4" w:space="0"/>
              <w:right w:val="single" w:color="auto" w:sz="4" w:space="0"/>
            </w:tcBorders>
            <w:noWrap w:val="0"/>
            <w:vAlign w:val="center"/>
          </w:tcPr>
          <w:p w14:paraId="2855AD83">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2.中期运行费用</w:t>
            </w:r>
          </w:p>
        </w:tc>
        <w:tc>
          <w:tcPr>
            <w:tcW w:w="2300" w:type="dxa"/>
            <w:gridSpan w:val="2"/>
            <w:tcBorders>
              <w:top w:val="single" w:color="auto" w:sz="4" w:space="0"/>
              <w:left w:val="nil"/>
              <w:bottom w:val="single" w:color="auto" w:sz="4" w:space="0"/>
              <w:right w:val="single" w:color="auto" w:sz="4" w:space="0"/>
            </w:tcBorders>
            <w:noWrap w:val="0"/>
            <w:vAlign w:val="center"/>
          </w:tcPr>
          <w:p w14:paraId="6D67A937">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3.后期拆除费用</w:t>
            </w:r>
          </w:p>
        </w:tc>
      </w:tr>
      <w:tr w14:paraId="0BD3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 w:hRule="atLeast"/>
        </w:trPr>
        <w:tc>
          <w:tcPr>
            <w:tcW w:w="564" w:type="dxa"/>
            <w:vMerge w:val="continue"/>
            <w:tcBorders>
              <w:top w:val="single" w:color="auto" w:sz="4" w:space="0"/>
              <w:left w:val="single" w:color="auto" w:sz="4" w:space="0"/>
              <w:bottom w:val="single" w:color="auto" w:sz="4" w:space="0"/>
              <w:right w:val="single" w:color="auto" w:sz="4" w:space="0"/>
            </w:tcBorders>
            <w:noWrap w:val="0"/>
            <w:vAlign w:val="center"/>
          </w:tcPr>
          <w:p w14:paraId="25E31811">
            <w:pPr>
              <w:keepNext w:val="0"/>
              <w:keepLines w:val="0"/>
              <w:widowControl/>
              <w:suppressLineNumbers w:val="0"/>
              <w:spacing w:before="0" w:beforeAutospacing="0" w:after="0" w:afterAutospacing="0"/>
              <w:ind w:left="0" w:right="0"/>
              <w:jc w:val="left"/>
              <w:rPr>
                <w:rFonts w:hint="default" w:ascii="宋体" w:hAnsi="宋体"/>
                <w:color w:val="auto"/>
                <w:kern w:val="0"/>
                <w:sz w:val="21"/>
                <w:szCs w:val="21"/>
                <w:highlight w:val="none"/>
              </w:rPr>
            </w:pPr>
          </w:p>
        </w:tc>
        <w:tc>
          <w:tcPr>
            <w:tcW w:w="829" w:type="dxa"/>
            <w:vMerge w:val="continue"/>
            <w:tcBorders>
              <w:top w:val="single" w:color="auto" w:sz="4" w:space="0"/>
              <w:left w:val="nil"/>
              <w:bottom w:val="single" w:color="auto" w:sz="4" w:space="0"/>
              <w:right w:val="single" w:color="auto" w:sz="4" w:space="0"/>
            </w:tcBorders>
            <w:noWrap w:val="0"/>
            <w:vAlign w:val="center"/>
          </w:tcPr>
          <w:p w14:paraId="05157229">
            <w:pPr>
              <w:keepNext w:val="0"/>
              <w:keepLines w:val="0"/>
              <w:widowControl/>
              <w:suppressLineNumbers w:val="0"/>
              <w:spacing w:before="0" w:beforeAutospacing="0" w:after="0" w:afterAutospacing="0"/>
              <w:ind w:left="0" w:right="0"/>
              <w:jc w:val="left"/>
              <w:rPr>
                <w:rFonts w:hint="default" w:ascii="宋体" w:hAnsi="宋体"/>
                <w:color w:val="auto"/>
                <w:kern w:val="0"/>
                <w:sz w:val="21"/>
                <w:szCs w:val="21"/>
                <w:highlight w:val="none"/>
              </w:rPr>
            </w:pPr>
          </w:p>
        </w:tc>
        <w:tc>
          <w:tcPr>
            <w:tcW w:w="1380" w:type="dxa"/>
            <w:vMerge w:val="continue"/>
            <w:tcBorders>
              <w:top w:val="single" w:color="auto" w:sz="4" w:space="0"/>
              <w:left w:val="nil"/>
              <w:bottom w:val="single" w:color="auto" w:sz="4" w:space="0"/>
              <w:right w:val="single" w:color="auto" w:sz="4" w:space="0"/>
            </w:tcBorders>
            <w:noWrap w:val="0"/>
            <w:vAlign w:val="center"/>
          </w:tcPr>
          <w:p w14:paraId="29282C6D">
            <w:pPr>
              <w:keepNext w:val="0"/>
              <w:keepLines w:val="0"/>
              <w:widowControl/>
              <w:suppressLineNumbers w:val="0"/>
              <w:spacing w:before="0" w:beforeAutospacing="0" w:after="0" w:afterAutospacing="0"/>
              <w:ind w:left="0" w:right="0"/>
              <w:jc w:val="left"/>
              <w:rPr>
                <w:rFonts w:hint="default" w:ascii="宋体" w:hAnsi="宋体"/>
                <w:color w:val="auto"/>
                <w:kern w:val="0"/>
                <w:sz w:val="21"/>
                <w:szCs w:val="21"/>
                <w:highlight w:val="none"/>
              </w:rPr>
            </w:pPr>
          </w:p>
        </w:tc>
        <w:tc>
          <w:tcPr>
            <w:tcW w:w="785" w:type="dxa"/>
            <w:vMerge w:val="continue"/>
            <w:tcBorders>
              <w:top w:val="single" w:color="auto" w:sz="4" w:space="0"/>
              <w:left w:val="nil"/>
              <w:bottom w:val="single" w:color="auto" w:sz="4" w:space="0"/>
              <w:right w:val="single" w:color="auto" w:sz="4" w:space="0"/>
            </w:tcBorders>
            <w:noWrap w:val="0"/>
            <w:vAlign w:val="center"/>
          </w:tcPr>
          <w:p w14:paraId="07F40467">
            <w:pPr>
              <w:keepNext w:val="0"/>
              <w:keepLines w:val="0"/>
              <w:widowControl/>
              <w:suppressLineNumbers w:val="0"/>
              <w:spacing w:before="0" w:beforeAutospacing="0" w:after="0" w:afterAutospacing="0"/>
              <w:ind w:left="0" w:right="0"/>
              <w:jc w:val="left"/>
              <w:rPr>
                <w:rFonts w:hint="default" w:ascii="宋体" w:hAnsi="宋体"/>
                <w:color w:val="auto"/>
                <w:kern w:val="0"/>
                <w:sz w:val="21"/>
                <w:szCs w:val="21"/>
                <w:highlight w:val="none"/>
              </w:rPr>
            </w:pPr>
          </w:p>
        </w:tc>
        <w:tc>
          <w:tcPr>
            <w:tcW w:w="998" w:type="dxa"/>
            <w:tcBorders>
              <w:top w:val="single" w:color="auto" w:sz="4" w:space="0"/>
              <w:left w:val="nil"/>
              <w:bottom w:val="single" w:color="auto" w:sz="4" w:space="0"/>
              <w:right w:val="single" w:color="auto" w:sz="4" w:space="0"/>
            </w:tcBorders>
            <w:noWrap w:val="0"/>
            <w:vAlign w:val="center"/>
          </w:tcPr>
          <w:p w14:paraId="40A6BA80">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占比</w:t>
            </w:r>
          </w:p>
          <w:p w14:paraId="617925DA">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w:t>
            </w:r>
          </w:p>
        </w:tc>
        <w:tc>
          <w:tcPr>
            <w:tcW w:w="1208" w:type="dxa"/>
            <w:tcBorders>
              <w:top w:val="single" w:color="auto" w:sz="4" w:space="0"/>
              <w:left w:val="nil"/>
              <w:bottom w:val="single" w:color="auto" w:sz="4" w:space="0"/>
              <w:right w:val="single" w:color="auto" w:sz="4" w:space="0"/>
            </w:tcBorders>
            <w:noWrap w:val="0"/>
            <w:vAlign w:val="center"/>
          </w:tcPr>
          <w:p w14:paraId="68197D44">
            <w:pPr>
              <w:keepNext w:val="0"/>
              <w:keepLines w:val="0"/>
              <w:suppressLineNumbers w:val="0"/>
              <w:snapToGrid w:val="0"/>
              <w:spacing w:before="0" w:beforeAutospacing="0" w:after="0" w:afterAutospacing="0"/>
              <w:ind w:left="0" w:right="0"/>
              <w:jc w:val="center"/>
              <w:rPr>
                <w:rFonts w:hint="default" w:ascii="宋体" w:hAnsi="宋体" w:cs="Calibri"/>
                <w:color w:val="auto"/>
                <w:kern w:val="0"/>
                <w:sz w:val="21"/>
                <w:szCs w:val="21"/>
                <w:highlight w:val="none"/>
              </w:rPr>
            </w:pPr>
            <w:r>
              <w:rPr>
                <w:rFonts w:hint="eastAsia" w:ascii="宋体" w:hAnsi="宋体" w:cs="Calibri"/>
                <w:color w:val="auto"/>
                <w:kern w:val="0"/>
                <w:sz w:val="21"/>
                <w:szCs w:val="21"/>
                <w:highlight w:val="none"/>
              </w:rPr>
              <w:t>金额</w:t>
            </w:r>
          </w:p>
          <w:p w14:paraId="43DFD699">
            <w:pPr>
              <w:keepNext w:val="0"/>
              <w:keepLines w:val="0"/>
              <w:suppressLineNumbers w:val="0"/>
              <w:snapToGrid w:val="0"/>
              <w:spacing w:before="0" w:beforeAutospacing="0" w:after="0" w:afterAutospacing="0"/>
              <w:ind w:left="0" w:right="0"/>
              <w:jc w:val="center"/>
              <w:rPr>
                <w:rFonts w:hint="eastAsia" w:ascii="宋体" w:hAnsi="宋体" w:eastAsia="宋体"/>
                <w:color w:val="auto"/>
                <w:kern w:val="0"/>
                <w:sz w:val="21"/>
                <w:szCs w:val="21"/>
                <w:highlight w:val="none"/>
                <w:lang w:eastAsia="zh-CN"/>
              </w:rPr>
            </w:pPr>
            <w:r>
              <w:rPr>
                <w:rFonts w:hint="eastAsia" w:ascii="宋体" w:hAnsi="宋体" w:cs="Calibri"/>
                <w:color w:val="auto"/>
                <w:kern w:val="0"/>
                <w:sz w:val="21"/>
                <w:szCs w:val="21"/>
                <w:highlight w:val="none"/>
                <w:lang w:eastAsia="zh-CN"/>
              </w:rPr>
              <w:t>（</w:t>
            </w:r>
            <w:r>
              <w:rPr>
                <w:rFonts w:hint="eastAsia" w:ascii="宋体" w:hAnsi="宋体" w:cs="Calibri"/>
                <w:color w:val="auto"/>
                <w:kern w:val="0"/>
                <w:sz w:val="21"/>
                <w:szCs w:val="21"/>
                <w:highlight w:val="none"/>
              </w:rPr>
              <w:t>元</w:t>
            </w:r>
            <w:r>
              <w:rPr>
                <w:rFonts w:hint="eastAsia" w:ascii="宋体" w:hAnsi="宋体" w:cs="Calibri"/>
                <w:color w:val="auto"/>
                <w:kern w:val="0"/>
                <w:sz w:val="21"/>
                <w:szCs w:val="21"/>
                <w:highlight w:val="none"/>
                <w:lang w:eastAsia="zh-CN"/>
              </w:rPr>
              <w:t>）</w:t>
            </w:r>
          </w:p>
        </w:tc>
        <w:tc>
          <w:tcPr>
            <w:tcW w:w="732" w:type="dxa"/>
            <w:tcBorders>
              <w:top w:val="single" w:color="auto" w:sz="4" w:space="0"/>
              <w:left w:val="nil"/>
              <w:bottom w:val="single" w:color="auto" w:sz="4" w:space="0"/>
              <w:right w:val="single" w:color="auto" w:sz="4" w:space="0"/>
            </w:tcBorders>
            <w:noWrap w:val="0"/>
            <w:vAlign w:val="center"/>
          </w:tcPr>
          <w:p w14:paraId="1B94CDBD">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占比</w:t>
            </w:r>
          </w:p>
          <w:p w14:paraId="3B83F908">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w:t>
            </w:r>
          </w:p>
        </w:tc>
        <w:tc>
          <w:tcPr>
            <w:tcW w:w="909" w:type="dxa"/>
            <w:tcBorders>
              <w:top w:val="single" w:color="auto" w:sz="4" w:space="0"/>
              <w:left w:val="nil"/>
              <w:bottom w:val="single" w:color="auto" w:sz="4" w:space="0"/>
              <w:right w:val="single" w:color="auto" w:sz="4" w:space="0"/>
            </w:tcBorders>
            <w:noWrap w:val="0"/>
            <w:vAlign w:val="center"/>
          </w:tcPr>
          <w:p w14:paraId="3640EFB1">
            <w:pPr>
              <w:keepNext w:val="0"/>
              <w:keepLines w:val="0"/>
              <w:suppressLineNumbers w:val="0"/>
              <w:snapToGrid w:val="0"/>
              <w:spacing w:before="0" w:beforeAutospacing="0" w:after="0" w:afterAutospacing="0"/>
              <w:ind w:left="0" w:right="0"/>
              <w:jc w:val="center"/>
              <w:rPr>
                <w:rFonts w:hint="default" w:ascii="宋体" w:hAnsi="宋体" w:cs="Calibri"/>
                <w:color w:val="auto"/>
                <w:kern w:val="0"/>
                <w:sz w:val="21"/>
                <w:szCs w:val="21"/>
                <w:highlight w:val="none"/>
              </w:rPr>
            </w:pPr>
            <w:r>
              <w:rPr>
                <w:rFonts w:hint="eastAsia" w:ascii="宋体" w:hAnsi="宋体" w:cs="Calibri"/>
                <w:color w:val="auto"/>
                <w:kern w:val="0"/>
                <w:sz w:val="21"/>
                <w:szCs w:val="21"/>
                <w:highlight w:val="none"/>
              </w:rPr>
              <w:t>金额</w:t>
            </w:r>
          </w:p>
          <w:p w14:paraId="4A822E4D">
            <w:pPr>
              <w:keepNext w:val="0"/>
              <w:keepLines w:val="0"/>
              <w:suppressLineNumbers w:val="0"/>
              <w:snapToGrid w:val="0"/>
              <w:spacing w:before="0" w:beforeAutospacing="0" w:after="0" w:afterAutospacing="0"/>
              <w:ind w:left="0" w:right="0"/>
              <w:jc w:val="center"/>
              <w:rPr>
                <w:rFonts w:hint="eastAsia" w:ascii="宋体" w:hAnsi="宋体" w:eastAsia="宋体"/>
                <w:color w:val="auto"/>
                <w:kern w:val="0"/>
                <w:sz w:val="21"/>
                <w:szCs w:val="21"/>
                <w:highlight w:val="none"/>
                <w:lang w:eastAsia="zh-CN"/>
              </w:rPr>
            </w:pPr>
            <w:r>
              <w:rPr>
                <w:rFonts w:hint="eastAsia" w:ascii="宋体" w:hAnsi="宋体" w:cs="Calibri"/>
                <w:color w:val="auto"/>
                <w:kern w:val="0"/>
                <w:sz w:val="21"/>
                <w:szCs w:val="21"/>
                <w:highlight w:val="none"/>
                <w:lang w:eastAsia="zh-CN"/>
              </w:rPr>
              <w:t>（</w:t>
            </w:r>
            <w:r>
              <w:rPr>
                <w:rFonts w:hint="eastAsia" w:ascii="宋体" w:hAnsi="宋体" w:cs="Calibri"/>
                <w:color w:val="auto"/>
                <w:kern w:val="0"/>
                <w:sz w:val="21"/>
                <w:szCs w:val="21"/>
                <w:highlight w:val="none"/>
              </w:rPr>
              <w:t>元</w:t>
            </w:r>
            <w:r>
              <w:rPr>
                <w:rFonts w:hint="eastAsia" w:ascii="宋体" w:hAnsi="宋体" w:cs="Calibri"/>
                <w:color w:val="auto"/>
                <w:kern w:val="0"/>
                <w:sz w:val="21"/>
                <w:szCs w:val="21"/>
                <w:highlight w:val="none"/>
                <w:lang w:eastAsia="zh-CN"/>
              </w:rPr>
              <w:t>）</w:t>
            </w:r>
          </w:p>
        </w:tc>
        <w:tc>
          <w:tcPr>
            <w:tcW w:w="1035" w:type="dxa"/>
            <w:tcBorders>
              <w:top w:val="single" w:color="auto" w:sz="4" w:space="0"/>
              <w:left w:val="nil"/>
              <w:bottom w:val="single" w:color="auto" w:sz="4" w:space="0"/>
              <w:right w:val="single" w:color="auto" w:sz="4" w:space="0"/>
            </w:tcBorders>
            <w:noWrap w:val="0"/>
            <w:vAlign w:val="center"/>
          </w:tcPr>
          <w:p w14:paraId="2087BB0C">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占比</w:t>
            </w:r>
          </w:p>
          <w:p w14:paraId="0442E973">
            <w:pPr>
              <w:keepNext w:val="0"/>
              <w:keepLines w:val="0"/>
              <w:suppressLineNumbers w:val="0"/>
              <w:snapToGrid w:val="0"/>
              <w:spacing w:before="0" w:beforeAutospacing="0" w:after="0" w:afterAutospacing="0"/>
              <w:ind w:left="0" w:right="0"/>
              <w:jc w:val="center"/>
              <w:rPr>
                <w:rFonts w:hint="default" w:ascii="宋体" w:hAnsi="宋体"/>
                <w:color w:val="auto"/>
                <w:kern w:val="0"/>
                <w:sz w:val="21"/>
                <w:szCs w:val="21"/>
                <w:highlight w:val="none"/>
              </w:rPr>
            </w:pPr>
            <w:r>
              <w:rPr>
                <w:rFonts w:hint="eastAsia" w:ascii="宋体" w:hAnsi="宋体"/>
                <w:color w:val="auto"/>
                <w:kern w:val="0"/>
                <w:sz w:val="21"/>
                <w:szCs w:val="21"/>
                <w:highlight w:val="none"/>
              </w:rPr>
              <w:t>（%）</w:t>
            </w:r>
          </w:p>
        </w:tc>
        <w:tc>
          <w:tcPr>
            <w:tcW w:w="1265" w:type="dxa"/>
            <w:tcBorders>
              <w:top w:val="single" w:color="auto" w:sz="4" w:space="0"/>
              <w:left w:val="nil"/>
              <w:bottom w:val="single" w:color="auto" w:sz="4" w:space="0"/>
              <w:right w:val="single" w:color="auto" w:sz="4" w:space="0"/>
            </w:tcBorders>
            <w:noWrap w:val="0"/>
            <w:vAlign w:val="center"/>
          </w:tcPr>
          <w:p w14:paraId="7695BA05">
            <w:pPr>
              <w:keepNext w:val="0"/>
              <w:keepLines w:val="0"/>
              <w:suppressLineNumbers w:val="0"/>
              <w:snapToGrid w:val="0"/>
              <w:spacing w:before="0" w:beforeAutospacing="0" w:after="0" w:afterAutospacing="0"/>
              <w:ind w:left="0" w:right="0"/>
              <w:jc w:val="center"/>
              <w:rPr>
                <w:rFonts w:hint="default" w:ascii="宋体" w:hAnsi="宋体" w:cs="Calibri"/>
                <w:color w:val="auto"/>
                <w:kern w:val="0"/>
                <w:sz w:val="21"/>
                <w:szCs w:val="21"/>
                <w:highlight w:val="none"/>
              </w:rPr>
            </w:pPr>
            <w:r>
              <w:rPr>
                <w:rFonts w:hint="eastAsia" w:ascii="宋体" w:hAnsi="宋体" w:cs="Calibri"/>
                <w:color w:val="auto"/>
                <w:kern w:val="0"/>
                <w:sz w:val="21"/>
                <w:szCs w:val="21"/>
                <w:highlight w:val="none"/>
              </w:rPr>
              <w:t>金额</w:t>
            </w:r>
          </w:p>
          <w:p w14:paraId="227A3EF2">
            <w:pPr>
              <w:keepNext w:val="0"/>
              <w:keepLines w:val="0"/>
              <w:suppressLineNumbers w:val="0"/>
              <w:snapToGrid w:val="0"/>
              <w:spacing w:before="0" w:beforeAutospacing="0" w:after="0" w:afterAutospacing="0"/>
              <w:ind w:left="0" w:right="0"/>
              <w:jc w:val="center"/>
              <w:rPr>
                <w:rFonts w:hint="eastAsia" w:ascii="宋体" w:hAnsi="宋体" w:eastAsia="宋体"/>
                <w:color w:val="auto"/>
                <w:kern w:val="0"/>
                <w:sz w:val="21"/>
                <w:szCs w:val="21"/>
                <w:highlight w:val="none"/>
                <w:lang w:eastAsia="zh-CN"/>
              </w:rPr>
            </w:pPr>
            <w:r>
              <w:rPr>
                <w:rFonts w:hint="eastAsia" w:ascii="宋体" w:hAnsi="宋体" w:cs="Calibri"/>
                <w:color w:val="auto"/>
                <w:kern w:val="0"/>
                <w:sz w:val="21"/>
                <w:szCs w:val="21"/>
                <w:highlight w:val="none"/>
                <w:lang w:eastAsia="zh-CN"/>
              </w:rPr>
              <w:t>（</w:t>
            </w:r>
            <w:r>
              <w:rPr>
                <w:rFonts w:hint="eastAsia" w:ascii="宋体" w:hAnsi="宋体" w:cs="Calibri"/>
                <w:color w:val="auto"/>
                <w:kern w:val="0"/>
                <w:sz w:val="21"/>
                <w:szCs w:val="21"/>
                <w:highlight w:val="none"/>
              </w:rPr>
              <w:t>元</w:t>
            </w:r>
            <w:r>
              <w:rPr>
                <w:rFonts w:hint="eastAsia" w:ascii="宋体" w:hAnsi="宋体" w:cs="Calibri"/>
                <w:color w:val="auto"/>
                <w:kern w:val="0"/>
                <w:sz w:val="21"/>
                <w:szCs w:val="21"/>
                <w:highlight w:val="none"/>
                <w:lang w:eastAsia="zh-CN"/>
              </w:rPr>
              <w:t>）</w:t>
            </w:r>
          </w:p>
        </w:tc>
      </w:tr>
      <w:tr w14:paraId="31303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61DFF2A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7FEC773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72431CC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3BFC271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557E525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66801AE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43C3A91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027884B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269B54F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7CB6EEF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20A7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489D01B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613FEB2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25995AF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6E09E38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5C61FAF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60514FA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4675972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5BD1317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3D425D5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7659DF3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4C9B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5256901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33676FF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2FF48C5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4331180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4321856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0BE070B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0AE1488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63C49BC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370B211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7A99AED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3184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65E03FF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1D5F362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1E85E52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53A42B5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2B92890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60AD7C6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42F408C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0F1A00F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1D0E685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4B8D996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0F5E4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1F3EE8B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3E56163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18FFE35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0A6E1F2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20BAA3E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1F40C02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2124DC4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4398435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49A9C23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6AC0FBB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37BB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72F6B49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69FDC1D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2AB77DB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3ADF9FC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4AC95AE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41208A5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2FDEE46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277306F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5C15DDF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2172252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00A7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1254759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427AE19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628A960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00B44DF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5F97170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17C63D2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0AA570F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2C25ED2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572AAF7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123780B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632E1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4DD381A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6F79063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1EE4642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4BC8186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1EECAF3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79FE4FE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6B9DE1A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6B3A200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26FDCAA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65D9BE3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165D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771ECF3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7F49A34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427B785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599442B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0CD0929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0CB32B1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3D356F7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779B344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4607AF1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61DED52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729F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403BD04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79DAED8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7079D9C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1DFB166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46B9E0B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57EAA41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65F10D3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43F1552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0DF4986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1D74DB7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05FA5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43258D7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0ECA2B3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1747921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5E507E8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35A8C3C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3C4B66B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54AC91A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734DDF2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1DDEC38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040F61B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6492B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05683A8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00F3773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508F3A5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2FD3589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7A0CAB5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2AAA7E2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2CEB534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2093B71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5FECF3E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60C11EE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68699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405CF31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351E30F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2D96BBF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08AD634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207CB3E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0B0BA8B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5113E68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501394F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0EC5D0A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484938B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3695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40BA67F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3130509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4E75A90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287778C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0A218B2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3712A8B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236F05C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2A9F18F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2045C77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473AA52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63BF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129E9ED9">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61C2D11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0E9EEC4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44F646A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79B5AB3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0113880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0C89C30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279825E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4856E51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4B78FCC8">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464D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2AC4FED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50D6900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2AC5097A">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316426C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45C54AE5">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5AB84DB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3667171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7AE61E5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0F4B50F2">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4557351F">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0EF61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08F7255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40BADE0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07C7264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7765009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6BAC2DEB">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415FAFD7">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7710AB2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179B59F1">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2557B724">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76F1445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55208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36C15AC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829" w:type="dxa"/>
            <w:tcBorders>
              <w:top w:val="single" w:color="auto" w:sz="4" w:space="0"/>
              <w:left w:val="nil"/>
              <w:bottom w:val="single" w:color="auto" w:sz="4" w:space="0"/>
              <w:right w:val="single" w:color="auto" w:sz="4" w:space="0"/>
            </w:tcBorders>
            <w:noWrap w:val="0"/>
            <w:vAlign w:val="top"/>
          </w:tcPr>
          <w:p w14:paraId="42CAA36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380" w:type="dxa"/>
            <w:tcBorders>
              <w:top w:val="single" w:color="auto" w:sz="4" w:space="0"/>
              <w:left w:val="nil"/>
              <w:bottom w:val="single" w:color="auto" w:sz="4" w:space="0"/>
              <w:right w:val="single" w:color="auto" w:sz="4" w:space="0"/>
            </w:tcBorders>
            <w:noWrap w:val="0"/>
            <w:vAlign w:val="top"/>
          </w:tcPr>
          <w:p w14:paraId="6CECECF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85" w:type="dxa"/>
            <w:tcBorders>
              <w:top w:val="single" w:color="auto" w:sz="4" w:space="0"/>
              <w:left w:val="nil"/>
              <w:bottom w:val="single" w:color="auto" w:sz="4" w:space="0"/>
              <w:right w:val="single" w:color="auto" w:sz="4" w:space="0"/>
            </w:tcBorders>
            <w:noWrap w:val="0"/>
            <w:vAlign w:val="top"/>
          </w:tcPr>
          <w:p w14:paraId="7DBFBF3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top"/>
          </w:tcPr>
          <w:p w14:paraId="79208DFE">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08" w:type="dxa"/>
            <w:tcBorders>
              <w:top w:val="single" w:color="auto" w:sz="4" w:space="0"/>
              <w:left w:val="nil"/>
              <w:bottom w:val="single" w:color="auto" w:sz="4" w:space="0"/>
              <w:right w:val="single" w:color="auto" w:sz="4" w:space="0"/>
            </w:tcBorders>
            <w:noWrap w:val="0"/>
            <w:vAlign w:val="top"/>
          </w:tcPr>
          <w:p w14:paraId="78E9BC5D">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732" w:type="dxa"/>
            <w:tcBorders>
              <w:top w:val="single" w:color="auto" w:sz="4" w:space="0"/>
              <w:left w:val="nil"/>
              <w:bottom w:val="single" w:color="auto" w:sz="4" w:space="0"/>
              <w:right w:val="single" w:color="auto" w:sz="4" w:space="0"/>
            </w:tcBorders>
            <w:noWrap w:val="0"/>
            <w:vAlign w:val="top"/>
          </w:tcPr>
          <w:p w14:paraId="60381B96">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09" w:type="dxa"/>
            <w:tcBorders>
              <w:top w:val="single" w:color="auto" w:sz="4" w:space="0"/>
              <w:left w:val="nil"/>
              <w:bottom w:val="single" w:color="auto" w:sz="4" w:space="0"/>
              <w:right w:val="single" w:color="auto" w:sz="4" w:space="0"/>
            </w:tcBorders>
            <w:noWrap w:val="0"/>
            <w:vAlign w:val="top"/>
          </w:tcPr>
          <w:p w14:paraId="4DE915C3">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035" w:type="dxa"/>
            <w:tcBorders>
              <w:top w:val="single" w:color="auto" w:sz="4" w:space="0"/>
              <w:left w:val="nil"/>
              <w:bottom w:val="single" w:color="auto" w:sz="4" w:space="0"/>
              <w:right w:val="single" w:color="auto" w:sz="4" w:space="0"/>
            </w:tcBorders>
            <w:noWrap w:val="0"/>
            <w:vAlign w:val="top"/>
          </w:tcPr>
          <w:p w14:paraId="2EF7701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1265" w:type="dxa"/>
            <w:tcBorders>
              <w:top w:val="single" w:color="auto" w:sz="4" w:space="0"/>
              <w:left w:val="nil"/>
              <w:bottom w:val="single" w:color="auto" w:sz="4" w:space="0"/>
              <w:right w:val="single" w:color="auto" w:sz="4" w:space="0"/>
            </w:tcBorders>
            <w:noWrap w:val="0"/>
            <w:vAlign w:val="top"/>
          </w:tcPr>
          <w:p w14:paraId="2F3BB74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r w14:paraId="56C4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564" w:type="dxa"/>
            <w:tcBorders>
              <w:top w:val="single" w:color="auto" w:sz="4" w:space="0"/>
              <w:left w:val="single" w:color="auto" w:sz="4" w:space="0"/>
              <w:bottom w:val="single" w:color="auto" w:sz="4" w:space="0"/>
              <w:right w:val="single" w:color="auto" w:sz="4" w:space="0"/>
            </w:tcBorders>
            <w:noWrap w:val="0"/>
            <w:vAlign w:val="top"/>
          </w:tcPr>
          <w:p w14:paraId="1B8CC9E0">
            <w:pPr>
              <w:keepNext w:val="0"/>
              <w:keepLines w:val="0"/>
              <w:suppressLineNumbers w:val="0"/>
              <w:spacing w:before="0" w:beforeAutospacing="0" w:after="120" w:afterAutospacing="0"/>
              <w:ind w:left="0" w:right="0"/>
              <w:jc w:val="center"/>
              <w:rPr>
                <w:rFonts w:hint="default" w:ascii="宋体" w:hAnsi="宋体"/>
                <w:color w:val="auto"/>
                <w:kern w:val="0"/>
                <w:sz w:val="18"/>
                <w:szCs w:val="18"/>
                <w:highlight w:val="none"/>
              </w:rPr>
            </w:pPr>
            <w:r>
              <w:rPr>
                <w:rFonts w:hint="eastAsia" w:ascii="宋体" w:hAnsi="宋体"/>
                <w:color w:val="auto"/>
                <w:kern w:val="0"/>
                <w:sz w:val="18"/>
                <w:szCs w:val="18"/>
                <w:highlight w:val="none"/>
              </w:rPr>
              <w:t>—</w:t>
            </w:r>
          </w:p>
        </w:tc>
        <w:tc>
          <w:tcPr>
            <w:tcW w:w="829" w:type="dxa"/>
            <w:tcBorders>
              <w:top w:val="single" w:color="auto" w:sz="4" w:space="0"/>
              <w:left w:val="nil"/>
              <w:bottom w:val="single" w:color="auto" w:sz="4" w:space="0"/>
              <w:right w:val="single" w:color="auto" w:sz="4" w:space="0"/>
            </w:tcBorders>
            <w:noWrap w:val="0"/>
            <w:vAlign w:val="top"/>
          </w:tcPr>
          <w:p w14:paraId="6325D554">
            <w:pPr>
              <w:keepNext w:val="0"/>
              <w:keepLines w:val="0"/>
              <w:suppressLineNumbers w:val="0"/>
              <w:spacing w:before="0" w:beforeAutospacing="0" w:after="120" w:afterAutospacing="0"/>
              <w:ind w:left="0" w:right="0"/>
              <w:jc w:val="center"/>
              <w:rPr>
                <w:rFonts w:hint="default" w:ascii="宋体" w:hAnsi="宋体"/>
                <w:color w:val="auto"/>
                <w:kern w:val="0"/>
                <w:sz w:val="18"/>
                <w:szCs w:val="18"/>
                <w:highlight w:val="none"/>
              </w:rPr>
            </w:pPr>
            <w:r>
              <w:rPr>
                <w:rFonts w:hint="eastAsia" w:ascii="宋体" w:hAnsi="宋体"/>
                <w:color w:val="auto"/>
                <w:kern w:val="0"/>
                <w:sz w:val="18"/>
                <w:szCs w:val="18"/>
                <w:highlight w:val="none"/>
              </w:rPr>
              <w:t>—</w:t>
            </w:r>
          </w:p>
        </w:tc>
        <w:tc>
          <w:tcPr>
            <w:tcW w:w="1380" w:type="dxa"/>
            <w:tcBorders>
              <w:top w:val="single" w:color="auto" w:sz="4" w:space="0"/>
              <w:left w:val="nil"/>
              <w:bottom w:val="single" w:color="auto" w:sz="4" w:space="0"/>
              <w:right w:val="single" w:color="auto" w:sz="4" w:space="0"/>
            </w:tcBorders>
            <w:noWrap w:val="0"/>
            <w:vAlign w:val="center"/>
          </w:tcPr>
          <w:p w14:paraId="17BDDDBE">
            <w:pPr>
              <w:keepNext w:val="0"/>
              <w:keepLines w:val="0"/>
              <w:suppressLineNumbers w:val="0"/>
              <w:spacing w:before="0" w:beforeAutospacing="0" w:after="120" w:afterAutospacing="0"/>
              <w:ind w:left="0" w:right="0"/>
              <w:jc w:val="center"/>
              <w:rPr>
                <w:rFonts w:hint="default" w:ascii="宋体" w:hAnsi="宋体"/>
                <w:color w:val="auto"/>
                <w:kern w:val="0"/>
                <w:sz w:val="18"/>
                <w:szCs w:val="18"/>
                <w:highlight w:val="none"/>
              </w:rPr>
            </w:pPr>
            <w:r>
              <w:rPr>
                <w:rFonts w:hint="eastAsia" w:ascii="宋体" w:hAnsi="宋体"/>
                <w:color w:val="auto"/>
                <w:kern w:val="0"/>
                <w:sz w:val="18"/>
                <w:szCs w:val="18"/>
                <w:highlight w:val="none"/>
              </w:rPr>
              <w:t>合计</w:t>
            </w:r>
          </w:p>
        </w:tc>
        <w:tc>
          <w:tcPr>
            <w:tcW w:w="785" w:type="dxa"/>
            <w:tcBorders>
              <w:top w:val="single" w:color="auto" w:sz="4" w:space="0"/>
              <w:left w:val="nil"/>
              <w:bottom w:val="single" w:color="auto" w:sz="4" w:space="0"/>
              <w:right w:val="single" w:color="auto" w:sz="4" w:space="0"/>
            </w:tcBorders>
            <w:noWrap w:val="0"/>
            <w:vAlign w:val="top"/>
          </w:tcPr>
          <w:p w14:paraId="4898F1DC">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c>
          <w:tcPr>
            <w:tcW w:w="998" w:type="dxa"/>
            <w:tcBorders>
              <w:top w:val="single" w:color="auto" w:sz="4" w:space="0"/>
              <w:left w:val="nil"/>
              <w:bottom w:val="single" w:color="auto" w:sz="4" w:space="0"/>
              <w:right w:val="single" w:color="auto" w:sz="4" w:space="0"/>
            </w:tcBorders>
            <w:noWrap w:val="0"/>
            <w:vAlign w:val="center"/>
          </w:tcPr>
          <w:p w14:paraId="4B725413">
            <w:pPr>
              <w:keepNext w:val="0"/>
              <w:keepLines w:val="0"/>
              <w:suppressLineNumbers w:val="0"/>
              <w:spacing w:before="0" w:beforeAutospacing="0" w:after="120" w:afterAutospacing="0"/>
              <w:ind w:left="0" w:leftChars="0" w:right="0" w:rightChars="0"/>
              <w:jc w:val="center"/>
              <w:rPr>
                <w:rFonts w:hint="default" w:ascii="宋体" w:hAnsi="宋体" w:eastAsia="宋体" w:cs="Times New Roman"/>
                <w:color w:val="auto"/>
                <w:kern w:val="0"/>
                <w:sz w:val="18"/>
                <w:szCs w:val="18"/>
                <w:highlight w:val="none"/>
                <w:lang w:val="en-US" w:eastAsia="zh-CN" w:bidi="ar-SA"/>
              </w:rPr>
            </w:pPr>
            <w:r>
              <w:rPr>
                <w:rFonts w:hint="eastAsia" w:ascii="宋体" w:hAnsi="宋体"/>
                <w:color w:val="auto"/>
                <w:kern w:val="0"/>
                <w:sz w:val="18"/>
                <w:szCs w:val="18"/>
                <w:highlight w:val="none"/>
              </w:rPr>
              <w:t>—</w:t>
            </w:r>
          </w:p>
        </w:tc>
        <w:tc>
          <w:tcPr>
            <w:tcW w:w="1208" w:type="dxa"/>
            <w:tcBorders>
              <w:top w:val="single" w:color="auto" w:sz="4" w:space="0"/>
              <w:left w:val="nil"/>
              <w:bottom w:val="single" w:color="auto" w:sz="4" w:space="0"/>
              <w:right w:val="single" w:color="auto" w:sz="4" w:space="0"/>
            </w:tcBorders>
            <w:noWrap w:val="0"/>
            <w:vAlign w:val="center"/>
          </w:tcPr>
          <w:p w14:paraId="4B7D47D3">
            <w:pPr>
              <w:keepNext w:val="0"/>
              <w:keepLines w:val="0"/>
              <w:suppressLineNumbers w:val="0"/>
              <w:spacing w:before="0" w:beforeAutospacing="0" w:after="120" w:afterAutospacing="0"/>
              <w:ind w:left="0" w:leftChars="0" w:right="0" w:rightChars="0"/>
              <w:jc w:val="center"/>
              <w:rPr>
                <w:rFonts w:hint="default" w:ascii="宋体" w:hAnsi="宋体" w:eastAsia="宋体" w:cs="Times New Roman"/>
                <w:color w:val="auto"/>
                <w:kern w:val="0"/>
                <w:sz w:val="18"/>
                <w:szCs w:val="18"/>
                <w:highlight w:val="none"/>
                <w:lang w:val="en-US" w:eastAsia="zh-CN" w:bidi="ar-SA"/>
              </w:rPr>
            </w:pPr>
          </w:p>
        </w:tc>
        <w:tc>
          <w:tcPr>
            <w:tcW w:w="732" w:type="dxa"/>
            <w:tcBorders>
              <w:top w:val="single" w:color="auto" w:sz="4" w:space="0"/>
              <w:left w:val="nil"/>
              <w:bottom w:val="single" w:color="auto" w:sz="4" w:space="0"/>
              <w:right w:val="single" w:color="auto" w:sz="4" w:space="0"/>
            </w:tcBorders>
            <w:noWrap w:val="0"/>
            <w:vAlign w:val="center"/>
          </w:tcPr>
          <w:p w14:paraId="17277F85">
            <w:pPr>
              <w:keepNext w:val="0"/>
              <w:keepLines w:val="0"/>
              <w:suppressLineNumbers w:val="0"/>
              <w:spacing w:before="0" w:beforeAutospacing="0" w:after="120" w:afterAutospacing="0"/>
              <w:ind w:left="0" w:leftChars="0" w:right="0" w:rightChars="0"/>
              <w:jc w:val="center"/>
              <w:rPr>
                <w:rFonts w:hint="default" w:ascii="宋体" w:hAnsi="宋体" w:eastAsia="宋体" w:cs="Times New Roman"/>
                <w:color w:val="auto"/>
                <w:kern w:val="0"/>
                <w:sz w:val="18"/>
                <w:szCs w:val="18"/>
                <w:highlight w:val="none"/>
                <w:lang w:val="en-US" w:eastAsia="zh-CN" w:bidi="ar-SA"/>
              </w:rPr>
            </w:pPr>
            <w:r>
              <w:rPr>
                <w:rFonts w:hint="eastAsia" w:ascii="宋体" w:hAnsi="宋体"/>
                <w:color w:val="auto"/>
                <w:kern w:val="0"/>
                <w:sz w:val="18"/>
                <w:szCs w:val="18"/>
                <w:highlight w:val="none"/>
              </w:rPr>
              <w:t>—</w:t>
            </w:r>
          </w:p>
        </w:tc>
        <w:tc>
          <w:tcPr>
            <w:tcW w:w="909" w:type="dxa"/>
            <w:tcBorders>
              <w:top w:val="single" w:color="auto" w:sz="4" w:space="0"/>
              <w:left w:val="nil"/>
              <w:bottom w:val="single" w:color="auto" w:sz="4" w:space="0"/>
              <w:right w:val="single" w:color="auto" w:sz="4" w:space="0"/>
            </w:tcBorders>
            <w:noWrap w:val="0"/>
            <w:vAlign w:val="center"/>
          </w:tcPr>
          <w:p w14:paraId="338955CE">
            <w:pPr>
              <w:keepNext w:val="0"/>
              <w:keepLines w:val="0"/>
              <w:suppressLineNumbers w:val="0"/>
              <w:spacing w:before="0" w:beforeAutospacing="0" w:after="120" w:afterAutospacing="0"/>
              <w:ind w:left="0" w:leftChars="0" w:right="0" w:rightChars="0"/>
              <w:jc w:val="center"/>
              <w:rPr>
                <w:rFonts w:hint="default" w:ascii="宋体" w:hAnsi="宋体" w:eastAsia="宋体" w:cs="Times New Roman"/>
                <w:color w:val="auto"/>
                <w:kern w:val="0"/>
                <w:sz w:val="18"/>
                <w:szCs w:val="18"/>
                <w:highlight w:val="none"/>
                <w:lang w:val="en-US" w:eastAsia="zh-CN" w:bidi="ar-SA"/>
              </w:rPr>
            </w:pPr>
          </w:p>
        </w:tc>
        <w:tc>
          <w:tcPr>
            <w:tcW w:w="1035" w:type="dxa"/>
            <w:tcBorders>
              <w:top w:val="single" w:color="auto" w:sz="4" w:space="0"/>
              <w:left w:val="nil"/>
              <w:bottom w:val="single" w:color="auto" w:sz="4" w:space="0"/>
              <w:right w:val="single" w:color="auto" w:sz="4" w:space="0"/>
            </w:tcBorders>
            <w:noWrap w:val="0"/>
            <w:vAlign w:val="center"/>
          </w:tcPr>
          <w:p w14:paraId="2317EC0F">
            <w:pPr>
              <w:keepNext w:val="0"/>
              <w:keepLines w:val="0"/>
              <w:suppressLineNumbers w:val="0"/>
              <w:spacing w:before="0" w:beforeAutospacing="0" w:after="120" w:afterAutospacing="0"/>
              <w:ind w:left="0" w:leftChars="0" w:right="0" w:rightChars="0"/>
              <w:jc w:val="center"/>
              <w:rPr>
                <w:rFonts w:hint="default" w:ascii="宋体" w:hAnsi="宋体" w:eastAsia="宋体" w:cs="Times New Roman"/>
                <w:color w:val="auto"/>
                <w:kern w:val="0"/>
                <w:sz w:val="18"/>
                <w:szCs w:val="18"/>
                <w:highlight w:val="none"/>
                <w:lang w:val="en-US" w:eastAsia="zh-CN" w:bidi="ar-SA"/>
              </w:rPr>
            </w:pPr>
            <w:r>
              <w:rPr>
                <w:rFonts w:hint="eastAsia" w:ascii="宋体" w:hAnsi="宋体"/>
                <w:color w:val="auto"/>
                <w:kern w:val="0"/>
                <w:sz w:val="18"/>
                <w:szCs w:val="18"/>
                <w:highlight w:val="none"/>
              </w:rPr>
              <w:t>—</w:t>
            </w:r>
          </w:p>
        </w:tc>
        <w:tc>
          <w:tcPr>
            <w:tcW w:w="1265" w:type="dxa"/>
            <w:tcBorders>
              <w:top w:val="single" w:color="auto" w:sz="4" w:space="0"/>
              <w:left w:val="nil"/>
              <w:bottom w:val="single" w:color="auto" w:sz="4" w:space="0"/>
              <w:right w:val="single" w:color="auto" w:sz="4" w:space="0"/>
            </w:tcBorders>
            <w:noWrap w:val="0"/>
            <w:vAlign w:val="top"/>
          </w:tcPr>
          <w:p w14:paraId="3AB0D310">
            <w:pPr>
              <w:keepNext w:val="0"/>
              <w:keepLines w:val="0"/>
              <w:suppressLineNumbers w:val="0"/>
              <w:spacing w:before="0" w:beforeAutospacing="0" w:after="120" w:afterAutospacing="0"/>
              <w:ind w:left="0" w:right="0"/>
              <w:rPr>
                <w:rFonts w:hint="default" w:ascii="宋体" w:hAnsi="宋体"/>
                <w:color w:val="auto"/>
                <w:kern w:val="0"/>
                <w:sz w:val="18"/>
                <w:szCs w:val="18"/>
                <w:highlight w:val="none"/>
              </w:rPr>
            </w:pPr>
          </w:p>
        </w:tc>
      </w:tr>
    </w:tbl>
    <w:p w14:paraId="0509119E">
      <w:pPr>
        <w:pStyle w:val="52"/>
        <w:rPr>
          <w:rFonts w:hint="eastAsia"/>
          <w:color w:val="auto"/>
          <w:highlight w:val="none"/>
        </w:rPr>
        <w:sectPr>
          <w:pgSz w:w="11907" w:h="16840"/>
          <w:pgMar w:top="1440" w:right="1440" w:bottom="1440" w:left="1797" w:header="851" w:footer="851" w:gutter="0"/>
          <w:cols w:space="720" w:num="1"/>
          <w:docGrid w:linePitch="312" w:charSpace="0"/>
        </w:sectPr>
      </w:pPr>
    </w:p>
    <w:p w14:paraId="62044B65">
      <w:pPr>
        <w:pStyle w:val="5"/>
        <w:jc w:val="both"/>
        <w:rPr>
          <w:rFonts w:hint="default" w:ascii="仿宋_GB2312" w:eastAsia="仿宋_GB2312" w:cs="仿宋_GB2312"/>
          <w:color w:val="auto"/>
          <w:sz w:val="30"/>
          <w:szCs w:val="30"/>
          <w:highlight w:val="none"/>
          <w:lang w:val="en-US" w:eastAsia="zh-CN"/>
        </w:rPr>
      </w:pPr>
      <w:r>
        <w:rPr>
          <w:rFonts w:hint="eastAsia" w:ascii="仿宋_GB2312" w:eastAsia="仿宋_GB2312" w:cs="仿宋_GB2312"/>
          <w:color w:val="auto"/>
          <w:sz w:val="30"/>
          <w:szCs w:val="30"/>
          <w:highlight w:val="none"/>
          <w:lang w:eastAsia="zh-CN"/>
        </w:rPr>
        <w:t>附件</w:t>
      </w:r>
      <w:r>
        <w:rPr>
          <w:rFonts w:hint="eastAsia" w:ascii="仿宋_GB2312" w:eastAsia="仿宋_GB2312" w:cs="仿宋_GB2312"/>
          <w:color w:val="auto"/>
          <w:sz w:val="30"/>
          <w:szCs w:val="30"/>
          <w:highlight w:val="none"/>
          <w:lang w:val="en-US" w:eastAsia="zh-CN"/>
        </w:rPr>
        <w:t>16：零星签证费用确认单</w:t>
      </w:r>
    </w:p>
    <w:p w14:paraId="42F9CC9D">
      <w:pPr>
        <w:jc w:val="center"/>
        <w:outlineLvl w:val="9"/>
        <w:rPr>
          <w:rFonts w:ascii="宋体" w:hAnsi="宋体" w:eastAsia="宋体" w:cs="Times New Roman"/>
          <w:b/>
          <w:color w:val="auto"/>
          <w:sz w:val="30"/>
          <w:szCs w:val="30"/>
          <w:highlight w:val="none"/>
          <w:lang w:val="en"/>
        </w:rPr>
      </w:pPr>
      <w:r>
        <w:rPr>
          <w:rFonts w:hint="default" w:ascii="宋体" w:hAnsi="宋体" w:eastAsia="宋体" w:cs="Times New Roman"/>
          <w:b/>
          <w:color w:val="auto"/>
          <w:sz w:val="30"/>
          <w:szCs w:val="30"/>
          <w:highlight w:val="none"/>
          <w:lang w:val="en" w:eastAsia="zh-CN"/>
        </w:rPr>
        <w:t>零星签证费用确认单</w:t>
      </w:r>
    </w:p>
    <w:p w14:paraId="1B3D16BF">
      <w:pPr>
        <w:spacing w:line="360" w:lineRule="auto"/>
        <w:ind w:firstLine="420" w:firstLineChars="200"/>
        <w:rPr>
          <w:rFonts w:hint="eastAsia" w:ascii="宋体" w:hAnsi="宋体"/>
          <w:color w:val="auto"/>
          <w:sz w:val="21"/>
          <w:szCs w:val="21"/>
          <w:highlight w:val="none"/>
        </w:rPr>
      </w:pPr>
    </w:p>
    <w:p w14:paraId="168D36FE">
      <w:pPr>
        <w:spacing w:line="360" w:lineRule="auto"/>
        <w:ind w:firstLine="420" w:firstLineChars="200"/>
        <w:rPr>
          <w:color w:val="auto"/>
          <w:sz w:val="21"/>
          <w:szCs w:val="21"/>
          <w:highlight w:val="none"/>
        </w:rPr>
      </w:pPr>
      <w:r>
        <w:rPr>
          <w:rFonts w:hint="eastAsia" w:ascii="宋体" w:hAnsi="宋体"/>
          <w:color w:val="auto"/>
          <w:sz w:val="21"/>
          <w:szCs w:val="21"/>
          <w:highlight w:val="none"/>
        </w:rPr>
        <w:t xml:space="preserve">工程名称：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编号：</w:t>
      </w:r>
    </w:p>
    <w:tbl>
      <w:tblPr>
        <w:tblStyle w:val="5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0"/>
        <w:gridCol w:w="4552"/>
      </w:tblGrid>
      <w:tr w14:paraId="256E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99"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24BE0804">
            <w:pPr>
              <w:keepNext w:val="0"/>
              <w:keepLines w:val="0"/>
              <w:suppressLineNumbers w:val="0"/>
              <w:spacing w:before="0" w:beforeAutospacing="0" w:after="0" w:afterAutospacing="0" w:line="400" w:lineRule="exact"/>
              <w:ind w:left="0" w:right="0"/>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致：</w:t>
            </w:r>
            <w:r>
              <w:rPr>
                <w:rFonts w:hint="default"/>
                <w:color w:val="auto"/>
                <w:highlight w:val="none"/>
                <w:u w:val="single"/>
              </w:rPr>
              <w:t xml:space="preserve">                                      </w:t>
            </w:r>
            <w:r>
              <w:rPr>
                <w:rFonts w:hint="eastAsia" w:ascii="宋体" w:hAnsi="宋体"/>
                <w:color w:val="auto"/>
                <w:highlight w:val="none"/>
                <w:u w:val="single"/>
              </w:rPr>
              <w:t xml:space="preserve">（发包人全称） </w:t>
            </w:r>
          </w:p>
          <w:p w14:paraId="5D0646F6">
            <w:pPr>
              <w:keepNext w:val="0"/>
              <w:keepLines w:val="0"/>
              <w:suppressLineNumbers w:val="0"/>
              <w:spacing w:before="0" w:beforeAutospacing="0" w:after="0" w:afterAutospacing="0" w:line="340" w:lineRule="exact"/>
              <w:ind w:left="1333" w:leftChars="285" w:right="0" w:hanging="735" w:hangingChars="350"/>
              <w:rPr>
                <w:rFonts w:hint="default"/>
                <w:color w:val="auto"/>
                <w:highlight w:val="none"/>
              </w:rPr>
            </w:pPr>
            <w:r>
              <w:rPr>
                <w:rFonts w:hint="eastAsia" w:ascii="宋体" w:hAnsi="宋体"/>
                <w:color w:val="auto"/>
                <w:highlight w:val="none"/>
                <w:lang w:val="en-US" w:eastAsia="zh-CN"/>
              </w:rPr>
              <w:t xml:space="preserve">   年   月   日</w:t>
            </w:r>
            <w:r>
              <w:rPr>
                <w:rFonts w:hint="eastAsia" w:ascii="宋体" w:hAnsi="宋体"/>
                <w:color w:val="auto"/>
                <w:highlight w:val="none"/>
                <w:lang w:eastAsia="zh-CN"/>
              </w:rPr>
              <w:t>，</w:t>
            </w:r>
            <w:r>
              <w:rPr>
                <w:rFonts w:hint="eastAsia" w:ascii="宋体" w:hAnsi="宋体"/>
                <w:color w:val="auto"/>
                <w:highlight w:val="none"/>
              </w:rPr>
              <w:t>由于</w:t>
            </w:r>
            <w:r>
              <w:rPr>
                <w:rFonts w:hint="default"/>
                <w:color w:val="auto"/>
                <w:highlight w:val="none"/>
                <w:u w:val="single"/>
              </w:rPr>
              <w:t xml:space="preserve">                   </w:t>
            </w:r>
            <w:r>
              <w:rPr>
                <w:rFonts w:hint="eastAsia" w:ascii="宋体" w:hAnsi="宋体"/>
                <w:color w:val="auto"/>
                <w:highlight w:val="none"/>
              </w:rPr>
              <w:t>原因</w:t>
            </w:r>
            <w:r>
              <w:rPr>
                <w:rFonts w:hint="eastAsia" w:ascii="宋体" w:hAnsi="宋体"/>
                <w:color w:val="auto"/>
                <w:highlight w:val="none"/>
                <w:lang w:eastAsia="zh-CN"/>
              </w:rPr>
              <w:t>，</w:t>
            </w:r>
            <w:r>
              <w:rPr>
                <w:rFonts w:hint="eastAsia" w:ascii="宋体" w:hAnsi="宋体"/>
                <w:color w:val="auto"/>
                <w:highlight w:val="none"/>
              </w:rPr>
              <w:t>我方</w:t>
            </w:r>
            <w:r>
              <w:rPr>
                <w:rFonts w:hint="eastAsia" w:ascii="宋体" w:hAnsi="宋体"/>
                <w:color w:val="auto"/>
                <w:highlight w:val="none"/>
                <w:lang w:eastAsia="zh-CN"/>
              </w:rPr>
              <w:t>发生零星签证不含税</w:t>
            </w:r>
            <w:r>
              <w:rPr>
                <w:rFonts w:hint="eastAsia" w:ascii="宋体" w:hAnsi="宋体"/>
                <w:color w:val="auto"/>
                <w:highlight w:val="none"/>
              </w:rPr>
              <w:t>金额（大写）</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请予核准。</w:t>
            </w:r>
          </w:p>
          <w:p w14:paraId="6BE6AB36">
            <w:pPr>
              <w:keepNext w:val="0"/>
              <w:keepLines w:val="0"/>
              <w:suppressLineNumbers w:val="0"/>
              <w:spacing w:before="0" w:beforeAutospacing="0" w:after="0" w:afterAutospacing="0" w:line="340" w:lineRule="exact"/>
              <w:ind w:left="0" w:right="0"/>
              <w:rPr>
                <w:rFonts w:hint="default"/>
                <w:color w:val="auto"/>
                <w:highlight w:val="none"/>
              </w:rPr>
            </w:pPr>
            <w:r>
              <w:rPr>
                <w:rFonts w:hint="eastAsia" w:ascii="宋体" w:hAnsi="宋体"/>
                <w:color w:val="auto"/>
                <w:highlight w:val="none"/>
              </w:rPr>
              <w:t>附：</w:t>
            </w:r>
            <w:r>
              <w:rPr>
                <w:rFonts w:hint="eastAsia"/>
                <w:color w:val="auto"/>
                <w:highlight w:val="none"/>
              </w:rPr>
              <w:t>1.</w:t>
            </w:r>
            <w:r>
              <w:rPr>
                <w:rFonts w:hint="eastAsia" w:ascii="宋体" w:hAnsi="宋体"/>
                <w:color w:val="auto"/>
                <w:highlight w:val="none"/>
                <w:lang w:eastAsia="zh-CN"/>
              </w:rPr>
              <w:t>零星签证</w:t>
            </w:r>
            <w:r>
              <w:rPr>
                <w:rFonts w:hint="eastAsia" w:ascii="宋体" w:hAnsi="宋体"/>
                <w:color w:val="auto"/>
                <w:highlight w:val="none"/>
              </w:rPr>
              <w:t>的详细</w:t>
            </w:r>
            <w:r>
              <w:rPr>
                <w:rFonts w:hint="eastAsia" w:ascii="宋体" w:hAnsi="宋体"/>
                <w:color w:val="auto"/>
                <w:highlight w:val="none"/>
                <w:lang w:eastAsia="zh-CN"/>
              </w:rPr>
              <w:t>计算清单</w:t>
            </w:r>
            <w:r>
              <w:rPr>
                <w:rFonts w:hint="eastAsia" w:ascii="宋体" w:hAnsi="宋体"/>
                <w:color w:val="auto"/>
                <w:highlight w:val="none"/>
              </w:rPr>
              <w:t>：</w:t>
            </w:r>
          </w:p>
          <w:p w14:paraId="426C1142">
            <w:pPr>
              <w:keepNext w:val="0"/>
              <w:keepLines w:val="0"/>
              <w:suppressLineNumbers w:val="0"/>
              <w:spacing w:before="0" w:beforeAutospacing="0" w:after="0" w:afterAutospacing="0" w:line="340" w:lineRule="exact"/>
              <w:ind w:left="0" w:right="0" w:firstLine="435"/>
              <w:rPr>
                <w:rFonts w:hint="default"/>
                <w:color w:val="auto"/>
                <w:highlight w:val="none"/>
              </w:rPr>
            </w:pPr>
            <w:r>
              <w:rPr>
                <w:rFonts w:hint="eastAsia"/>
                <w:color w:val="auto"/>
                <w:highlight w:val="none"/>
                <w:lang w:val="en-US" w:eastAsia="zh-CN"/>
              </w:rPr>
              <w:t>2</w:t>
            </w:r>
            <w:r>
              <w:rPr>
                <w:rFonts w:hint="eastAsia"/>
                <w:color w:val="auto"/>
                <w:highlight w:val="none"/>
              </w:rPr>
              <w:t>.</w:t>
            </w:r>
            <w:r>
              <w:rPr>
                <w:rFonts w:hint="eastAsia" w:ascii="宋体" w:hAnsi="宋体"/>
                <w:color w:val="auto"/>
                <w:highlight w:val="none"/>
              </w:rPr>
              <w:t>证明材料：</w:t>
            </w:r>
          </w:p>
          <w:p w14:paraId="6F44FBB8">
            <w:pPr>
              <w:keepNext w:val="0"/>
              <w:keepLines w:val="0"/>
              <w:suppressLineNumbers w:val="0"/>
              <w:spacing w:before="0" w:beforeAutospacing="0" w:after="0" w:afterAutospacing="0" w:line="340" w:lineRule="exact"/>
              <w:ind w:left="0" w:right="0" w:firstLine="435"/>
              <w:rPr>
                <w:rFonts w:hint="default"/>
                <w:color w:val="auto"/>
                <w:highlight w:val="none"/>
              </w:rPr>
            </w:pPr>
          </w:p>
          <w:p w14:paraId="513390F2">
            <w:pPr>
              <w:keepNext w:val="0"/>
              <w:keepLines w:val="0"/>
              <w:suppressLineNumbers w:val="0"/>
              <w:spacing w:before="0" w:beforeAutospacing="0" w:after="0" w:afterAutospacing="0" w:line="340" w:lineRule="exact"/>
              <w:ind w:left="0" w:right="0"/>
              <w:jc w:val="center"/>
              <w:rPr>
                <w:rFonts w:hint="default"/>
                <w:color w:val="auto"/>
                <w:highlight w:val="none"/>
              </w:rPr>
            </w:pPr>
            <w:r>
              <w:rPr>
                <w:rFonts w:hint="default"/>
                <w:color w:val="auto"/>
                <w:highlight w:val="none"/>
              </w:rPr>
              <w:t xml:space="preserve">                                                                                               </w:t>
            </w:r>
            <w:r>
              <w:rPr>
                <w:rFonts w:hint="eastAsia" w:ascii="宋体" w:hAnsi="宋体"/>
                <w:color w:val="auto"/>
                <w:highlight w:val="none"/>
              </w:rPr>
              <w:t>承包人（章）</w:t>
            </w:r>
            <w:r>
              <w:rPr>
                <w:rFonts w:hint="default"/>
                <w:color w:val="auto"/>
                <w:highlight w:val="none"/>
              </w:rPr>
              <w:t xml:space="preserve">            </w:t>
            </w:r>
          </w:p>
          <w:p w14:paraId="29305FDF">
            <w:pPr>
              <w:keepNext w:val="0"/>
              <w:keepLines w:val="0"/>
              <w:suppressLineNumbers w:val="0"/>
              <w:spacing w:before="0" w:beforeAutospacing="0" w:after="0" w:afterAutospacing="0" w:line="340" w:lineRule="exact"/>
              <w:ind w:left="0" w:right="0"/>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造价人员</w:t>
            </w:r>
            <w:r>
              <w:rPr>
                <w:rFonts w:hint="eastAsia"/>
                <w:color w:val="auto"/>
                <w:highlight w:val="none"/>
              </w:rPr>
              <w:t xml:space="preserve">____________ </w:t>
            </w:r>
            <w:r>
              <w:rPr>
                <w:rFonts w:hint="default"/>
                <w:color w:val="auto"/>
                <w:highlight w:val="none"/>
              </w:rPr>
              <w:t xml:space="preserve">  </w:t>
            </w:r>
            <w:r>
              <w:rPr>
                <w:rFonts w:hint="eastAsia" w:ascii="宋体" w:hAnsi="宋体"/>
                <w:color w:val="auto"/>
                <w:highlight w:val="none"/>
              </w:rPr>
              <w:t>承包人代表</w:t>
            </w: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p w14:paraId="4845A250">
            <w:pPr>
              <w:keepNext w:val="0"/>
              <w:keepLines w:val="0"/>
              <w:suppressLineNumbers w:val="0"/>
              <w:spacing w:before="0" w:beforeAutospacing="0" w:after="0" w:afterAutospacing="0" w:line="340" w:lineRule="exact"/>
              <w:ind w:left="0" w:right="0"/>
              <w:rPr>
                <w:rFonts w:hint="default"/>
                <w:color w:val="auto"/>
                <w:highlight w:val="none"/>
                <w:u w:val="single"/>
              </w:rPr>
            </w:pPr>
          </w:p>
        </w:tc>
      </w:tr>
      <w:tr w14:paraId="6F6A0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4520" w:type="dxa"/>
            <w:tcBorders>
              <w:top w:val="single" w:color="auto" w:sz="4" w:space="0"/>
              <w:left w:val="single" w:color="auto" w:sz="4" w:space="0"/>
              <w:bottom w:val="single" w:color="auto" w:sz="4" w:space="0"/>
              <w:right w:val="single" w:color="auto" w:sz="4" w:space="0"/>
            </w:tcBorders>
            <w:noWrap w:val="0"/>
            <w:vAlign w:val="top"/>
          </w:tcPr>
          <w:p w14:paraId="2E94799F">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3FAAD24E">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根据施工合同条款第</w:t>
            </w:r>
            <w:r>
              <w:rPr>
                <w:rFonts w:hint="default"/>
                <w:color w:val="auto"/>
                <w:highlight w:val="none"/>
                <w:u w:val="single"/>
              </w:rPr>
              <w:t xml:space="preserve">     </w:t>
            </w:r>
            <w:r>
              <w:rPr>
                <w:rFonts w:hint="eastAsia" w:ascii="宋体" w:hAnsi="宋体"/>
                <w:color w:val="auto"/>
                <w:highlight w:val="none"/>
              </w:rPr>
              <w:t>条的约定</w:t>
            </w:r>
            <w:r>
              <w:rPr>
                <w:rFonts w:hint="eastAsia" w:ascii="宋体" w:hAnsi="宋体"/>
                <w:color w:val="auto"/>
                <w:highlight w:val="none"/>
                <w:lang w:eastAsia="zh-CN"/>
              </w:rPr>
              <w:t>，</w:t>
            </w:r>
            <w:r>
              <w:rPr>
                <w:rFonts w:hint="eastAsia" w:ascii="宋体" w:hAnsi="宋体"/>
                <w:color w:val="auto"/>
                <w:highlight w:val="none"/>
              </w:rPr>
              <w:t>你方提出的</w:t>
            </w:r>
            <w:r>
              <w:rPr>
                <w:rFonts w:hint="eastAsia" w:ascii="宋体" w:hAnsi="宋体"/>
                <w:color w:val="auto"/>
                <w:highlight w:val="none"/>
                <w:lang w:eastAsia="zh-CN"/>
              </w:rPr>
              <w:t>零星签证</w:t>
            </w:r>
            <w:r>
              <w:rPr>
                <w:rFonts w:hint="eastAsia" w:ascii="宋体" w:hAnsi="宋体"/>
                <w:color w:val="auto"/>
                <w:highlight w:val="none"/>
              </w:rPr>
              <w:t>申请经复核：</w:t>
            </w:r>
          </w:p>
          <w:p w14:paraId="2A03FC1E">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□不同意此项</w:t>
            </w:r>
            <w:r>
              <w:rPr>
                <w:rFonts w:hint="eastAsia" w:ascii="宋体" w:hAnsi="宋体"/>
                <w:color w:val="auto"/>
                <w:highlight w:val="none"/>
                <w:lang w:eastAsia="zh-CN"/>
              </w:rPr>
              <w:t>签证，</w:t>
            </w:r>
            <w:r>
              <w:rPr>
                <w:rFonts w:hint="eastAsia" w:ascii="宋体" w:hAnsi="宋体"/>
                <w:color w:val="auto"/>
                <w:highlight w:val="none"/>
              </w:rPr>
              <w:t>具体意见见附件。</w:t>
            </w:r>
          </w:p>
          <w:p w14:paraId="397A49CC">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□同意此项</w:t>
            </w:r>
            <w:r>
              <w:rPr>
                <w:rFonts w:hint="eastAsia" w:ascii="宋体" w:hAnsi="宋体"/>
                <w:color w:val="auto"/>
                <w:highlight w:val="none"/>
                <w:lang w:eastAsia="zh-CN"/>
              </w:rPr>
              <w:t>签证，签证</w:t>
            </w:r>
            <w:r>
              <w:rPr>
                <w:rFonts w:hint="eastAsia" w:ascii="宋体" w:hAnsi="宋体"/>
                <w:color w:val="auto"/>
                <w:highlight w:val="none"/>
              </w:rPr>
              <w:t>金额的计算</w:t>
            </w:r>
            <w:r>
              <w:rPr>
                <w:rFonts w:hint="eastAsia" w:ascii="宋体" w:hAnsi="宋体"/>
                <w:color w:val="auto"/>
                <w:highlight w:val="none"/>
                <w:lang w:eastAsia="zh-CN"/>
              </w:rPr>
              <w:t>，</w:t>
            </w:r>
            <w:r>
              <w:rPr>
                <w:rFonts w:hint="eastAsia" w:ascii="宋体" w:hAnsi="宋体"/>
                <w:color w:val="auto"/>
                <w:highlight w:val="none"/>
              </w:rPr>
              <w:t>由造价工程师复核。</w:t>
            </w:r>
          </w:p>
          <w:p w14:paraId="089F50EC">
            <w:pPr>
              <w:keepNext w:val="0"/>
              <w:keepLines w:val="0"/>
              <w:suppressLineNumbers w:val="0"/>
              <w:spacing w:before="0" w:beforeAutospacing="0" w:after="0" w:afterAutospacing="0" w:line="360" w:lineRule="exact"/>
              <w:ind w:left="0" w:right="0" w:firstLine="435"/>
              <w:rPr>
                <w:rFonts w:hint="default"/>
                <w:color w:val="auto"/>
                <w:highlight w:val="none"/>
              </w:rPr>
            </w:pPr>
          </w:p>
          <w:p w14:paraId="50552114">
            <w:pPr>
              <w:keepNext w:val="0"/>
              <w:keepLines w:val="0"/>
              <w:suppressLineNumbers w:val="0"/>
              <w:spacing w:before="0" w:beforeAutospacing="0" w:after="0" w:afterAutospacing="0" w:line="360" w:lineRule="exact"/>
              <w:ind w:left="0" w:right="0" w:firstLine="435"/>
              <w:rPr>
                <w:rFonts w:hint="default"/>
                <w:color w:val="auto"/>
                <w:highlight w:val="none"/>
              </w:rPr>
            </w:pPr>
          </w:p>
          <w:p w14:paraId="5EFCB0BC">
            <w:pPr>
              <w:keepNext w:val="0"/>
              <w:keepLines w:val="0"/>
              <w:suppressLineNumbers w:val="0"/>
              <w:wordWrap w:val="0"/>
              <w:spacing w:before="0" w:beforeAutospacing="0" w:after="0" w:afterAutospacing="0" w:line="360" w:lineRule="exact"/>
              <w:ind w:left="0" w:right="0"/>
              <w:jc w:val="right"/>
              <w:rPr>
                <w:rFonts w:hint="default"/>
                <w:color w:val="auto"/>
                <w:highlight w:val="none"/>
                <w:u w:val="single"/>
              </w:rPr>
            </w:pPr>
            <w:r>
              <w:rPr>
                <w:rFonts w:hint="eastAsia" w:ascii="宋体" w:hAnsi="宋体"/>
                <w:color w:val="auto"/>
                <w:highlight w:val="none"/>
              </w:rPr>
              <w:t>监理工程师</w:t>
            </w:r>
            <w:r>
              <w:rPr>
                <w:rFonts w:hint="default"/>
                <w:color w:val="auto"/>
                <w:highlight w:val="none"/>
              </w:rPr>
              <w:t xml:space="preserve"> </w:t>
            </w:r>
            <w:r>
              <w:rPr>
                <w:rFonts w:hint="default"/>
                <w:color w:val="auto"/>
                <w:highlight w:val="none"/>
                <w:u w:val="single"/>
              </w:rPr>
              <w:t xml:space="preserve">           </w:t>
            </w:r>
          </w:p>
          <w:p w14:paraId="3E29A849">
            <w:pPr>
              <w:keepNext w:val="0"/>
              <w:keepLines w:val="0"/>
              <w:suppressLineNumbers w:val="0"/>
              <w:wordWrap w:val="0"/>
              <w:spacing w:before="0" w:beforeAutospacing="0" w:after="0" w:afterAutospacing="0" w:line="360" w:lineRule="exact"/>
              <w:ind w:left="0" w:right="0"/>
              <w:jc w:val="right"/>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rPr>
              <w:t xml:space="preserve"> </w:t>
            </w:r>
            <w:r>
              <w:rPr>
                <w:rFonts w:hint="default"/>
                <w:color w:val="auto"/>
                <w:highlight w:val="none"/>
                <w:u w:val="single"/>
              </w:rPr>
              <w:t xml:space="preserve">           </w:t>
            </w:r>
          </w:p>
        </w:tc>
        <w:tc>
          <w:tcPr>
            <w:tcW w:w="4552" w:type="dxa"/>
            <w:tcBorders>
              <w:top w:val="single" w:color="auto" w:sz="4" w:space="0"/>
              <w:left w:val="single" w:color="auto" w:sz="4" w:space="0"/>
              <w:bottom w:val="single" w:color="auto" w:sz="4" w:space="0"/>
              <w:right w:val="single" w:color="auto" w:sz="4" w:space="0"/>
            </w:tcBorders>
            <w:noWrap w:val="0"/>
            <w:vAlign w:val="top"/>
          </w:tcPr>
          <w:p w14:paraId="5FD3B6D4">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119D5CBA">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根据施工合同条款第</w:t>
            </w:r>
            <w:r>
              <w:rPr>
                <w:rFonts w:hint="default"/>
                <w:color w:val="auto"/>
                <w:highlight w:val="none"/>
                <w:u w:val="single"/>
              </w:rPr>
              <w:t xml:space="preserve">     </w:t>
            </w:r>
            <w:r>
              <w:rPr>
                <w:rFonts w:hint="eastAsia" w:ascii="宋体" w:hAnsi="宋体"/>
                <w:color w:val="auto"/>
                <w:highlight w:val="none"/>
              </w:rPr>
              <w:t>条的约定</w:t>
            </w:r>
            <w:r>
              <w:rPr>
                <w:rFonts w:hint="eastAsia" w:ascii="宋体" w:hAnsi="宋体"/>
                <w:color w:val="auto"/>
                <w:highlight w:val="none"/>
                <w:lang w:eastAsia="zh-CN"/>
              </w:rPr>
              <w:t>，</w:t>
            </w:r>
            <w:r>
              <w:rPr>
                <w:rFonts w:hint="eastAsia" w:ascii="宋体" w:hAnsi="宋体"/>
                <w:color w:val="auto"/>
                <w:highlight w:val="none"/>
              </w:rPr>
              <w:t>你方提出的</w:t>
            </w:r>
            <w:r>
              <w:rPr>
                <w:rFonts w:hint="eastAsia" w:ascii="宋体" w:hAnsi="宋体"/>
                <w:color w:val="auto"/>
                <w:highlight w:val="none"/>
                <w:lang w:eastAsia="zh-CN"/>
              </w:rPr>
              <w:t>零星签证</w:t>
            </w:r>
            <w:r>
              <w:rPr>
                <w:rFonts w:hint="eastAsia" w:ascii="宋体" w:hAnsi="宋体"/>
                <w:color w:val="auto"/>
                <w:highlight w:val="none"/>
              </w:rPr>
              <w:t>申请经复核</w:t>
            </w:r>
            <w:r>
              <w:rPr>
                <w:rFonts w:hint="eastAsia" w:ascii="宋体" w:hAnsi="宋体"/>
                <w:color w:val="auto"/>
                <w:highlight w:val="none"/>
                <w:lang w:eastAsia="zh-CN"/>
              </w:rPr>
              <w:t>，签证不含税</w:t>
            </w:r>
            <w:r>
              <w:rPr>
                <w:rFonts w:hint="eastAsia" w:ascii="宋体" w:hAnsi="宋体"/>
                <w:color w:val="auto"/>
                <w:highlight w:val="none"/>
              </w:rPr>
              <w:t>金额为</w:t>
            </w:r>
          </w:p>
          <w:p w14:paraId="2B54F6F1">
            <w:pPr>
              <w:keepNext w:val="0"/>
              <w:keepLines w:val="0"/>
              <w:suppressLineNumbers w:val="0"/>
              <w:spacing w:before="0" w:beforeAutospacing="0" w:after="0" w:afterAutospacing="0" w:line="360" w:lineRule="exact"/>
              <w:ind w:left="0" w:right="0"/>
              <w:rPr>
                <w:rFonts w:hint="default"/>
                <w:color w:val="auto"/>
                <w:highlight w:val="none"/>
                <w:u w:val="single"/>
              </w:rPr>
            </w:pPr>
            <w:r>
              <w:rPr>
                <w:rFonts w:hint="eastAsia" w:ascii="宋体" w:hAnsi="宋体"/>
                <w:color w:val="auto"/>
                <w:highlight w:val="none"/>
              </w:rPr>
              <w:t>（大写）</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r>
              <w:rPr>
                <w:rFonts w:hint="default"/>
                <w:color w:val="auto"/>
                <w:highlight w:val="none"/>
                <w:u w:val="single"/>
              </w:rPr>
              <w:t xml:space="preserve">            </w:t>
            </w:r>
            <w:r>
              <w:rPr>
                <w:rFonts w:hint="eastAsia" w:ascii="宋体" w:hAnsi="宋体"/>
                <w:color w:val="auto"/>
                <w:highlight w:val="none"/>
              </w:rPr>
              <w:t>元。</w:t>
            </w:r>
          </w:p>
          <w:p w14:paraId="2EFD1DBC">
            <w:pPr>
              <w:keepNext w:val="0"/>
              <w:keepLines w:val="0"/>
              <w:suppressLineNumbers w:val="0"/>
              <w:spacing w:before="0" w:beforeAutospacing="0" w:after="0" w:afterAutospacing="0" w:line="360" w:lineRule="exact"/>
              <w:ind w:left="0" w:right="0" w:firstLine="435"/>
              <w:jc w:val="right"/>
              <w:rPr>
                <w:rFonts w:hint="default"/>
                <w:color w:val="auto"/>
                <w:highlight w:val="none"/>
              </w:rPr>
            </w:pPr>
          </w:p>
          <w:p w14:paraId="0BBEC4C9">
            <w:pPr>
              <w:keepNext w:val="0"/>
              <w:keepLines w:val="0"/>
              <w:suppressLineNumbers w:val="0"/>
              <w:spacing w:before="0" w:beforeAutospacing="0" w:after="0" w:afterAutospacing="0" w:line="360" w:lineRule="exact"/>
              <w:ind w:left="0" w:right="0" w:firstLine="435"/>
              <w:jc w:val="center"/>
              <w:rPr>
                <w:rFonts w:hint="default"/>
                <w:color w:val="auto"/>
                <w:highlight w:val="none"/>
              </w:rPr>
            </w:pPr>
            <w:r>
              <w:rPr>
                <w:rFonts w:hint="default"/>
                <w:color w:val="auto"/>
                <w:highlight w:val="none"/>
              </w:rPr>
              <w:t xml:space="preserve">                                 </w:t>
            </w:r>
          </w:p>
          <w:p w14:paraId="49AE3CA7">
            <w:pPr>
              <w:keepNext w:val="0"/>
              <w:keepLines w:val="0"/>
              <w:suppressLineNumbers w:val="0"/>
              <w:spacing w:before="0" w:beforeAutospacing="0" w:after="0" w:afterAutospacing="0" w:line="360" w:lineRule="exact"/>
              <w:ind w:left="0" w:right="0" w:firstLine="435"/>
              <w:jc w:val="center"/>
              <w:rPr>
                <w:rFonts w:hint="default"/>
                <w:color w:val="auto"/>
                <w:highlight w:val="none"/>
              </w:rPr>
            </w:pPr>
          </w:p>
          <w:p w14:paraId="22CCD673">
            <w:pPr>
              <w:keepNext w:val="0"/>
              <w:keepLines w:val="0"/>
              <w:suppressLineNumbers w:val="0"/>
              <w:spacing w:before="0" w:beforeAutospacing="0" w:after="0" w:afterAutospacing="0" w:line="360" w:lineRule="exact"/>
              <w:ind w:left="0" w:right="0" w:firstLine="435"/>
              <w:jc w:val="center"/>
              <w:rPr>
                <w:rFonts w:hint="default"/>
                <w:color w:val="auto"/>
                <w:highlight w:val="none"/>
              </w:rPr>
            </w:pPr>
          </w:p>
          <w:p w14:paraId="085F28C4">
            <w:pPr>
              <w:keepNext w:val="0"/>
              <w:keepLines w:val="0"/>
              <w:suppressLineNumbers w:val="0"/>
              <w:spacing w:before="0" w:beforeAutospacing="0" w:after="0" w:afterAutospacing="0" w:line="360" w:lineRule="exact"/>
              <w:ind w:left="0" w:right="0" w:firstLine="435"/>
              <w:jc w:val="center"/>
              <w:rPr>
                <w:rFonts w:hint="default"/>
                <w:color w:val="auto"/>
                <w:highlight w:val="none"/>
              </w:rPr>
            </w:pPr>
            <w:r>
              <w:rPr>
                <w:rFonts w:hint="eastAsia" w:ascii="宋体" w:hAnsi="宋体"/>
                <w:color w:val="auto"/>
                <w:highlight w:val="none"/>
              </w:rPr>
              <w:t>造价工程师</w:t>
            </w:r>
            <w:r>
              <w:rPr>
                <w:rFonts w:hint="default"/>
                <w:color w:val="auto"/>
                <w:highlight w:val="none"/>
                <w:u w:val="single"/>
              </w:rPr>
              <w:t xml:space="preserve">           </w:t>
            </w:r>
            <w:r>
              <w:rPr>
                <w:rFonts w:hint="default"/>
                <w:color w:val="auto"/>
                <w:highlight w:val="none"/>
              </w:rPr>
              <w:t xml:space="preserve">                               </w:t>
            </w:r>
          </w:p>
          <w:p w14:paraId="3C81BC37">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7746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1"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6FE93B50">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审核意见：</w:t>
            </w:r>
          </w:p>
          <w:p w14:paraId="3DB0308C">
            <w:pPr>
              <w:keepNext w:val="0"/>
              <w:keepLines w:val="0"/>
              <w:suppressLineNumbers w:val="0"/>
              <w:spacing w:before="0" w:beforeAutospacing="0" w:after="0" w:afterAutospacing="0" w:line="340" w:lineRule="exact"/>
              <w:ind w:left="0" w:right="0" w:firstLine="435"/>
              <w:rPr>
                <w:rFonts w:hint="default"/>
                <w:color w:val="auto"/>
                <w:highlight w:val="none"/>
              </w:rPr>
            </w:pPr>
            <w:r>
              <w:rPr>
                <w:rFonts w:hint="eastAsia" w:ascii="宋体" w:hAnsi="宋体"/>
                <w:color w:val="auto"/>
                <w:highlight w:val="none"/>
              </w:rPr>
              <w:t>□不同意此项</w:t>
            </w:r>
            <w:r>
              <w:rPr>
                <w:rFonts w:hint="eastAsia" w:ascii="宋体" w:hAnsi="宋体"/>
                <w:color w:val="auto"/>
                <w:highlight w:val="none"/>
                <w:lang w:eastAsia="zh-CN"/>
              </w:rPr>
              <w:t>签证</w:t>
            </w:r>
            <w:r>
              <w:rPr>
                <w:rFonts w:hint="eastAsia" w:ascii="宋体" w:hAnsi="宋体"/>
                <w:color w:val="auto"/>
                <w:highlight w:val="none"/>
              </w:rPr>
              <w:t>。</w:t>
            </w:r>
          </w:p>
          <w:p w14:paraId="13C1ACD8">
            <w:pPr>
              <w:keepNext w:val="0"/>
              <w:keepLines w:val="0"/>
              <w:suppressLineNumbers w:val="0"/>
              <w:spacing w:before="0" w:beforeAutospacing="0" w:after="0" w:afterAutospacing="0" w:line="340" w:lineRule="exact"/>
              <w:ind w:left="0" w:right="0" w:firstLine="420" w:firstLineChars="200"/>
              <w:rPr>
                <w:rFonts w:hint="default"/>
                <w:color w:val="auto"/>
                <w:highlight w:val="none"/>
              </w:rPr>
            </w:pPr>
            <w:r>
              <w:rPr>
                <w:rFonts w:hint="eastAsia" w:ascii="宋体" w:hAnsi="宋体"/>
                <w:color w:val="auto"/>
                <w:highlight w:val="none"/>
              </w:rPr>
              <w:t>□同意此项</w:t>
            </w:r>
            <w:r>
              <w:rPr>
                <w:rFonts w:hint="eastAsia" w:ascii="宋体" w:hAnsi="宋体"/>
                <w:color w:val="auto"/>
                <w:highlight w:val="none"/>
                <w:lang w:eastAsia="zh-CN"/>
              </w:rPr>
              <w:t>签证，</w:t>
            </w:r>
            <w:r>
              <w:rPr>
                <w:rFonts w:hint="eastAsia" w:ascii="宋体" w:hAnsi="宋体"/>
                <w:color w:val="auto"/>
                <w:highlight w:val="none"/>
              </w:rPr>
              <w:t>与本期进度款同期支付。</w:t>
            </w:r>
          </w:p>
          <w:p w14:paraId="001E2367">
            <w:pPr>
              <w:keepNext w:val="0"/>
              <w:keepLines w:val="0"/>
              <w:suppressLineNumbers w:val="0"/>
              <w:spacing w:before="0" w:beforeAutospacing="0" w:after="0" w:afterAutospacing="0"/>
              <w:ind w:left="0" w:right="0"/>
              <w:rPr>
                <w:rFonts w:hint="default"/>
                <w:color w:val="auto"/>
                <w:highlight w:val="none"/>
              </w:rPr>
            </w:pPr>
          </w:p>
          <w:p w14:paraId="708CD484">
            <w:pPr>
              <w:keepNext w:val="0"/>
              <w:keepLines w:val="0"/>
              <w:suppressLineNumbers w:val="0"/>
              <w:spacing w:before="0" w:beforeAutospacing="0" w:after="0" w:afterAutospacing="0" w:line="340" w:lineRule="exact"/>
              <w:ind w:left="0" w:right="0" w:firstLine="0" w:firstLineChars="0"/>
              <w:jc w:val="both"/>
              <w:rPr>
                <w:rFonts w:hint="default"/>
                <w:color w:val="auto"/>
                <w:highlight w:val="none"/>
              </w:rPr>
            </w:pPr>
          </w:p>
          <w:p w14:paraId="4C9FB1D0">
            <w:pPr>
              <w:keepNext w:val="0"/>
              <w:keepLines w:val="0"/>
              <w:suppressLineNumbers w:val="0"/>
              <w:spacing w:before="0" w:beforeAutospacing="0" w:after="0" w:afterAutospacing="0" w:line="340" w:lineRule="exact"/>
              <w:ind w:left="0" w:right="0" w:firstLine="420" w:firstLineChars="200"/>
              <w:jc w:val="center"/>
              <w:rPr>
                <w:rFonts w:hint="default"/>
                <w:color w:val="auto"/>
                <w:highlight w:val="none"/>
              </w:rPr>
            </w:pPr>
          </w:p>
          <w:p w14:paraId="226DE71B">
            <w:pPr>
              <w:keepNext w:val="0"/>
              <w:keepLines w:val="0"/>
              <w:suppressLineNumbers w:val="0"/>
              <w:spacing w:before="0" w:beforeAutospacing="0" w:after="0" w:afterLines="50" w:afterAutospacing="0" w:line="340" w:lineRule="exact"/>
              <w:ind w:left="0" w:right="0" w:firstLine="420" w:firstLineChars="200"/>
              <w:jc w:val="center"/>
              <w:rPr>
                <w:rFonts w:hint="default"/>
                <w:color w:val="auto"/>
                <w:highlight w:val="none"/>
                <w:u w:val="single"/>
              </w:rPr>
            </w:pPr>
            <w:r>
              <w:rPr>
                <w:rFonts w:hint="eastAsia" w:ascii="宋体" w:hAnsi="宋体"/>
                <w:color w:val="auto"/>
                <w:highlight w:val="none"/>
              </w:rPr>
              <w:t xml:space="preserve">发包人（章） </w:t>
            </w:r>
            <w:r>
              <w:rPr>
                <w:rFonts w:hint="default"/>
                <w:color w:val="auto"/>
                <w:highlight w:val="none"/>
              </w:rPr>
              <w:t xml:space="preserve">                                                                                                     </w:t>
            </w:r>
            <w:r>
              <w:rPr>
                <w:rFonts w:hint="eastAsia" w:ascii="宋体" w:hAnsi="宋体"/>
                <w:color w:val="auto"/>
                <w:highlight w:val="none"/>
              </w:rPr>
              <w:t>发包人代表</w:t>
            </w: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bl>
    <w:p w14:paraId="48F42237">
      <w:pPr>
        <w:ind w:firstLine="360" w:firstLineChars="200"/>
        <w:rPr>
          <w:color w:val="auto"/>
          <w:sz w:val="18"/>
          <w:szCs w:val="18"/>
          <w:highlight w:val="none"/>
        </w:rPr>
      </w:pPr>
      <w:r>
        <w:rPr>
          <w:rFonts w:hint="eastAsia" w:ascii="宋体" w:hAnsi="宋体"/>
          <w:color w:val="auto"/>
          <w:sz w:val="18"/>
          <w:szCs w:val="18"/>
          <w:highlight w:val="none"/>
        </w:rPr>
        <w:t>注：</w:t>
      </w:r>
      <w:r>
        <w:rPr>
          <w:rFonts w:hint="eastAsia"/>
          <w:color w:val="auto"/>
          <w:sz w:val="18"/>
          <w:szCs w:val="18"/>
          <w:highlight w:val="none"/>
        </w:rPr>
        <w:t xml:space="preserve">1. </w:t>
      </w:r>
      <w:r>
        <w:rPr>
          <w:rFonts w:hint="eastAsia" w:ascii="宋体" w:hAnsi="宋体"/>
          <w:color w:val="auto"/>
          <w:sz w:val="18"/>
          <w:szCs w:val="18"/>
          <w:highlight w:val="none"/>
        </w:rPr>
        <w:t>在选择栏中的</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内作标识</w:t>
      </w:r>
      <w:r>
        <w:rPr>
          <w:rFonts w:hint="eastAsia" w:ascii="宋体" w:hAnsi="宋体"/>
          <w:color w:val="auto"/>
          <w:sz w:val="18"/>
          <w:szCs w:val="18"/>
          <w:highlight w:val="none"/>
          <w:lang w:eastAsia="zh-CN"/>
        </w:rPr>
        <w:t>“</w:t>
      </w:r>
      <w:r>
        <w:rPr>
          <w:rFonts w:hint="eastAsia" w:ascii="宋体" w:hAnsi="宋体"/>
          <w:color w:val="auto"/>
          <w:sz w:val="18"/>
          <w:szCs w:val="18"/>
          <w:highlight w:val="none"/>
        </w:rPr>
        <w:t>√</w:t>
      </w:r>
      <w:r>
        <w:rPr>
          <w:rFonts w:hint="eastAsia" w:ascii="宋体" w:hAnsi="宋体"/>
          <w:color w:val="auto"/>
          <w:sz w:val="18"/>
          <w:szCs w:val="18"/>
          <w:highlight w:val="none"/>
          <w:lang w:eastAsia="zh-CN"/>
        </w:rPr>
        <w:t>”</w:t>
      </w:r>
      <w:r>
        <w:rPr>
          <w:rFonts w:hint="eastAsia" w:ascii="宋体" w:hAnsi="宋体"/>
          <w:color w:val="auto"/>
          <w:sz w:val="18"/>
          <w:szCs w:val="18"/>
          <w:highlight w:val="none"/>
        </w:rPr>
        <w:t xml:space="preserve">。 </w:t>
      </w:r>
    </w:p>
    <w:p w14:paraId="78559CD9">
      <w:pPr>
        <w:numPr>
          <w:ilvl w:val="0"/>
          <w:numId w:val="6"/>
        </w:numPr>
        <w:ind w:left="720"/>
        <w:rPr>
          <w:rFonts w:hint="eastAsia" w:ascii="宋体" w:hAnsi="宋体"/>
          <w:color w:val="auto"/>
          <w:sz w:val="18"/>
          <w:szCs w:val="18"/>
          <w:highlight w:val="none"/>
        </w:rPr>
      </w:pPr>
      <w:r>
        <w:rPr>
          <w:rFonts w:hint="eastAsia" w:ascii="宋体" w:hAnsi="宋体"/>
          <w:color w:val="auto"/>
          <w:sz w:val="18"/>
          <w:szCs w:val="18"/>
          <w:highlight w:val="none"/>
        </w:rPr>
        <w:t>本表一式四份</w:t>
      </w:r>
      <w:r>
        <w:rPr>
          <w:rFonts w:hint="eastAsia" w:ascii="宋体" w:hAnsi="宋体"/>
          <w:color w:val="auto"/>
          <w:sz w:val="18"/>
          <w:szCs w:val="18"/>
          <w:highlight w:val="none"/>
          <w:lang w:eastAsia="zh-CN"/>
        </w:rPr>
        <w:t>，</w:t>
      </w:r>
      <w:r>
        <w:rPr>
          <w:rFonts w:hint="eastAsia" w:ascii="宋体" w:hAnsi="宋体"/>
          <w:color w:val="auto"/>
          <w:sz w:val="18"/>
          <w:szCs w:val="18"/>
          <w:highlight w:val="none"/>
        </w:rPr>
        <w:t>由承包人填报</w:t>
      </w:r>
      <w:r>
        <w:rPr>
          <w:rFonts w:hint="eastAsia" w:ascii="宋体" w:hAnsi="宋体"/>
          <w:color w:val="auto"/>
          <w:sz w:val="18"/>
          <w:szCs w:val="18"/>
          <w:highlight w:val="none"/>
          <w:lang w:eastAsia="zh-CN"/>
        </w:rPr>
        <w:t>，</w:t>
      </w:r>
      <w:r>
        <w:rPr>
          <w:rFonts w:hint="eastAsia" w:ascii="宋体" w:hAnsi="宋体"/>
          <w:color w:val="auto"/>
          <w:sz w:val="18"/>
          <w:szCs w:val="18"/>
          <w:highlight w:val="none"/>
        </w:rPr>
        <w:t>发包人、监理人、造价咨询人、承包人各存一份。</w:t>
      </w:r>
    </w:p>
    <w:p w14:paraId="098AEB6E">
      <w:pPr>
        <w:pStyle w:val="52"/>
        <w:ind w:leftChars="0" w:firstLine="0" w:firstLineChars="0"/>
        <w:rPr>
          <w:rFonts w:hint="eastAsia"/>
          <w:color w:val="auto"/>
          <w:highlight w:val="none"/>
        </w:rPr>
      </w:pPr>
    </w:p>
    <w:p w14:paraId="66CD83A3">
      <w:pPr>
        <w:wordWrap/>
        <w:jc w:val="left"/>
        <w:outlineLvl w:val="9"/>
        <w:rPr>
          <w:rFonts w:hint="eastAsia"/>
          <w:lang w:val="en" w:eastAsia="zh-CN"/>
        </w:rPr>
      </w:pPr>
    </w:p>
    <w:p w14:paraId="65F8AEEA">
      <w:pPr>
        <w:pStyle w:val="5"/>
        <w:jc w:val="both"/>
        <w:rPr>
          <w:rFonts w:hint="eastAsia" w:ascii="仿宋_GB2312" w:hAnsi="Times New Roman" w:eastAsia="仿宋_GB2312" w:cs="仿宋_GB2312"/>
          <w:b w:val="0"/>
          <w:color w:val="auto"/>
          <w:sz w:val="30"/>
          <w:szCs w:val="30"/>
          <w:highlight w:val="none"/>
          <w:lang w:val="en-US" w:eastAsia="zh-CN"/>
        </w:rPr>
      </w:pPr>
      <w:r>
        <w:rPr>
          <w:rFonts w:hint="eastAsia" w:ascii="仿宋_GB2312" w:hAnsi="Times New Roman" w:eastAsia="仿宋_GB2312" w:cs="仿宋_GB2312"/>
          <w:b w:val="0"/>
          <w:color w:val="auto"/>
          <w:sz w:val="30"/>
          <w:szCs w:val="30"/>
          <w:highlight w:val="none"/>
          <w:lang w:val="en-US" w:eastAsia="zh-CN"/>
        </w:rPr>
        <w:t>附件17：</w:t>
      </w:r>
      <w:r>
        <w:rPr>
          <w:rFonts w:hint="eastAsia" w:ascii="仿宋_GB2312" w:hAnsi="Times New Roman" w:eastAsia="仿宋_GB2312" w:cs="仿宋_GB2312"/>
          <w:b w:val="0"/>
          <w:color w:val="auto"/>
          <w:sz w:val="30"/>
          <w:szCs w:val="30"/>
          <w:highlight w:val="none"/>
          <w:lang w:val="en-US"/>
        </w:rPr>
        <w:t>索赔费用申请（核准）表</w:t>
      </w:r>
    </w:p>
    <w:p w14:paraId="11E528DB">
      <w:pPr>
        <w:jc w:val="center"/>
        <w:outlineLvl w:val="9"/>
        <w:rPr>
          <w:b/>
          <w:color w:val="auto"/>
          <w:sz w:val="36"/>
          <w:szCs w:val="36"/>
          <w:highlight w:val="none"/>
        </w:rPr>
      </w:pPr>
      <w:r>
        <w:rPr>
          <w:rFonts w:hint="eastAsia" w:ascii="宋体" w:hAnsi="宋体"/>
          <w:b/>
          <w:color w:val="auto"/>
          <w:sz w:val="36"/>
          <w:szCs w:val="36"/>
          <w:highlight w:val="none"/>
        </w:rPr>
        <w:t>索赔费用申请（核准）表</w:t>
      </w:r>
    </w:p>
    <w:p w14:paraId="5385AE58">
      <w:pPr>
        <w:spacing w:line="360" w:lineRule="auto"/>
        <w:ind w:firstLine="420" w:firstLineChars="200"/>
        <w:rPr>
          <w:rFonts w:hint="eastAsia" w:ascii="宋体" w:hAnsi="宋体"/>
          <w:color w:val="auto"/>
          <w:sz w:val="21"/>
          <w:szCs w:val="21"/>
          <w:highlight w:val="none"/>
        </w:rPr>
      </w:pPr>
    </w:p>
    <w:p w14:paraId="6A41AB27">
      <w:pPr>
        <w:spacing w:line="360" w:lineRule="auto"/>
        <w:ind w:firstLine="420" w:firstLineChars="200"/>
        <w:rPr>
          <w:color w:val="auto"/>
          <w:sz w:val="21"/>
          <w:szCs w:val="21"/>
          <w:highlight w:val="none"/>
        </w:rPr>
      </w:pPr>
      <w:r>
        <w:rPr>
          <w:rFonts w:hint="eastAsia" w:ascii="宋体" w:hAnsi="宋体"/>
          <w:color w:val="auto"/>
          <w:sz w:val="21"/>
          <w:szCs w:val="21"/>
          <w:highlight w:val="none"/>
        </w:rPr>
        <w:t xml:space="preserve">工程名称：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编号：</w:t>
      </w:r>
    </w:p>
    <w:tbl>
      <w:tblPr>
        <w:tblStyle w:val="5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0"/>
        <w:gridCol w:w="4552"/>
      </w:tblGrid>
      <w:tr w14:paraId="7504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99"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50C186E9">
            <w:pPr>
              <w:keepNext w:val="0"/>
              <w:keepLines w:val="0"/>
              <w:suppressLineNumbers w:val="0"/>
              <w:spacing w:before="0" w:beforeAutospacing="0" w:after="0" w:afterAutospacing="0" w:line="400" w:lineRule="exact"/>
              <w:ind w:left="0" w:right="0"/>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致：</w:t>
            </w:r>
            <w:r>
              <w:rPr>
                <w:rFonts w:hint="default"/>
                <w:color w:val="auto"/>
                <w:highlight w:val="none"/>
                <w:u w:val="single"/>
              </w:rPr>
              <w:t xml:space="preserve">                                      </w:t>
            </w:r>
            <w:r>
              <w:rPr>
                <w:rFonts w:hint="eastAsia" w:ascii="宋体" w:hAnsi="宋体"/>
                <w:color w:val="auto"/>
                <w:highlight w:val="none"/>
                <w:u w:val="single"/>
              </w:rPr>
              <w:t xml:space="preserve">（发包人全称） </w:t>
            </w:r>
          </w:p>
          <w:p w14:paraId="29F14019">
            <w:pPr>
              <w:keepNext w:val="0"/>
              <w:keepLines w:val="0"/>
              <w:suppressLineNumbers w:val="0"/>
              <w:spacing w:before="0" w:beforeAutospacing="0" w:after="0" w:afterAutospacing="0" w:line="340" w:lineRule="exact"/>
              <w:ind w:left="0" w:right="0" w:firstLine="525" w:firstLineChars="250"/>
              <w:rPr>
                <w:rFonts w:hint="default"/>
                <w:color w:val="auto"/>
                <w:highlight w:val="none"/>
              </w:rPr>
            </w:pPr>
            <w:r>
              <w:rPr>
                <w:rFonts w:hint="eastAsia" w:ascii="宋体" w:hAnsi="宋体"/>
                <w:color w:val="auto"/>
                <w:highlight w:val="none"/>
              </w:rPr>
              <w:t>根据施工合同条款第</w:t>
            </w:r>
            <w:r>
              <w:rPr>
                <w:rFonts w:hint="default"/>
                <w:color w:val="auto"/>
                <w:highlight w:val="none"/>
                <w:u w:val="single"/>
              </w:rPr>
              <w:t xml:space="preserve">         </w:t>
            </w:r>
            <w:r>
              <w:rPr>
                <w:rFonts w:hint="eastAsia" w:ascii="宋体" w:hAnsi="宋体"/>
                <w:color w:val="auto"/>
                <w:highlight w:val="none"/>
              </w:rPr>
              <w:t>条的约定</w:t>
            </w:r>
            <w:r>
              <w:rPr>
                <w:rFonts w:hint="eastAsia" w:ascii="宋体" w:hAnsi="宋体"/>
                <w:color w:val="auto"/>
                <w:highlight w:val="none"/>
                <w:lang w:eastAsia="zh-CN"/>
              </w:rPr>
              <w:t>，</w:t>
            </w:r>
            <w:r>
              <w:rPr>
                <w:rFonts w:hint="eastAsia" w:ascii="宋体" w:hAnsi="宋体"/>
                <w:color w:val="auto"/>
                <w:highlight w:val="none"/>
              </w:rPr>
              <w:t>由于</w:t>
            </w:r>
            <w:r>
              <w:rPr>
                <w:rFonts w:hint="default"/>
                <w:color w:val="auto"/>
                <w:highlight w:val="none"/>
                <w:u w:val="single"/>
              </w:rPr>
              <w:t xml:space="preserve">                   </w:t>
            </w:r>
            <w:r>
              <w:rPr>
                <w:rFonts w:hint="eastAsia" w:ascii="宋体" w:hAnsi="宋体"/>
                <w:color w:val="auto"/>
                <w:highlight w:val="none"/>
              </w:rPr>
              <w:t>原因</w:t>
            </w:r>
            <w:r>
              <w:rPr>
                <w:rFonts w:hint="eastAsia" w:ascii="宋体" w:hAnsi="宋体"/>
                <w:color w:val="auto"/>
                <w:highlight w:val="none"/>
                <w:lang w:eastAsia="zh-CN"/>
              </w:rPr>
              <w:t>，</w:t>
            </w:r>
            <w:r>
              <w:rPr>
                <w:rFonts w:hint="eastAsia" w:ascii="宋体" w:hAnsi="宋体"/>
                <w:color w:val="auto"/>
                <w:highlight w:val="none"/>
              </w:rPr>
              <w:t>我方要求索赔</w:t>
            </w:r>
            <w:r>
              <w:rPr>
                <w:rFonts w:hint="eastAsia" w:ascii="宋体" w:hAnsi="宋体"/>
                <w:color w:val="auto"/>
                <w:highlight w:val="none"/>
                <w:lang w:eastAsia="zh-CN"/>
              </w:rPr>
              <w:t>不含税</w:t>
            </w:r>
            <w:r>
              <w:rPr>
                <w:rFonts w:hint="eastAsia" w:ascii="宋体" w:hAnsi="宋体"/>
                <w:color w:val="auto"/>
                <w:highlight w:val="none"/>
              </w:rPr>
              <w:t>金额（大写）</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请予核准。</w:t>
            </w:r>
          </w:p>
          <w:p w14:paraId="687957D2">
            <w:pPr>
              <w:keepNext w:val="0"/>
              <w:keepLines w:val="0"/>
              <w:suppressLineNumbers w:val="0"/>
              <w:spacing w:before="0" w:beforeAutospacing="0" w:after="0" w:afterAutospacing="0" w:line="340" w:lineRule="exact"/>
              <w:ind w:left="0" w:right="0"/>
              <w:rPr>
                <w:rFonts w:hint="default"/>
                <w:color w:val="auto"/>
                <w:highlight w:val="none"/>
              </w:rPr>
            </w:pPr>
            <w:r>
              <w:rPr>
                <w:rFonts w:hint="eastAsia" w:ascii="宋体" w:hAnsi="宋体"/>
                <w:color w:val="auto"/>
                <w:highlight w:val="none"/>
              </w:rPr>
              <w:t>附：</w:t>
            </w:r>
            <w:r>
              <w:rPr>
                <w:rFonts w:hint="eastAsia"/>
                <w:color w:val="auto"/>
                <w:highlight w:val="none"/>
              </w:rPr>
              <w:t>1.</w:t>
            </w:r>
            <w:r>
              <w:rPr>
                <w:rFonts w:hint="eastAsia" w:ascii="宋体" w:hAnsi="宋体"/>
                <w:color w:val="auto"/>
                <w:highlight w:val="none"/>
              </w:rPr>
              <w:t>索赔费用的详细理由和依据：</w:t>
            </w:r>
          </w:p>
          <w:p w14:paraId="7FC1E44C">
            <w:pPr>
              <w:keepNext w:val="0"/>
              <w:keepLines w:val="0"/>
              <w:suppressLineNumbers w:val="0"/>
              <w:spacing w:before="0" w:beforeAutospacing="0" w:after="0" w:afterAutospacing="0" w:line="340" w:lineRule="exact"/>
              <w:ind w:left="0" w:right="0" w:firstLine="435"/>
              <w:rPr>
                <w:rFonts w:hint="default"/>
                <w:color w:val="auto"/>
                <w:highlight w:val="none"/>
              </w:rPr>
            </w:pPr>
            <w:r>
              <w:rPr>
                <w:rFonts w:hint="eastAsia"/>
                <w:color w:val="auto"/>
                <w:highlight w:val="none"/>
              </w:rPr>
              <w:t>2.</w:t>
            </w:r>
            <w:r>
              <w:rPr>
                <w:rFonts w:hint="eastAsia" w:ascii="宋体" w:hAnsi="宋体"/>
                <w:color w:val="auto"/>
                <w:highlight w:val="none"/>
              </w:rPr>
              <w:t>索赔金额的计算：</w:t>
            </w:r>
          </w:p>
          <w:p w14:paraId="15414D81">
            <w:pPr>
              <w:keepNext w:val="0"/>
              <w:keepLines w:val="0"/>
              <w:suppressLineNumbers w:val="0"/>
              <w:spacing w:before="0" w:beforeAutospacing="0" w:after="0" w:afterAutospacing="0" w:line="340" w:lineRule="exact"/>
              <w:ind w:left="0" w:right="0" w:firstLine="435"/>
              <w:rPr>
                <w:rFonts w:hint="default"/>
                <w:color w:val="auto"/>
                <w:highlight w:val="none"/>
              </w:rPr>
            </w:pPr>
            <w:r>
              <w:rPr>
                <w:rFonts w:hint="eastAsia"/>
                <w:color w:val="auto"/>
                <w:highlight w:val="none"/>
              </w:rPr>
              <w:t>3.</w:t>
            </w:r>
            <w:r>
              <w:rPr>
                <w:rFonts w:hint="eastAsia" w:ascii="宋体" w:hAnsi="宋体"/>
                <w:color w:val="auto"/>
                <w:highlight w:val="none"/>
              </w:rPr>
              <w:t>证明材料：</w:t>
            </w:r>
          </w:p>
          <w:p w14:paraId="0DEAA92E">
            <w:pPr>
              <w:keepNext w:val="0"/>
              <w:keepLines w:val="0"/>
              <w:suppressLineNumbers w:val="0"/>
              <w:spacing w:before="0" w:beforeAutospacing="0" w:after="0" w:afterAutospacing="0" w:line="340" w:lineRule="exact"/>
              <w:ind w:left="0" w:right="0" w:firstLine="435"/>
              <w:rPr>
                <w:rFonts w:hint="default"/>
                <w:color w:val="auto"/>
                <w:highlight w:val="none"/>
              </w:rPr>
            </w:pPr>
          </w:p>
          <w:p w14:paraId="795E714C">
            <w:pPr>
              <w:keepNext w:val="0"/>
              <w:keepLines w:val="0"/>
              <w:suppressLineNumbers w:val="0"/>
              <w:spacing w:before="0" w:beforeAutospacing="0" w:after="0" w:afterAutospacing="0" w:line="340" w:lineRule="exact"/>
              <w:ind w:left="0" w:right="0"/>
              <w:jc w:val="center"/>
              <w:rPr>
                <w:rFonts w:hint="default"/>
                <w:color w:val="auto"/>
                <w:highlight w:val="none"/>
              </w:rPr>
            </w:pPr>
            <w:r>
              <w:rPr>
                <w:rFonts w:hint="default"/>
                <w:color w:val="auto"/>
                <w:highlight w:val="none"/>
              </w:rPr>
              <w:t xml:space="preserve">                                                                                               </w:t>
            </w:r>
            <w:r>
              <w:rPr>
                <w:rFonts w:hint="eastAsia" w:ascii="宋体" w:hAnsi="宋体"/>
                <w:color w:val="auto"/>
                <w:highlight w:val="none"/>
              </w:rPr>
              <w:t>承包人（章）</w:t>
            </w:r>
            <w:r>
              <w:rPr>
                <w:rFonts w:hint="default"/>
                <w:color w:val="auto"/>
                <w:highlight w:val="none"/>
              </w:rPr>
              <w:t xml:space="preserve">            </w:t>
            </w:r>
          </w:p>
          <w:p w14:paraId="58482304">
            <w:pPr>
              <w:keepNext w:val="0"/>
              <w:keepLines w:val="0"/>
              <w:suppressLineNumbers w:val="0"/>
              <w:spacing w:before="0" w:beforeAutospacing="0" w:after="0" w:afterAutospacing="0" w:line="340" w:lineRule="exact"/>
              <w:ind w:left="0" w:right="0"/>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造价人员</w:t>
            </w:r>
            <w:r>
              <w:rPr>
                <w:rFonts w:hint="eastAsia"/>
                <w:color w:val="auto"/>
                <w:highlight w:val="none"/>
              </w:rPr>
              <w:t xml:space="preserve">____________ </w:t>
            </w:r>
            <w:r>
              <w:rPr>
                <w:rFonts w:hint="default"/>
                <w:color w:val="auto"/>
                <w:highlight w:val="none"/>
              </w:rPr>
              <w:t xml:space="preserve">  </w:t>
            </w:r>
            <w:r>
              <w:rPr>
                <w:rFonts w:hint="eastAsia" w:ascii="宋体" w:hAnsi="宋体"/>
                <w:color w:val="auto"/>
                <w:highlight w:val="none"/>
              </w:rPr>
              <w:t>承包人代表</w:t>
            </w: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p w14:paraId="67640F23">
            <w:pPr>
              <w:keepNext w:val="0"/>
              <w:keepLines w:val="0"/>
              <w:suppressLineNumbers w:val="0"/>
              <w:spacing w:before="0" w:beforeAutospacing="0" w:after="0" w:afterAutospacing="0" w:line="340" w:lineRule="exact"/>
              <w:ind w:left="0" w:right="0"/>
              <w:rPr>
                <w:rFonts w:hint="default"/>
                <w:color w:val="auto"/>
                <w:highlight w:val="none"/>
                <w:u w:val="single"/>
              </w:rPr>
            </w:pPr>
          </w:p>
        </w:tc>
      </w:tr>
      <w:tr w14:paraId="535F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4520" w:type="dxa"/>
            <w:tcBorders>
              <w:top w:val="single" w:color="auto" w:sz="4" w:space="0"/>
              <w:left w:val="single" w:color="auto" w:sz="4" w:space="0"/>
              <w:bottom w:val="single" w:color="auto" w:sz="4" w:space="0"/>
              <w:right w:val="single" w:color="auto" w:sz="4" w:space="0"/>
            </w:tcBorders>
            <w:noWrap w:val="0"/>
            <w:vAlign w:val="top"/>
          </w:tcPr>
          <w:p w14:paraId="6D87BF7A">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24632195">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根据施工合同条款第</w:t>
            </w:r>
            <w:r>
              <w:rPr>
                <w:rFonts w:hint="default"/>
                <w:color w:val="auto"/>
                <w:highlight w:val="none"/>
                <w:u w:val="single"/>
              </w:rPr>
              <w:t xml:space="preserve">     </w:t>
            </w:r>
            <w:r>
              <w:rPr>
                <w:rFonts w:hint="eastAsia" w:ascii="宋体" w:hAnsi="宋体"/>
                <w:color w:val="auto"/>
                <w:highlight w:val="none"/>
              </w:rPr>
              <w:t>条的约定</w:t>
            </w:r>
            <w:r>
              <w:rPr>
                <w:rFonts w:hint="eastAsia" w:ascii="宋体" w:hAnsi="宋体"/>
                <w:color w:val="auto"/>
                <w:highlight w:val="none"/>
                <w:lang w:eastAsia="zh-CN"/>
              </w:rPr>
              <w:t>，</w:t>
            </w:r>
            <w:r>
              <w:rPr>
                <w:rFonts w:hint="eastAsia" w:ascii="宋体" w:hAnsi="宋体"/>
                <w:color w:val="auto"/>
                <w:highlight w:val="none"/>
              </w:rPr>
              <w:t>你方提出的索赔费用申请经复核：</w:t>
            </w:r>
          </w:p>
          <w:p w14:paraId="12769EB8">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□不同意此项索赔</w:t>
            </w:r>
            <w:r>
              <w:rPr>
                <w:rFonts w:hint="eastAsia" w:ascii="宋体" w:hAnsi="宋体"/>
                <w:color w:val="auto"/>
                <w:highlight w:val="none"/>
                <w:lang w:eastAsia="zh-CN"/>
              </w:rPr>
              <w:t>，</w:t>
            </w:r>
            <w:r>
              <w:rPr>
                <w:rFonts w:hint="eastAsia" w:ascii="宋体" w:hAnsi="宋体"/>
                <w:color w:val="auto"/>
                <w:highlight w:val="none"/>
              </w:rPr>
              <w:t>具体意见见附件。</w:t>
            </w:r>
          </w:p>
          <w:p w14:paraId="56B565B9">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□同意此项索赔</w:t>
            </w:r>
            <w:r>
              <w:rPr>
                <w:rFonts w:hint="eastAsia" w:ascii="宋体" w:hAnsi="宋体"/>
                <w:color w:val="auto"/>
                <w:highlight w:val="none"/>
                <w:lang w:eastAsia="zh-CN"/>
              </w:rPr>
              <w:t>，</w:t>
            </w:r>
            <w:r>
              <w:rPr>
                <w:rFonts w:hint="eastAsia" w:ascii="宋体" w:hAnsi="宋体"/>
                <w:color w:val="auto"/>
                <w:highlight w:val="none"/>
              </w:rPr>
              <w:t>索赔金额的计算</w:t>
            </w:r>
            <w:r>
              <w:rPr>
                <w:rFonts w:hint="eastAsia" w:ascii="宋体" w:hAnsi="宋体"/>
                <w:color w:val="auto"/>
                <w:highlight w:val="none"/>
                <w:lang w:eastAsia="zh-CN"/>
              </w:rPr>
              <w:t>，</w:t>
            </w:r>
            <w:r>
              <w:rPr>
                <w:rFonts w:hint="eastAsia" w:ascii="宋体" w:hAnsi="宋体"/>
                <w:color w:val="auto"/>
                <w:highlight w:val="none"/>
              </w:rPr>
              <w:t>由造价工程师复核。</w:t>
            </w:r>
          </w:p>
          <w:p w14:paraId="52C8179C">
            <w:pPr>
              <w:keepNext w:val="0"/>
              <w:keepLines w:val="0"/>
              <w:suppressLineNumbers w:val="0"/>
              <w:spacing w:before="0" w:beforeAutospacing="0" w:after="0" w:afterAutospacing="0" w:line="360" w:lineRule="exact"/>
              <w:ind w:left="0" w:right="0" w:firstLine="435"/>
              <w:rPr>
                <w:rFonts w:hint="default"/>
                <w:color w:val="auto"/>
                <w:highlight w:val="none"/>
              </w:rPr>
            </w:pPr>
          </w:p>
          <w:p w14:paraId="64162E1C">
            <w:pPr>
              <w:keepNext w:val="0"/>
              <w:keepLines w:val="0"/>
              <w:suppressLineNumbers w:val="0"/>
              <w:spacing w:before="0" w:beforeAutospacing="0" w:after="0" w:afterAutospacing="0" w:line="360" w:lineRule="exact"/>
              <w:ind w:left="0" w:right="0" w:firstLine="435"/>
              <w:rPr>
                <w:rFonts w:hint="default"/>
                <w:color w:val="auto"/>
                <w:highlight w:val="none"/>
              </w:rPr>
            </w:pPr>
          </w:p>
          <w:p w14:paraId="5309FBFC">
            <w:pPr>
              <w:keepNext w:val="0"/>
              <w:keepLines w:val="0"/>
              <w:suppressLineNumbers w:val="0"/>
              <w:wordWrap w:val="0"/>
              <w:spacing w:before="0" w:beforeAutospacing="0" w:after="0" w:afterAutospacing="0" w:line="360" w:lineRule="exact"/>
              <w:ind w:left="0" w:right="0"/>
              <w:jc w:val="right"/>
              <w:rPr>
                <w:rFonts w:hint="default"/>
                <w:color w:val="auto"/>
                <w:highlight w:val="none"/>
                <w:u w:val="single"/>
              </w:rPr>
            </w:pPr>
            <w:r>
              <w:rPr>
                <w:rFonts w:hint="eastAsia" w:ascii="宋体" w:hAnsi="宋体"/>
                <w:color w:val="auto"/>
                <w:highlight w:val="none"/>
              </w:rPr>
              <w:t>监理工程师</w:t>
            </w:r>
            <w:r>
              <w:rPr>
                <w:rFonts w:hint="default"/>
                <w:color w:val="auto"/>
                <w:highlight w:val="none"/>
              </w:rPr>
              <w:t xml:space="preserve"> </w:t>
            </w:r>
            <w:r>
              <w:rPr>
                <w:rFonts w:hint="default"/>
                <w:color w:val="auto"/>
                <w:highlight w:val="none"/>
                <w:u w:val="single"/>
              </w:rPr>
              <w:t xml:space="preserve">           </w:t>
            </w:r>
          </w:p>
          <w:p w14:paraId="67D6FAF8">
            <w:pPr>
              <w:keepNext w:val="0"/>
              <w:keepLines w:val="0"/>
              <w:suppressLineNumbers w:val="0"/>
              <w:wordWrap w:val="0"/>
              <w:spacing w:before="0" w:beforeAutospacing="0" w:after="0" w:afterAutospacing="0" w:line="360" w:lineRule="exact"/>
              <w:ind w:left="0" w:right="0"/>
              <w:jc w:val="right"/>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rPr>
              <w:t xml:space="preserve"> </w:t>
            </w:r>
            <w:r>
              <w:rPr>
                <w:rFonts w:hint="default"/>
                <w:color w:val="auto"/>
                <w:highlight w:val="none"/>
                <w:u w:val="single"/>
              </w:rPr>
              <w:t xml:space="preserve">           </w:t>
            </w:r>
          </w:p>
        </w:tc>
        <w:tc>
          <w:tcPr>
            <w:tcW w:w="4552" w:type="dxa"/>
            <w:tcBorders>
              <w:top w:val="single" w:color="auto" w:sz="4" w:space="0"/>
              <w:left w:val="single" w:color="auto" w:sz="4" w:space="0"/>
              <w:bottom w:val="single" w:color="auto" w:sz="4" w:space="0"/>
              <w:right w:val="single" w:color="auto" w:sz="4" w:space="0"/>
            </w:tcBorders>
            <w:noWrap w:val="0"/>
            <w:vAlign w:val="top"/>
          </w:tcPr>
          <w:p w14:paraId="5DB185FF">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7F371DFF">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根据施工合同条款第</w:t>
            </w:r>
            <w:r>
              <w:rPr>
                <w:rFonts w:hint="default"/>
                <w:color w:val="auto"/>
                <w:highlight w:val="none"/>
                <w:u w:val="single"/>
              </w:rPr>
              <w:t xml:space="preserve">     </w:t>
            </w:r>
            <w:r>
              <w:rPr>
                <w:rFonts w:hint="eastAsia" w:ascii="宋体" w:hAnsi="宋体"/>
                <w:color w:val="auto"/>
                <w:highlight w:val="none"/>
              </w:rPr>
              <w:t>条的约定</w:t>
            </w:r>
            <w:r>
              <w:rPr>
                <w:rFonts w:hint="eastAsia" w:ascii="宋体" w:hAnsi="宋体"/>
                <w:color w:val="auto"/>
                <w:highlight w:val="none"/>
                <w:lang w:eastAsia="zh-CN"/>
              </w:rPr>
              <w:t>，</w:t>
            </w:r>
            <w:r>
              <w:rPr>
                <w:rFonts w:hint="eastAsia" w:ascii="宋体" w:hAnsi="宋体"/>
                <w:color w:val="auto"/>
                <w:highlight w:val="none"/>
              </w:rPr>
              <w:t>你方提出的索赔费用申请经复核</w:t>
            </w:r>
            <w:r>
              <w:rPr>
                <w:rFonts w:hint="eastAsia" w:ascii="宋体" w:hAnsi="宋体"/>
                <w:color w:val="auto"/>
                <w:highlight w:val="none"/>
                <w:lang w:eastAsia="zh-CN"/>
              </w:rPr>
              <w:t>，</w:t>
            </w:r>
            <w:r>
              <w:rPr>
                <w:rFonts w:hint="eastAsia" w:ascii="宋体" w:hAnsi="宋体"/>
                <w:color w:val="auto"/>
                <w:highlight w:val="none"/>
              </w:rPr>
              <w:t>索赔</w:t>
            </w:r>
            <w:r>
              <w:rPr>
                <w:rFonts w:hint="eastAsia" w:ascii="宋体" w:hAnsi="宋体"/>
                <w:color w:val="auto"/>
                <w:highlight w:val="none"/>
                <w:lang w:eastAsia="zh-CN"/>
              </w:rPr>
              <w:t>不含税</w:t>
            </w:r>
            <w:r>
              <w:rPr>
                <w:rFonts w:hint="eastAsia" w:ascii="宋体" w:hAnsi="宋体"/>
                <w:color w:val="auto"/>
                <w:highlight w:val="none"/>
              </w:rPr>
              <w:t>金额为</w:t>
            </w:r>
          </w:p>
          <w:p w14:paraId="578E9180">
            <w:pPr>
              <w:keepNext w:val="0"/>
              <w:keepLines w:val="0"/>
              <w:suppressLineNumbers w:val="0"/>
              <w:spacing w:before="0" w:beforeAutospacing="0" w:after="0" w:afterAutospacing="0" w:line="360" w:lineRule="exact"/>
              <w:ind w:left="0" w:right="0"/>
              <w:rPr>
                <w:rFonts w:hint="default"/>
                <w:color w:val="auto"/>
                <w:highlight w:val="none"/>
                <w:u w:val="single"/>
              </w:rPr>
            </w:pPr>
            <w:r>
              <w:rPr>
                <w:rFonts w:hint="eastAsia" w:ascii="宋体" w:hAnsi="宋体"/>
                <w:color w:val="auto"/>
                <w:highlight w:val="none"/>
              </w:rPr>
              <w:t>（大写）</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r>
              <w:rPr>
                <w:rFonts w:hint="default"/>
                <w:color w:val="auto"/>
                <w:highlight w:val="none"/>
                <w:u w:val="single"/>
              </w:rPr>
              <w:t xml:space="preserve">            </w:t>
            </w:r>
            <w:r>
              <w:rPr>
                <w:rFonts w:hint="eastAsia" w:ascii="宋体" w:hAnsi="宋体"/>
                <w:color w:val="auto"/>
                <w:highlight w:val="none"/>
              </w:rPr>
              <w:t>元。</w:t>
            </w:r>
          </w:p>
          <w:p w14:paraId="61E71D7E">
            <w:pPr>
              <w:keepNext w:val="0"/>
              <w:keepLines w:val="0"/>
              <w:suppressLineNumbers w:val="0"/>
              <w:spacing w:before="0" w:beforeAutospacing="0" w:after="0" w:afterAutospacing="0" w:line="360" w:lineRule="exact"/>
              <w:ind w:left="0" w:right="0" w:firstLine="435"/>
              <w:jc w:val="right"/>
              <w:rPr>
                <w:rFonts w:hint="default"/>
                <w:color w:val="auto"/>
                <w:highlight w:val="none"/>
              </w:rPr>
            </w:pPr>
          </w:p>
          <w:p w14:paraId="2C6371F6">
            <w:pPr>
              <w:keepNext w:val="0"/>
              <w:keepLines w:val="0"/>
              <w:suppressLineNumbers w:val="0"/>
              <w:spacing w:before="0" w:beforeAutospacing="0" w:after="0" w:afterAutospacing="0" w:line="360" w:lineRule="exact"/>
              <w:ind w:left="0" w:right="0" w:firstLine="435"/>
              <w:jc w:val="center"/>
              <w:rPr>
                <w:rFonts w:hint="default"/>
                <w:color w:val="auto"/>
                <w:highlight w:val="none"/>
              </w:rPr>
            </w:pPr>
            <w:r>
              <w:rPr>
                <w:rFonts w:hint="default"/>
                <w:color w:val="auto"/>
                <w:highlight w:val="none"/>
              </w:rPr>
              <w:t xml:space="preserve">                                 </w:t>
            </w:r>
          </w:p>
          <w:p w14:paraId="4CC6D7B8">
            <w:pPr>
              <w:keepNext w:val="0"/>
              <w:keepLines w:val="0"/>
              <w:suppressLineNumbers w:val="0"/>
              <w:spacing w:before="0" w:beforeAutospacing="0" w:after="0" w:afterAutospacing="0" w:line="360" w:lineRule="exact"/>
              <w:ind w:left="0" w:right="0" w:firstLine="435"/>
              <w:jc w:val="center"/>
              <w:rPr>
                <w:rFonts w:hint="default"/>
                <w:color w:val="auto"/>
                <w:highlight w:val="none"/>
              </w:rPr>
            </w:pPr>
          </w:p>
          <w:p w14:paraId="583B6328">
            <w:pPr>
              <w:keepNext w:val="0"/>
              <w:keepLines w:val="0"/>
              <w:suppressLineNumbers w:val="0"/>
              <w:spacing w:before="0" w:beforeAutospacing="0" w:after="0" w:afterAutospacing="0" w:line="360" w:lineRule="exact"/>
              <w:ind w:left="0" w:right="0" w:firstLine="435"/>
              <w:jc w:val="center"/>
              <w:rPr>
                <w:rFonts w:hint="default"/>
                <w:color w:val="auto"/>
                <w:highlight w:val="none"/>
              </w:rPr>
            </w:pPr>
          </w:p>
          <w:p w14:paraId="67E007D9">
            <w:pPr>
              <w:keepNext w:val="0"/>
              <w:keepLines w:val="0"/>
              <w:suppressLineNumbers w:val="0"/>
              <w:spacing w:before="0" w:beforeAutospacing="0" w:after="0" w:afterAutospacing="0" w:line="360" w:lineRule="exact"/>
              <w:ind w:left="0" w:right="0" w:firstLine="435"/>
              <w:jc w:val="center"/>
              <w:rPr>
                <w:rFonts w:hint="default"/>
                <w:color w:val="auto"/>
                <w:highlight w:val="none"/>
              </w:rPr>
            </w:pPr>
            <w:r>
              <w:rPr>
                <w:rFonts w:hint="eastAsia" w:ascii="宋体" w:hAnsi="宋体"/>
                <w:color w:val="auto"/>
                <w:highlight w:val="none"/>
              </w:rPr>
              <w:t>造价工程师</w:t>
            </w:r>
            <w:r>
              <w:rPr>
                <w:rFonts w:hint="default"/>
                <w:color w:val="auto"/>
                <w:highlight w:val="none"/>
                <w:u w:val="single"/>
              </w:rPr>
              <w:t xml:space="preserve">           </w:t>
            </w:r>
            <w:r>
              <w:rPr>
                <w:rFonts w:hint="default"/>
                <w:color w:val="auto"/>
                <w:highlight w:val="none"/>
              </w:rPr>
              <w:t xml:space="preserve">                               </w:t>
            </w:r>
          </w:p>
          <w:p w14:paraId="3D79093F">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766E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1"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3DE1EC46">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审核意见：</w:t>
            </w:r>
          </w:p>
          <w:p w14:paraId="1800D339">
            <w:pPr>
              <w:keepNext w:val="0"/>
              <w:keepLines w:val="0"/>
              <w:suppressLineNumbers w:val="0"/>
              <w:spacing w:before="0" w:beforeAutospacing="0" w:after="0" w:afterAutospacing="0" w:line="340" w:lineRule="exact"/>
              <w:ind w:left="0" w:right="0" w:firstLine="435"/>
              <w:rPr>
                <w:rFonts w:hint="default"/>
                <w:color w:val="auto"/>
                <w:highlight w:val="none"/>
              </w:rPr>
            </w:pPr>
            <w:r>
              <w:rPr>
                <w:rFonts w:hint="eastAsia" w:ascii="宋体" w:hAnsi="宋体"/>
                <w:color w:val="auto"/>
                <w:highlight w:val="none"/>
              </w:rPr>
              <w:t>□不同意此项索赔。</w:t>
            </w:r>
          </w:p>
          <w:p w14:paraId="62858FF4">
            <w:pPr>
              <w:keepNext w:val="0"/>
              <w:keepLines w:val="0"/>
              <w:suppressLineNumbers w:val="0"/>
              <w:spacing w:before="0" w:beforeAutospacing="0" w:after="0" w:afterAutospacing="0" w:line="340" w:lineRule="exact"/>
              <w:ind w:left="0" w:right="0" w:firstLine="420" w:firstLineChars="200"/>
              <w:rPr>
                <w:rFonts w:hint="default"/>
                <w:color w:val="auto"/>
                <w:highlight w:val="none"/>
              </w:rPr>
            </w:pPr>
            <w:r>
              <w:rPr>
                <w:rFonts w:hint="eastAsia" w:ascii="宋体" w:hAnsi="宋体"/>
                <w:color w:val="auto"/>
                <w:highlight w:val="none"/>
              </w:rPr>
              <w:t>□同意此项索赔</w:t>
            </w:r>
            <w:r>
              <w:rPr>
                <w:rFonts w:hint="eastAsia" w:ascii="宋体" w:hAnsi="宋体"/>
                <w:color w:val="auto"/>
                <w:highlight w:val="none"/>
                <w:lang w:eastAsia="zh-CN"/>
              </w:rPr>
              <w:t>，</w:t>
            </w:r>
            <w:r>
              <w:rPr>
                <w:rFonts w:hint="eastAsia" w:ascii="宋体" w:hAnsi="宋体"/>
                <w:color w:val="auto"/>
                <w:highlight w:val="none"/>
              </w:rPr>
              <w:t>与本期进度款同期支付。</w:t>
            </w:r>
          </w:p>
          <w:p w14:paraId="09D65133">
            <w:pPr>
              <w:keepNext w:val="0"/>
              <w:keepLines w:val="0"/>
              <w:suppressLineNumbers w:val="0"/>
              <w:spacing w:before="0" w:beforeAutospacing="0" w:after="0" w:afterAutospacing="0" w:line="340" w:lineRule="exact"/>
              <w:ind w:left="0" w:right="0" w:firstLine="0" w:firstLineChars="0"/>
              <w:jc w:val="both"/>
              <w:rPr>
                <w:rFonts w:hint="default"/>
                <w:color w:val="auto"/>
                <w:highlight w:val="none"/>
              </w:rPr>
            </w:pPr>
          </w:p>
          <w:p w14:paraId="3A873FEB">
            <w:pPr>
              <w:keepNext w:val="0"/>
              <w:keepLines w:val="0"/>
              <w:suppressLineNumbers w:val="0"/>
              <w:spacing w:before="0" w:beforeAutospacing="0" w:after="0" w:afterAutospacing="0" w:line="340" w:lineRule="exact"/>
              <w:ind w:left="0" w:right="0" w:firstLine="420" w:firstLineChars="200"/>
              <w:jc w:val="center"/>
              <w:rPr>
                <w:rFonts w:hint="default"/>
                <w:color w:val="auto"/>
                <w:highlight w:val="none"/>
              </w:rPr>
            </w:pPr>
          </w:p>
          <w:p w14:paraId="3D62E35A">
            <w:pPr>
              <w:keepNext w:val="0"/>
              <w:keepLines w:val="0"/>
              <w:suppressLineNumbers w:val="0"/>
              <w:spacing w:before="0" w:beforeAutospacing="0" w:after="0" w:afterLines="50" w:afterAutospacing="0" w:line="340" w:lineRule="exact"/>
              <w:ind w:left="0" w:right="0" w:firstLine="420" w:firstLineChars="200"/>
              <w:jc w:val="center"/>
              <w:rPr>
                <w:rFonts w:hint="default"/>
                <w:color w:val="auto"/>
                <w:highlight w:val="none"/>
                <w:u w:val="single"/>
              </w:rPr>
            </w:pPr>
            <w:r>
              <w:rPr>
                <w:rFonts w:hint="eastAsia" w:ascii="宋体" w:hAnsi="宋体"/>
                <w:color w:val="auto"/>
                <w:highlight w:val="none"/>
              </w:rPr>
              <w:t xml:space="preserve">发包人（章） </w:t>
            </w:r>
            <w:r>
              <w:rPr>
                <w:rFonts w:hint="default"/>
                <w:color w:val="auto"/>
                <w:highlight w:val="none"/>
              </w:rPr>
              <w:t xml:space="preserve">                                                                                                     </w:t>
            </w:r>
            <w:r>
              <w:rPr>
                <w:rFonts w:hint="eastAsia"/>
                <w:color w:val="auto"/>
                <w:highlight w:val="none"/>
                <w:lang w:val="en-US" w:eastAsia="zh-CN"/>
              </w:rPr>
              <w:t xml:space="preserve"> </w:t>
            </w:r>
            <w:r>
              <w:rPr>
                <w:rFonts w:hint="eastAsia" w:ascii="宋体" w:hAnsi="宋体"/>
                <w:color w:val="auto"/>
                <w:highlight w:val="none"/>
              </w:rPr>
              <w:t>发包人代表</w:t>
            </w: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bl>
    <w:p w14:paraId="334FB873">
      <w:pPr>
        <w:ind w:firstLine="360" w:firstLineChars="200"/>
        <w:rPr>
          <w:color w:val="auto"/>
          <w:sz w:val="18"/>
          <w:szCs w:val="18"/>
          <w:highlight w:val="none"/>
        </w:rPr>
      </w:pPr>
      <w:r>
        <w:rPr>
          <w:rFonts w:hint="eastAsia" w:ascii="宋体" w:hAnsi="宋体"/>
          <w:color w:val="auto"/>
          <w:sz w:val="18"/>
          <w:szCs w:val="18"/>
          <w:highlight w:val="none"/>
        </w:rPr>
        <w:t>注：</w:t>
      </w:r>
      <w:r>
        <w:rPr>
          <w:rFonts w:hint="eastAsia"/>
          <w:color w:val="auto"/>
          <w:sz w:val="18"/>
          <w:szCs w:val="18"/>
          <w:highlight w:val="none"/>
        </w:rPr>
        <w:t>1</w:t>
      </w:r>
      <w:r>
        <w:rPr>
          <w:rFonts w:hint="eastAsia"/>
          <w:color w:val="auto"/>
          <w:sz w:val="18"/>
          <w:szCs w:val="18"/>
          <w:highlight w:val="none"/>
          <w:lang w:val="en-US" w:eastAsia="zh-CN"/>
        </w:rPr>
        <w:t>.</w:t>
      </w:r>
      <w:r>
        <w:rPr>
          <w:rFonts w:hint="eastAsia" w:ascii="宋体" w:hAnsi="宋体"/>
          <w:color w:val="auto"/>
          <w:sz w:val="18"/>
          <w:szCs w:val="18"/>
          <w:highlight w:val="none"/>
        </w:rPr>
        <w:t xml:space="preserve">在选择栏中的“□”内作标识“√”。 </w:t>
      </w:r>
    </w:p>
    <w:p w14:paraId="4F602021">
      <w:pPr>
        <w:numPr>
          <w:ilvl w:val="0"/>
          <w:numId w:val="0"/>
        </w:numPr>
        <w:ind w:left="720"/>
        <w:rPr>
          <w:rFonts w:hint="eastAsia" w:ascii="宋体" w:hAnsi="宋体"/>
          <w:color w:val="auto"/>
          <w:sz w:val="18"/>
          <w:szCs w:val="18"/>
          <w:highlight w:val="none"/>
        </w:rPr>
      </w:pPr>
      <w:r>
        <w:rPr>
          <w:rFonts w:hint="eastAsia" w:ascii="宋体" w:hAnsi="宋体"/>
          <w:color w:val="auto"/>
          <w:sz w:val="18"/>
          <w:szCs w:val="18"/>
          <w:highlight w:val="none"/>
          <w:lang w:val="en-US" w:eastAsia="zh-CN"/>
        </w:rPr>
        <w:t>2.</w:t>
      </w:r>
      <w:r>
        <w:rPr>
          <w:rFonts w:hint="eastAsia" w:ascii="宋体" w:hAnsi="宋体"/>
          <w:color w:val="auto"/>
          <w:sz w:val="18"/>
          <w:szCs w:val="18"/>
          <w:highlight w:val="none"/>
        </w:rPr>
        <w:t>本表一式四份</w:t>
      </w:r>
      <w:r>
        <w:rPr>
          <w:rFonts w:hint="eastAsia" w:ascii="宋体" w:hAnsi="宋体"/>
          <w:color w:val="auto"/>
          <w:sz w:val="18"/>
          <w:szCs w:val="18"/>
          <w:highlight w:val="none"/>
          <w:lang w:eastAsia="zh-CN"/>
        </w:rPr>
        <w:t>，</w:t>
      </w:r>
      <w:r>
        <w:rPr>
          <w:rFonts w:hint="eastAsia" w:ascii="宋体" w:hAnsi="宋体"/>
          <w:color w:val="auto"/>
          <w:sz w:val="18"/>
          <w:szCs w:val="18"/>
          <w:highlight w:val="none"/>
        </w:rPr>
        <w:t>由承包人填报</w:t>
      </w:r>
      <w:r>
        <w:rPr>
          <w:rFonts w:hint="eastAsia" w:ascii="宋体" w:hAnsi="宋体"/>
          <w:color w:val="auto"/>
          <w:sz w:val="18"/>
          <w:szCs w:val="18"/>
          <w:highlight w:val="none"/>
          <w:lang w:eastAsia="zh-CN"/>
        </w:rPr>
        <w:t>，</w:t>
      </w:r>
      <w:r>
        <w:rPr>
          <w:rFonts w:hint="eastAsia" w:ascii="宋体" w:hAnsi="宋体"/>
          <w:color w:val="auto"/>
          <w:sz w:val="18"/>
          <w:szCs w:val="18"/>
          <w:highlight w:val="none"/>
        </w:rPr>
        <w:t>发包人、监理人、造价咨询人、承包人各存一份。</w:t>
      </w:r>
    </w:p>
    <w:p w14:paraId="6DB9B7E1">
      <w:pPr>
        <w:pStyle w:val="52"/>
        <w:ind w:leftChars="0" w:firstLine="0" w:firstLineChars="0"/>
        <w:rPr>
          <w:rFonts w:hint="eastAsia"/>
          <w:color w:val="auto"/>
          <w:highlight w:val="none"/>
        </w:rPr>
        <w:sectPr>
          <w:pgSz w:w="11907" w:h="16840"/>
          <w:pgMar w:top="1440" w:right="1440" w:bottom="1440" w:left="1797" w:header="851" w:footer="851" w:gutter="0"/>
          <w:cols w:space="720" w:num="1"/>
          <w:docGrid w:linePitch="312" w:charSpace="0"/>
        </w:sectPr>
      </w:pPr>
    </w:p>
    <w:p w14:paraId="7392D1A5">
      <w:pPr>
        <w:pStyle w:val="5"/>
        <w:jc w:val="both"/>
        <w:rPr>
          <w:rFonts w:hint="eastAsia" w:ascii="仿宋_GB2312" w:hAnsi="Times New Roman" w:eastAsia="仿宋_GB2312" w:cs="仿宋_GB2312"/>
          <w:b w:val="0"/>
          <w:color w:val="auto"/>
          <w:sz w:val="30"/>
          <w:szCs w:val="30"/>
          <w:highlight w:val="none"/>
          <w:lang w:val="en-US" w:eastAsia="zh-CN"/>
        </w:rPr>
      </w:pPr>
      <w:r>
        <w:rPr>
          <w:rFonts w:hint="eastAsia" w:ascii="仿宋_GB2312" w:hAnsi="Times New Roman" w:eastAsia="仿宋_GB2312" w:cs="仿宋_GB2312"/>
          <w:b w:val="0"/>
          <w:color w:val="auto"/>
          <w:sz w:val="30"/>
          <w:szCs w:val="30"/>
          <w:highlight w:val="none"/>
          <w:lang w:val="en-US" w:eastAsia="zh-CN"/>
        </w:rPr>
        <w:t>附件18：</w:t>
      </w:r>
      <w:r>
        <w:rPr>
          <w:rFonts w:hint="eastAsia" w:ascii="仿宋_GB2312" w:hAnsi="Times New Roman" w:eastAsia="仿宋_GB2312" w:cs="仿宋_GB2312"/>
          <w:b w:val="0"/>
          <w:color w:val="auto"/>
          <w:sz w:val="30"/>
          <w:szCs w:val="30"/>
          <w:highlight w:val="none"/>
          <w:lang w:val="en-US"/>
        </w:rPr>
        <w:t>安全</w:t>
      </w:r>
      <w:r>
        <w:rPr>
          <w:rFonts w:hint="eastAsia" w:ascii="仿宋_GB2312" w:hAnsi="Arial" w:eastAsia="仿宋_GB2312" w:cs="仿宋_GB2312"/>
          <w:b w:val="0"/>
          <w:color w:val="auto"/>
          <w:sz w:val="30"/>
          <w:szCs w:val="30"/>
          <w:highlight w:val="none"/>
          <w:lang w:val="en-US"/>
        </w:rPr>
        <w:t>生产</w:t>
      </w:r>
      <w:r>
        <w:rPr>
          <w:rFonts w:hint="eastAsia" w:ascii="仿宋_GB2312" w:hAnsi="Times New Roman" w:eastAsia="仿宋_GB2312" w:cs="仿宋_GB2312"/>
          <w:b w:val="0"/>
          <w:color w:val="auto"/>
          <w:sz w:val="30"/>
          <w:szCs w:val="30"/>
          <w:highlight w:val="none"/>
          <w:lang w:val="en-US"/>
        </w:rPr>
        <w:t>费支付申请（核准）表</w:t>
      </w:r>
    </w:p>
    <w:p w14:paraId="4A7F772F">
      <w:pPr>
        <w:jc w:val="center"/>
        <w:outlineLvl w:val="9"/>
        <w:rPr>
          <w:b/>
          <w:color w:val="auto"/>
          <w:sz w:val="36"/>
          <w:szCs w:val="36"/>
          <w:highlight w:val="none"/>
        </w:rPr>
      </w:pPr>
      <w:r>
        <w:rPr>
          <w:rFonts w:hint="default" w:ascii="宋体" w:hAnsi="宋体"/>
          <w:b/>
          <w:color w:val="auto"/>
          <w:sz w:val="30"/>
          <w:szCs w:val="30"/>
          <w:highlight w:val="none"/>
          <w:lang w:val="en"/>
        </w:rPr>
        <w:t>安全生产费</w:t>
      </w:r>
      <w:r>
        <w:rPr>
          <w:rFonts w:hint="eastAsia" w:ascii="宋体" w:hAnsi="宋体"/>
          <w:b/>
          <w:color w:val="auto"/>
          <w:sz w:val="30"/>
          <w:szCs w:val="30"/>
          <w:highlight w:val="none"/>
        </w:rPr>
        <w:t>支付申请（核准）表</w:t>
      </w:r>
    </w:p>
    <w:p w14:paraId="3BB00529">
      <w:pPr>
        <w:spacing w:line="360" w:lineRule="auto"/>
        <w:ind w:firstLine="214" w:firstLineChars="100"/>
        <w:rPr>
          <w:color w:val="auto"/>
          <w:sz w:val="21"/>
          <w:szCs w:val="21"/>
          <w:highlight w:val="none"/>
        </w:rPr>
      </w:pPr>
      <w:r>
        <w:rPr>
          <w:rFonts w:hint="eastAsia" w:ascii="宋体" w:hAnsi="宋体"/>
          <w:color w:val="auto"/>
          <w:sz w:val="21"/>
          <w:szCs w:val="21"/>
          <w:highlight w:val="none"/>
        </w:rPr>
        <w:t xml:space="preserve">工程名称：                                   </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          编号：</w:t>
      </w:r>
    </w:p>
    <w:tbl>
      <w:tblPr>
        <w:tblStyle w:val="5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0"/>
        <w:gridCol w:w="4552"/>
      </w:tblGrid>
      <w:tr w14:paraId="44FD4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8"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05A84343">
            <w:pPr>
              <w:keepNext w:val="0"/>
              <w:keepLines w:val="0"/>
              <w:suppressLineNumbers w:val="0"/>
              <w:spacing w:before="0" w:beforeAutospacing="0" w:after="0" w:afterAutospacing="0" w:line="480" w:lineRule="exact"/>
              <w:ind w:left="534" w:leftChars="149" w:right="0" w:hanging="216" w:hangingChars="101"/>
              <w:rPr>
                <w:rFonts w:hint="default"/>
                <w:color w:val="auto"/>
                <w:highlight w:val="none"/>
                <w:u w:val="single"/>
              </w:rPr>
            </w:pPr>
            <w:r>
              <w:rPr>
                <w:rFonts w:hint="eastAsia" w:ascii="宋体" w:hAnsi="宋体"/>
                <w:color w:val="auto"/>
                <w:highlight w:val="none"/>
              </w:rPr>
              <w:t>致：</w:t>
            </w:r>
            <w:r>
              <w:rPr>
                <w:rFonts w:hint="default"/>
                <w:color w:val="auto"/>
                <w:highlight w:val="none"/>
                <w:u w:val="single"/>
              </w:rPr>
              <w:t xml:space="preserve">                                   </w:t>
            </w:r>
            <w:r>
              <w:rPr>
                <w:rFonts w:hint="eastAsia" w:ascii="宋体" w:hAnsi="宋体"/>
                <w:color w:val="auto"/>
                <w:highlight w:val="none"/>
                <w:u w:val="single"/>
              </w:rPr>
              <w:t>（发包人全称）</w:t>
            </w:r>
          </w:p>
          <w:p w14:paraId="75F914BE">
            <w:pPr>
              <w:keepNext w:val="0"/>
              <w:keepLines w:val="0"/>
              <w:suppressLineNumbers w:val="0"/>
              <w:spacing w:before="0" w:beforeAutospacing="0" w:after="0" w:afterAutospacing="0" w:line="400" w:lineRule="exact"/>
              <w:ind w:left="-4" w:leftChars="-2" w:right="0" w:firstLine="321" w:firstLineChars="150"/>
              <w:rPr>
                <w:rFonts w:hint="eastAsia" w:eastAsia="宋体"/>
                <w:color w:val="auto"/>
                <w:highlight w:val="none"/>
                <w:lang w:eastAsia="zh-CN"/>
              </w:rPr>
            </w:pPr>
            <w:r>
              <w:rPr>
                <w:rFonts w:hint="eastAsia" w:ascii="宋体" w:hAnsi="宋体"/>
                <w:color w:val="auto"/>
                <w:highlight w:val="none"/>
              </w:rPr>
              <w:t>我方根据施工合同的约定</w:t>
            </w:r>
            <w:r>
              <w:rPr>
                <w:rFonts w:hint="eastAsia" w:ascii="宋体" w:hAnsi="宋体"/>
                <w:color w:val="auto"/>
                <w:highlight w:val="none"/>
                <w:lang w:eastAsia="zh-CN"/>
              </w:rPr>
              <w:t>，</w:t>
            </w:r>
            <w:r>
              <w:rPr>
                <w:rFonts w:hint="eastAsia" w:ascii="宋体" w:hAnsi="宋体"/>
                <w:color w:val="auto"/>
                <w:highlight w:val="none"/>
              </w:rPr>
              <w:t>现申请支付</w:t>
            </w:r>
            <w:r>
              <w:rPr>
                <w:rFonts w:hint="default" w:ascii="宋体" w:hAnsi="宋体"/>
                <w:color w:val="auto"/>
                <w:highlight w:val="none"/>
                <w:lang w:val="en"/>
              </w:rPr>
              <w:t>安全生产费</w:t>
            </w:r>
            <w:r>
              <w:rPr>
                <w:rFonts w:hint="eastAsia" w:ascii="宋体" w:hAnsi="宋体"/>
                <w:color w:val="auto"/>
                <w:highlight w:val="none"/>
              </w:rPr>
              <w:t>为</w:t>
            </w:r>
            <w:r>
              <w:rPr>
                <w:rFonts w:hint="eastAsia"/>
                <w:color w:val="auto"/>
                <w:highlight w:val="none"/>
                <w:lang w:eastAsia="zh-CN"/>
              </w:rPr>
              <w:t>（</w:t>
            </w:r>
            <w:r>
              <w:rPr>
                <w:rFonts w:hint="eastAsia" w:ascii="宋体" w:hAnsi="宋体"/>
                <w:color w:val="auto"/>
                <w:highlight w:val="none"/>
              </w:rPr>
              <w:t>大写</w:t>
            </w:r>
            <w:r>
              <w:rPr>
                <w:rFonts w:hint="eastAsia"/>
                <w:color w:val="auto"/>
                <w:highlight w:val="none"/>
                <w:lang w:eastAsia="zh-CN"/>
              </w:rPr>
              <w:t>）</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color w:val="auto"/>
                <w:highlight w:val="none"/>
                <w:lang w:eastAsia="zh-CN"/>
              </w:rPr>
              <w:t>（</w:t>
            </w:r>
            <w:r>
              <w:rPr>
                <w:rFonts w:hint="eastAsia" w:ascii="宋体" w:hAnsi="宋体"/>
                <w:color w:val="auto"/>
                <w:highlight w:val="none"/>
              </w:rPr>
              <w:t>小写</w:t>
            </w:r>
            <w:r>
              <w:rPr>
                <w:rFonts w:hint="eastAsia"/>
                <w:color w:val="auto"/>
                <w:highlight w:val="none"/>
                <w:lang w:eastAsia="zh-CN"/>
              </w:rPr>
              <w:t>）</w:t>
            </w:r>
          </w:p>
          <w:p w14:paraId="0E0EB5E2">
            <w:pPr>
              <w:keepNext w:val="0"/>
              <w:keepLines w:val="0"/>
              <w:suppressLineNumbers w:val="0"/>
              <w:spacing w:before="0" w:beforeAutospacing="0" w:after="0" w:afterAutospacing="0" w:line="400" w:lineRule="exact"/>
              <w:ind w:left="0" w:right="0"/>
              <w:rPr>
                <w:rFonts w:hint="default"/>
                <w:color w:val="auto"/>
                <w:highlight w:val="none"/>
              </w:rPr>
            </w:pP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请予核准。</w:t>
            </w:r>
          </w:p>
          <w:tbl>
            <w:tblPr>
              <w:tblStyle w:val="54"/>
              <w:tblW w:w="885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3286"/>
              <w:gridCol w:w="1571"/>
              <w:gridCol w:w="1671"/>
              <w:gridCol w:w="1500"/>
            </w:tblGrid>
            <w:tr w14:paraId="631AF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831" w:type="dxa"/>
                  <w:tcBorders>
                    <w:top w:val="single" w:color="auto" w:sz="4" w:space="0"/>
                    <w:left w:val="single" w:color="auto" w:sz="4" w:space="0"/>
                    <w:bottom w:val="single" w:color="auto" w:sz="4" w:space="0"/>
                    <w:right w:val="single" w:color="auto" w:sz="4" w:space="0"/>
                  </w:tcBorders>
                  <w:noWrap w:val="0"/>
                  <w:vAlign w:val="center"/>
                </w:tcPr>
                <w:p w14:paraId="66DA1440">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序号</w:t>
                  </w:r>
                </w:p>
              </w:tc>
              <w:tc>
                <w:tcPr>
                  <w:tcW w:w="3286" w:type="dxa"/>
                  <w:tcBorders>
                    <w:top w:val="single" w:color="auto" w:sz="4" w:space="0"/>
                    <w:left w:val="single" w:color="auto" w:sz="4" w:space="0"/>
                    <w:bottom w:val="single" w:color="auto" w:sz="4" w:space="0"/>
                    <w:right w:val="single" w:color="auto" w:sz="4" w:space="0"/>
                  </w:tcBorders>
                  <w:noWrap w:val="0"/>
                  <w:vAlign w:val="center"/>
                </w:tcPr>
                <w:p w14:paraId="6C6C5B0C">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 xml:space="preserve">名 </w:t>
                  </w:r>
                  <w:r>
                    <w:rPr>
                      <w:rFonts w:hint="default"/>
                      <w:color w:val="auto"/>
                      <w:highlight w:val="none"/>
                    </w:rPr>
                    <w:t xml:space="preserve">     </w:t>
                  </w:r>
                  <w:r>
                    <w:rPr>
                      <w:rFonts w:hint="eastAsia" w:ascii="宋体" w:hAnsi="宋体"/>
                      <w:color w:val="auto"/>
                      <w:highlight w:val="none"/>
                    </w:rPr>
                    <w:t>称</w:t>
                  </w:r>
                </w:p>
              </w:tc>
              <w:tc>
                <w:tcPr>
                  <w:tcW w:w="1571" w:type="dxa"/>
                  <w:tcBorders>
                    <w:top w:val="single" w:color="auto" w:sz="4" w:space="0"/>
                    <w:left w:val="single" w:color="auto" w:sz="4" w:space="0"/>
                    <w:bottom w:val="single" w:color="auto" w:sz="4" w:space="0"/>
                    <w:right w:val="single" w:color="auto" w:sz="4" w:space="0"/>
                  </w:tcBorders>
                  <w:noWrap w:val="0"/>
                  <w:vAlign w:val="center"/>
                </w:tcPr>
                <w:p w14:paraId="6701322B">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申请金额（元）</w:t>
                  </w:r>
                </w:p>
              </w:tc>
              <w:tc>
                <w:tcPr>
                  <w:tcW w:w="1671" w:type="dxa"/>
                  <w:tcBorders>
                    <w:top w:val="single" w:color="auto" w:sz="4" w:space="0"/>
                    <w:left w:val="single" w:color="auto" w:sz="4" w:space="0"/>
                    <w:bottom w:val="single" w:color="auto" w:sz="4" w:space="0"/>
                    <w:right w:val="single" w:color="auto" w:sz="4" w:space="0"/>
                  </w:tcBorders>
                  <w:noWrap w:val="0"/>
                  <w:vAlign w:val="center"/>
                </w:tcPr>
                <w:p w14:paraId="140C23BE">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复核金额（元）</w:t>
                  </w:r>
                </w:p>
              </w:tc>
              <w:tc>
                <w:tcPr>
                  <w:tcW w:w="1500" w:type="dxa"/>
                  <w:tcBorders>
                    <w:top w:val="single" w:color="auto" w:sz="4" w:space="0"/>
                    <w:left w:val="single" w:color="auto" w:sz="4" w:space="0"/>
                    <w:bottom w:val="single" w:color="auto" w:sz="4" w:space="0"/>
                    <w:right w:val="single" w:color="auto" w:sz="4" w:space="0"/>
                  </w:tcBorders>
                  <w:noWrap w:val="0"/>
                  <w:vAlign w:val="center"/>
                </w:tcPr>
                <w:p w14:paraId="1DCE48A4">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ascii="宋体" w:hAnsi="宋体"/>
                      <w:color w:val="auto"/>
                      <w:highlight w:val="none"/>
                    </w:rPr>
                    <w:t>备注</w:t>
                  </w:r>
                </w:p>
              </w:tc>
            </w:tr>
            <w:tr w14:paraId="7B5E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0C4F1975">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1</w:t>
                  </w:r>
                </w:p>
              </w:tc>
              <w:tc>
                <w:tcPr>
                  <w:tcW w:w="3286" w:type="dxa"/>
                  <w:tcBorders>
                    <w:top w:val="single" w:color="auto" w:sz="4" w:space="0"/>
                    <w:left w:val="single" w:color="auto" w:sz="4" w:space="0"/>
                    <w:bottom w:val="single" w:color="auto" w:sz="4" w:space="0"/>
                    <w:right w:val="single" w:color="auto" w:sz="4" w:space="0"/>
                  </w:tcBorders>
                  <w:noWrap w:val="0"/>
                  <w:vAlign w:val="top"/>
                </w:tcPr>
                <w:p w14:paraId="7D80D886">
                  <w:pPr>
                    <w:keepNext w:val="0"/>
                    <w:keepLines w:val="0"/>
                    <w:suppressLineNumbers w:val="0"/>
                    <w:spacing w:before="0" w:beforeAutospacing="0" w:after="0" w:afterAutospacing="0" w:line="280" w:lineRule="exact"/>
                    <w:ind w:left="0" w:right="0"/>
                    <w:rPr>
                      <w:rFonts w:hint="default"/>
                      <w:color w:val="auto"/>
                      <w:highlight w:val="none"/>
                      <w:lang w:val="en"/>
                    </w:rPr>
                  </w:pPr>
                  <w:r>
                    <w:rPr>
                      <w:rFonts w:hint="eastAsia" w:ascii="宋体" w:hAnsi="宋体"/>
                      <w:color w:val="auto"/>
                      <w:highlight w:val="none"/>
                    </w:rPr>
                    <w:t>签约合同价中的</w:t>
                  </w:r>
                  <w:r>
                    <w:rPr>
                      <w:rFonts w:hint="default" w:ascii="宋体" w:hAnsi="宋体"/>
                      <w:color w:val="auto"/>
                      <w:highlight w:val="none"/>
                      <w:lang w:val="en"/>
                    </w:rPr>
                    <w:t>安全生产费</w:t>
                  </w:r>
                </w:p>
              </w:tc>
              <w:tc>
                <w:tcPr>
                  <w:tcW w:w="1571" w:type="dxa"/>
                  <w:tcBorders>
                    <w:top w:val="single" w:color="auto" w:sz="4" w:space="0"/>
                    <w:left w:val="single" w:color="auto" w:sz="4" w:space="0"/>
                    <w:bottom w:val="single" w:color="auto" w:sz="4" w:space="0"/>
                    <w:right w:val="single" w:color="auto" w:sz="4" w:space="0"/>
                  </w:tcBorders>
                  <w:noWrap w:val="0"/>
                  <w:vAlign w:val="top"/>
                </w:tcPr>
                <w:p w14:paraId="14778AE5">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33805B61">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5C815023">
                  <w:pPr>
                    <w:keepNext w:val="0"/>
                    <w:keepLines w:val="0"/>
                    <w:suppressLineNumbers w:val="0"/>
                    <w:spacing w:before="0" w:beforeAutospacing="0" w:after="0" w:afterAutospacing="0" w:line="280" w:lineRule="exact"/>
                    <w:ind w:left="0" w:right="0"/>
                    <w:rPr>
                      <w:rFonts w:hint="default"/>
                      <w:color w:val="auto"/>
                      <w:highlight w:val="none"/>
                    </w:rPr>
                  </w:pPr>
                </w:p>
              </w:tc>
            </w:tr>
            <w:tr w14:paraId="6500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2FA50D1C">
                  <w:pPr>
                    <w:keepNext w:val="0"/>
                    <w:keepLines w:val="0"/>
                    <w:suppressLineNumbers w:val="0"/>
                    <w:spacing w:before="0" w:beforeAutospacing="0" w:after="0" w:afterAutospacing="0" w:line="280" w:lineRule="exact"/>
                    <w:ind w:left="0" w:right="0"/>
                    <w:jc w:val="center"/>
                    <w:rPr>
                      <w:rFonts w:hint="default"/>
                      <w:color w:val="auto"/>
                      <w:highlight w:val="none"/>
                    </w:rPr>
                  </w:pPr>
                  <w:r>
                    <w:rPr>
                      <w:rFonts w:hint="eastAsia"/>
                      <w:color w:val="auto"/>
                      <w:highlight w:val="none"/>
                    </w:rPr>
                    <w:t>2</w:t>
                  </w:r>
                </w:p>
              </w:tc>
              <w:tc>
                <w:tcPr>
                  <w:tcW w:w="3286" w:type="dxa"/>
                  <w:tcBorders>
                    <w:top w:val="single" w:color="auto" w:sz="4" w:space="0"/>
                    <w:left w:val="single" w:color="auto" w:sz="4" w:space="0"/>
                    <w:bottom w:val="single" w:color="auto" w:sz="4" w:space="0"/>
                    <w:right w:val="single" w:color="auto" w:sz="4" w:space="0"/>
                  </w:tcBorders>
                  <w:noWrap w:val="0"/>
                  <w:vAlign w:val="top"/>
                </w:tcPr>
                <w:p w14:paraId="6EE0AD9A">
                  <w:pPr>
                    <w:keepNext w:val="0"/>
                    <w:keepLines w:val="0"/>
                    <w:suppressLineNumbers w:val="0"/>
                    <w:spacing w:before="0" w:beforeAutospacing="0" w:after="0" w:afterAutospacing="0" w:line="280" w:lineRule="exact"/>
                    <w:ind w:left="0" w:right="0"/>
                    <w:rPr>
                      <w:rFonts w:hint="default"/>
                      <w:color w:val="auto"/>
                      <w:highlight w:val="none"/>
                      <w:lang w:val="en"/>
                    </w:rPr>
                  </w:pPr>
                  <w:r>
                    <w:rPr>
                      <w:rFonts w:hint="eastAsia" w:ascii="宋体" w:hAnsi="宋体"/>
                      <w:color w:val="auto"/>
                      <w:highlight w:val="none"/>
                    </w:rPr>
                    <w:t>累计已支付的</w:t>
                  </w:r>
                  <w:r>
                    <w:rPr>
                      <w:rFonts w:hint="default" w:ascii="宋体" w:hAnsi="宋体"/>
                      <w:color w:val="auto"/>
                      <w:highlight w:val="none"/>
                      <w:lang w:val="en"/>
                    </w:rPr>
                    <w:t>安全生产费</w:t>
                  </w:r>
                </w:p>
              </w:tc>
              <w:tc>
                <w:tcPr>
                  <w:tcW w:w="1571" w:type="dxa"/>
                  <w:tcBorders>
                    <w:top w:val="single" w:color="auto" w:sz="4" w:space="0"/>
                    <w:left w:val="single" w:color="auto" w:sz="4" w:space="0"/>
                    <w:bottom w:val="single" w:color="auto" w:sz="4" w:space="0"/>
                    <w:right w:val="single" w:color="auto" w:sz="4" w:space="0"/>
                  </w:tcBorders>
                  <w:noWrap w:val="0"/>
                  <w:vAlign w:val="top"/>
                </w:tcPr>
                <w:p w14:paraId="3FD2BDEE">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24C81C90">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3C821F9D">
                  <w:pPr>
                    <w:keepNext w:val="0"/>
                    <w:keepLines w:val="0"/>
                    <w:suppressLineNumbers w:val="0"/>
                    <w:spacing w:before="0" w:beforeAutospacing="0" w:after="0" w:afterAutospacing="0" w:line="280" w:lineRule="exact"/>
                    <w:ind w:left="0" w:right="0"/>
                    <w:rPr>
                      <w:rFonts w:hint="default"/>
                      <w:color w:val="auto"/>
                      <w:highlight w:val="none"/>
                    </w:rPr>
                  </w:pPr>
                </w:p>
              </w:tc>
            </w:tr>
            <w:tr w14:paraId="3C48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5190F871">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r>
                    <w:rPr>
                      <w:rFonts w:hint="eastAsia" w:ascii="Calibri" w:hAnsi="Calibri"/>
                      <w:color w:val="auto"/>
                      <w:highlight w:val="none"/>
                    </w:rPr>
                    <w:t>3</w:t>
                  </w:r>
                </w:p>
              </w:tc>
              <w:tc>
                <w:tcPr>
                  <w:tcW w:w="3286" w:type="dxa"/>
                  <w:tcBorders>
                    <w:top w:val="single" w:color="auto" w:sz="4" w:space="0"/>
                    <w:left w:val="single" w:color="auto" w:sz="4" w:space="0"/>
                    <w:bottom w:val="single" w:color="auto" w:sz="4" w:space="0"/>
                    <w:right w:val="single" w:color="auto" w:sz="4" w:space="0"/>
                  </w:tcBorders>
                  <w:noWrap w:val="0"/>
                  <w:vAlign w:val="top"/>
                </w:tcPr>
                <w:p w14:paraId="74CB2FF4">
                  <w:pPr>
                    <w:keepNext w:val="0"/>
                    <w:keepLines w:val="0"/>
                    <w:suppressLineNumbers w:val="0"/>
                    <w:spacing w:before="0" w:beforeAutospacing="0" w:after="0" w:afterAutospacing="0" w:line="280" w:lineRule="exact"/>
                    <w:ind w:left="0" w:right="0"/>
                    <w:rPr>
                      <w:rFonts w:hint="default" w:ascii="Calibri" w:hAnsi="Calibri"/>
                      <w:color w:val="auto"/>
                      <w:highlight w:val="none"/>
                      <w:lang w:val="en"/>
                    </w:rPr>
                  </w:pPr>
                  <w:r>
                    <w:rPr>
                      <w:rFonts w:hint="eastAsia" w:ascii="宋体" w:hAnsi="宋体"/>
                      <w:color w:val="auto"/>
                      <w:highlight w:val="none"/>
                    </w:rPr>
                    <w:t>本期应支付的</w:t>
                  </w:r>
                  <w:r>
                    <w:rPr>
                      <w:rFonts w:hint="default" w:ascii="宋体" w:hAnsi="宋体"/>
                      <w:color w:val="auto"/>
                      <w:highlight w:val="none"/>
                      <w:lang w:val="en"/>
                    </w:rPr>
                    <w:t>安全生产费</w:t>
                  </w:r>
                </w:p>
              </w:tc>
              <w:tc>
                <w:tcPr>
                  <w:tcW w:w="1571" w:type="dxa"/>
                  <w:tcBorders>
                    <w:top w:val="single" w:color="auto" w:sz="4" w:space="0"/>
                    <w:left w:val="single" w:color="auto" w:sz="4" w:space="0"/>
                    <w:bottom w:val="single" w:color="auto" w:sz="4" w:space="0"/>
                    <w:right w:val="single" w:color="auto" w:sz="4" w:space="0"/>
                  </w:tcBorders>
                  <w:noWrap w:val="0"/>
                  <w:vAlign w:val="top"/>
                </w:tcPr>
                <w:p w14:paraId="74B91D53">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1306087F">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47945C1C">
                  <w:pPr>
                    <w:keepNext w:val="0"/>
                    <w:keepLines w:val="0"/>
                    <w:suppressLineNumbers w:val="0"/>
                    <w:spacing w:before="0" w:beforeAutospacing="0" w:after="0" w:afterAutospacing="0" w:line="280" w:lineRule="exact"/>
                    <w:ind w:left="0" w:right="0"/>
                    <w:rPr>
                      <w:rFonts w:hint="default"/>
                      <w:color w:val="auto"/>
                      <w:highlight w:val="none"/>
                    </w:rPr>
                  </w:pPr>
                </w:p>
              </w:tc>
            </w:tr>
            <w:tr w14:paraId="6746E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1313F867">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21E84C62">
                  <w:pPr>
                    <w:keepNext w:val="0"/>
                    <w:keepLines w:val="0"/>
                    <w:suppressLineNumbers w:val="0"/>
                    <w:spacing w:before="0" w:beforeAutospacing="0" w:after="0" w:afterAutospacing="0" w:line="280" w:lineRule="exact"/>
                    <w:ind w:left="0" w:right="0"/>
                    <w:rPr>
                      <w:rFonts w:hint="default" w:ascii="Calibri" w:hAnsi="Calibri"/>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29F4E3BD">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6F65F2E5">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1A1FB019">
                  <w:pPr>
                    <w:keepNext w:val="0"/>
                    <w:keepLines w:val="0"/>
                    <w:suppressLineNumbers w:val="0"/>
                    <w:spacing w:before="0" w:beforeAutospacing="0" w:after="0" w:afterAutospacing="0" w:line="280" w:lineRule="exact"/>
                    <w:ind w:left="0" w:right="0"/>
                    <w:rPr>
                      <w:rFonts w:hint="default"/>
                      <w:color w:val="auto"/>
                      <w:highlight w:val="none"/>
                    </w:rPr>
                  </w:pPr>
                </w:p>
              </w:tc>
            </w:tr>
            <w:tr w14:paraId="5A38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35259FEF">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132AD134">
                  <w:pPr>
                    <w:keepNext w:val="0"/>
                    <w:keepLines w:val="0"/>
                    <w:suppressLineNumbers w:val="0"/>
                    <w:spacing w:before="0" w:beforeAutospacing="0" w:after="0" w:afterAutospacing="0" w:line="280" w:lineRule="exact"/>
                    <w:ind w:left="0" w:right="0"/>
                    <w:rPr>
                      <w:rFonts w:hint="default" w:ascii="Calibri" w:hAnsi="Calibri"/>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7C24EDEB">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600055F9">
                  <w:pPr>
                    <w:keepNext w:val="0"/>
                    <w:keepLines w:val="0"/>
                    <w:suppressLineNumbers w:val="0"/>
                    <w:spacing w:before="0" w:beforeAutospacing="0" w:after="0" w:afterAutospacing="0" w:line="280" w:lineRule="exact"/>
                    <w:ind w:left="0" w:right="0"/>
                    <w:jc w:val="center"/>
                    <w:rPr>
                      <w:rFonts w:hint="default" w:ascii="Calibri" w:hAnsi="Calibri"/>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3DA6F8A3">
                  <w:pPr>
                    <w:keepNext w:val="0"/>
                    <w:keepLines w:val="0"/>
                    <w:suppressLineNumbers w:val="0"/>
                    <w:spacing w:before="0" w:beforeAutospacing="0" w:after="0" w:afterAutospacing="0" w:line="280" w:lineRule="exact"/>
                    <w:ind w:left="0" w:right="0"/>
                    <w:rPr>
                      <w:rFonts w:hint="default"/>
                      <w:color w:val="auto"/>
                      <w:highlight w:val="none"/>
                    </w:rPr>
                  </w:pPr>
                </w:p>
              </w:tc>
            </w:tr>
            <w:tr w14:paraId="5C70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5210E565">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05C34A11">
                  <w:pPr>
                    <w:keepNext w:val="0"/>
                    <w:keepLines w:val="0"/>
                    <w:suppressLineNumbers w:val="0"/>
                    <w:spacing w:before="0" w:beforeAutospacing="0" w:after="0" w:afterAutospacing="0" w:line="280" w:lineRule="exact"/>
                    <w:ind w:left="0" w:right="0"/>
                    <w:rPr>
                      <w:rFonts w:hint="default"/>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2858CA3B">
                  <w:pPr>
                    <w:keepNext w:val="0"/>
                    <w:keepLines w:val="0"/>
                    <w:suppressLineNumbers w:val="0"/>
                    <w:spacing w:before="0" w:beforeAutospacing="0" w:after="0" w:afterAutospacing="0" w:line="280" w:lineRule="exact"/>
                    <w:ind w:left="0" w:right="0"/>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5A9E651D">
                  <w:pPr>
                    <w:keepNext w:val="0"/>
                    <w:keepLines w:val="0"/>
                    <w:suppressLineNumbers w:val="0"/>
                    <w:spacing w:before="0" w:beforeAutospacing="0" w:after="0" w:afterAutospacing="0" w:line="280" w:lineRule="exact"/>
                    <w:ind w:left="0" w:right="0"/>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716D8FB">
                  <w:pPr>
                    <w:keepNext w:val="0"/>
                    <w:keepLines w:val="0"/>
                    <w:suppressLineNumbers w:val="0"/>
                    <w:spacing w:before="0" w:beforeAutospacing="0" w:after="0" w:afterAutospacing="0" w:line="280" w:lineRule="exact"/>
                    <w:ind w:left="0" w:right="0"/>
                    <w:rPr>
                      <w:rFonts w:hint="default"/>
                      <w:color w:val="auto"/>
                      <w:highlight w:val="none"/>
                    </w:rPr>
                  </w:pPr>
                </w:p>
              </w:tc>
            </w:tr>
            <w:tr w14:paraId="3C0F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371E1448">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3973144D">
                  <w:pPr>
                    <w:keepNext w:val="0"/>
                    <w:keepLines w:val="0"/>
                    <w:suppressLineNumbers w:val="0"/>
                    <w:spacing w:before="0" w:beforeAutospacing="0" w:after="0" w:afterAutospacing="0" w:line="280" w:lineRule="exact"/>
                    <w:ind w:left="0" w:right="0"/>
                    <w:rPr>
                      <w:rFonts w:hint="default"/>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4B55F489">
                  <w:pPr>
                    <w:keepNext w:val="0"/>
                    <w:keepLines w:val="0"/>
                    <w:suppressLineNumbers w:val="0"/>
                    <w:spacing w:before="0" w:beforeAutospacing="0" w:after="0" w:afterAutospacing="0" w:line="280" w:lineRule="exact"/>
                    <w:ind w:left="0" w:right="0"/>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166B6867">
                  <w:pPr>
                    <w:keepNext w:val="0"/>
                    <w:keepLines w:val="0"/>
                    <w:suppressLineNumbers w:val="0"/>
                    <w:spacing w:before="0" w:beforeAutospacing="0" w:after="0" w:afterAutospacing="0" w:line="280" w:lineRule="exact"/>
                    <w:ind w:left="0" w:right="0"/>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26E9E423">
                  <w:pPr>
                    <w:keepNext w:val="0"/>
                    <w:keepLines w:val="0"/>
                    <w:suppressLineNumbers w:val="0"/>
                    <w:spacing w:before="0" w:beforeAutospacing="0" w:after="0" w:afterAutospacing="0" w:line="280" w:lineRule="exact"/>
                    <w:ind w:left="0" w:right="0"/>
                    <w:rPr>
                      <w:rFonts w:hint="default"/>
                      <w:color w:val="auto"/>
                      <w:highlight w:val="none"/>
                    </w:rPr>
                  </w:pPr>
                </w:p>
              </w:tc>
            </w:tr>
            <w:tr w14:paraId="2636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41D0674E">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49BE64D3">
                  <w:pPr>
                    <w:keepNext w:val="0"/>
                    <w:keepLines w:val="0"/>
                    <w:suppressLineNumbers w:val="0"/>
                    <w:spacing w:before="0" w:beforeAutospacing="0" w:after="0" w:afterAutospacing="0" w:line="280" w:lineRule="exact"/>
                    <w:ind w:left="0" w:right="0"/>
                    <w:rPr>
                      <w:rFonts w:hint="default"/>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7D30D027">
                  <w:pPr>
                    <w:keepNext w:val="0"/>
                    <w:keepLines w:val="0"/>
                    <w:suppressLineNumbers w:val="0"/>
                    <w:spacing w:before="0" w:beforeAutospacing="0" w:after="0" w:afterAutospacing="0" w:line="280" w:lineRule="exact"/>
                    <w:ind w:left="0" w:right="0"/>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5DD7325A">
                  <w:pPr>
                    <w:keepNext w:val="0"/>
                    <w:keepLines w:val="0"/>
                    <w:suppressLineNumbers w:val="0"/>
                    <w:spacing w:before="0" w:beforeAutospacing="0" w:after="0" w:afterAutospacing="0" w:line="280" w:lineRule="exact"/>
                    <w:ind w:left="0" w:right="0"/>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5B90F01">
                  <w:pPr>
                    <w:keepNext w:val="0"/>
                    <w:keepLines w:val="0"/>
                    <w:suppressLineNumbers w:val="0"/>
                    <w:spacing w:before="0" w:beforeAutospacing="0" w:after="0" w:afterAutospacing="0" w:line="280" w:lineRule="exact"/>
                    <w:ind w:left="0" w:right="0"/>
                    <w:rPr>
                      <w:rFonts w:hint="default"/>
                      <w:color w:val="auto"/>
                      <w:highlight w:val="none"/>
                    </w:rPr>
                  </w:pPr>
                </w:p>
              </w:tc>
            </w:tr>
            <w:tr w14:paraId="4AD0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51A084FD">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61D40A77">
                  <w:pPr>
                    <w:keepNext w:val="0"/>
                    <w:keepLines w:val="0"/>
                    <w:suppressLineNumbers w:val="0"/>
                    <w:spacing w:before="0" w:beforeAutospacing="0" w:after="0" w:afterAutospacing="0" w:line="280" w:lineRule="exact"/>
                    <w:ind w:left="0" w:right="0"/>
                    <w:rPr>
                      <w:rFonts w:hint="default"/>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114CDDE4">
                  <w:pPr>
                    <w:keepNext w:val="0"/>
                    <w:keepLines w:val="0"/>
                    <w:suppressLineNumbers w:val="0"/>
                    <w:spacing w:before="0" w:beforeAutospacing="0" w:after="0" w:afterAutospacing="0" w:line="280" w:lineRule="exact"/>
                    <w:ind w:left="0" w:right="0"/>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18AA502E">
                  <w:pPr>
                    <w:keepNext w:val="0"/>
                    <w:keepLines w:val="0"/>
                    <w:suppressLineNumbers w:val="0"/>
                    <w:spacing w:before="0" w:beforeAutospacing="0" w:after="0" w:afterAutospacing="0" w:line="280" w:lineRule="exact"/>
                    <w:ind w:left="0" w:right="0"/>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21080507">
                  <w:pPr>
                    <w:keepNext w:val="0"/>
                    <w:keepLines w:val="0"/>
                    <w:suppressLineNumbers w:val="0"/>
                    <w:spacing w:before="0" w:beforeAutospacing="0" w:after="0" w:afterAutospacing="0" w:line="280" w:lineRule="exact"/>
                    <w:ind w:left="0" w:right="0"/>
                    <w:rPr>
                      <w:rFonts w:hint="default"/>
                      <w:color w:val="auto"/>
                      <w:highlight w:val="none"/>
                    </w:rPr>
                  </w:pPr>
                </w:p>
              </w:tc>
            </w:tr>
            <w:tr w14:paraId="0367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1" w:type="dxa"/>
                  <w:tcBorders>
                    <w:top w:val="single" w:color="auto" w:sz="4" w:space="0"/>
                    <w:left w:val="single" w:color="auto" w:sz="4" w:space="0"/>
                    <w:bottom w:val="single" w:color="auto" w:sz="4" w:space="0"/>
                    <w:right w:val="single" w:color="auto" w:sz="4" w:space="0"/>
                  </w:tcBorders>
                  <w:noWrap w:val="0"/>
                  <w:vAlign w:val="top"/>
                </w:tcPr>
                <w:p w14:paraId="1F4B7EF4">
                  <w:pPr>
                    <w:keepNext w:val="0"/>
                    <w:keepLines w:val="0"/>
                    <w:suppressLineNumbers w:val="0"/>
                    <w:spacing w:before="0" w:beforeAutospacing="0" w:after="0" w:afterAutospacing="0" w:line="280" w:lineRule="exact"/>
                    <w:ind w:left="0" w:right="0"/>
                    <w:jc w:val="center"/>
                    <w:rPr>
                      <w:rFonts w:hint="default"/>
                      <w:color w:val="auto"/>
                      <w:highlight w:val="none"/>
                    </w:rPr>
                  </w:pPr>
                </w:p>
              </w:tc>
              <w:tc>
                <w:tcPr>
                  <w:tcW w:w="3286" w:type="dxa"/>
                  <w:tcBorders>
                    <w:top w:val="single" w:color="auto" w:sz="4" w:space="0"/>
                    <w:left w:val="single" w:color="auto" w:sz="4" w:space="0"/>
                    <w:bottom w:val="single" w:color="auto" w:sz="4" w:space="0"/>
                    <w:right w:val="single" w:color="auto" w:sz="4" w:space="0"/>
                  </w:tcBorders>
                  <w:noWrap w:val="0"/>
                  <w:vAlign w:val="top"/>
                </w:tcPr>
                <w:p w14:paraId="6D7A96FB">
                  <w:pPr>
                    <w:keepNext w:val="0"/>
                    <w:keepLines w:val="0"/>
                    <w:suppressLineNumbers w:val="0"/>
                    <w:spacing w:before="0" w:beforeAutospacing="0" w:after="0" w:afterAutospacing="0" w:line="280" w:lineRule="exact"/>
                    <w:ind w:left="0" w:right="0"/>
                    <w:rPr>
                      <w:rFonts w:hint="default"/>
                      <w:color w:val="auto"/>
                      <w:highlight w:val="none"/>
                    </w:rPr>
                  </w:pPr>
                </w:p>
              </w:tc>
              <w:tc>
                <w:tcPr>
                  <w:tcW w:w="1571" w:type="dxa"/>
                  <w:tcBorders>
                    <w:top w:val="single" w:color="auto" w:sz="4" w:space="0"/>
                    <w:left w:val="single" w:color="auto" w:sz="4" w:space="0"/>
                    <w:bottom w:val="single" w:color="auto" w:sz="4" w:space="0"/>
                    <w:right w:val="single" w:color="auto" w:sz="4" w:space="0"/>
                  </w:tcBorders>
                  <w:noWrap w:val="0"/>
                  <w:vAlign w:val="top"/>
                </w:tcPr>
                <w:p w14:paraId="11B68255">
                  <w:pPr>
                    <w:keepNext w:val="0"/>
                    <w:keepLines w:val="0"/>
                    <w:suppressLineNumbers w:val="0"/>
                    <w:spacing w:before="0" w:beforeAutospacing="0" w:after="0" w:afterAutospacing="0" w:line="280" w:lineRule="exact"/>
                    <w:ind w:left="0" w:right="0"/>
                    <w:rPr>
                      <w:rFonts w:hint="default"/>
                      <w:color w:val="auto"/>
                      <w:highlight w:val="none"/>
                    </w:rPr>
                  </w:pPr>
                </w:p>
              </w:tc>
              <w:tc>
                <w:tcPr>
                  <w:tcW w:w="1671" w:type="dxa"/>
                  <w:tcBorders>
                    <w:top w:val="single" w:color="auto" w:sz="4" w:space="0"/>
                    <w:left w:val="single" w:color="auto" w:sz="4" w:space="0"/>
                    <w:bottom w:val="single" w:color="auto" w:sz="4" w:space="0"/>
                    <w:right w:val="single" w:color="auto" w:sz="4" w:space="0"/>
                  </w:tcBorders>
                  <w:noWrap w:val="0"/>
                  <w:vAlign w:val="top"/>
                </w:tcPr>
                <w:p w14:paraId="4CDD4BE2">
                  <w:pPr>
                    <w:keepNext w:val="0"/>
                    <w:keepLines w:val="0"/>
                    <w:suppressLineNumbers w:val="0"/>
                    <w:spacing w:before="0" w:beforeAutospacing="0" w:after="0" w:afterAutospacing="0" w:line="280" w:lineRule="exact"/>
                    <w:ind w:left="0" w:right="0"/>
                    <w:rPr>
                      <w:rFonts w:hint="default"/>
                      <w:color w:val="auto"/>
                      <w:highlight w:val="none"/>
                    </w:rPr>
                  </w:pPr>
                </w:p>
              </w:tc>
              <w:tc>
                <w:tcPr>
                  <w:tcW w:w="1500" w:type="dxa"/>
                  <w:tcBorders>
                    <w:top w:val="single" w:color="auto" w:sz="4" w:space="0"/>
                    <w:left w:val="single" w:color="auto" w:sz="4" w:space="0"/>
                    <w:bottom w:val="single" w:color="auto" w:sz="4" w:space="0"/>
                    <w:right w:val="single" w:color="auto" w:sz="4" w:space="0"/>
                  </w:tcBorders>
                  <w:noWrap w:val="0"/>
                  <w:vAlign w:val="top"/>
                </w:tcPr>
                <w:p w14:paraId="605B2E54">
                  <w:pPr>
                    <w:keepNext w:val="0"/>
                    <w:keepLines w:val="0"/>
                    <w:suppressLineNumbers w:val="0"/>
                    <w:spacing w:before="0" w:beforeAutospacing="0" w:after="0" w:afterAutospacing="0" w:line="280" w:lineRule="exact"/>
                    <w:ind w:left="0" w:right="0"/>
                    <w:rPr>
                      <w:rFonts w:hint="default"/>
                      <w:color w:val="auto"/>
                      <w:highlight w:val="none"/>
                    </w:rPr>
                  </w:pPr>
                </w:p>
              </w:tc>
            </w:tr>
          </w:tbl>
          <w:p w14:paraId="045A2834">
            <w:pPr>
              <w:keepNext w:val="0"/>
              <w:keepLines w:val="0"/>
              <w:suppressLineNumbers w:val="0"/>
              <w:wordWrap w:val="0"/>
              <w:spacing w:before="0" w:beforeAutospacing="0" w:after="0" w:afterAutospacing="0" w:line="400" w:lineRule="exact"/>
              <w:ind w:left="0" w:right="420"/>
              <w:rPr>
                <w:rFonts w:hint="default"/>
                <w:color w:val="auto"/>
                <w:highlight w:val="none"/>
              </w:rPr>
            </w:pPr>
          </w:p>
          <w:p w14:paraId="17E20B39">
            <w:pPr>
              <w:keepNext w:val="0"/>
              <w:keepLines w:val="0"/>
              <w:suppressLineNumbers w:val="0"/>
              <w:wordWrap w:val="0"/>
              <w:spacing w:before="0" w:beforeAutospacing="0" w:after="0" w:afterAutospacing="0" w:line="400" w:lineRule="exact"/>
              <w:ind w:left="0" w:right="420"/>
              <w:rPr>
                <w:rFonts w:hint="default"/>
                <w:color w:val="auto"/>
                <w:highlight w:val="none"/>
              </w:rPr>
            </w:pPr>
            <w:r>
              <w:rPr>
                <w:rFonts w:hint="default"/>
                <w:color w:val="auto"/>
                <w:highlight w:val="none"/>
              </w:rPr>
              <w:t xml:space="preserve">                                            </w:t>
            </w:r>
            <w:r>
              <w:rPr>
                <w:rFonts w:hint="eastAsia" w:ascii="宋体" w:hAnsi="宋体"/>
                <w:color w:val="auto"/>
                <w:highlight w:val="none"/>
              </w:rPr>
              <w:t xml:space="preserve">承包人（章） </w:t>
            </w:r>
            <w:r>
              <w:rPr>
                <w:rFonts w:hint="default"/>
                <w:color w:val="auto"/>
                <w:highlight w:val="none"/>
              </w:rPr>
              <w:t xml:space="preserve">            </w:t>
            </w:r>
          </w:p>
          <w:p w14:paraId="12138CBC">
            <w:pPr>
              <w:keepNext w:val="0"/>
              <w:keepLines w:val="0"/>
              <w:suppressLineNumbers w:val="0"/>
              <w:spacing w:before="0" w:beforeAutospacing="0" w:after="0" w:afterAutospacing="0" w:line="400" w:lineRule="exact"/>
              <w:ind w:left="0" w:right="420" w:firstLine="435"/>
              <w:rPr>
                <w:rFonts w:hint="default"/>
                <w:color w:val="auto"/>
                <w:highlight w:val="none"/>
              </w:rPr>
            </w:pPr>
            <w:r>
              <w:rPr>
                <w:rFonts w:hint="eastAsia" w:ascii="宋体" w:hAnsi="宋体"/>
                <w:color w:val="auto"/>
                <w:highlight w:val="none"/>
              </w:rPr>
              <w:t>造价人员</w:t>
            </w:r>
            <w:r>
              <w:rPr>
                <w:rFonts w:hint="default"/>
                <w:color w:val="auto"/>
                <w:highlight w:val="none"/>
                <w:u w:val="single"/>
              </w:rPr>
              <w:t xml:space="preserve">               </w:t>
            </w:r>
            <w:r>
              <w:rPr>
                <w:rFonts w:hint="eastAsia" w:ascii="宋体" w:hAnsi="宋体"/>
                <w:color w:val="auto"/>
                <w:highlight w:val="none"/>
              </w:rPr>
              <w:t>承包人代表</w:t>
            </w:r>
            <w:r>
              <w:rPr>
                <w:rFonts w:hint="default"/>
                <w:color w:val="auto"/>
                <w:highlight w:val="none"/>
                <w:u w:val="singl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1365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4520" w:type="dxa"/>
            <w:tcBorders>
              <w:top w:val="single" w:color="auto" w:sz="4" w:space="0"/>
              <w:left w:val="single" w:color="auto" w:sz="4" w:space="0"/>
              <w:bottom w:val="single" w:color="auto" w:sz="4" w:space="0"/>
              <w:right w:val="single" w:color="auto" w:sz="4" w:space="0"/>
            </w:tcBorders>
            <w:noWrap w:val="0"/>
            <w:vAlign w:val="top"/>
          </w:tcPr>
          <w:p w14:paraId="3326EDBB">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10BD449F">
            <w:pPr>
              <w:keepNext w:val="0"/>
              <w:keepLines w:val="0"/>
              <w:suppressLineNumbers w:val="0"/>
              <w:spacing w:before="0" w:beforeAutospacing="0" w:after="0" w:afterAutospacing="0" w:line="360" w:lineRule="exact"/>
              <w:ind w:left="0" w:right="0" w:firstLine="312"/>
              <w:rPr>
                <w:rFonts w:hint="default"/>
                <w:color w:val="auto"/>
                <w:highlight w:val="none"/>
              </w:rPr>
            </w:pPr>
            <w:r>
              <w:rPr>
                <w:rFonts w:hint="eastAsia" w:ascii="宋体" w:hAnsi="宋体"/>
                <w:color w:val="auto"/>
                <w:highlight w:val="none"/>
              </w:rPr>
              <w:t>□与合同约定不相符</w:t>
            </w:r>
            <w:r>
              <w:rPr>
                <w:rFonts w:hint="eastAsia" w:ascii="宋体" w:hAnsi="宋体"/>
                <w:color w:val="auto"/>
                <w:highlight w:val="none"/>
                <w:lang w:eastAsia="zh-CN"/>
              </w:rPr>
              <w:t>，</w:t>
            </w:r>
            <w:r>
              <w:rPr>
                <w:rFonts w:hint="eastAsia" w:ascii="宋体" w:hAnsi="宋体"/>
                <w:color w:val="auto"/>
                <w:highlight w:val="none"/>
              </w:rPr>
              <w:t>修改意见见附件。</w:t>
            </w:r>
          </w:p>
          <w:p w14:paraId="3D888D85">
            <w:pPr>
              <w:keepNext w:val="0"/>
              <w:keepLines w:val="0"/>
              <w:suppressLineNumbers w:val="0"/>
              <w:spacing w:before="0" w:beforeAutospacing="0" w:after="0" w:afterAutospacing="0" w:line="360" w:lineRule="exact"/>
              <w:ind w:left="0" w:right="0" w:firstLine="312"/>
              <w:rPr>
                <w:rFonts w:hint="default"/>
                <w:color w:val="auto"/>
                <w:highlight w:val="none"/>
              </w:rPr>
            </w:pPr>
            <w:r>
              <w:rPr>
                <w:rFonts w:hint="eastAsia" w:ascii="宋体" w:hAnsi="宋体"/>
                <w:color w:val="auto"/>
                <w:highlight w:val="none"/>
              </w:rPr>
              <w:t>□与合同约定相符</w:t>
            </w:r>
            <w:r>
              <w:rPr>
                <w:rFonts w:hint="eastAsia" w:ascii="宋体" w:hAnsi="宋体"/>
                <w:color w:val="auto"/>
                <w:highlight w:val="none"/>
                <w:lang w:eastAsia="zh-CN"/>
              </w:rPr>
              <w:t>，</w:t>
            </w:r>
            <w:r>
              <w:rPr>
                <w:rFonts w:hint="eastAsia" w:ascii="宋体" w:hAnsi="宋体"/>
                <w:color w:val="auto"/>
                <w:highlight w:val="none"/>
              </w:rPr>
              <w:t>具体金额由造价工程师复核。</w:t>
            </w:r>
          </w:p>
          <w:p w14:paraId="35D8892B">
            <w:pPr>
              <w:keepNext w:val="0"/>
              <w:keepLines w:val="0"/>
              <w:suppressLineNumbers w:val="0"/>
              <w:spacing w:before="0" w:beforeAutospacing="0" w:after="0" w:afterAutospacing="0" w:line="360" w:lineRule="exact"/>
              <w:ind w:left="0" w:right="0" w:firstLine="435"/>
              <w:jc w:val="right"/>
              <w:rPr>
                <w:rFonts w:hint="default"/>
                <w:color w:val="auto"/>
                <w:highlight w:val="none"/>
              </w:rPr>
            </w:pPr>
          </w:p>
          <w:p w14:paraId="034A9E2D">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监理工程师</w:t>
            </w:r>
            <w:r>
              <w:rPr>
                <w:rFonts w:hint="default"/>
                <w:color w:val="auto"/>
                <w:highlight w:val="none"/>
                <w:u w:val="single"/>
              </w:rPr>
              <w:t xml:space="preserve">           </w:t>
            </w:r>
          </w:p>
          <w:p w14:paraId="4A0AC299">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c>
          <w:tcPr>
            <w:tcW w:w="4552" w:type="dxa"/>
            <w:tcBorders>
              <w:top w:val="single" w:color="auto" w:sz="4" w:space="0"/>
              <w:left w:val="single" w:color="auto" w:sz="4" w:space="0"/>
              <w:bottom w:val="single" w:color="auto" w:sz="4" w:space="0"/>
              <w:right w:val="single" w:color="auto" w:sz="4" w:space="0"/>
            </w:tcBorders>
            <w:noWrap w:val="0"/>
            <w:vAlign w:val="top"/>
          </w:tcPr>
          <w:p w14:paraId="6C354653">
            <w:pPr>
              <w:keepNext w:val="0"/>
              <w:keepLines w:val="0"/>
              <w:suppressLineNumbers w:val="0"/>
              <w:spacing w:before="0" w:beforeAutospacing="0" w:after="0" w:afterAutospacing="0" w:line="360" w:lineRule="exact"/>
              <w:ind w:left="0" w:right="0"/>
              <w:rPr>
                <w:rFonts w:hint="default"/>
                <w:color w:val="auto"/>
                <w:highlight w:val="none"/>
              </w:rPr>
            </w:pPr>
            <w:r>
              <w:rPr>
                <w:rFonts w:hint="eastAsia" w:ascii="宋体" w:hAnsi="宋体"/>
                <w:color w:val="auto"/>
                <w:highlight w:val="none"/>
              </w:rPr>
              <w:t>复核意见：</w:t>
            </w:r>
          </w:p>
          <w:p w14:paraId="4530B702">
            <w:pPr>
              <w:keepNext w:val="0"/>
              <w:keepLines w:val="0"/>
              <w:suppressLineNumbers w:val="0"/>
              <w:spacing w:before="0" w:beforeAutospacing="0" w:after="0" w:afterAutospacing="0" w:line="360" w:lineRule="exact"/>
              <w:ind w:left="0" w:right="0" w:firstLine="435"/>
              <w:rPr>
                <w:rFonts w:hint="default"/>
                <w:color w:val="auto"/>
                <w:highlight w:val="none"/>
              </w:rPr>
            </w:pPr>
            <w:r>
              <w:rPr>
                <w:rFonts w:hint="eastAsia" w:ascii="宋体" w:hAnsi="宋体"/>
                <w:color w:val="auto"/>
                <w:highlight w:val="none"/>
              </w:rPr>
              <w:t>你方提出的支付申请经复核</w:t>
            </w:r>
            <w:r>
              <w:rPr>
                <w:rFonts w:hint="eastAsia" w:ascii="宋体" w:hAnsi="宋体"/>
                <w:color w:val="auto"/>
                <w:highlight w:val="none"/>
                <w:lang w:eastAsia="zh-CN"/>
              </w:rPr>
              <w:t>，</w:t>
            </w:r>
            <w:r>
              <w:rPr>
                <w:rFonts w:hint="eastAsia" w:ascii="宋体" w:hAnsi="宋体"/>
                <w:color w:val="auto"/>
                <w:highlight w:val="none"/>
              </w:rPr>
              <w:t>应支付预付款金额为</w:t>
            </w:r>
            <w:r>
              <w:rPr>
                <w:rFonts w:hint="eastAsia"/>
                <w:color w:val="auto"/>
                <w:highlight w:val="none"/>
                <w:lang w:eastAsia="zh-CN"/>
              </w:rPr>
              <w:t>（</w:t>
            </w:r>
            <w:r>
              <w:rPr>
                <w:rFonts w:hint="eastAsia" w:ascii="宋体" w:hAnsi="宋体"/>
                <w:color w:val="auto"/>
                <w:highlight w:val="none"/>
              </w:rPr>
              <w:t>大写</w:t>
            </w:r>
            <w:r>
              <w:rPr>
                <w:rFonts w:hint="eastAsia"/>
                <w:color w:val="auto"/>
                <w:highlight w:val="none"/>
                <w:lang w:eastAsia="zh-CN"/>
              </w:rPr>
              <w:t>）</w:t>
            </w:r>
            <w:r>
              <w:rPr>
                <w:rFonts w:hint="default"/>
                <w:color w:val="auto"/>
                <w:highlight w:val="none"/>
                <w:u w:val="single"/>
              </w:rPr>
              <w:t xml:space="preserve">                </w:t>
            </w:r>
            <w:r>
              <w:rPr>
                <w:rFonts w:hint="eastAsia" w:ascii="宋体" w:hAnsi="宋体"/>
                <w:color w:val="auto"/>
                <w:highlight w:val="none"/>
              </w:rPr>
              <w:t>元</w:t>
            </w:r>
            <w:r>
              <w:rPr>
                <w:rFonts w:hint="eastAsia" w:ascii="宋体" w:hAnsi="宋体"/>
                <w:color w:val="auto"/>
                <w:highlight w:val="none"/>
                <w:lang w:eastAsia="zh-CN"/>
              </w:rPr>
              <w:t>，</w:t>
            </w:r>
            <w:r>
              <w:rPr>
                <w:rFonts w:hint="eastAsia" w:ascii="宋体" w:hAnsi="宋体"/>
                <w:color w:val="auto"/>
                <w:highlight w:val="none"/>
              </w:rPr>
              <w:t>（小写）</w:t>
            </w:r>
          </w:p>
          <w:p w14:paraId="489E8A52">
            <w:pPr>
              <w:keepNext w:val="0"/>
              <w:keepLines w:val="0"/>
              <w:suppressLineNumbers w:val="0"/>
              <w:spacing w:before="0" w:beforeAutospacing="0" w:after="0" w:afterAutospacing="0" w:line="360" w:lineRule="exact"/>
              <w:ind w:left="0" w:right="0"/>
              <w:rPr>
                <w:rFonts w:hint="default"/>
                <w:color w:val="auto"/>
                <w:highlight w:val="none"/>
              </w:rPr>
            </w:pPr>
            <w:r>
              <w:rPr>
                <w:rFonts w:hint="default"/>
                <w:color w:val="auto"/>
                <w:highlight w:val="none"/>
                <w:u w:val="single"/>
              </w:rPr>
              <w:t xml:space="preserve">          </w:t>
            </w:r>
            <w:r>
              <w:rPr>
                <w:rFonts w:hint="default"/>
                <w:color w:val="auto"/>
                <w:highlight w:val="none"/>
              </w:rPr>
              <w:t xml:space="preserve"> </w:t>
            </w:r>
            <w:r>
              <w:rPr>
                <w:rFonts w:hint="eastAsia" w:ascii="宋体" w:hAnsi="宋体"/>
                <w:color w:val="auto"/>
                <w:highlight w:val="none"/>
              </w:rPr>
              <w:t>元。</w:t>
            </w:r>
          </w:p>
          <w:p w14:paraId="438DC968">
            <w:pPr>
              <w:keepNext w:val="0"/>
              <w:keepLines w:val="0"/>
              <w:suppressLineNumbers w:val="0"/>
              <w:spacing w:before="0" w:beforeAutospacing="0" w:after="0" w:afterAutospacing="0" w:line="360" w:lineRule="exact"/>
              <w:ind w:left="0" w:right="0"/>
              <w:rPr>
                <w:rFonts w:hint="default"/>
                <w:color w:val="auto"/>
                <w:highlight w:val="none"/>
                <w:u w:val="single"/>
              </w:rPr>
            </w:pPr>
          </w:p>
          <w:p w14:paraId="27001B61">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造价工程师</w:t>
            </w:r>
            <w:r>
              <w:rPr>
                <w:rFonts w:hint="default"/>
                <w:color w:val="auto"/>
                <w:highlight w:val="none"/>
                <w:u w:val="single"/>
              </w:rPr>
              <w:t xml:space="preserve">           </w:t>
            </w:r>
          </w:p>
          <w:p w14:paraId="7A82A36E">
            <w:pPr>
              <w:keepNext w:val="0"/>
              <w:keepLines w:val="0"/>
              <w:suppressLineNumbers w:val="0"/>
              <w:spacing w:before="0" w:beforeAutospacing="0" w:after="0" w:afterAutospacing="0" w:line="360" w:lineRule="exact"/>
              <w:ind w:left="0" w:right="0" w:firstLine="435"/>
              <w:jc w:val="center"/>
              <w:rPr>
                <w:rFonts w:hint="default"/>
                <w:color w:val="auto"/>
                <w:highlight w:val="none"/>
                <w:u w:val="single"/>
              </w:rPr>
            </w:pPr>
            <w:r>
              <w:rPr>
                <w:rFonts w:hint="default"/>
                <w:color w:val="auto"/>
                <w:highlight w:val="none"/>
              </w:rPr>
              <w:t xml:space="preserve">        </w:t>
            </w: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r w14:paraId="74E6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304A02F0">
            <w:pPr>
              <w:keepNext w:val="0"/>
              <w:keepLines w:val="0"/>
              <w:suppressLineNumbers w:val="0"/>
              <w:spacing w:before="0" w:beforeAutospacing="0" w:after="0" w:afterAutospacing="0" w:line="400" w:lineRule="exact"/>
              <w:ind w:left="0" w:right="0"/>
              <w:rPr>
                <w:rFonts w:hint="default"/>
                <w:color w:val="auto"/>
                <w:highlight w:val="none"/>
              </w:rPr>
            </w:pPr>
            <w:r>
              <w:rPr>
                <w:rFonts w:hint="eastAsia" w:ascii="宋体" w:hAnsi="宋体"/>
                <w:color w:val="auto"/>
                <w:highlight w:val="none"/>
              </w:rPr>
              <w:t>审核意见：</w:t>
            </w:r>
          </w:p>
          <w:p w14:paraId="43E0B6B5">
            <w:pPr>
              <w:keepNext w:val="0"/>
              <w:keepLines w:val="0"/>
              <w:suppressLineNumbers w:val="0"/>
              <w:spacing w:before="0" w:beforeAutospacing="0" w:after="0" w:afterAutospacing="0" w:line="400" w:lineRule="exact"/>
              <w:ind w:left="0" w:right="0" w:firstLine="435"/>
              <w:rPr>
                <w:rFonts w:hint="default"/>
                <w:color w:val="auto"/>
                <w:highlight w:val="none"/>
              </w:rPr>
            </w:pPr>
            <w:r>
              <w:rPr>
                <w:rFonts w:hint="eastAsia" w:ascii="宋体" w:hAnsi="宋体"/>
                <w:color w:val="auto"/>
                <w:highlight w:val="none"/>
              </w:rPr>
              <w:t>□不同意。</w:t>
            </w:r>
          </w:p>
          <w:p w14:paraId="755FD02E">
            <w:pPr>
              <w:keepNext w:val="0"/>
              <w:keepLines w:val="0"/>
              <w:suppressLineNumbers w:val="0"/>
              <w:spacing w:before="0" w:beforeAutospacing="0" w:after="0" w:afterAutospacing="0" w:line="400" w:lineRule="exact"/>
              <w:ind w:left="0" w:right="0" w:firstLine="428" w:firstLineChars="200"/>
              <w:rPr>
                <w:rFonts w:hint="default"/>
                <w:color w:val="auto"/>
                <w:highlight w:val="none"/>
              </w:rPr>
            </w:pPr>
            <w:r>
              <w:rPr>
                <w:rFonts w:hint="eastAsia" w:ascii="宋体" w:hAnsi="宋体"/>
                <w:color w:val="auto"/>
                <w:highlight w:val="none"/>
              </w:rPr>
              <w:t>□同意</w:t>
            </w:r>
            <w:r>
              <w:rPr>
                <w:rFonts w:hint="eastAsia" w:ascii="宋体" w:hAnsi="宋体"/>
                <w:color w:val="auto"/>
                <w:highlight w:val="none"/>
                <w:lang w:eastAsia="zh-CN"/>
              </w:rPr>
              <w:t>，</w:t>
            </w:r>
            <w:r>
              <w:rPr>
                <w:rFonts w:hint="eastAsia" w:ascii="宋体" w:hAnsi="宋体"/>
                <w:color w:val="auto"/>
                <w:highlight w:val="none"/>
              </w:rPr>
              <w:t>支付时间为本表签发后的</w:t>
            </w:r>
            <w:r>
              <w:rPr>
                <w:rFonts w:hint="eastAsia"/>
                <w:color w:val="auto"/>
                <w:highlight w:val="none"/>
              </w:rPr>
              <w:t>15</w:t>
            </w:r>
            <w:r>
              <w:rPr>
                <w:rFonts w:hint="eastAsia" w:ascii="宋体" w:hAnsi="宋体"/>
                <w:color w:val="auto"/>
                <w:highlight w:val="none"/>
              </w:rPr>
              <w:t>天内。</w:t>
            </w:r>
          </w:p>
          <w:p w14:paraId="1EEE0702">
            <w:pPr>
              <w:keepNext w:val="0"/>
              <w:keepLines w:val="0"/>
              <w:suppressLineNumbers w:val="0"/>
              <w:wordWrap w:val="0"/>
              <w:spacing w:before="0" w:beforeAutospacing="0" w:after="0" w:afterAutospacing="0" w:line="400" w:lineRule="exact"/>
              <w:ind w:left="0" w:right="0" w:firstLine="428" w:firstLineChars="200"/>
              <w:jc w:val="right"/>
              <w:rPr>
                <w:rFonts w:hint="default"/>
                <w:color w:val="auto"/>
                <w:highlight w:val="none"/>
              </w:rPr>
            </w:pPr>
            <w:r>
              <w:rPr>
                <w:rFonts w:hint="eastAsia" w:ascii="宋体" w:hAnsi="宋体"/>
                <w:color w:val="auto"/>
                <w:highlight w:val="none"/>
              </w:rPr>
              <w:t xml:space="preserve">发包人（章） </w:t>
            </w:r>
            <w:r>
              <w:rPr>
                <w:rFonts w:hint="default"/>
                <w:color w:val="auto"/>
                <w:highlight w:val="none"/>
              </w:rPr>
              <w:t xml:space="preserve">          </w:t>
            </w:r>
          </w:p>
          <w:p w14:paraId="7D91D052">
            <w:pPr>
              <w:keepNext w:val="0"/>
              <w:keepLines w:val="0"/>
              <w:suppressLineNumbers w:val="0"/>
              <w:wordWrap w:val="0"/>
              <w:spacing w:before="0" w:beforeAutospacing="0" w:after="0" w:afterAutospacing="0" w:line="400" w:lineRule="exact"/>
              <w:ind w:left="0" w:right="0" w:firstLine="428" w:firstLineChars="200"/>
              <w:jc w:val="right"/>
              <w:rPr>
                <w:rFonts w:hint="default"/>
                <w:color w:val="auto"/>
                <w:highlight w:val="none"/>
                <w:u w:val="single"/>
              </w:rPr>
            </w:pPr>
            <w:r>
              <w:rPr>
                <w:rFonts w:hint="eastAsia" w:ascii="宋体" w:hAnsi="宋体"/>
                <w:color w:val="auto"/>
                <w:highlight w:val="none"/>
              </w:rPr>
              <w:t>发包人代表</w:t>
            </w:r>
            <w:r>
              <w:rPr>
                <w:rFonts w:hint="default"/>
                <w:color w:val="auto"/>
                <w:highlight w:val="none"/>
                <w:u w:val="single"/>
              </w:rPr>
              <w:t xml:space="preserve">             </w:t>
            </w:r>
          </w:p>
          <w:p w14:paraId="45256781">
            <w:pPr>
              <w:keepNext w:val="0"/>
              <w:keepLines w:val="0"/>
              <w:suppressLineNumbers w:val="0"/>
              <w:wordWrap w:val="0"/>
              <w:spacing w:before="0" w:beforeAutospacing="0" w:after="0" w:afterAutospacing="0" w:line="400" w:lineRule="exact"/>
              <w:ind w:left="0" w:right="0" w:firstLine="428" w:firstLineChars="200"/>
              <w:jc w:val="right"/>
              <w:rPr>
                <w:rFonts w:hint="default"/>
                <w:color w:val="auto"/>
                <w:highlight w:val="none"/>
                <w:u w:val="single"/>
              </w:rPr>
            </w:pPr>
            <w:r>
              <w:rPr>
                <w:rFonts w:hint="eastAsia" w:ascii="宋体" w:hAnsi="宋体"/>
                <w:color w:val="auto"/>
                <w:highlight w:val="none"/>
              </w:rPr>
              <w:t xml:space="preserve">日 </w:t>
            </w:r>
            <w:r>
              <w:rPr>
                <w:rFonts w:hint="default"/>
                <w:color w:val="auto"/>
                <w:highlight w:val="none"/>
              </w:rPr>
              <w:t xml:space="preserve">     </w:t>
            </w:r>
            <w:r>
              <w:rPr>
                <w:rFonts w:hint="eastAsia" w:ascii="宋体" w:hAnsi="宋体"/>
                <w:color w:val="auto"/>
                <w:highlight w:val="none"/>
              </w:rPr>
              <w:t>期</w:t>
            </w:r>
            <w:r>
              <w:rPr>
                <w:rFonts w:hint="default"/>
                <w:color w:val="auto"/>
                <w:highlight w:val="none"/>
                <w:u w:val="single"/>
              </w:rPr>
              <w:t xml:space="preserve">             </w:t>
            </w:r>
          </w:p>
        </w:tc>
      </w:tr>
    </w:tbl>
    <w:p w14:paraId="385F7E85">
      <w:pPr>
        <w:ind w:firstLine="368" w:firstLineChars="200"/>
        <w:rPr>
          <w:color w:val="auto"/>
          <w:sz w:val="18"/>
          <w:szCs w:val="18"/>
          <w:highlight w:val="none"/>
        </w:rPr>
      </w:pPr>
      <w:r>
        <w:rPr>
          <w:rFonts w:hint="eastAsia" w:ascii="宋体" w:hAnsi="宋体"/>
          <w:color w:val="auto"/>
          <w:sz w:val="18"/>
          <w:szCs w:val="18"/>
          <w:highlight w:val="none"/>
        </w:rPr>
        <w:t>注：</w:t>
      </w:r>
      <w:r>
        <w:rPr>
          <w:rFonts w:hint="eastAsia"/>
          <w:color w:val="auto"/>
          <w:sz w:val="18"/>
          <w:szCs w:val="18"/>
          <w:highlight w:val="none"/>
        </w:rPr>
        <w:t>1.</w:t>
      </w:r>
      <w:r>
        <w:rPr>
          <w:rFonts w:hint="eastAsia" w:ascii="宋体" w:hAnsi="宋体"/>
          <w:color w:val="auto"/>
          <w:sz w:val="18"/>
          <w:szCs w:val="18"/>
          <w:highlight w:val="none"/>
        </w:rPr>
        <w:t xml:space="preserve">在选择栏中的“□”内作标识“√”。 </w:t>
      </w:r>
    </w:p>
    <w:p w14:paraId="3FBD88F7">
      <w:pPr>
        <w:pStyle w:val="52"/>
        <w:ind w:leftChars="0" w:firstLine="0" w:firstLineChars="0"/>
        <w:rPr>
          <w:rFonts w:hint="eastAsia" w:ascii="宋体" w:hAnsi="宋体"/>
          <w:color w:val="auto"/>
          <w:sz w:val="18"/>
          <w:szCs w:val="18"/>
          <w:highlight w:val="none"/>
        </w:rPr>
      </w:pPr>
      <w:r>
        <w:rPr>
          <w:rFonts w:hint="eastAsia" w:ascii="宋体" w:hAnsi="宋体"/>
          <w:color w:val="auto"/>
          <w:sz w:val="18"/>
          <w:szCs w:val="18"/>
          <w:highlight w:val="none"/>
        </w:rPr>
        <w:t xml:space="preserve">    </w:t>
      </w:r>
      <w:r>
        <w:rPr>
          <w:color w:val="auto"/>
          <w:sz w:val="18"/>
          <w:szCs w:val="18"/>
          <w:highlight w:val="none"/>
        </w:rPr>
        <w:t xml:space="preserve">  </w:t>
      </w:r>
      <w:r>
        <w:rPr>
          <w:rFonts w:hint="eastAsia" w:ascii="宋体" w:hAnsi="宋体"/>
          <w:color w:val="auto"/>
          <w:sz w:val="18"/>
          <w:szCs w:val="18"/>
          <w:highlight w:val="none"/>
        </w:rPr>
        <w:t xml:space="preserve">  </w:t>
      </w:r>
      <w:r>
        <w:rPr>
          <w:rFonts w:hint="eastAsia"/>
          <w:color w:val="auto"/>
          <w:sz w:val="18"/>
          <w:szCs w:val="18"/>
          <w:highlight w:val="none"/>
        </w:rPr>
        <w:t>2.</w:t>
      </w:r>
      <w:r>
        <w:rPr>
          <w:rFonts w:hint="eastAsia" w:ascii="宋体" w:hAnsi="宋体"/>
          <w:color w:val="auto"/>
          <w:sz w:val="18"/>
          <w:szCs w:val="18"/>
          <w:highlight w:val="none"/>
        </w:rPr>
        <w:t>本表一式四份</w:t>
      </w:r>
      <w:r>
        <w:rPr>
          <w:rFonts w:hint="eastAsia" w:ascii="宋体" w:hAnsi="宋体"/>
          <w:color w:val="auto"/>
          <w:sz w:val="18"/>
          <w:szCs w:val="18"/>
          <w:highlight w:val="none"/>
          <w:lang w:eastAsia="zh-CN"/>
        </w:rPr>
        <w:t>，</w:t>
      </w:r>
      <w:r>
        <w:rPr>
          <w:rFonts w:hint="eastAsia" w:ascii="宋体" w:hAnsi="宋体"/>
          <w:color w:val="auto"/>
          <w:sz w:val="18"/>
          <w:szCs w:val="18"/>
          <w:highlight w:val="none"/>
        </w:rPr>
        <w:t>由承包人填报</w:t>
      </w:r>
      <w:r>
        <w:rPr>
          <w:rFonts w:hint="eastAsia" w:ascii="宋体" w:hAnsi="宋体"/>
          <w:color w:val="auto"/>
          <w:sz w:val="18"/>
          <w:szCs w:val="18"/>
          <w:highlight w:val="none"/>
          <w:lang w:eastAsia="zh-CN"/>
        </w:rPr>
        <w:t>，</w:t>
      </w:r>
      <w:r>
        <w:rPr>
          <w:rFonts w:hint="eastAsia" w:ascii="宋体" w:hAnsi="宋体"/>
          <w:color w:val="auto"/>
          <w:sz w:val="18"/>
          <w:szCs w:val="18"/>
          <w:highlight w:val="none"/>
        </w:rPr>
        <w:t xml:space="preserve">发包人、监理人、造价咨询人、承包人各存一份。     </w:t>
      </w:r>
    </w:p>
    <w:p w14:paraId="282A34AA">
      <w:pPr>
        <w:pStyle w:val="52"/>
        <w:ind w:leftChars="0" w:firstLine="0" w:firstLineChars="0"/>
        <w:rPr>
          <w:rFonts w:hint="eastAsia" w:ascii="宋体" w:hAnsi="宋体"/>
          <w:color w:val="auto"/>
          <w:sz w:val="18"/>
          <w:szCs w:val="18"/>
          <w:highlight w:val="none"/>
        </w:rPr>
      </w:pPr>
    </w:p>
    <w:p w14:paraId="13FE0C85">
      <w:pPr>
        <w:pStyle w:val="5"/>
        <w:jc w:val="both"/>
        <w:rPr>
          <w:rFonts w:hint="eastAsia" w:ascii="仿宋_GB2312" w:hAnsi="Times New Roman" w:eastAsia="仿宋_GB2312" w:cs="仿宋_GB2312"/>
          <w:b w:val="0"/>
          <w:color w:val="auto"/>
          <w:sz w:val="30"/>
          <w:szCs w:val="30"/>
          <w:highlight w:val="none"/>
          <w:lang w:val="en-US" w:eastAsia="zh-CN"/>
        </w:rPr>
      </w:pPr>
      <w:r>
        <w:rPr>
          <w:rFonts w:hint="eastAsia" w:ascii="仿宋_GB2312" w:hAnsi="Times New Roman" w:eastAsia="仿宋_GB2312" w:cs="仿宋_GB2312"/>
          <w:b w:val="0"/>
          <w:color w:val="auto"/>
          <w:sz w:val="30"/>
          <w:szCs w:val="30"/>
          <w:highlight w:val="none"/>
          <w:lang w:val="en-US" w:eastAsia="zh-CN"/>
        </w:rPr>
        <w:t xml:space="preserve">附件19 </w:t>
      </w:r>
      <w:r>
        <w:rPr>
          <w:rFonts w:hint="eastAsia" w:ascii="仿宋_GB2312" w:hAnsi="Times New Roman" w:eastAsia="仿宋_GB2312" w:cs="仿宋_GB2312"/>
          <w:b w:val="0"/>
          <w:color w:val="auto"/>
          <w:sz w:val="30"/>
          <w:szCs w:val="30"/>
          <w:highlight w:val="none"/>
          <w:lang w:val="en-US"/>
        </w:rPr>
        <w:t>发包人提供材料一览表</w:t>
      </w:r>
    </w:p>
    <w:p w14:paraId="1B9DACA1">
      <w:pPr>
        <w:widowControl/>
        <w:jc w:val="center"/>
        <w:rPr>
          <w:b/>
          <w:color w:val="auto"/>
          <w:sz w:val="36"/>
          <w:szCs w:val="36"/>
          <w:highlight w:val="none"/>
        </w:rPr>
      </w:pPr>
      <w:r>
        <w:rPr>
          <w:rFonts w:hint="eastAsia" w:ascii="宋体" w:hAnsi="宋体" w:cs="Times New Roman"/>
          <w:b/>
          <w:color w:val="auto"/>
          <w:sz w:val="36"/>
          <w:szCs w:val="36"/>
          <w:highlight w:val="none"/>
        </w:rPr>
        <w:t>发包人提供材料一览表</w:t>
      </w:r>
    </w:p>
    <w:p w14:paraId="606B9D41">
      <w:pPr>
        <w:rPr>
          <w:color w:val="auto"/>
          <w:highlight w:val="none"/>
        </w:rPr>
      </w:pPr>
      <w:r>
        <w:rPr>
          <w:color w:val="auto"/>
          <w:highlight w:val="none"/>
        </w:rPr>
        <w:t xml:space="preserve"> </w:t>
      </w:r>
    </w:p>
    <w:p w14:paraId="732A19D9">
      <w:pPr>
        <w:ind w:firstLine="428" w:firstLineChars="200"/>
        <w:rPr>
          <w:color w:val="auto"/>
          <w:highlight w:val="none"/>
        </w:rPr>
      </w:pPr>
      <w:r>
        <w:rPr>
          <w:rFonts w:hint="eastAsia" w:ascii="宋体" w:hAnsi="宋体"/>
          <w:color w:val="auto"/>
          <w:highlight w:val="none"/>
        </w:rPr>
        <w:t xml:space="preserve">工程名称：                                                  </w:t>
      </w:r>
      <w:r>
        <w:rPr>
          <w:rFonts w:hint="eastAsia" w:ascii="宋体" w:hAnsi="宋体"/>
          <w:color w:val="auto"/>
          <w:highlight w:val="none"/>
          <w:lang w:val="en-US" w:eastAsia="zh-CN"/>
        </w:rPr>
        <w:t xml:space="preserve">       </w:t>
      </w:r>
      <w:r>
        <w:rPr>
          <w:rFonts w:hint="eastAsia" w:ascii="宋体" w:hAnsi="宋体"/>
          <w:color w:val="auto"/>
          <w:highlight w:val="none"/>
        </w:rPr>
        <w:t xml:space="preserve"> 第  页  共  页</w:t>
      </w:r>
    </w:p>
    <w:tbl>
      <w:tblPr>
        <w:tblStyle w:val="54"/>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976"/>
        <w:gridCol w:w="744"/>
        <w:gridCol w:w="743"/>
        <w:gridCol w:w="979"/>
        <w:gridCol w:w="979"/>
        <w:gridCol w:w="1118"/>
        <w:gridCol w:w="805"/>
        <w:gridCol w:w="853"/>
      </w:tblGrid>
      <w:tr w14:paraId="76EE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42F4671F">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序号</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251CAE46">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名称、规格、型号</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15059019">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单位</w:t>
            </w:r>
          </w:p>
        </w:tc>
        <w:tc>
          <w:tcPr>
            <w:tcW w:w="743" w:type="dxa"/>
            <w:tcBorders>
              <w:top w:val="single" w:color="auto" w:sz="4" w:space="0"/>
              <w:left w:val="single" w:color="auto" w:sz="4" w:space="0"/>
              <w:bottom w:val="single" w:color="auto" w:sz="4" w:space="0"/>
              <w:right w:val="single" w:color="auto" w:sz="4" w:space="0"/>
            </w:tcBorders>
            <w:noWrap w:val="0"/>
            <w:vAlign w:val="center"/>
          </w:tcPr>
          <w:p w14:paraId="2B8AFCD7">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数量</w:t>
            </w:r>
          </w:p>
        </w:tc>
        <w:tc>
          <w:tcPr>
            <w:tcW w:w="979" w:type="dxa"/>
            <w:tcBorders>
              <w:top w:val="single" w:color="auto" w:sz="4" w:space="0"/>
              <w:left w:val="single" w:color="auto" w:sz="4" w:space="0"/>
              <w:bottom w:val="single" w:color="auto" w:sz="4" w:space="0"/>
              <w:right w:val="single" w:color="auto" w:sz="4" w:space="0"/>
            </w:tcBorders>
            <w:noWrap w:val="0"/>
            <w:vAlign w:val="center"/>
          </w:tcPr>
          <w:p w14:paraId="0CA0A3E4">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单价（元）</w:t>
            </w:r>
          </w:p>
        </w:tc>
        <w:tc>
          <w:tcPr>
            <w:tcW w:w="979" w:type="dxa"/>
            <w:tcBorders>
              <w:top w:val="single" w:color="auto" w:sz="4" w:space="0"/>
              <w:left w:val="single" w:color="auto" w:sz="4" w:space="0"/>
              <w:bottom w:val="single" w:color="auto" w:sz="4" w:space="0"/>
              <w:right w:val="single" w:color="auto" w:sz="4" w:space="0"/>
            </w:tcBorders>
            <w:noWrap w:val="0"/>
            <w:vAlign w:val="center"/>
          </w:tcPr>
          <w:p w14:paraId="752C3715">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合价（元）</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606BA9D">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rPr>
              <w:t>有效损耗率（%）</w:t>
            </w:r>
          </w:p>
        </w:tc>
        <w:tc>
          <w:tcPr>
            <w:tcW w:w="805" w:type="dxa"/>
            <w:tcBorders>
              <w:top w:val="single" w:color="auto" w:sz="4" w:space="0"/>
              <w:left w:val="single" w:color="auto" w:sz="4" w:space="0"/>
              <w:bottom w:val="single" w:color="auto" w:sz="4" w:space="0"/>
              <w:right w:val="single" w:color="auto" w:sz="4" w:space="0"/>
            </w:tcBorders>
            <w:noWrap w:val="0"/>
            <w:vAlign w:val="center"/>
          </w:tcPr>
          <w:p w14:paraId="5FBC1243">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ascii="宋体" w:hAnsi="宋体"/>
                <w:color w:val="auto"/>
                <w:szCs w:val="21"/>
                <w:highlight w:val="none"/>
                <w:lang w:eastAsia="zh-CN"/>
              </w:rPr>
              <w:t>交货地点</w:t>
            </w:r>
          </w:p>
        </w:tc>
        <w:tc>
          <w:tcPr>
            <w:tcW w:w="853" w:type="dxa"/>
            <w:tcBorders>
              <w:top w:val="single" w:color="auto" w:sz="4" w:space="0"/>
              <w:left w:val="single" w:color="auto" w:sz="4" w:space="0"/>
              <w:bottom w:val="single" w:color="auto" w:sz="4" w:space="0"/>
              <w:right w:val="single" w:color="auto" w:sz="4" w:space="0"/>
            </w:tcBorders>
            <w:noWrap w:val="0"/>
            <w:vAlign w:val="center"/>
          </w:tcPr>
          <w:p w14:paraId="3764D6D1">
            <w:pPr>
              <w:keepNext w:val="0"/>
              <w:keepLines w:val="0"/>
              <w:suppressLineNumbers w:val="0"/>
              <w:spacing w:before="0" w:beforeAutospacing="0" w:after="0" w:afterAutospacing="0"/>
              <w:ind w:left="0" w:right="0"/>
              <w:jc w:val="center"/>
              <w:rPr>
                <w:rFonts w:hint="eastAsia" w:ascii="宋体" w:hAnsi="宋体"/>
                <w:color w:val="auto"/>
                <w:szCs w:val="21"/>
                <w:highlight w:val="none"/>
              </w:rPr>
            </w:pPr>
            <w:r>
              <w:rPr>
                <w:rFonts w:hint="eastAsia" w:ascii="宋体" w:hAnsi="宋体"/>
                <w:color w:val="auto"/>
                <w:szCs w:val="21"/>
                <w:highlight w:val="none"/>
              </w:rPr>
              <w:t>备注</w:t>
            </w:r>
          </w:p>
        </w:tc>
      </w:tr>
      <w:tr w14:paraId="62560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2A185296">
            <w:pPr>
              <w:keepNext w:val="0"/>
              <w:keepLines w:val="0"/>
              <w:suppressLineNumbers w:val="0"/>
              <w:spacing w:before="0" w:beforeAutospacing="0" w:after="0" w:afterAutospacing="0"/>
              <w:ind w:left="0" w:leftChars="0" w:right="0" w:rightChars="0"/>
              <w:jc w:val="center"/>
              <w:rPr>
                <w:rFonts w:hint="default" w:ascii="宋体" w:hAnsi="宋体"/>
                <w:b/>
                <w:bCs/>
                <w:color w:val="auto"/>
                <w:szCs w:val="21"/>
                <w:highlight w:val="none"/>
              </w:rPr>
            </w:pPr>
            <w:r>
              <w:rPr>
                <w:rFonts w:hint="eastAsia" w:ascii="宋体" w:hAnsi="宋体"/>
                <w:b/>
                <w:bCs/>
                <w:color w:val="auto"/>
                <w:szCs w:val="21"/>
                <w:highlight w:val="none"/>
                <w:lang w:val="en-US" w:eastAsia="zh-CN"/>
              </w:rPr>
              <w:t>一</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3D95FE68">
            <w:pPr>
              <w:keepNext w:val="0"/>
              <w:keepLines w:val="0"/>
              <w:suppressLineNumbers w:val="0"/>
              <w:spacing w:before="0" w:beforeAutospacing="0" w:after="0" w:afterAutospacing="0"/>
              <w:ind w:left="0" w:leftChars="0" w:right="0" w:rightChars="0"/>
              <w:jc w:val="left"/>
              <w:rPr>
                <w:rFonts w:hint="eastAsia" w:ascii="宋体" w:hAnsi="宋体" w:eastAsia="宋体"/>
                <w:b/>
                <w:bCs/>
                <w:color w:val="auto"/>
                <w:szCs w:val="21"/>
                <w:highlight w:val="none"/>
              </w:rPr>
            </w:pPr>
            <w:r>
              <w:rPr>
                <w:rFonts w:hint="eastAsia" w:ascii="宋体" w:hAnsi="宋体"/>
                <w:b/>
                <w:bCs/>
                <w:color w:val="auto"/>
                <w:szCs w:val="21"/>
                <w:highlight w:val="none"/>
                <w:lang w:eastAsia="zh-CN"/>
              </w:rPr>
              <w:t>单项工程</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7D20013C">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7629DCD0">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79E9F14A">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30671B83">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4123C29">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579C6E7B">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6270550C">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7493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7BE3F066">
            <w:pPr>
              <w:keepNext w:val="0"/>
              <w:keepLines w:val="0"/>
              <w:suppressLineNumbers w:val="0"/>
              <w:spacing w:before="0" w:beforeAutospacing="0" w:after="0" w:afterAutospacing="0"/>
              <w:ind w:left="0" w:leftChars="0" w:right="0" w:rightChars="0"/>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b w:val="0"/>
                <w:bCs w:val="0"/>
                <w:color w:val="auto"/>
                <w:szCs w:val="21"/>
                <w:highlight w:val="none"/>
                <w:lang w:eastAsia="zh-CN"/>
              </w:rPr>
              <w:t>（一）</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4C285B78">
            <w:pPr>
              <w:keepNext w:val="0"/>
              <w:keepLines w:val="0"/>
              <w:suppressLineNumbers w:val="0"/>
              <w:spacing w:before="0" w:beforeAutospacing="0" w:after="0" w:afterAutospacing="0"/>
              <w:ind w:left="0" w:leftChars="0" w:right="0" w:rightChars="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b w:val="0"/>
                <w:bCs w:val="0"/>
                <w:color w:val="auto"/>
                <w:szCs w:val="21"/>
                <w:highlight w:val="none"/>
                <w:lang w:eastAsia="zh-CN"/>
              </w:rPr>
              <w:t>单位</w:t>
            </w:r>
            <w:r>
              <w:rPr>
                <w:rFonts w:hint="eastAsia" w:ascii="宋体" w:hAnsi="宋体"/>
                <w:b w:val="0"/>
                <w:bCs w:val="0"/>
                <w:color w:val="auto"/>
                <w:szCs w:val="21"/>
                <w:highlight w:val="none"/>
              </w:rPr>
              <w:t>工程</w:t>
            </w:r>
            <w:r>
              <w:rPr>
                <w:rFonts w:hint="eastAsia" w:ascii="宋体" w:hAnsi="宋体"/>
                <w:b w:val="0"/>
                <w:bCs w:val="0"/>
                <w:color w:val="auto"/>
                <w:szCs w:val="21"/>
                <w:highlight w:val="none"/>
                <w:lang w:val="en-US" w:eastAsia="zh-CN"/>
              </w:rPr>
              <w:t>1</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20970B43">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4FBF7342">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6E118EA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7892DE6F">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4ECCB507">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58AB809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26B0A7E9">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77306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4071718A">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437714C0">
            <w:pPr>
              <w:keepNext w:val="0"/>
              <w:keepLines w:val="0"/>
              <w:suppressLineNumbers w:val="0"/>
              <w:spacing w:before="0" w:beforeAutospacing="0" w:after="0" w:afterAutospacing="0"/>
              <w:ind w:left="0" w:right="0"/>
              <w:jc w:val="both"/>
              <w:rPr>
                <w:rFonts w:hint="default" w:ascii="宋体" w:hAnsi="宋体"/>
                <w:color w:val="auto"/>
                <w:szCs w:val="21"/>
                <w:highlight w:val="none"/>
              </w:rPr>
            </w:pPr>
            <w:r>
              <w:rPr>
                <w:rFonts w:hint="default" w:ascii="宋体" w:hAnsi="宋体"/>
                <w:color w:val="auto"/>
                <w:szCs w:val="21"/>
                <w:highlight w:val="none"/>
              </w:rPr>
              <w:t>……</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74D35BBD">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7A7D8CAC">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665FC1B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4D54113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4560120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3FA8E463">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266C94A3">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4532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B1BDE5C">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193DFD82">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1B3C7FD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1653297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3CA4996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11166F0A">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4846818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4A166BE2">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7C3361F9">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4477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4AA062D">
            <w:pPr>
              <w:keepNext w:val="0"/>
              <w:keepLines w:val="0"/>
              <w:suppressLineNumbers w:val="0"/>
              <w:spacing w:before="0" w:beforeAutospacing="0" w:after="0" w:afterAutospacing="0"/>
              <w:ind w:left="0" w:leftChars="0" w:right="0" w:rightChars="0"/>
              <w:jc w:val="center"/>
              <w:rPr>
                <w:rFonts w:hint="eastAsia" w:ascii="宋体" w:hAnsi="宋体" w:eastAsia="宋体"/>
                <w:color w:val="auto"/>
                <w:szCs w:val="21"/>
                <w:highlight w:val="none"/>
              </w:rPr>
            </w:pPr>
            <w:r>
              <w:rPr>
                <w:rFonts w:hint="eastAsia" w:ascii="宋体" w:hAnsi="宋体"/>
                <w:b w:val="0"/>
                <w:bCs w:val="0"/>
                <w:color w:val="auto"/>
                <w:szCs w:val="21"/>
                <w:highlight w:val="none"/>
                <w:lang w:eastAsia="zh-CN"/>
              </w:rPr>
              <w:t>（二）</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45617F40">
            <w:pPr>
              <w:keepNext w:val="0"/>
              <w:keepLines w:val="0"/>
              <w:suppressLineNumbers w:val="0"/>
              <w:spacing w:before="0" w:beforeAutospacing="0" w:after="0" w:afterAutospacing="0"/>
              <w:ind w:left="0" w:leftChars="0" w:right="0" w:rightChars="0"/>
              <w:jc w:val="left"/>
              <w:rPr>
                <w:rFonts w:hint="eastAsia" w:ascii="宋体" w:hAnsi="宋体" w:eastAsia="宋体"/>
                <w:color w:val="auto"/>
                <w:szCs w:val="21"/>
                <w:highlight w:val="none"/>
              </w:rPr>
            </w:pPr>
            <w:r>
              <w:rPr>
                <w:rFonts w:hint="eastAsia" w:ascii="宋体" w:hAnsi="宋体"/>
                <w:b w:val="0"/>
                <w:bCs w:val="0"/>
                <w:color w:val="auto"/>
                <w:kern w:val="0"/>
                <w:sz w:val="21"/>
                <w:szCs w:val="21"/>
                <w:highlight w:val="none"/>
                <w:lang w:eastAsia="zh-CN"/>
              </w:rPr>
              <w:t>单位</w:t>
            </w:r>
            <w:r>
              <w:rPr>
                <w:rFonts w:hint="eastAsia" w:ascii="宋体" w:hAnsi="宋体"/>
                <w:b w:val="0"/>
                <w:bCs w:val="0"/>
                <w:color w:val="auto"/>
                <w:kern w:val="0"/>
                <w:sz w:val="21"/>
                <w:szCs w:val="21"/>
                <w:highlight w:val="none"/>
              </w:rPr>
              <w:t>工程</w:t>
            </w:r>
            <w:r>
              <w:rPr>
                <w:rFonts w:hint="eastAsia" w:ascii="宋体" w:hAnsi="宋体"/>
                <w:b w:val="0"/>
                <w:bCs w:val="0"/>
                <w:color w:val="auto"/>
                <w:kern w:val="0"/>
                <w:sz w:val="21"/>
                <w:szCs w:val="21"/>
                <w:highlight w:val="none"/>
                <w:lang w:val="en-US" w:eastAsia="zh-CN"/>
              </w:rPr>
              <w:t>2</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5D84266D">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398014C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7033145E">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0166490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A0F71B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029595D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4EB1CEF3">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3370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C31415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39D8CB58">
            <w:pPr>
              <w:keepNext w:val="0"/>
              <w:keepLines w:val="0"/>
              <w:suppressLineNumbers w:val="0"/>
              <w:spacing w:before="0" w:beforeAutospacing="0" w:after="0" w:afterAutospacing="0"/>
              <w:ind w:left="0" w:right="0"/>
              <w:jc w:val="left"/>
              <w:rPr>
                <w:rFonts w:hint="default" w:ascii="宋体" w:hAnsi="宋体"/>
                <w:color w:val="auto"/>
                <w:szCs w:val="21"/>
                <w:highlight w:val="none"/>
              </w:rPr>
            </w:pPr>
            <w:r>
              <w:rPr>
                <w:rFonts w:hint="default" w:ascii="宋体" w:hAnsi="宋体"/>
                <w:color w:val="auto"/>
                <w:szCs w:val="21"/>
                <w:highlight w:val="none"/>
              </w:rPr>
              <w:t>……</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29090E0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44568E9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755374E6">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232A2AF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1E6516D">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34838A0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28FBF814">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5E3D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E35034D">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38CC4E8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5C4481A6">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0D8290A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4BEEE8F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5E584E1E">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0C31C61">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56959746">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75B6567D">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093D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47A07360">
            <w:pPr>
              <w:keepNext w:val="0"/>
              <w:keepLines w:val="0"/>
              <w:suppressLineNumbers w:val="0"/>
              <w:spacing w:before="0" w:beforeAutospacing="0" w:after="0" w:afterAutospacing="0"/>
              <w:ind w:left="0" w:leftChars="0" w:right="0" w:rightChars="0"/>
              <w:jc w:val="center"/>
              <w:rPr>
                <w:rFonts w:hint="eastAsia" w:ascii="宋体" w:hAnsi="宋体" w:eastAsia="宋体"/>
                <w:b/>
                <w:color w:val="auto"/>
                <w:szCs w:val="21"/>
                <w:highlight w:val="none"/>
              </w:rPr>
            </w:pPr>
            <w:r>
              <w:rPr>
                <w:rFonts w:hint="eastAsia" w:ascii="宋体" w:hAnsi="宋体"/>
                <w:b/>
                <w:color w:val="auto"/>
                <w:szCs w:val="21"/>
                <w:highlight w:val="none"/>
                <w:lang w:eastAsia="zh-CN"/>
              </w:rPr>
              <w:t>二</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7F2AA881">
            <w:pPr>
              <w:keepNext w:val="0"/>
              <w:keepLines w:val="0"/>
              <w:suppressLineNumbers w:val="0"/>
              <w:spacing w:before="0" w:beforeAutospacing="0" w:after="0" w:afterAutospacing="0"/>
              <w:ind w:left="0" w:leftChars="0" w:right="0" w:rightChars="0"/>
              <w:jc w:val="left"/>
              <w:rPr>
                <w:rFonts w:hint="eastAsia" w:ascii="Times New Roman" w:hAnsi="Times New Roman" w:eastAsia="宋体"/>
                <w:b w:val="0"/>
                <w:bCs w:val="0"/>
                <w:color w:val="auto"/>
                <w:kern w:val="2"/>
                <w:sz w:val="21"/>
                <w:szCs w:val="21"/>
                <w:highlight w:val="none"/>
              </w:rPr>
            </w:pPr>
            <w:r>
              <w:rPr>
                <w:rFonts w:hint="eastAsia" w:ascii="宋体" w:hAnsi="宋体"/>
                <w:b/>
                <w:bCs/>
                <w:color w:val="auto"/>
                <w:kern w:val="0"/>
                <w:sz w:val="21"/>
                <w:szCs w:val="21"/>
                <w:highlight w:val="none"/>
                <w:lang w:eastAsia="zh-CN"/>
              </w:rPr>
              <w:t>单项</w:t>
            </w:r>
            <w:r>
              <w:rPr>
                <w:rFonts w:hint="eastAsia" w:ascii="宋体" w:hAnsi="宋体"/>
                <w:b/>
                <w:bCs/>
                <w:color w:val="auto"/>
                <w:kern w:val="0"/>
                <w:sz w:val="21"/>
                <w:szCs w:val="21"/>
                <w:highlight w:val="none"/>
              </w:rPr>
              <w:t>工程</w:t>
            </w:r>
            <w:r>
              <w:rPr>
                <w:rFonts w:hint="eastAsia" w:ascii="宋体" w:hAnsi="宋体"/>
                <w:b/>
                <w:bCs/>
                <w:color w:val="auto"/>
                <w:kern w:val="0"/>
                <w:sz w:val="21"/>
                <w:szCs w:val="21"/>
                <w:highlight w:val="none"/>
                <w:lang w:val="en-US" w:eastAsia="zh-CN"/>
              </w:rPr>
              <w:t>2</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1358F212">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282B955F">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0F9BF1DE">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42EAAB9E">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AD7375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225D36C9">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3F9D0B1F">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270A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6224C35">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7F363807">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r>
              <w:rPr>
                <w:rFonts w:hint="default" w:ascii="宋体" w:hAnsi="宋体"/>
                <w:color w:val="auto"/>
                <w:szCs w:val="21"/>
                <w:highlight w:val="none"/>
              </w:rPr>
              <w:t>……</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441FB31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13F2A244">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7A188A8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0491BF47">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E8B2456">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2321F420">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1D77E0C9">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71F9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2E19121E">
            <w:pPr>
              <w:keepNext w:val="0"/>
              <w:keepLines w:val="0"/>
              <w:suppressLineNumbers w:val="0"/>
              <w:spacing w:before="0" w:beforeAutospacing="0" w:after="0" w:afterAutospacing="0"/>
              <w:ind w:left="0" w:right="0"/>
              <w:jc w:val="center"/>
              <w:rPr>
                <w:rFonts w:hint="default" w:ascii="宋体" w:hAnsi="宋体"/>
                <w:b/>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5241CBA0">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5659091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5034503C">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11605CD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21A719C0">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69CB669">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5B4E9AB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30041C4D">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12E1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65EB7E2">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11039AFB">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6C04B529">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2E577E5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3E49FBA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01D3E2ED">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620743E">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363E96B2">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5FD2F128">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4711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2C62AB12">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0587EF7E">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DA8005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14D83DF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024B778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1806008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7D0686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3C91DB3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1DB8EB2B">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016A0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A6C38E7">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158BF88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3EB0E99">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6524C43E">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533CE604">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213BDE07">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BDAF478">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47C6BD54">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24E0D86C">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4CDD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24674DB8">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662BC43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31883492">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0A8DADB3">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68F39A99">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2C88A35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E394F84">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1141615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30BB0186">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7A39C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74534DCB">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4457EEE0">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0BC7B39B">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44EE756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43BAA9F3">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27BF8642">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4758E49">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44A4288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504212DC">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4A40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574351A0">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5687729F">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0"/>
            <w:vAlign w:val="center"/>
          </w:tcPr>
          <w:p w14:paraId="551CDE33">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24B76945">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66146408">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3E8F2656">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7730FCBF">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3D4604FC">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2EC5AE82">
            <w:pPr>
              <w:keepNext w:val="0"/>
              <w:keepLines w:val="0"/>
              <w:suppressLineNumbers w:val="0"/>
              <w:spacing w:before="0" w:beforeAutospacing="0" w:after="0" w:afterAutospacing="0"/>
              <w:ind w:left="0" w:right="0"/>
              <w:jc w:val="center"/>
              <w:rPr>
                <w:rFonts w:hint="default"/>
                <w:color w:val="auto"/>
                <w:sz w:val="21"/>
                <w:szCs w:val="21"/>
                <w:highlight w:val="none"/>
              </w:rPr>
            </w:pPr>
          </w:p>
        </w:tc>
      </w:tr>
      <w:tr w14:paraId="44A4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6713D6A">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976" w:type="dxa"/>
            <w:tcBorders>
              <w:top w:val="single" w:color="auto" w:sz="4" w:space="0"/>
              <w:left w:val="single" w:color="auto" w:sz="4" w:space="0"/>
              <w:bottom w:val="single" w:color="auto" w:sz="4" w:space="0"/>
              <w:right w:val="single" w:color="auto" w:sz="4" w:space="0"/>
            </w:tcBorders>
            <w:noWrap w:val="0"/>
            <w:vAlign w:val="center"/>
          </w:tcPr>
          <w:p w14:paraId="6B1FC4BF">
            <w:pPr>
              <w:keepNext w:val="0"/>
              <w:keepLines w:val="0"/>
              <w:suppressLineNumbers w:val="0"/>
              <w:spacing w:before="0" w:beforeAutospacing="0" w:after="0" w:afterAutospacing="0"/>
              <w:ind w:left="0" w:right="0"/>
              <w:jc w:val="center"/>
              <w:rPr>
                <w:rFonts w:hint="default"/>
                <w:color w:val="auto"/>
                <w:sz w:val="21"/>
                <w:szCs w:val="21"/>
                <w:highlight w:val="none"/>
              </w:rPr>
            </w:pPr>
            <w:r>
              <w:rPr>
                <w:rFonts w:hint="eastAsia" w:ascii="宋体" w:hAnsi="宋体"/>
                <w:color w:val="auto"/>
                <w:szCs w:val="21"/>
                <w:highlight w:val="none"/>
              </w:rPr>
              <w:t>合计</w:t>
            </w:r>
          </w:p>
        </w:tc>
        <w:tc>
          <w:tcPr>
            <w:tcW w:w="744" w:type="dxa"/>
            <w:tcBorders>
              <w:top w:val="single" w:color="auto" w:sz="4" w:space="0"/>
              <w:left w:val="single" w:color="auto" w:sz="4" w:space="0"/>
              <w:bottom w:val="single" w:color="auto" w:sz="4" w:space="0"/>
              <w:right w:val="single" w:color="auto" w:sz="4" w:space="0"/>
            </w:tcBorders>
            <w:noWrap w:val="0"/>
            <w:vAlign w:val="center"/>
          </w:tcPr>
          <w:p w14:paraId="53047A24">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743" w:type="dxa"/>
            <w:tcBorders>
              <w:top w:val="single" w:color="auto" w:sz="4" w:space="0"/>
              <w:left w:val="single" w:color="auto" w:sz="4" w:space="0"/>
              <w:bottom w:val="single" w:color="auto" w:sz="4" w:space="0"/>
              <w:right w:val="single" w:color="auto" w:sz="4" w:space="0"/>
            </w:tcBorders>
            <w:noWrap w:val="0"/>
            <w:vAlign w:val="center"/>
          </w:tcPr>
          <w:p w14:paraId="2793F804">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5F794CDC">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14:paraId="1F3C0021">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276E457">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05" w:type="dxa"/>
            <w:tcBorders>
              <w:top w:val="single" w:color="auto" w:sz="4" w:space="0"/>
              <w:left w:val="single" w:color="auto" w:sz="4" w:space="0"/>
              <w:bottom w:val="single" w:color="auto" w:sz="4" w:space="0"/>
              <w:right w:val="single" w:color="auto" w:sz="4" w:space="0"/>
            </w:tcBorders>
            <w:noWrap w:val="0"/>
            <w:vAlign w:val="center"/>
          </w:tcPr>
          <w:p w14:paraId="7198D0C0">
            <w:pPr>
              <w:keepNext w:val="0"/>
              <w:keepLines w:val="0"/>
              <w:suppressLineNumbers w:val="0"/>
              <w:spacing w:before="0" w:beforeAutospacing="0" w:after="0" w:afterAutospacing="0"/>
              <w:ind w:left="0" w:right="0"/>
              <w:jc w:val="center"/>
              <w:rPr>
                <w:rFonts w:hint="default"/>
                <w:color w:val="auto"/>
                <w:sz w:val="21"/>
                <w:szCs w:val="21"/>
                <w:highlight w:val="none"/>
              </w:rPr>
            </w:pPr>
          </w:p>
        </w:tc>
        <w:tc>
          <w:tcPr>
            <w:tcW w:w="853" w:type="dxa"/>
            <w:tcBorders>
              <w:top w:val="single" w:color="auto" w:sz="4" w:space="0"/>
              <w:left w:val="single" w:color="auto" w:sz="4" w:space="0"/>
              <w:bottom w:val="single" w:color="auto" w:sz="4" w:space="0"/>
              <w:right w:val="single" w:color="auto" w:sz="4" w:space="0"/>
            </w:tcBorders>
            <w:noWrap w:val="0"/>
            <w:vAlign w:val="center"/>
          </w:tcPr>
          <w:p w14:paraId="0244C4EA">
            <w:pPr>
              <w:keepNext w:val="0"/>
              <w:keepLines w:val="0"/>
              <w:suppressLineNumbers w:val="0"/>
              <w:spacing w:before="0" w:beforeAutospacing="0" w:after="0" w:afterAutospacing="0"/>
              <w:ind w:left="0" w:right="0"/>
              <w:jc w:val="center"/>
              <w:rPr>
                <w:rFonts w:hint="default"/>
                <w:color w:val="auto"/>
                <w:sz w:val="21"/>
                <w:szCs w:val="21"/>
                <w:highlight w:val="none"/>
              </w:rPr>
            </w:pPr>
          </w:p>
        </w:tc>
      </w:tr>
    </w:tbl>
    <w:p w14:paraId="3451ABA2">
      <w:pPr>
        <w:rPr>
          <w:rFonts w:hint="eastAsia" w:ascii="宋体" w:hAnsi="宋体"/>
          <w:color w:val="auto"/>
          <w:sz w:val="20"/>
          <w:szCs w:val="20"/>
          <w:highlight w:val="none"/>
        </w:rPr>
      </w:pPr>
      <w:r>
        <w:rPr>
          <w:rFonts w:hint="eastAsia" w:ascii="宋体" w:hAnsi="宋体"/>
          <w:color w:val="auto"/>
          <w:sz w:val="20"/>
          <w:szCs w:val="20"/>
          <w:highlight w:val="none"/>
        </w:rPr>
        <w:t>注：</w:t>
      </w:r>
      <w:r>
        <w:rPr>
          <w:rFonts w:hint="eastAsia" w:ascii="宋体" w:hAnsi="宋体"/>
          <w:color w:val="auto"/>
          <w:sz w:val="20"/>
          <w:szCs w:val="20"/>
          <w:highlight w:val="none"/>
          <w:lang w:val="en-US" w:eastAsia="zh-CN"/>
        </w:rPr>
        <w:t>1.</w:t>
      </w:r>
      <w:r>
        <w:rPr>
          <w:rFonts w:hint="eastAsia" w:ascii="宋体" w:hAnsi="宋体"/>
          <w:color w:val="auto"/>
          <w:sz w:val="20"/>
          <w:szCs w:val="20"/>
          <w:highlight w:val="none"/>
        </w:rPr>
        <w:t>此表由招标人填写</w:t>
      </w:r>
      <w:r>
        <w:rPr>
          <w:rFonts w:hint="eastAsia" w:ascii="宋体" w:hAnsi="宋体"/>
          <w:color w:val="auto"/>
          <w:sz w:val="20"/>
          <w:szCs w:val="20"/>
          <w:highlight w:val="none"/>
          <w:lang w:eastAsia="zh-CN"/>
        </w:rPr>
        <w:t>，</w:t>
      </w:r>
      <w:r>
        <w:rPr>
          <w:rFonts w:hint="eastAsia" w:ascii="宋体" w:hAnsi="宋体"/>
          <w:color w:val="auto"/>
          <w:sz w:val="20"/>
          <w:szCs w:val="20"/>
          <w:highlight w:val="none"/>
        </w:rPr>
        <w:t>供投标人在投标报价、确定总承包服务费时参考。</w:t>
      </w:r>
    </w:p>
    <w:p w14:paraId="4487D361">
      <w:pPr>
        <w:rPr>
          <w:rFonts w:hint="default"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 xml:space="preserve">    2.应用于一般计税法为除税价，应用于简易计税法为含税价。</w:t>
      </w:r>
    </w:p>
    <w:p w14:paraId="7DB10913">
      <w:pPr>
        <w:rPr>
          <w:color w:val="auto"/>
          <w:sz w:val="32"/>
          <w:szCs w:val="32"/>
          <w:highlight w:val="none"/>
        </w:rPr>
      </w:pPr>
      <w:r>
        <w:rPr>
          <w:color w:val="auto"/>
          <w:sz w:val="32"/>
          <w:szCs w:val="32"/>
          <w:highlight w:val="none"/>
        </w:rPr>
        <w:t xml:space="preserve"> </w:t>
      </w:r>
    </w:p>
    <w:p w14:paraId="26BC9673">
      <w:pPr>
        <w:rPr>
          <w:color w:val="auto"/>
          <w:sz w:val="18"/>
          <w:szCs w:val="18"/>
          <w:highlight w:val="none"/>
        </w:rPr>
      </w:pPr>
      <w:r>
        <w:rPr>
          <w:color w:val="auto"/>
          <w:sz w:val="18"/>
          <w:szCs w:val="18"/>
          <w:highlight w:val="none"/>
        </w:rPr>
        <w:t xml:space="preserve"> </w:t>
      </w:r>
    </w:p>
    <w:p w14:paraId="28C0E2A0">
      <w:pPr>
        <w:jc w:val="right"/>
        <w:rPr>
          <w:rFonts w:hint="eastAsia" w:ascii="宋体" w:hAnsi="宋体"/>
          <w:color w:val="auto"/>
          <w:sz w:val="32"/>
          <w:szCs w:val="32"/>
          <w:highlight w:val="none"/>
        </w:rPr>
        <w:sectPr>
          <w:pgSz w:w="11905" w:h="16838"/>
          <w:pgMar w:top="850" w:right="1134" w:bottom="850" w:left="1134" w:header="850" w:footer="992" w:gutter="0"/>
          <w:pgNumType w:fmt="decimal"/>
          <w:cols w:space="720" w:num="1"/>
          <w:rtlGutter w:val="0"/>
          <w:docGrid w:type="linesAndChars" w:linePitch="321" w:charSpace="851"/>
        </w:sectPr>
      </w:pPr>
      <w:r>
        <w:rPr>
          <w:rFonts w:hint="eastAsia" w:ascii="宋体" w:hAnsi="宋体"/>
          <w:color w:val="auto"/>
          <w:sz w:val="24"/>
          <w:szCs w:val="24"/>
          <w:highlight w:val="none"/>
        </w:rPr>
        <w:t xml:space="preserve"> </w:t>
      </w:r>
      <w:r>
        <w:rPr>
          <w:rFonts w:hint="eastAsia" w:ascii="宋体" w:hAnsi="宋体"/>
          <w:color w:val="auto"/>
          <w:sz w:val="21"/>
          <w:szCs w:val="21"/>
          <w:highlight w:val="none"/>
        </w:rPr>
        <w:t>表-1</w:t>
      </w:r>
      <w:r>
        <w:rPr>
          <w:rFonts w:hint="eastAsia" w:ascii="宋体" w:hAnsi="宋体"/>
          <w:color w:val="auto"/>
          <w:sz w:val="21"/>
          <w:szCs w:val="21"/>
          <w:highlight w:val="none"/>
          <w:lang w:val="en-US" w:eastAsia="zh-CN"/>
        </w:rPr>
        <w:t>5</w:t>
      </w:r>
    </w:p>
    <w:p w14:paraId="44DCC3CD">
      <w:pPr>
        <w:jc w:val="center"/>
        <w:rPr>
          <w:rFonts w:hint="eastAsia" w:ascii="宋体" w:hAnsi="宋体"/>
          <w:b/>
          <w:color w:val="auto"/>
          <w:sz w:val="36"/>
          <w:szCs w:val="36"/>
          <w:highlight w:val="none"/>
        </w:rPr>
      </w:pPr>
    </w:p>
    <w:p w14:paraId="1FB2D39E">
      <w:pPr>
        <w:jc w:val="center"/>
        <w:rPr>
          <w:rFonts w:hint="eastAsia" w:ascii="宋体" w:hAnsi="宋体"/>
          <w:b/>
          <w:color w:val="auto"/>
          <w:sz w:val="36"/>
          <w:szCs w:val="36"/>
          <w:highlight w:val="none"/>
        </w:rPr>
      </w:pPr>
    </w:p>
    <w:p w14:paraId="558A982B">
      <w:pPr>
        <w:jc w:val="center"/>
        <w:rPr>
          <w:rFonts w:hint="eastAsia" w:ascii="宋体" w:hAnsi="宋体"/>
          <w:b/>
          <w:color w:val="auto"/>
          <w:sz w:val="36"/>
          <w:szCs w:val="36"/>
          <w:highlight w:val="none"/>
        </w:rPr>
      </w:pPr>
    </w:p>
    <w:p w14:paraId="566687A8">
      <w:pPr>
        <w:jc w:val="center"/>
        <w:rPr>
          <w:rFonts w:hint="eastAsia" w:ascii="宋体" w:hAnsi="宋体"/>
          <w:b/>
          <w:color w:val="auto"/>
          <w:sz w:val="36"/>
          <w:szCs w:val="36"/>
          <w:highlight w:val="none"/>
        </w:rPr>
      </w:pPr>
    </w:p>
    <w:p w14:paraId="462F66C6">
      <w:pPr>
        <w:pStyle w:val="5"/>
        <w:jc w:val="both"/>
        <w:rPr>
          <w:rFonts w:hint="eastAsia" w:ascii="仿宋_GB2312" w:hAnsi="Times New Roman" w:eastAsia="仿宋_GB2312" w:cs="仿宋_GB2312"/>
          <w:b w:val="0"/>
          <w:color w:val="auto"/>
          <w:sz w:val="30"/>
          <w:szCs w:val="30"/>
          <w:highlight w:val="none"/>
          <w:lang w:val="en-US" w:eastAsia="zh-CN"/>
        </w:rPr>
      </w:pPr>
      <w:r>
        <w:rPr>
          <w:rFonts w:hint="eastAsia" w:ascii="仿宋_GB2312" w:hAnsi="Times New Roman" w:eastAsia="仿宋_GB2312" w:cs="仿宋_GB2312"/>
          <w:b w:val="0"/>
          <w:color w:val="auto"/>
          <w:sz w:val="30"/>
          <w:szCs w:val="30"/>
          <w:highlight w:val="none"/>
          <w:lang w:val="en-US" w:eastAsia="zh-CN"/>
        </w:rPr>
        <w:t xml:space="preserve">附件20 </w:t>
      </w:r>
      <w:r>
        <w:rPr>
          <w:rFonts w:hint="eastAsia" w:ascii="仿宋_GB2312" w:hAnsi="Times New Roman" w:eastAsia="仿宋_GB2312" w:cs="仿宋_GB2312"/>
          <w:b w:val="0"/>
          <w:color w:val="auto"/>
          <w:sz w:val="30"/>
          <w:szCs w:val="30"/>
          <w:highlight w:val="none"/>
          <w:lang w:val="en-US"/>
        </w:rPr>
        <w:t>允许</w:t>
      </w:r>
      <w:r>
        <w:rPr>
          <w:rFonts w:hint="eastAsia" w:ascii="仿宋_GB2312" w:hAnsi="Arial" w:eastAsia="仿宋_GB2312" w:cs="仿宋_GB2312"/>
          <w:b w:val="0"/>
          <w:color w:val="auto"/>
          <w:sz w:val="30"/>
          <w:szCs w:val="30"/>
          <w:highlight w:val="none"/>
          <w:lang w:val="en-US"/>
        </w:rPr>
        <w:t>调整</w:t>
      </w:r>
      <w:r>
        <w:rPr>
          <w:rFonts w:hint="eastAsia" w:ascii="仿宋_GB2312" w:hAnsi="Times New Roman" w:eastAsia="仿宋_GB2312" w:cs="仿宋_GB2312"/>
          <w:b w:val="0"/>
          <w:color w:val="auto"/>
          <w:sz w:val="30"/>
          <w:szCs w:val="30"/>
          <w:highlight w:val="none"/>
          <w:lang w:val="en-US"/>
        </w:rPr>
        <w:t>价格的主要材料一览表</w:t>
      </w:r>
    </w:p>
    <w:p w14:paraId="54C1D513">
      <w:pPr>
        <w:jc w:val="center"/>
        <w:rPr>
          <w:b/>
          <w:color w:val="auto"/>
          <w:sz w:val="36"/>
          <w:szCs w:val="36"/>
          <w:highlight w:val="none"/>
        </w:rPr>
      </w:pPr>
      <w:r>
        <w:rPr>
          <w:rFonts w:hint="eastAsia" w:ascii="宋体" w:hAnsi="宋体"/>
          <w:b/>
          <w:color w:val="auto"/>
          <w:sz w:val="36"/>
          <w:szCs w:val="36"/>
          <w:highlight w:val="none"/>
        </w:rPr>
        <w:t>允许调整价格的主要材料一览表</w:t>
      </w:r>
    </w:p>
    <w:p w14:paraId="5FFA8CCA">
      <w:pPr>
        <w:jc w:val="center"/>
        <w:rPr>
          <w:b/>
          <w:bCs/>
          <w:color w:val="auto"/>
          <w:sz w:val="28"/>
          <w:szCs w:val="28"/>
          <w:highlight w:val="none"/>
        </w:rPr>
      </w:pPr>
      <w:r>
        <w:rPr>
          <w:rFonts w:hint="eastAsia" w:ascii="宋体" w:hAnsi="宋体"/>
          <w:b/>
          <w:bCs/>
          <w:color w:val="auto"/>
          <w:sz w:val="28"/>
          <w:szCs w:val="28"/>
          <w:highlight w:val="none"/>
        </w:rPr>
        <w:t>（适用于</w:t>
      </w:r>
      <w:r>
        <w:rPr>
          <w:rFonts w:hint="eastAsia" w:ascii="宋体" w:hAnsi="宋体"/>
          <w:b/>
          <w:bCs/>
          <w:color w:val="auto"/>
          <w:sz w:val="28"/>
          <w:szCs w:val="28"/>
          <w:highlight w:val="none"/>
          <w:lang w:eastAsia="zh-CN"/>
        </w:rPr>
        <w:t>单价合同</w:t>
      </w:r>
      <w:r>
        <w:rPr>
          <w:rFonts w:hint="eastAsia" w:ascii="宋体" w:hAnsi="宋体"/>
          <w:b/>
          <w:bCs/>
          <w:color w:val="auto"/>
          <w:sz w:val="28"/>
          <w:szCs w:val="28"/>
          <w:highlight w:val="none"/>
        </w:rPr>
        <w:t>）</w:t>
      </w:r>
    </w:p>
    <w:p w14:paraId="272DB07D">
      <w:pPr>
        <w:jc w:val="left"/>
        <w:rPr>
          <w:rFonts w:ascii="宋体" w:hAnsi="宋体"/>
          <w:color w:val="auto"/>
          <w:highlight w:val="none"/>
        </w:rPr>
      </w:pPr>
      <w:r>
        <w:rPr>
          <w:rFonts w:hint="eastAsia" w:ascii="宋体" w:hAnsi="宋体"/>
          <w:color w:val="auto"/>
          <w:highlight w:val="none"/>
        </w:rPr>
        <w:t xml:space="preserve"> 工程名称：          </w:t>
      </w:r>
      <w:r>
        <w:rPr>
          <w:rFonts w:hint="eastAsia" w:ascii="宋体" w:hAnsi="宋体"/>
          <w:color w:val="auto"/>
          <w:highlight w:val="none"/>
          <w:lang w:val="en-US" w:eastAsia="zh-CN"/>
        </w:rPr>
        <w:t xml:space="preserve">                                                        </w:t>
      </w:r>
      <w:r>
        <w:rPr>
          <w:rFonts w:hint="eastAsia" w:ascii="宋体" w:hAnsi="宋体"/>
          <w:color w:val="auto"/>
          <w:highlight w:val="none"/>
        </w:rPr>
        <w:t>第  页  共  页</w:t>
      </w:r>
    </w:p>
    <w:tbl>
      <w:tblPr>
        <w:tblStyle w:val="54"/>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4602"/>
        <w:gridCol w:w="851"/>
        <w:gridCol w:w="1075"/>
        <w:gridCol w:w="1225"/>
        <w:gridCol w:w="1257"/>
      </w:tblGrid>
      <w:tr w14:paraId="5EEAF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20B31873">
            <w:pPr>
              <w:keepNext w:val="0"/>
              <w:keepLines w:val="0"/>
              <w:suppressLineNumbers w:val="0"/>
              <w:spacing w:before="0" w:beforeAutospacing="0" w:after="0" w:afterAutospacing="0"/>
              <w:ind w:left="0" w:right="0"/>
              <w:jc w:val="center"/>
              <w:rPr>
                <w:rFonts w:hint="default"/>
                <w:color w:val="auto"/>
                <w:highlight w:val="none"/>
              </w:rPr>
            </w:pPr>
            <w:r>
              <w:rPr>
                <w:rFonts w:hint="eastAsia" w:ascii="宋体" w:hAnsi="宋体"/>
                <w:color w:val="auto"/>
                <w:highlight w:val="none"/>
              </w:rPr>
              <w:t>序号</w:t>
            </w:r>
          </w:p>
        </w:tc>
        <w:tc>
          <w:tcPr>
            <w:tcW w:w="4602" w:type="dxa"/>
            <w:noWrap w:val="0"/>
            <w:vAlign w:val="center"/>
          </w:tcPr>
          <w:p w14:paraId="04503E7F">
            <w:pPr>
              <w:keepNext w:val="0"/>
              <w:keepLines w:val="0"/>
              <w:suppressLineNumbers w:val="0"/>
              <w:spacing w:before="0" w:beforeAutospacing="0" w:after="0" w:afterAutospacing="0"/>
              <w:ind w:left="0" w:right="0"/>
              <w:jc w:val="center"/>
              <w:rPr>
                <w:rFonts w:hint="default"/>
                <w:color w:val="auto"/>
                <w:highlight w:val="none"/>
              </w:rPr>
            </w:pPr>
            <w:r>
              <w:rPr>
                <w:rFonts w:hint="eastAsia" w:ascii="宋体" w:hAnsi="宋体"/>
                <w:color w:val="auto"/>
                <w:highlight w:val="none"/>
              </w:rPr>
              <w:t>名称、规格、型号</w:t>
            </w:r>
          </w:p>
        </w:tc>
        <w:tc>
          <w:tcPr>
            <w:tcW w:w="851" w:type="dxa"/>
            <w:noWrap w:val="0"/>
            <w:vAlign w:val="center"/>
          </w:tcPr>
          <w:p w14:paraId="01399BEF">
            <w:pPr>
              <w:keepNext w:val="0"/>
              <w:keepLines w:val="0"/>
              <w:suppressLineNumbers w:val="0"/>
              <w:spacing w:before="0" w:beforeAutospacing="0" w:after="0" w:afterAutospacing="0"/>
              <w:ind w:left="0" w:right="0"/>
              <w:jc w:val="center"/>
              <w:rPr>
                <w:rFonts w:hint="default"/>
                <w:color w:val="auto"/>
                <w:highlight w:val="none"/>
              </w:rPr>
            </w:pPr>
            <w:r>
              <w:rPr>
                <w:rFonts w:hint="eastAsia" w:ascii="宋体" w:hAnsi="宋体"/>
                <w:color w:val="auto"/>
                <w:highlight w:val="none"/>
              </w:rPr>
              <w:t>单位</w:t>
            </w:r>
          </w:p>
        </w:tc>
        <w:tc>
          <w:tcPr>
            <w:tcW w:w="1075" w:type="dxa"/>
            <w:noWrap w:val="0"/>
            <w:vAlign w:val="center"/>
          </w:tcPr>
          <w:p w14:paraId="43CFD916">
            <w:pPr>
              <w:keepNext w:val="0"/>
              <w:keepLines w:val="0"/>
              <w:widowControl/>
              <w:suppressLineNumbers w:val="0"/>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基准单价（元）</w:t>
            </w:r>
          </w:p>
        </w:tc>
        <w:tc>
          <w:tcPr>
            <w:tcW w:w="1225" w:type="dxa"/>
            <w:noWrap w:val="0"/>
            <w:vAlign w:val="center"/>
          </w:tcPr>
          <w:p w14:paraId="270F8D99">
            <w:pPr>
              <w:keepNext w:val="0"/>
              <w:keepLines w:val="0"/>
              <w:widowControl/>
              <w:suppressLineNumbers w:val="0"/>
              <w:spacing w:before="0" w:beforeAutospacing="0" w:after="0" w:afterAutospacing="0"/>
              <w:ind w:left="0" w:right="0"/>
              <w:jc w:val="center"/>
              <w:rPr>
                <w:rFonts w:hint="default" w:ascii="宋体" w:hAnsi="宋体"/>
                <w:color w:val="auto"/>
                <w:highlight w:val="none"/>
              </w:rPr>
            </w:pPr>
            <w:r>
              <w:rPr>
                <w:rFonts w:hint="eastAsia" w:ascii="宋体" w:hAnsi="宋体"/>
                <w:color w:val="auto"/>
                <w:highlight w:val="none"/>
              </w:rPr>
              <w:t>投标单价（元）</w:t>
            </w:r>
          </w:p>
        </w:tc>
        <w:tc>
          <w:tcPr>
            <w:tcW w:w="1257" w:type="dxa"/>
            <w:noWrap w:val="0"/>
            <w:vAlign w:val="center"/>
          </w:tcPr>
          <w:p w14:paraId="0438F216">
            <w:pPr>
              <w:keepNext w:val="0"/>
              <w:keepLines w:val="0"/>
              <w:suppressLineNumbers w:val="0"/>
              <w:spacing w:before="0" w:beforeAutospacing="0" w:after="0" w:afterAutospacing="0"/>
              <w:ind w:left="0" w:right="0"/>
              <w:jc w:val="center"/>
              <w:rPr>
                <w:rFonts w:hint="default"/>
                <w:color w:val="auto"/>
                <w:highlight w:val="none"/>
              </w:rPr>
            </w:pPr>
            <w:r>
              <w:rPr>
                <w:rFonts w:hint="eastAsia" w:ascii="宋体" w:hAnsi="宋体"/>
                <w:color w:val="auto"/>
                <w:highlight w:val="none"/>
              </w:rPr>
              <w:t>风险幅度（</w:t>
            </w:r>
            <w:r>
              <w:rPr>
                <w:rFonts w:hint="eastAsia"/>
                <w:color w:val="auto"/>
                <w:highlight w:val="none"/>
              </w:rPr>
              <w:t>%</w:t>
            </w:r>
            <w:r>
              <w:rPr>
                <w:rFonts w:hint="eastAsia" w:ascii="宋体" w:hAnsi="宋体"/>
                <w:color w:val="auto"/>
                <w:highlight w:val="none"/>
              </w:rPr>
              <w:t>）</w:t>
            </w:r>
          </w:p>
        </w:tc>
      </w:tr>
      <w:tr w14:paraId="3FF1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16878FD8">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olor w:val="auto"/>
                <w:szCs w:val="21"/>
                <w:highlight w:val="none"/>
              </w:rPr>
            </w:pPr>
            <w:r>
              <w:rPr>
                <w:rFonts w:hint="eastAsia"/>
                <w:b/>
                <w:bCs/>
                <w:color w:val="auto"/>
                <w:szCs w:val="21"/>
                <w:highlight w:val="none"/>
                <w:lang w:eastAsia="zh-CN"/>
              </w:rPr>
              <w:t>一</w:t>
            </w:r>
          </w:p>
        </w:tc>
        <w:tc>
          <w:tcPr>
            <w:tcW w:w="4602" w:type="dxa"/>
            <w:noWrap w:val="0"/>
            <w:vAlign w:val="center"/>
          </w:tcPr>
          <w:p w14:paraId="7C86E0B1">
            <w:pPr>
              <w:keepNext w:val="0"/>
              <w:keepLines w:val="0"/>
              <w:widowControl/>
              <w:suppressLineNumbers w:val="0"/>
              <w:spacing w:before="0" w:beforeAutospacing="0" w:after="0" w:afterAutospacing="0"/>
              <w:ind w:left="0" w:leftChars="0" w:right="0" w:rightChars="0"/>
              <w:jc w:val="left"/>
              <w:rPr>
                <w:rFonts w:hint="default" w:ascii="宋体" w:hAnsi="宋体"/>
                <w:color w:val="auto"/>
                <w:szCs w:val="21"/>
                <w:highlight w:val="none"/>
              </w:rPr>
            </w:pPr>
            <w:r>
              <w:rPr>
                <w:rFonts w:hint="eastAsia" w:ascii="宋体" w:hAnsi="宋体"/>
                <w:b/>
                <w:bCs w:val="0"/>
                <w:color w:val="auto"/>
                <w:szCs w:val="21"/>
                <w:highlight w:val="none"/>
                <w:lang w:eastAsia="zh-CN"/>
              </w:rPr>
              <w:t>单项工程</w:t>
            </w:r>
            <w:r>
              <w:rPr>
                <w:rFonts w:hint="eastAsia" w:ascii="宋体" w:hAnsi="宋体"/>
                <w:b/>
                <w:bCs w:val="0"/>
                <w:color w:val="auto"/>
                <w:szCs w:val="21"/>
                <w:highlight w:val="none"/>
                <w:lang w:val="en-US" w:eastAsia="zh-CN"/>
              </w:rPr>
              <w:t>1</w:t>
            </w:r>
          </w:p>
        </w:tc>
        <w:tc>
          <w:tcPr>
            <w:tcW w:w="851" w:type="dxa"/>
            <w:noWrap w:val="0"/>
            <w:vAlign w:val="center"/>
          </w:tcPr>
          <w:p w14:paraId="203831F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735B0725">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46ABDC20">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3CD0E326">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44BD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7292D5AE">
            <w:pPr>
              <w:keepNext w:val="0"/>
              <w:keepLines w:val="0"/>
              <w:suppressLineNumbers w:val="0"/>
              <w:spacing w:before="0" w:beforeAutospacing="0" w:after="0" w:afterAutospacing="0"/>
              <w:ind w:left="0" w:leftChars="0" w:right="0" w:rightChars="0"/>
              <w:jc w:val="center"/>
              <w:rPr>
                <w:rFonts w:hint="eastAsia" w:ascii="宋体" w:hAnsi="宋体" w:eastAsia="宋体" w:cs="Times New Roman"/>
                <w:color w:val="auto"/>
                <w:kern w:val="2"/>
                <w:sz w:val="21"/>
                <w:szCs w:val="21"/>
                <w:highlight w:val="none"/>
                <w:lang w:val="en-US" w:eastAsia="zh-CN" w:bidi="ar-SA"/>
              </w:rPr>
            </w:pPr>
            <w:r>
              <w:rPr>
                <w:rFonts w:hint="eastAsia"/>
                <w:color w:val="auto"/>
                <w:szCs w:val="21"/>
                <w:highlight w:val="none"/>
              </w:rPr>
              <w:t>（一）</w:t>
            </w:r>
          </w:p>
        </w:tc>
        <w:tc>
          <w:tcPr>
            <w:tcW w:w="4602" w:type="dxa"/>
            <w:noWrap w:val="0"/>
            <w:vAlign w:val="center"/>
          </w:tcPr>
          <w:p w14:paraId="06E29C4B">
            <w:pPr>
              <w:keepNext w:val="0"/>
              <w:keepLines w:val="0"/>
              <w:suppressLineNumbers w:val="0"/>
              <w:spacing w:before="0" w:beforeAutospacing="0" w:after="0" w:afterAutospacing="0"/>
              <w:ind w:left="0" w:leftChars="0" w:right="0" w:rightChars="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bCs/>
                <w:color w:val="auto"/>
                <w:szCs w:val="21"/>
                <w:highlight w:val="none"/>
                <w:lang w:eastAsia="zh-CN"/>
              </w:rPr>
              <w:t>单位工程</w:t>
            </w:r>
            <w:r>
              <w:rPr>
                <w:rFonts w:hint="eastAsia" w:ascii="宋体" w:hAnsi="宋体"/>
                <w:bCs/>
                <w:color w:val="auto"/>
                <w:szCs w:val="21"/>
                <w:highlight w:val="none"/>
                <w:lang w:val="en-US" w:eastAsia="zh-CN"/>
              </w:rPr>
              <w:t>1</w:t>
            </w:r>
          </w:p>
        </w:tc>
        <w:tc>
          <w:tcPr>
            <w:tcW w:w="851" w:type="dxa"/>
            <w:noWrap w:val="0"/>
            <w:vAlign w:val="center"/>
          </w:tcPr>
          <w:p w14:paraId="3E5BA56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02AEE0F1">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1833AAFE">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30870444">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01F56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5BCAC13E">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36359A9F">
            <w:pPr>
              <w:keepNext w:val="0"/>
              <w:keepLines w:val="0"/>
              <w:suppressLineNumbers w:val="0"/>
              <w:spacing w:before="0" w:beforeAutospacing="0" w:after="0" w:afterAutospacing="0"/>
              <w:ind w:left="0" w:right="0"/>
              <w:jc w:val="left"/>
              <w:rPr>
                <w:rFonts w:hint="default" w:ascii="宋体" w:hAnsi="宋体"/>
                <w:color w:val="auto"/>
                <w:szCs w:val="21"/>
                <w:highlight w:val="none"/>
              </w:rPr>
            </w:pPr>
            <w:r>
              <w:rPr>
                <w:rFonts w:hint="default" w:ascii="宋体" w:hAnsi="宋体"/>
                <w:b w:val="0"/>
                <w:bCs w:val="0"/>
                <w:color w:val="auto"/>
                <w:kern w:val="0"/>
                <w:sz w:val="21"/>
                <w:szCs w:val="21"/>
                <w:highlight w:val="none"/>
              </w:rPr>
              <w:t>……</w:t>
            </w:r>
          </w:p>
        </w:tc>
        <w:tc>
          <w:tcPr>
            <w:tcW w:w="851" w:type="dxa"/>
            <w:noWrap w:val="0"/>
            <w:vAlign w:val="center"/>
          </w:tcPr>
          <w:p w14:paraId="6F4F6112">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18A91940">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216C06AC">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648A7FA1">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08F7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313BF98A">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6D67B8D0">
            <w:pPr>
              <w:keepNext w:val="0"/>
              <w:keepLines w:val="0"/>
              <w:suppressLineNumbers w:val="0"/>
              <w:spacing w:before="0" w:beforeAutospacing="0" w:after="0" w:afterAutospacing="0"/>
              <w:ind w:left="0" w:right="0"/>
              <w:jc w:val="left"/>
              <w:rPr>
                <w:rFonts w:hint="default" w:ascii="宋体" w:hAnsi="宋体"/>
                <w:color w:val="auto"/>
                <w:szCs w:val="21"/>
                <w:highlight w:val="none"/>
              </w:rPr>
            </w:pPr>
          </w:p>
        </w:tc>
        <w:tc>
          <w:tcPr>
            <w:tcW w:w="851" w:type="dxa"/>
            <w:noWrap w:val="0"/>
            <w:vAlign w:val="center"/>
          </w:tcPr>
          <w:p w14:paraId="27B1BB47">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0BB5B54D">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05A20EAA">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22EA62AE">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2533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01F0F30D">
            <w:pPr>
              <w:keepNext w:val="0"/>
              <w:keepLines w:val="0"/>
              <w:suppressLineNumbers w:val="0"/>
              <w:spacing w:before="0" w:beforeAutospacing="0" w:after="0" w:afterAutospacing="0"/>
              <w:ind w:left="0" w:leftChars="0" w:right="0" w:rightChars="0"/>
              <w:jc w:val="center"/>
              <w:rPr>
                <w:rFonts w:hint="default" w:ascii="宋体" w:hAnsi="宋体"/>
                <w:b w:val="0"/>
                <w:color w:val="auto"/>
                <w:szCs w:val="21"/>
                <w:highlight w:val="none"/>
              </w:rPr>
            </w:pPr>
            <w:r>
              <w:rPr>
                <w:rFonts w:hint="eastAsia" w:ascii="宋体" w:hAnsi="宋体"/>
                <w:b/>
                <w:color w:val="auto"/>
                <w:szCs w:val="21"/>
                <w:highlight w:val="none"/>
              </w:rPr>
              <w:t>二</w:t>
            </w:r>
          </w:p>
        </w:tc>
        <w:tc>
          <w:tcPr>
            <w:tcW w:w="4602" w:type="dxa"/>
            <w:noWrap w:val="0"/>
            <w:vAlign w:val="center"/>
          </w:tcPr>
          <w:p w14:paraId="37B1896B">
            <w:pPr>
              <w:keepNext w:val="0"/>
              <w:keepLines w:val="0"/>
              <w:widowControl/>
              <w:suppressLineNumbers w:val="0"/>
              <w:spacing w:before="0" w:beforeAutospacing="0" w:after="0" w:afterAutospacing="0"/>
              <w:ind w:left="0" w:leftChars="0" w:right="0" w:rightChars="0"/>
              <w:jc w:val="left"/>
              <w:rPr>
                <w:rFonts w:hint="default" w:ascii="宋体" w:hAnsi="宋体"/>
                <w:b w:val="0"/>
                <w:bCs w:val="0"/>
                <w:color w:val="auto"/>
                <w:kern w:val="2"/>
                <w:sz w:val="21"/>
                <w:szCs w:val="21"/>
                <w:highlight w:val="none"/>
              </w:rPr>
            </w:pPr>
            <w:r>
              <w:rPr>
                <w:rFonts w:hint="eastAsia" w:ascii="宋体" w:hAnsi="宋体"/>
                <w:b/>
                <w:bCs/>
                <w:color w:val="auto"/>
                <w:kern w:val="0"/>
                <w:sz w:val="21"/>
                <w:szCs w:val="21"/>
                <w:highlight w:val="none"/>
                <w:lang w:eastAsia="zh-CN"/>
              </w:rPr>
              <w:t>单项</w:t>
            </w:r>
            <w:r>
              <w:rPr>
                <w:rFonts w:hint="eastAsia" w:ascii="宋体" w:hAnsi="宋体"/>
                <w:b/>
                <w:bCs/>
                <w:color w:val="auto"/>
                <w:kern w:val="0"/>
                <w:sz w:val="21"/>
                <w:szCs w:val="21"/>
                <w:highlight w:val="none"/>
              </w:rPr>
              <w:t>工程</w:t>
            </w:r>
            <w:r>
              <w:rPr>
                <w:rFonts w:hint="eastAsia" w:ascii="宋体" w:hAnsi="宋体"/>
                <w:b/>
                <w:bCs/>
                <w:color w:val="auto"/>
                <w:kern w:val="0"/>
                <w:sz w:val="21"/>
                <w:szCs w:val="21"/>
                <w:highlight w:val="none"/>
                <w:lang w:val="en-US" w:eastAsia="zh-CN"/>
              </w:rPr>
              <w:t>2</w:t>
            </w:r>
          </w:p>
        </w:tc>
        <w:tc>
          <w:tcPr>
            <w:tcW w:w="851" w:type="dxa"/>
            <w:noWrap w:val="0"/>
            <w:vAlign w:val="center"/>
          </w:tcPr>
          <w:p w14:paraId="6772B4BA">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142AA2F4">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13522CA1">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696AB019">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1A867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3247618D">
            <w:pPr>
              <w:keepNext w:val="0"/>
              <w:keepLines w:val="0"/>
              <w:suppressLineNumbers w:val="0"/>
              <w:spacing w:before="0" w:beforeAutospacing="0" w:after="0" w:afterAutospacing="0"/>
              <w:ind w:left="0" w:right="0"/>
              <w:jc w:val="center"/>
              <w:rPr>
                <w:rFonts w:hint="default" w:ascii="宋体" w:hAnsi="宋体"/>
                <w:b/>
                <w:color w:val="auto"/>
                <w:szCs w:val="21"/>
                <w:highlight w:val="none"/>
              </w:rPr>
            </w:pPr>
          </w:p>
        </w:tc>
        <w:tc>
          <w:tcPr>
            <w:tcW w:w="4602" w:type="dxa"/>
            <w:noWrap w:val="0"/>
            <w:vAlign w:val="center"/>
          </w:tcPr>
          <w:p w14:paraId="3F131C04">
            <w:pPr>
              <w:keepNext w:val="0"/>
              <w:keepLines w:val="0"/>
              <w:suppressLineNumbers w:val="0"/>
              <w:spacing w:before="0" w:beforeAutospacing="0" w:after="0" w:afterAutospacing="0"/>
              <w:ind w:left="0" w:right="0"/>
              <w:jc w:val="left"/>
              <w:rPr>
                <w:rFonts w:hint="default" w:ascii="宋体" w:hAnsi="宋体"/>
                <w:b/>
                <w:bCs/>
                <w:color w:val="auto"/>
                <w:kern w:val="0"/>
                <w:sz w:val="21"/>
                <w:szCs w:val="21"/>
                <w:highlight w:val="none"/>
              </w:rPr>
            </w:pPr>
            <w:r>
              <w:rPr>
                <w:rFonts w:hint="default" w:ascii="宋体" w:hAnsi="宋体"/>
                <w:b w:val="0"/>
                <w:bCs w:val="0"/>
                <w:color w:val="auto"/>
                <w:kern w:val="0"/>
                <w:sz w:val="21"/>
                <w:szCs w:val="21"/>
                <w:highlight w:val="none"/>
              </w:rPr>
              <w:t>……</w:t>
            </w:r>
          </w:p>
        </w:tc>
        <w:tc>
          <w:tcPr>
            <w:tcW w:w="851" w:type="dxa"/>
            <w:noWrap w:val="0"/>
            <w:vAlign w:val="center"/>
          </w:tcPr>
          <w:p w14:paraId="78CEC993">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53A621AE">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5A02EDFD">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01EC6816">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4240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229CB8BD">
            <w:pPr>
              <w:keepNext w:val="0"/>
              <w:keepLines w:val="0"/>
              <w:suppressLineNumbers w:val="0"/>
              <w:spacing w:before="0" w:beforeAutospacing="0" w:after="0" w:afterAutospacing="0"/>
              <w:ind w:left="0" w:right="0"/>
              <w:jc w:val="center"/>
              <w:rPr>
                <w:rFonts w:hint="default" w:ascii="宋体" w:hAnsi="宋体"/>
                <w:b/>
                <w:color w:val="auto"/>
                <w:szCs w:val="21"/>
                <w:highlight w:val="none"/>
              </w:rPr>
            </w:pPr>
            <w:r>
              <w:rPr>
                <w:rFonts w:hint="eastAsia" w:ascii="宋体" w:hAnsi="宋体"/>
                <w:b/>
                <w:color w:val="auto"/>
                <w:szCs w:val="21"/>
                <w:highlight w:val="none"/>
              </w:rPr>
              <w:t>三</w:t>
            </w:r>
          </w:p>
        </w:tc>
        <w:tc>
          <w:tcPr>
            <w:tcW w:w="4602" w:type="dxa"/>
            <w:noWrap w:val="0"/>
            <w:vAlign w:val="center"/>
          </w:tcPr>
          <w:p w14:paraId="6835900E">
            <w:pPr>
              <w:keepNext w:val="0"/>
              <w:keepLines w:val="0"/>
              <w:suppressLineNumbers w:val="0"/>
              <w:spacing w:before="0" w:beforeAutospacing="0" w:after="0" w:afterAutospacing="0"/>
              <w:ind w:left="0" w:right="0"/>
              <w:jc w:val="left"/>
              <w:rPr>
                <w:rFonts w:hint="default" w:ascii="宋体" w:hAnsi="宋体"/>
                <w:color w:val="auto"/>
                <w:szCs w:val="21"/>
                <w:highlight w:val="none"/>
              </w:rPr>
            </w:pPr>
            <w:r>
              <w:rPr>
                <w:rFonts w:hint="eastAsia" w:ascii="宋体" w:hAnsi="宋体"/>
                <w:b/>
                <w:bCs/>
                <w:color w:val="auto"/>
                <w:kern w:val="0"/>
                <w:sz w:val="21"/>
                <w:szCs w:val="21"/>
                <w:highlight w:val="none"/>
                <w:lang w:eastAsia="zh-CN"/>
              </w:rPr>
              <w:t>单项</w:t>
            </w:r>
            <w:r>
              <w:rPr>
                <w:rFonts w:hint="eastAsia" w:ascii="宋体" w:hAnsi="宋体"/>
                <w:b/>
                <w:bCs/>
                <w:color w:val="auto"/>
                <w:kern w:val="0"/>
                <w:sz w:val="21"/>
                <w:szCs w:val="21"/>
                <w:highlight w:val="none"/>
              </w:rPr>
              <w:t>工程</w:t>
            </w:r>
            <w:r>
              <w:rPr>
                <w:rFonts w:hint="eastAsia" w:ascii="宋体" w:hAnsi="宋体"/>
                <w:b/>
                <w:bCs/>
                <w:color w:val="auto"/>
                <w:kern w:val="0"/>
                <w:sz w:val="21"/>
                <w:szCs w:val="21"/>
                <w:highlight w:val="none"/>
                <w:lang w:val="en-US" w:eastAsia="zh-CN"/>
              </w:rPr>
              <w:t>3</w:t>
            </w:r>
          </w:p>
        </w:tc>
        <w:tc>
          <w:tcPr>
            <w:tcW w:w="851" w:type="dxa"/>
            <w:noWrap w:val="0"/>
            <w:vAlign w:val="center"/>
          </w:tcPr>
          <w:p w14:paraId="3132F5B7">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4919529B">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036CA15B">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031F6048">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02C7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16676FF9">
            <w:pPr>
              <w:keepNext w:val="0"/>
              <w:keepLines w:val="0"/>
              <w:suppressLineNumbers w:val="0"/>
              <w:spacing w:before="0" w:beforeAutospacing="0" w:after="0" w:afterAutospacing="0"/>
              <w:ind w:left="0" w:right="0"/>
              <w:jc w:val="center"/>
              <w:rPr>
                <w:rFonts w:hint="default" w:ascii="宋体" w:hAnsi="宋体"/>
                <w:b/>
                <w:color w:val="auto"/>
                <w:szCs w:val="21"/>
                <w:highlight w:val="none"/>
              </w:rPr>
            </w:pPr>
          </w:p>
        </w:tc>
        <w:tc>
          <w:tcPr>
            <w:tcW w:w="4602" w:type="dxa"/>
            <w:noWrap w:val="0"/>
            <w:vAlign w:val="center"/>
          </w:tcPr>
          <w:p w14:paraId="1A4E3A09">
            <w:pPr>
              <w:keepNext w:val="0"/>
              <w:keepLines w:val="0"/>
              <w:suppressLineNumbers w:val="0"/>
              <w:spacing w:before="0" w:beforeAutospacing="0" w:after="0" w:afterAutospacing="0"/>
              <w:ind w:left="0" w:right="0"/>
              <w:jc w:val="left"/>
              <w:rPr>
                <w:rFonts w:hint="default" w:ascii="宋体" w:hAnsi="宋体"/>
                <w:b/>
                <w:bCs/>
                <w:color w:val="auto"/>
                <w:kern w:val="0"/>
                <w:sz w:val="21"/>
                <w:szCs w:val="21"/>
                <w:highlight w:val="none"/>
              </w:rPr>
            </w:pPr>
            <w:r>
              <w:rPr>
                <w:rFonts w:hint="default" w:ascii="宋体" w:hAnsi="宋体"/>
                <w:b w:val="0"/>
                <w:bCs w:val="0"/>
                <w:color w:val="auto"/>
                <w:kern w:val="0"/>
                <w:sz w:val="21"/>
                <w:szCs w:val="21"/>
                <w:highlight w:val="none"/>
              </w:rPr>
              <w:t>……</w:t>
            </w:r>
          </w:p>
        </w:tc>
        <w:tc>
          <w:tcPr>
            <w:tcW w:w="851" w:type="dxa"/>
            <w:noWrap w:val="0"/>
            <w:vAlign w:val="center"/>
          </w:tcPr>
          <w:p w14:paraId="7FEED51A">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7DB6D3BD">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443A5463">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0E4FFEDE">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45FA4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7F7DCE36">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57388711">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1DEB757E">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50722D96">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00BF7E47">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03E2F795">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7009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766C6E35">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5224E65F">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32F5FD56">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281FC783">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3C804BF2">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2E63EAFF">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65F9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6A23EDE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5C9BCAD7">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43F93AB1">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37E2AB4F">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1F350D43">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416D319C">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0AED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2BB78764">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68689D20">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583164AE">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0167DBC5">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0D6A4287">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1043B248">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5B60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501C671D">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46B526B8">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63CB1E75">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14218979">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459A974C">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295CD41C">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7832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2A38C539">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51270BAE">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2E4A7FA8">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35B92C8F">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0A357E4D">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293049E8">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r w14:paraId="10229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44" w:type="dxa"/>
            <w:noWrap w:val="0"/>
            <w:vAlign w:val="center"/>
          </w:tcPr>
          <w:p w14:paraId="351A0FFC">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4602" w:type="dxa"/>
            <w:noWrap w:val="0"/>
            <w:vAlign w:val="center"/>
          </w:tcPr>
          <w:p w14:paraId="0B786B49">
            <w:pPr>
              <w:keepNext w:val="0"/>
              <w:keepLines w:val="0"/>
              <w:suppressLineNumbers w:val="0"/>
              <w:spacing w:before="0" w:beforeAutospacing="0" w:after="0" w:afterAutospacing="0"/>
              <w:ind w:left="0" w:right="0"/>
              <w:jc w:val="left"/>
              <w:textAlignment w:val="center"/>
              <w:rPr>
                <w:rFonts w:hint="default" w:ascii="宋体" w:hAnsi="宋体"/>
                <w:color w:val="auto"/>
                <w:szCs w:val="21"/>
                <w:highlight w:val="none"/>
              </w:rPr>
            </w:pPr>
          </w:p>
        </w:tc>
        <w:tc>
          <w:tcPr>
            <w:tcW w:w="851" w:type="dxa"/>
            <w:noWrap w:val="0"/>
            <w:vAlign w:val="center"/>
          </w:tcPr>
          <w:p w14:paraId="7EAF2B6B">
            <w:pPr>
              <w:keepNext w:val="0"/>
              <w:keepLines w:val="0"/>
              <w:suppressLineNumbers w:val="0"/>
              <w:spacing w:before="0" w:beforeAutospacing="0" w:after="0" w:afterAutospacing="0"/>
              <w:ind w:left="0" w:right="0"/>
              <w:jc w:val="center"/>
              <w:rPr>
                <w:rFonts w:hint="default" w:ascii="宋体" w:hAnsi="宋体"/>
                <w:color w:val="auto"/>
                <w:szCs w:val="21"/>
                <w:highlight w:val="none"/>
              </w:rPr>
            </w:pPr>
          </w:p>
        </w:tc>
        <w:tc>
          <w:tcPr>
            <w:tcW w:w="1075" w:type="dxa"/>
            <w:noWrap w:val="0"/>
            <w:vAlign w:val="center"/>
          </w:tcPr>
          <w:p w14:paraId="27F7D562">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25" w:type="dxa"/>
            <w:noWrap w:val="0"/>
            <w:vAlign w:val="center"/>
          </w:tcPr>
          <w:p w14:paraId="0B5A9629">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c>
          <w:tcPr>
            <w:tcW w:w="1257" w:type="dxa"/>
            <w:noWrap w:val="0"/>
            <w:vAlign w:val="center"/>
          </w:tcPr>
          <w:p w14:paraId="4F708C71">
            <w:pPr>
              <w:keepNext w:val="0"/>
              <w:keepLines w:val="0"/>
              <w:widowControl/>
              <w:suppressLineNumbers w:val="0"/>
              <w:spacing w:before="0" w:beforeAutospacing="0" w:after="0" w:afterAutospacing="0"/>
              <w:ind w:left="0" w:right="0"/>
              <w:jc w:val="center"/>
              <w:rPr>
                <w:rFonts w:hint="default" w:ascii="宋体" w:hAnsi="宋体"/>
                <w:color w:val="auto"/>
                <w:szCs w:val="21"/>
                <w:highlight w:val="none"/>
              </w:rPr>
            </w:pPr>
          </w:p>
        </w:tc>
      </w:tr>
    </w:tbl>
    <w:p w14:paraId="2F176C67">
      <w:pPr>
        <w:ind w:left="360" w:hanging="408" w:hangingChars="200"/>
        <w:rPr>
          <w:rFonts w:hint="eastAsia" w:ascii="宋体" w:hAnsi="宋体"/>
          <w:color w:val="auto"/>
          <w:sz w:val="20"/>
          <w:szCs w:val="20"/>
          <w:highlight w:val="none"/>
        </w:rPr>
      </w:pPr>
      <w:r>
        <w:rPr>
          <w:rFonts w:hint="eastAsia" w:ascii="宋体" w:hAnsi="宋体"/>
          <w:color w:val="auto"/>
          <w:sz w:val="20"/>
          <w:szCs w:val="20"/>
          <w:highlight w:val="none"/>
        </w:rPr>
        <w:t>注：</w:t>
      </w:r>
      <w:r>
        <w:rPr>
          <w:rFonts w:hint="eastAsia" w:ascii="宋体" w:hAnsi="宋体"/>
          <w:color w:val="auto"/>
          <w:sz w:val="20"/>
          <w:szCs w:val="20"/>
          <w:highlight w:val="none"/>
          <w:lang w:val="en-US" w:eastAsia="zh-CN"/>
        </w:rPr>
        <w:t>1.</w:t>
      </w:r>
      <w:r>
        <w:rPr>
          <w:rFonts w:hint="eastAsia" w:ascii="宋体" w:hAnsi="宋体"/>
          <w:color w:val="auto"/>
          <w:sz w:val="20"/>
          <w:szCs w:val="20"/>
          <w:highlight w:val="none"/>
        </w:rPr>
        <w:t>此表由招标人填写除“投标单价”栏的内容</w:t>
      </w:r>
      <w:r>
        <w:rPr>
          <w:rFonts w:hint="eastAsia" w:ascii="宋体" w:hAnsi="宋体"/>
          <w:color w:val="auto"/>
          <w:sz w:val="20"/>
          <w:szCs w:val="20"/>
          <w:highlight w:val="none"/>
          <w:lang w:eastAsia="zh-CN"/>
        </w:rPr>
        <w:t>，</w:t>
      </w:r>
      <w:r>
        <w:rPr>
          <w:rFonts w:hint="eastAsia" w:ascii="宋体" w:hAnsi="宋体"/>
          <w:color w:val="auto"/>
          <w:sz w:val="20"/>
          <w:szCs w:val="20"/>
          <w:highlight w:val="none"/>
        </w:rPr>
        <w:t>投标人在投标时自主确定投标单价。</w:t>
      </w:r>
    </w:p>
    <w:p w14:paraId="77405C6A">
      <w:pPr>
        <w:ind w:left="363" w:leftChars="170" w:firstLine="0" w:firstLineChars="0"/>
        <w:rPr>
          <w:color w:val="auto"/>
          <w:sz w:val="20"/>
          <w:szCs w:val="20"/>
          <w:highlight w:val="none"/>
        </w:rPr>
      </w:pPr>
      <w:r>
        <w:rPr>
          <w:rFonts w:hint="eastAsia" w:ascii="宋体" w:hAnsi="宋体"/>
          <w:color w:val="auto"/>
          <w:sz w:val="20"/>
          <w:szCs w:val="20"/>
          <w:highlight w:val="none"/>
          <w:lang w:val="en-US" w:eastAsia="zh-CN"/>
        </w:rPr>
        <w:t>2.应用于一般计税法为除税价，应用于简易计税法为含税价。</w:t>
      </w:r>
    </w:p>
    <w:p w14:paraId="3DDA428E">
      <w:pPr>
        <w:jc w:val="left"/>
        <w:rPr>
          <w:color w:val="auto"/>
          <w:highlight w:val="none"/>
        </w:rPr>
      </w:pPr>
      <w:r>
        <w:rPr>
          <w:color w:val="auto"/>
          <w:highlight w:val="none"/>
        </w:rPr>
        <w:t xml:space="preserve"> </w:t>
      </w:r>
    </w:p>
    <w:p w14:paraId="6DF11B78">
      <w:pPr>
        <w:jc w:val="right"/>
        <w:rPr>
          <w:rFonts w:hint="default" w:eastAsia="宋体"/>
          <w:color w:val="auto"/>
          <w:sz w:val="24"/>
          <w:highlight w:val="none"/>
          <w:lang w:val="en-US" w:eastAsia="zh-CN"/>
        </w:rPr>
      </w:pPr>
      <w:r>
        <w:rPr>
          <w:rFonts w:hint="eastAsia" w:ascii="宋体" w:hAnsi="宋体"/>
          <w:color w:val="auto"/>
          <w:sz w:val="21"/>
          <w:szCs w:val="21"/>
          <w:highlight w:val="none"/>
        </w:rPr>
        <w:t>表-</w:t>
      </w:r>
      <w:r>
        <w:rPr>
          <w:rFonts w:hint="eastAsia" w:ascii="宋体" w:hAnsi="宋体"/>
          <w:color w:val="auto"/>
          <w:sz w:val="21"/>
          <w:szCs w:val="21"/>
          <w:highlight w:val="none"/>
          <w:lang w:val="en-US" w:eastAsia="zh-CN"/>
        </w:rPr>
        <w:t>16</w:t>
      </w:r>
    </w:p>
    <w:p w14:paraId="2DE22154">
      <w:pPr>
        <w:pStyle w:val="52"/>
        <w:spacing w:after="0"/>
        <w:ind w:firstLine="210"/>
        <w:rPr>
          <w:color w:val="auto"/>
          <w:highlight w:val="none"/>
        </w:rPr>
      </w:pPr>
    </w:p>
    <w:p w14:paraId="7D3E83F3">
      <w:pPr>
        <w:pStyle w:val="52"/>
        <w:spacing w:after="0"/>
        <w:ind w:firstLine="0" w:firstLineChars="0"/>
        <w:rPr>
          <w:rFonts w:ascii="黑体" w:hAnsi="黑体" w:eastAsia="黑体"/>
          <w:color w:val="auto"/>
          <w:highlight w:val="none"/>
        </w:rPr>
      </w:pPr>
    </w:p>
    <w:p w14:paraId="3B4E5C54">
      <w:pPr>
        <w:pStyle w:val="52"/>
        <w:spacing w:after="0"/>
        <w:ind w:firstLine="210"/>
        <w:rPr>
          <w:color w:val="auto"/>
          <w:highlight w:val="none"/>
        </w:rPr>
      </w:pPr>
    </w:p>
    <w:p w14:paraId="2246D9FD">
      <w:pPr>
        <w:pStyle w:val="52"/>
        <w:spacing w:after="0"/>
        <w:ind w:firstLine="210"/>
        <w:rPr>
          <w:color w:val="auto"/>
          <w:highlight w:val="none"/>
        </w:rPr>
        <w:sectPr>
          <w:type w:val="continuous"/>
          <w:pgSz w:w="11905" w:h="16838"/>
          <w:pgMar w:top="850" w:right="1134" w:bottom="850" w:left="1134" w:header="850" w:footer="992" w:gutter="0"/>
          <w:pgNumType w:fmt="decimal"/>
          <w:cols w:space="720" w:num="1"/>
          <w:rtlGutter w:val="0"/>
          <w:docGrid w:type="linesAndChars" w:linePitch="321" w:charSpace="851"/>
        </w:sectPr>
      </w:pPr>
    </w:p>
    <w:p w14:paraId="5238B21F">
      <w:pPr>
        <w:jc w:val="center"/>
        <w:rPr>
          <w:rFonts w:hint="eastAsia" w:ascii="宋体" w:hAnsi="宋体" w:eastAsia="宋体" w:cs="Times New Roman"/>
          <w:b/>
          <w:bCs w:val="0"/>
          <w:color w:val="auto"/>
          <w:sz w:val="36"/>
          <w:szCs w:val="36"/>
          <w:highlight w:val="none"/>
        </w:rPr>
      </w:pPr>
      <w:r>
        <w:rPr>
          <w:rFonts w:hint="eastAsia" w:ascii="宋体" w:hAnsi="宋体" w:eastAsia="宋体" w:cs="Times New Roman"/>
          <w:b/>
          <w:bCs w:val="0"/>
          <w:color w:val="auto"/>
          <w:sz w:val="36"/>
          <w:szCs w:val="36"/>
          <w:highlight w:val="none"/>
          <w:lang w:eastAsia="zh-CN"/>
        </w:rPr>
        <w:t>人工及主要材料费可调因子价格指数及</w:t>
      </w:r>
      <w:r>
        <w:rPr>
          <w:rFonts w:hint="eastAsia" w:ascii="宋体" w:hAnsi="宋体" w:eastAsia="宋体" w:cs="Times New Roman"/>
          <w:b/>
          <w:bCs w:val="0"/>
          <w:color w:val="auto"/>
          <w:sz w:val="36"/>
          <w:szCs w:val="36"/>
          <w:highlight w:val="none"/>
        </w:rPr>
        <w:t>权重表</w:t>
      </w:r>
    </w:p>
    <w:p w14:paraId="2A4EC61C">
      <w:pPr>
        <w:jc w:val="center"/>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（适用于总价合同）</w:t>
      </w:r>
    </w:p>
    <w:p w14:paraId="3AD1C17F">
      <w:pPr>
        <w:pStyle w:val="19"/>
        <w:rPr>
          <w:rFonts w:ascii="宋体" w:hAnsi="宋体"/>
          <w:color w:val="auto"/>
          <w:highlight w:val="none"/>
        </w:rPr>
      </w:pPr>
      <w:r>
        <w:rPr>
          <w:rFonts w:hint="eastAsia" w:ascii="宋体" w:hAnsi="宋体"/>
          <w:color w:val="auto"/>
          <w:highlight w:val="none"/>
        </w:rPr>
        <w:t xml:space="preserve"> 工程名称：</w:t>
      </w:r>
      <w:r>
        <w:rPr>
          <w:rFonts w:hint="eastAsia" w:ascii="宋体" w:hAnsi="宋体"/>
          <w:color w:val="auto"/>
          <w:highlight w:val="none"/>
          <w:lang w:val="en-US" w:eastAsia="zh-CN"/>
        </w:rPr>
        <w:t xml:space="preserve">                                                       </w:t>
      </w:r>
      <w:r>
        <w:rPr>
          <w:rFonts w:hint="eastAsia" w:ascii="宋体" w:hAnsi="宋体"/>
          <w:color w:val="auto"/>
          <w:highlight w:val="none"/>
        </w:rPr>
        <w:t>第  页  共  页</w:t>
      </w:r>
    </w:p>
    <w:tbl>
      <w:tblPr>
        <w:tblStyle w:val="346"/>
        <w:tblW w:w="9048" w:type="dxa"/>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7"/>
        <w:gridCol w:w="1405"/>
        <w:gridCol w:w="1091"/>
        <w:gridCol w:w="1445"/>
        <w:gridCol w:w="1309"/>
        <w:gridCol w:w="1268"/>
        <w:gridCol w:w="1303"/>
      </w:tblGrid>
      <w:tr w14:paraId="3508B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trPr>
        <w:tc>
          <w:tcPr>
            <w:tcW w:w="1227" w:type="dxa"/>
            <w:noWrap w:val="0"/>
            <w:vAlign w:val="center"/>
          </w:tcPr>
          <w:p w14:paraId="3E54E086">
            <w:pPr>
              <w:pStyle w:val="347"/>
              <w:spacing w:before="1"/>
              <w:ind w:left="105"/>
              <w:jc w:val="center"/>
              <w:rPr>
                <w:color w:val="auto"/>
                <w:sz w:val="21"/>
                <w:highlight w:val="none"/>
              </w:rPr>
            </w:pPr>
            <w:r>
              <w:rPr>
                <w:rFonts w:hint="eastAsia"/>
                <w:color w:val="auto"/>
                <w:sz w:val="21"/>
                <w:highlight w:val="none"/>
                <w:lang w:eastAsia="zh-CN"/>
              </w:rPr>
              <w:t>可调因子</w:t>
            </w:r>
          </w:p>
        </w:tc>
        <w:tc>
          <w:tcPr>
            <w:tcW w:w="1405" w:type="dxa"/>
            <w:noWrap w:val="0"/>
            <w:vAlign w:val="center"/>
          </w:tcPr>
          <w:p w14:paraId="71C0B69D">
            <w:pPr>
              <w:pStyle w:val="347"/>
              <w:spacing w:before="1"/>
              <w:jc w:val="center"/>
              <w:rPr>
                <w:rFonts w:hint="eastAsia" w:ascii="黑体"/>
                <w:color w:val="auto"/>
                <w:sz w:val="20"/>
                <w:highlight w:val="none"/>
                <w:lang w:eastAsia="zh-CN"/>
              </w:rPr>
            </w:pPr>
            <w:r>
              <w:rPr>
                <w:rFonts w:hint="eastAsia" w:ascii="黑体"/>
                <w:color w:val="auto"/>
                <w:sz w:val="20"/>
                <w:highlight w:val="none"/>
                <w:lang w:eastAsia="zh-CN"/>
              </w:rPr>
              <w:t>基准日价格</w:t>
            </w:r>
          </w:p>
          <w:p w14:paraId="5ECCFE2E">
            <w:pPr>
              <w:pStyle w:val="347"/>
              <w:spacing w:before="1"/>
              <w:jc w:val="center"/>
              <w:rPr>
                <w:rFonts w:hint="eastAsia"/>
                <w:color w:val="auto"/>
                <w:sz w:val="21"/>
                <w:highlight w:val="none"/>
                <w:lang w:val="en-US" w:eastAsia="zh-CN"/>
              </w:rPr>
            </w:pPr>
            <w:r>
              <w:rPr>
                <w:color w:val="auto"/>
                <w:sz w:val="21"/>
                <w:highlight w:val="none"/>
              </w:rPr>
              <w:t>指数</w:t>
            </w:r>
            <w:r>
              <w:rPr>
                <w:rFonts w:hint="eastAsia"/>
                <w:color w:val="auto"/>
                <w:sz w:val="21"/>
                <w:highlight w:val="none"/>
                <w:lang w:eastAsia="zh-CN"/>
              </w:rPr>
              <w:t>或</w:t>
            </w:r>
            <w:r>
              <w:rPr>
                <w:rFonts w:hint="eastAsia"/>
                <w:color w:val="auto"/>
                <w:sz w:val="21"/>
                <w:highlight w:val="none"/>
                <w:lang w:val="en-US" w:eastAsia="zh-CN"/>
              </w:rPr>
              <w:t>单价</w:t>
            </w:r>
          </w:p>
          <w:p w14:paraId="6C2E2C35">
            <w:pPr>
              <w:pStyle w:val="347"/>
              <w:spacing w:before="1"/>
              <w:jc w:val="center"/>
              <w:rPr>
                <w:rFonts w:hint="eastAsia"/>
                <w:color w:val="auto"/>
                <w:sz w:val="21"/>
                <w:highlight w:val="none"/>
                <w:lang w:val="en-US" w:eastAsia="zh-CN"/>
              </w:rPr>
            </w:pPr>
            <w:r>
              <w:rPr>
                <w:rFonts w:hint="eastAsia"/>
                <w:color w:val="auto"/>
                <w:sz w:val="21"/>
                <w:highlight w:val="none"/>
                <w:lang w:eastAsia="zh-CN"/>
              </w:rPr>
              <w:t>（元）</w:t>
            </w:r>
          </w:p>
        </w:tc>
        <w:tc>
          <w:tcPr>
            <w:tcW w:w="1091" w:type="dxa"/>
            <w:noWrap w:val="0"/>
            <w:vAlign w:val="center"/>
          </w:tcPr>
          <w:p w14:paraId="4391BBF6">
            <w:pPr>
              <w:pStyle w:val="347"/>
              <w:spacing w:before="1"/>
              <w:ind w:left="108" w:leftChars="0" w:right="0" w:rightChars="0"/>
              <w:jc w:val="both"/>
              <w:rPr>
                <w:rFonts w:hint="default"/>
                <w:color w:val="auto"/>
                <w:sz w:val="21"/>
                <w:highlight w:val="none"/>
                <w:lang w:val="en-US" w:eastAsia="zh-CN"/>
              </w:rPr>
            </w:pPr>
            <w:r>
              <w:rPr>
                <w:rFonts w:hint="eastAsia"/>
                <w:color w:val="auto"/>
                <w:sz w:val="21"/>
                <w:highlight w:val="none"/>
                <w:lang w:val="en-US" w:eastAsia="zh-CN"/>
              </w:rPr>
              <w:t>风险幅度（%）</w:t>
            </w:r>
          </w:p>
        </w:tc>
        <w:tc>
          <w:tcPr>
            <w:tcW w:w="1445" w:type="dxa"/>
            <w:noWrap w:val="0"/>
            <w:vAlign w:val="center"/>
          </w:tcPr>
          <w:p w14:paraId="082B8349">
            <w:pPr>
              <w:pStyle w:val="347"/>
              <w:spacing w:before="1"/>
              <w:jc w:val="center"/>
              <w:rPr>
                <w:rFonts w:hint="eastAsia"/>
                <w:color w:val="auto"/>
                <w:sz w:val="21"/>
                <w:highlight w:val="none"/>
                <w:lang w:val="en-US" w:eastAsia="zh-CN"/>
              </w:rPr>
            </w:pPr>
            <w:r>
              <w:rPr>
                <w:rFonts w:hint="eastAsia"/>
                <w:color w:val="auto"/>
                <w:sz w:val="21"/>
                <w:highlight w:val="none"/>
                <w:lang w:val="en-US" w:eastAsia="zh-CN"/>
              </w:rPr>
              <w:t>基本价格</w:t>
            </w:r>
          </w:p>
          <w:p w14:paraId="349B07BE">
            <w:pPr>
              <w:pStyle w:val="347"/>
              <w:spacing w:before="1"/>
              <w:jc w:val="center"/>
              <w:rPr>
                <w:rFonts w:hint="eastAsia"/>
                <w:color w:val="auto"/>
                <w:sz w:val="21"/>
                <w:highlight w:val="none"/>
                <w:lang w:val="en-US" w:eastAsia="zh-CN"/>
              </w:rPr>
            </w:pPr>
            <w:r>
              <w:rPr>
                <w:rFonts w:hint="eastAsia"/>
                <w:color w:val="auto"/>
                <w:sz w:val="21"/>
                <w:highlight w:val="none"/>
                <w:lang w:val="en-US" w:eastAsia="zh-CN"/>
              </w:rPr>
              <w:t>指数或单价</w:t>
            </w:r>
          </w:p>
          <w:p w14:paraId="407CBDAE">
            <w:pPr>
              <w:pStyle w:val="347"/>
              <w:spacing w:before="1"/>
              <w:jc w:val="center"/>
              <w:rPr>
                <w:rFonts w:hint="eastAsia"/>
                <w:color w:val="auto"/>
                <w:sz w:val="21"/>
                <w:highlight w:val="none"/>
                <w:lang w:val="en-US" w:eastAsia="zh-CN"/>
              </w:rPr>
            </w:pPr>
            <w:r>
              <w:rPr>
                <w:rFonts w:hint="eastAsia"/>
                <w:color w:val="auto"/>
                <w:sz w:val="21"/>
                <w:highlight w:val="none"/>
                <w:lang w:val="en-US" w:eastAsia="zh-CN"/>
              </w:rPr>
              <w:t>（元）</w:t>
            </w:r>
          </w:p>
        </w:tc>
        <w:tc>
          <w:tcPr>
            <w:tcW w:w="1309" w:type="dxa"/>
            <w:noWrap w:val="0"/>
            <w:vAlign w:val="center"/>
          </w:tcPr>
          <w:p w14:paraId="16A9F2D0">
            <w:pPr>
              <w:pStyle w:val="347"/>
              <w:spacing w:before="1"/>
              <w:ind w:left="105"/>
              <w:jc w:val="center"/>
              <w:rPr>
                <w:color w:val="auto"/>
                <w:sz w:val="21"/>
                <w:highlight w:val="none"/>
                <w:u w:val="single"/>
              </w:rPr>
            </w:pPr>
            <w:r>
              <w:rPr>
                <w:rFonts w:hint="eastAsia"/>
                <w:color w:val="auto"/>
                <w:sz w:val="21"/>
                <w:highlight w:val="none"/>
                <w:lang w:val="en-US" w:eastAsia="zh-CN"/>
              </w:rPr>
              <w:t>招标</w:t>
            </w:r>
            <w:r>
              <w:rPr>
                <w:rFonts w:hint="eastAsia"/>
                <w:color w:val="auto"/>
                <w:sz w:val="21"/>
                <w:highlight w:val="none"/>
                <w:lang w:eastAsia="zh-CN"/>
              </w:rPr>
              <w:t>人</w:t>
            </w:r>
            <w:r>
              <w:rPr>
                <w:color w:val="auto"/>
                <w:sz w:val="21"/>
                <w:highlight w:val="none"/>
              </w:rPr>
              <w:t>允许</w:t>
            </w:r>
            <w:r>
              <w:rPr>
                <w:rFonts w:hint="eastAsia"/>
                <w:color w:val="auto"/>
                <w:sz w:val="21"/>
                <w:highlight w:val="none"/>
                <w:lang w:eastAsia="zh-CN"/>
              </w:rPr>
              <w:t>权重</w:t>
            </w:r>
            <w:r>
              <w:rPr>
                <w:color w:val="auto"/>
                <w:sz w:val="21"/>
                <w:highlight w:val="none"/>
              </w:rPr>
              <w:t>范围</w:t>
            </w:r>
          </w:p>
        </w:tc>
        <w:tc>
          <w:tcPr>
            <w:tcW w:w="1268" w:type="dxa"/>
            <w:noWrap w:val="0"/>
            <w:vAlign w:val="center"/>
          </w:tcPr>
          <w:p w14:paraId="09B6027F">
            <w:pPr>
              <w:pStyle w:val="347"/>
              <w:spacing w:before="1"/>
              <w:ind w:left="0"/>
              <w:jc w:val="center"/>
              <w:rPr>
                <w:rFonts w:hint="eastAsia"/>
                <w:color w:val="auto"/>
                <w:sz w:val="21"/>
                <w:highlight w:val="none"/>
                <w:lang w:eastAsia="zh-CN"/>
              </w:rPr>
            </w:pPr>
            <w:r>
              <w:rPr>
                <w:color w:val="auto"/>
                <w:sz w:val="21"/>
                <w:highlight w:val="none"/>
              </w:rPr>
              <w:t>投标人</w:t>
            </w:r>
          </w:p>
          <w:p w14:paraId="26D4A872">
            <w:pPr>
              <w:pStyle w:val="347"/>
              <w:spacing w:before="1"/>
              <w:ind w:left="0"/>
              <w:jc w:val="center"/>
              <w:rPr>
                <w:rFonts w:hint="eastAsia"/>
                <w:color w:val="auto"/>
                <w:sz w:val="21"/>
                <w:highlight w:val="none"/>
                <w:lang w:val="en-US" w:eastAsia="zh-CN"/>
              </w:rPr>
            </w:pPr>
            <w:r>
              <w:rPr>
                <w:rFonts w:hint="eastAsia"/>
                <w:color w:val="auto"/>
                <w:sz w:val="21"/>
                <w:highlight w:val="none"/>
                <w:lang w:eastAsia="zh-CN"/>
              </w:rPr>
              <w:t>填报权重</w:t>
            </w:r>
          </w:p>
        </w:tc>
        <w:tc>
          <w:tcPr>
            <w:tcW w:w="1303" w:type="dxa"/>
            <w:noWrap w:val="0"/>
            <w:vAlign w:val="center"/>
          </w:tcPr>
          <w:p w14:paraId="51ADF665">
            <w:pPr>
              <w:pStyle w:val="347"/>
              <w:spacing w:before="1"/>
              <w:ind w:left="0"/>
              <w:jc w:val="center"/>
              <w:rPr>
                <w:rFonts w:hint="eastAsia"/>
                <w:color w:val="auto"/>
                <w:sz w:val="21"/>
                <w:highlight w:val="none"/>
                <w:lang w:val="en-US" w:eastAsia="zh-CN"/>
              </w:rPr>
            </w:pPr>
            <w:r>
              <w:rPr>
                <w:rFonts w:hint="eastAsia"/>
                <w:color w:val="auto"/>
                <w:sz w:val="21"/>
                <w:highlight w:val="none"/>
                <w:lang w:val="en-US" w:eastAsia="zh-CN"/>
              </w:rPr>
              <w:t>价格指数</w:t>
            </w:r>
          </w:p>
          <w:p w14:paraId="7006C286">
            <w:pPr>
              <w:pStyle w:val="347"/>
              <w:spacing w:before="1"/>
              <w:ind w:left="0"/>
              <w:jc w:val="center"/>
              <w:rPr>
                <w:rFonts w:hint="default" w:eastAsia="宋体"/>
                <w:color w:val="auto"/>
                <w:sz w:val="21"/>
                <w:highlight w:val="none"/>
                <w:lang w:val="en-US" w:eastAsia="zh-CN"/>
              </w:rPr>
            </w:pPr>
            <w:r>
              <w:rPr>
                <w:rFonts w:hint="eastAsia"/>
                <w:color w:val="auto"/>
                <w:sz w:val="21"/>
                <w:highlight w:val="none"/>
                <w:lang w:val="en-US" w:eastAsia="zh-CN"/>
              </w:rPr>
              <w:t>来源</w:t>
            </w:r>
          </w:p>
        </w:tc>
      </w:tr>
      <w:tr w14:paraId="1D31F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7190A1B6">
            <w:pPr>
              <w:pStyle w:val="347"/>
              <w:spacing w:before="1"/>
              <w:ind w:left="105"/>
              <w:rPr>
                <w:color w:val="auto"/>
                <w:sz w:val="21"/>
                <w:highlight w:val="none"/>
              </w:rPr>
            </w:pPr>
          </w:p>
        </w:tc>
        <w:tc>
          <w:tcPr>
            <w:tcW w:w="1405" w:type="dxa"/>
            <w:noWrap w:val="0"/>
            <w:vAlign w:val="center"/>
          </w:tcPr>
          <w:p w14:paraId="32C40907">
            <w:pPr>
              <w:pStyle w:val="347"/>
              <w:spacing w:before="1"/>
              <w:jc w:val="both"/>
              <w:rPr>
                <w:rFonts w:hint="default" w:eastAsia="宋体"/>
                <w:color w:val="auto"/>
                <w:sz w:val="21"/>
                <w:highlight w:val="none"/>
                <w:lang w:val="en-US" w:eastAsia="zh-CN"/>
              </w:rPr>
            </w:pPr>
          </w:p>
        </w:tc>
        <w:tc>
          <w:tcPr>
            <w:tcW w:w="1091" w:type="dxa"/>
            <w:noWrap w:val="0"/>
            <w:vAlign w:val="center"/>
          </w:tcPr>
          <w:p w14:paraId="7EBDACC4">
            <w:pPr>
              <w:pStyle w:val="347"/>
              <w:spacing w:before="1"/>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27657E90">
            <w:pPr>
              <w:pStyle w:val="347"/>
              <w:spacing w:before="1"/>
              <w:jc w:val="both"/>
              <w:rPr>
                <w:rFonts w:hint="default"/>
                <w:color w:val="auto"/>
                <w:sz w:val="21"/>
                <w:highlight w:val="none"/>
                <w:lang w:val="en-US" w:eastAsia="zh-CN"/>
              </w:rPr>
            </w:pPr>
          </w:p>
        </w:tc>
        <w:tc>
          <w:tcPr>
            <w:tcW w:w="1309" w:type="dxa"/>
            <w:noWrap w:val="0"/>
            <w:vAlign w:val="top"/>
          </w:tcPr>
          <w:p w14:paraId="071688D3">
            <w:pPr>
              <w:pStyle w:val="347"/>
              <w:spacing w:before="1"/>
              <w:ind w:left="105"/>
              <w:rPr>
                <w:color w:val="auto"/>
                <w:sz w:val="21"/>
                <w:highlight w:val="none"/>
              </w:rPr>
            </w:pPr>
          </w:p>
        </w:tc>
        <w:tc>
          <w:tcPr>
            <w:tcW w:w="1268" w:type="dxa"/>
            <w:noWrap w:val="0"/>
            <w:vAlign w:val="top"/>
          </w:tcPr>
          <w:p w14:paraId="58D1398F">
            <w:pPr>
              <w:pStyle w:val="347"/>
              <w:spacing w:before="1"/>
              <w:ind w:left="107"/>
              <w:rPr>
                <w:rFonts w:hint="default" w:eastAsia="宋体"/>
                <w:color w:val="auto"/>
                <w:sz w:val="21"/>
                <w:highlight w:val="none"/>
                <w:lang w:val="en-US" w:eastAsia="zh-CN"/>
              </w:rPr>
            </w:pPr>
          </w:p>
        </w:tc>
        <w:tc>
          <w:tcPr>
            <w:tcW w:w="1303" w:type="dxa"/>
            <w:noWrap w:val="0"/>
            <w:vAlign w:val="top"/>
          </w:tcPr>
          <w:p w14:paraId="420DCC56">
            <w:pPr>
              <w:pStyle w:val="347"/>
              <w:spacing w:before="1"/>
              <w:ind w:left="108"/>
              <w:rPr>
                <w:rFonts w:hint="default" w:eastAsia="宋体"/>
                <w:color w:val="auto"/>
                <w:sz w:val="21"/>
                <w:highlight w:val="none"/>
                <w:lang w:val="en-US" w:eastAsia="zh-CN"/>
              </w:rPr>
            </w:pPr>
          </w:p>
        </w:tc>
      </w:tr>
      <w:tr w14:paraId="7D2E2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58CE74F3">
            <w:pPr>
              <w:pStyle w:val="347"/>
              <w:ind w:left="105"/>
              <w:rPr>
                <w:rFonts w:hint="default" w:eastAsia="宋体"/>
                <w:color w:val="auto"/>
                <w:sz w:val="21"/>
                <w:highlight w:val="none"/>
                <w:lang w:val="en-US" w:eastAsia="zh-CN"/>
              </w:rPr>
            </w:pPr>
          </w:p>
        </w:tc>
        <w:tc>
          <w:tcPr>
            <w:tcW w:w="1405" w:type="dxa"/>
            <w:noWrap w:val="0"/>
            <w:vAlign w:val="center"/>
          </w:tcPr>
          <w:p w14:paraId="0CAFF758">
            <w:pPr>
              <w:pStyle w:val="347"/>
              <w:ind w:left="105"/>
              <w:jc w:val="both"/>
              <w:rPr>
                <w:rFonts w:hint="default" w:eastAsia="宋体"/>
                <w:color w:val="auto"/>
                <w:sz w:val="21"/>
                <w:highlight w:val="none"/>
                <w:lang w:val="en-US" w:eastAsia="zh-CN"/>
              </w:rPr>
            </w:pPr>
          </w:p>
        </w:tc>
        <w:tc>
          <w:tcPr>
            <w:tcW w:w="1091" w:type="dxa"/>
            <w:noWrap w:val="0"/>
            <w:vAlign w:val="center"/>
          </w:tcPr>
          <w:p w14:paraId="4B3F2F6B">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2B053837">
            <w:pPr>
              <w:pStyle w:val="347"/>
              <w:ind w:left="105"/>
              <w:jc w:val="both"/>
              <w:rPr>
                <w:rFonts w:hint="default"/>
                <w:color w:val="auto"/>
                <w:sz w:val="21"/>
                <w:highlight w:val="none"/>
                <w:lang w:val="en-US" w:eastAsia="zh-CN"/>
              </w:rPr>
            </w:pPr>
          </w:p>
        </w:tc>
        <w:tc>
          <w:tcPr>
            <w:tcW w:w="1309" w:type="dxa"/>
            <w:noWrap w:val="0"/>
            <w:vAlign w:val="top"/>
          </w:tcPr>
          <w:p w14:paraId="15018FCC">
            <w:pPr>
              <w:pStyle w:val="347"/>
              <w:ind w:left="105"/>
              <w:rPr>
                <w:color w:val="auto"/>
                <w:sz w:val="21"/>
                <w:highlight w:val="none"/>
              </w:rPr>
            </w:pPr>
          </w:p>
        </w:tc>
        <w:tc>
          <w:tcPr>
            <w:tcW w:w="1268" w:type="dxa"/>
            <w:noWrap w:val="0"/>
            <w:vAlign w:val="top"/>
          </w:tcPr>
          <w:p w14:paraId="5D07AC6E">
            <w:pPr>
              <w:pStyle w:val="347"/>
              <w:ind w:left="107"/>
              <w:rPr>
                <w:rFonts w:hint="default" w:eastAsia="宋体"/>
                <w:color w:val="auto"/>
                <w:sz w:val="21"/>
                <w:highlight w:val="none"/>
                <w:lang w:val="en-US" w:eastAsia="zh-CN"/>
              </w:rPr>
            </w:pPr>
          </w:p>
        </w:tc>
        <w:tc>
          <w:tcPr>
            <w:tcW w:w="1303" w:type="dxa"/>
            <w:noWrap w:val="0"/>
            <w:vAlign w:val="top"/>
          </w:tcPr>
          <w:p w14:paraId="41068043">
            <w:pPr>
              <w:pStyle w:val="347"/>
              <w:ind w:left="108"/>
              <w:rPr>
                <w:rFonts w:hint="default" w:eastAsia="宋体"/>
                <w:color w:val="auto"/>
                <w:sz w:val="21"/>
                <w:highlight w:val="none"/>
                <w:lang w:val="en-US" w:eastAsia="zh-CN"/>
              </w:rPr>
            </w:pPr>
          </w:p>
        </w:tc>
      </w:tr>
      <w:tr w14:paraId="471D8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7D8118F0">
            <w:pPr>
              <w:pStyle w:val="347"/>
              <w:ind w:left="105"/>
              <w:rPr>
                <w:rFonts w:hint="default" w:eastAsia="宋体"/>
                <w:color w:val="auto"/>
                <w:sz w:val="21"/>
                <w:highlight w:val="none"/>
                <w:lang w:val="en-US" w:eastAsia="zh-CN"/>
              </w:rPr>
            </w:pPr>
          </w:p>
        </w:tc>
        <w:tc>
          <w:tcPr>
            <w:tcW w:w="1405" w:type="dxa"/>
            <w:noWrap w:val="0"/>
            <w:vAlign w:val="center"/>
          </w:tcPr>
          <w:p w14:paraId="55C39ED5">
            <w:pPr>
              <w:pStyle w:val="347"/>
              <w:ind w:left="105"/>
              <w:jc w:val="both"/>
              <w:rPr>
                <w:rFonts w:hint="default" w:eastAsia="宋体"/>
                <w:color w:val="auto"/>
                <w:sz w:val="21"/>
                <w:highlight w:val="none"/>
                <w:lang w:val="en-US" w:eastAsia="zh-CN"/>
              </w:rPr>
            </w:pPr>
          </w:p>
        </w:tc>
        <w:tc>
          <w:tcPr>
            <w:tcW w:w="1091" w:type="dxa"/>
            <w:noWrap w:val="0"/>
            <w:vAlign w:val="center"/>
          </w:tcPr>
          <w:p w14:paraId="51488908">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46EB8198">
            <w:pPr>
              <w:pStyle w:val="347"/>
              <w:ind w:left="105"/>
              <w:jc w:val="both"/>
              <w:rPr>
                <w:rFonts w:hint="default"/>
                <w:color w:val="auto"/>
                <w:sz w:val="21"/>
                <w:highlight w:val="none"/>
                <w:lang w:val="en-US" w:eastAsia="zh-CN"/>
              </w:rPr>
            </w:pPr>
          </w:p>
        </w:tc>
        <w:tc>
          <w:tcPr>
            <w:tcW w:w="1309" w:type="dxa"/>
            <w:noWrap w:val="0"/>
            <w:vAlign w:val="top"/>
          </w:tcPr>
          <w:p w14:paraId="242B5D77">
            <w:pPr>
              <w:pStyle w:val="347"/>
              <w:ind w:left="105"/>
              <w:rPr>
                <w:color w:val="auto"/>
                <w:sz w:val="21"/>
                <w:highlight w:val="none"/>
              </w:rPr>
            </w:pPr>
          </w:p>
        </w:tc>
        <w:tc>
          <w:tcPr>
            <w:tcW w:w="1268" w:type="dxa"/>
            <w:noWrap w:val="0"/>
            <w:vAlign w:val="top"/>
          </w:tcPr>
          <w:p w14:paraId="25FA2549">
            <w:pPr>
              <w:pStyle w:val="347"/>
              <w:ind w:left="107"/>
              <w:rPr>
                <w:rFonts w:hint="default" w:eastAsia="宋体"/>
                <w:color w:val="auto"/>
                <w:sz w:val="21"/>
                <w:highlight w:val="none"/>
                <w:lang w:val="en-US" w:eastAsia="zh-CN"/>
              </w:rPr>
            </w:pPr>
          </w:p>
        </w:tc>
        <w:tc>
          <w:tcPr>
            <w:tcW w:w="1303" w:type="dxa"/>
            <w:noWrap w:val="0"/>
            <w:vAlign w:val="top"/>
          </w:tcPr>
          <w:p w14:paraId="3FA691B0">
            <w:pPr>
              <w:pStyle w:val="347"/>
              <w:ind w:left="108"/>
              <w:rPr>
                <w:rFonts w:hint="default" w:eastAsia="宋体"/>
                <w:color w:val="auto"/>
                <w:sz w:val="21"/>
                <w:highlight w:val="none"/>
                <w:lang w:val="en-US" w:eastAsia="zh-CN"/>
              </w:rPr>
            </w:pPr>
          </w:p>
        </w:tc>
      </w:tr>
      <w:tr w14:paraId="3B507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6C7BDE49">
            <w:pPr>
              <w:pStyle w:val="347"/>
              <w:ind w:left="105"/>
              <w:rPr>
                <w:rFonts w:hint="default" w:eastAsia="宋体"/>
                <w:color w:val="auto"/>
                <w:sz w:val="21"/>
                <w:highlight w:val="none"/>
                <w:lang w:val="en-US" w:eastAsia="zh-CN"/>
              </w:rPr>
            </w:pPr>
          </w:p>
        </w:tc>
        <w:tc>
          <w:tcPr>
            <w:tcW w:w="1405" w:type="dxa"/>
            <w:noWrap w:val="0"/>
            <w:vAlign w:val="center"/>
          </w:tcPr>
          <w:p w14:paraId="11906755">
            <w:pPr>
              <w:pStyle w:val="347"/>
              <w:ind w:left="105"/>
              <w:jc w:val="both"/>
              <w:rPr>
                <w:rFonts w:hint="default" w:eastAsia="宋体"/>
                <w:color w:val="auto"/>
                <w:sz w:val="21"/>
                <w:highlight w:val="none"/>
                <w:lang w:val="en-US" w:eastAsia="zh-CN"/>
              </w:rPr>
            </w:pPr>
          </w:p>
        </w:tc>
        <w:tc>
          <w:tcPr>
            <w:tcW w:w="1091" w:type="dxa"/>
            <w:noWrap w:val="0"/>
            <w:vAlign w:val="center"/>
          </w:tcPr>
          <w:p w14:paraId="0B81FDEC">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6243ED03">
            <w:pPr>
              <w:pStyle w:val="347"/>
              <w:ind w:left="105"/>
              <w:jc w:val="both"/>
              <w:rPr>
                <w:rFonts w:hint="default"/>
                <w:color w:val="auto"/>
                <w:sz w:val="21"/>
                <w:highlight w:val="none"/>
                <w:lang w:val="en-US" w:eastAsia="zh-CN"/>
              </w:rPr>
            </w:pPr>
          </w:p>
        </w:tc>
        <w:tc>
          <w:tcPr>
            <w:tcW w:w="1309" w:type="dxa"/>
            <w:noWrap w:val="0"/>
            <w:vAlign w:val="top"/>
          </w:tcPr>
          <w:p w14:paraId="68549283">
            <w:pPr>
              <w:pStyle w:val="347"/>
              <w:ind w:left="105"/>
              <w:rPr>
                <w:color w:val="auto"/>
                <w:sz w:val="21"/>
                <w:highlight w:val="none"/>
              </w:rPr>
            </w:pPr>
          </w:p>
        </w:tc>
        <w:tc>
          <w:tcPr>
            <w:tcW w:w="1268" w:type="dxa"/>
            <w:noWrap w:val="0"/>
            <w:vAlign w:val="top"/>
          </w:tcPr>
          <w:p w14:paraId="76CDB6D8">
            <w:pPr>
              <w:pStyle w:val="347"/>
              <w:ind w:left="107"/>
              <w:rPr>
                <w:rFonts w:hint="default" w:eastAsia="宋体"/>
                <w:color w:val="auto"/>
                <w:sz w:val="21"/>
                <w:highlight w:val="none"/>
                <w:lang w:val="en-US" w:eastAsia="zh-CN"/>
              </w:rPr>
            </w:pPr>
          </w:p>
        </w:tc>
        <w:tc>
          <w:tcPr>
            <w:tcW w:w="1303" w:type="dxa"/>
            <w:noWrap w:val="0"/>
            <w:vAlign w:val="top"/>
          </w:tcPr>
          <w:p w14:paraId="5546229D">
            <w:pPr>
              <w:pStyle w:val="347"/>
              <w:ind w:left="108"/>
              <w:rPr>
                <w:rFonts w:hint="default" w:eastAsia="宋体"/>
                <w:color w:val="auto"/>
                <w:sz w:val="21"/>
                <w:highlight w:val="none"/>
                <w:lang w:val="en-US" w:eastAsia="zh-CN"/>
              </w:rPr>
            </w:pPr>
          </w:p>
        </w:tc>
      </w:tr>
      <w:tr w14:paraId="264D87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240B716F">
            <w:pPr>
              <w:pStyle w:val="347"/>
              <w:ind w:left="105"/>
              <w:rPr>
                <w:rFonts w:hint="default" w:eastAsia="宋体"/>
                <w:color w:val="auto"/>
                <w:sz w:val="21"/>
                <w:highlight w:val="none"/>
                <w:lang w:val="en-US" w:eastAsia="zh-CN"/>
              </w:rPr>
            </w:pPr>
          </w:p>
        </w:tc>
        <w:tc>
          <w:tcPr>
            <w:tcW w:w="1405" w:type="dxa"/>
            <w:noWrap w:val="0"/>
            <w:vAlign w:val="center"/>
          </w:tcPr>
          <w:p w14:paraId="290F731C">
            <w:pPr>
              <w:pStyle w:val="347"/>
              <w:ind w:left="105"/>
              <w:jc w:val="both"/>
              <w:rPr>
                <w:rFonts w:hint="default" w:eastAsia="宋体"/>
                <w:color w:val="auto"/>
                <w:sz w:val="21"/>
                <w:highlight w:val="none"/>
                <w:lang w:val="en-US" w:eastAsia="zh-CN"/>
              </w:rPr>
            </w:pPr>
          </w:p>
        </w:tc>
        <w:tc>
          <w:tcPr>
            <w:tcW w:w="1091" w:type="dxa"/>
            <w:noWrap w:val="0"/>
            <w:vAlign w:val="center"/>
          </w:tcPr>
          <w:p w14:paraId="27FCE9E4">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02865FD5">
            <w:pPr>
              <w:pStyle w:val="347"/>
              <w:ind w:left="105"/>
              <w:jc w:val="both"/>
              <w:rPr>
                <w:rFonts w:hint="default"/>
                <w:color w:val="auto"/>
                <w:sz w:val="21"/>
                <w:highlight w:val="none"/>
                <w:lang w:val="en-US" w:eastAsia="zh-CN"/>
              </w:rPr>
            </w:pPr>
          </w:p>
        </w:tc>
        <w:tc>
          <w:tcPr>
            <w:tcW w:w="1309" w:type="dxa"/>
            <w:noWrap w:val="0"/>
            <w:vAlign w:val="top"/>
          </w:tcPr>
          <w:p w14:paraId="732C4B70">
            <w:pPr>
              <w:pStyle w:val="347"/>
              <w:ind w:left="105"/>
              <w:rPr>
                <w:color w:val="auto"/>
                <w:sz w:val="21"/>
                <w:highlight w:val="none"/>
              </w:rPr>
            </w:pPr>
          </w:p>
        </w:tc>
        <w:tc>
          <w:tcPr>
            <w:tcW w:w="1268" w:type="dxa"/>
            <w:noWrap w:val="0"/>
            <w:vAlign w:val="top"/>
          </w:tcPr>
          <w:p w14:paraId="169A0CC1">
            <w:pPr>
              <w:pStyle w:val="347"/>
              <w:ind w:left="107"/>
              <w:rPr>
                <w:rFonts w:hint="default" w:eastAsia="宋体"/>
                <w:color w:val="auto"/>
                <w:sz w:val="21"/>
                <w:highlight w:val="none"/>
                <w:lang w:val="en-US" w:eastAsia="zh-CN"/>
              </w:rPr>
            </w:pPr>
          </w:p>
        </w:tc>
        <w:tc>
          <w:tcPr>
            <w:tcW w:w="1303" w:type="dxa"/>
            <w:noWrap w:val="0"/>
            <w:vAlign w:val="top"/>
          </w:tcPr>
          <w:p w14:paraId="44334491">
            <w:pPr>
              <w:pStyle w:val="347"/>
              <w:ind w:left="108"/>
              <w:rPr>
                <w:rFonts w:hint="default" w:eastAsia="宋体"/>
                <w:color w:val="auto"/>
                <w:sz w:val="21"/>
                <w:highlight w:val="none"/>
                <w:lang w:val="en-US" w:eastAsia="zh-CN"/>
              </w:rPr>
            </w:pPr>
          </w:p>
        </w:tc>
      </w:tr>
      <w:tr w14:paraId="376654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27713D42">
            <w:pPr>
              <w:pStyle w:val="347"/>
              <w:ind w:left="105"/>
              <w:rPr>
                <w:rFonts w:hint="default" w:eastAsia="宋体"/>
                <w:color w:val="auto"/>
                <w:sz w:val="21"/>
                <w:highlight w:val="none"/>
                <w:lang w:val="en-US" w:eastAsia="zh-CN"/>
              </w:rPr>
            </w:pPr>
          </w:p>
        </w:tc>
        <w:tc>
          <w:tcPr>
            <w:tcW w:w="1405" w:type="dxa"/>
            <w:noWrap w:val="0"/>
            <w:vAlign w:val="center"/>
          </w:tcPr>
          <w:p w14:paraId="32C7D4B3">
            <w:pPr>
              <w:pStyle w:val="347"/>
              <w:ind w:left="105"/>
              <w:jc w:val="both"/>
              <w:rPr>
                <w:rFonts w:hint="default" w:eastAsia="宋体"/>
                <w:color w:val="auto"/>
                <w:sz w:val="21"/>
                <w:highlight w:val="none"/>
                <w:lang w:val="en-US" w:eastAsia="zh-CN"/>
              </w:rPr>
            </w:pPr>
          </w:p>
        </w:tc>
        <w:tc>
          <w:tcPr>
            <w:tcW w:w="1091" w:type="dxa"/>
            <w:noWrap w:val="0"/>
            <w:vAlign w:val="center"/>
          </w:tcPr>
          <w:p w14:paraId="71BE0FEC">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02A4FA2F">
            <w:pPr>
              <w:pStyle w:val="347"/>
              <w:ind w:left="105"/>
              <w:jc w:val="both"/>
              <w:rPr>
                <w:rFonts w:hint="default"/>
                <w:color w:val="auto"/>
                <w:sz w:val="21"/>
                <w:highlight w:val="none"/>
                <w:lang w:val="en-US" w:eastAsia="zh-CN"/>
              </w:rPr>
            </w:pPr>
          </w:p>
        </w:tc>
        <w:tc>
          <w:tcPr>
            <w:tcW w:w="1309" w:type="dxa"/>
            <w:noWrap w:val="0"/>
            <w:vAlign w:val="top"/>
          </w:tcPr>
          <w:p w14:paraId="73F2A1B2">
            <w:pPr>
              <w:pStyle w:val="347"/>
              <w:ind w:left="105"/>
              <w:rPr>
                <w:color w:val="auto"/>
                <w:sz w:val="21"/>
                <w:highlight w:val="none"/>
              </w:rPr>
            </w:pPr>
          </w:p>
        </w:tc>
        <w:tc>
          <w:tcPr>
            <w:tcW w:w="1268" w:type="dxa"/>
            <w:noWrap w:val="0"/>
            <w:vAlign w:val="top"/>
          </w:tcPr>
          <w:p w14:paraId="18300E6C">
            <w:pPr>
              <w:pStyle w:val="347"/>
              <w:ind w:left="107"/>
              <w:rPr>
                <w:rFonts w:hint="default" w:eastAsia="宋体"/>
                <w:color w:val="auto"/>
                <w:sz w:val="21"/>
                <w:highlight w:val="none"/>
                <w:lang w:val="en-US" w:eastAsia="zh-CN"/>
              </w:rPr>
            </w:pPr>
          </w:p>
        </w:tc>
        <w:tc>
          <w:tcPr>
            <w:tcW w:w="1303" w:type="dxa"/>
            <w:noWrap w:val="0"/>
            <w:vAlign w:val="top"/>
          </w:tcPr>
          <w:p w14:paraId="55B4357C">
            <w:pPr>
              <w:pStyle w:val="347"/>
              <w:ind w:left="108"/>
              <w:rPr>
                <w:rFonts w:hint="default" w:eastAsia="宋体"/>
                <w:color w:val="auto"/>
                <w:sz w:val="21"/>
                <w:highlight w:val="none"/>
                <w:lang w:val="en-US" w:eastAsia="zh-CN"/>
              </w:rPr>
            </w:pPr>
          </w:p>
        </w:tc>
      </w:tr>
      <w:tr w14:paraId="29E3D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57CC3164">
            <w:pPr>
              <w:pStyle w:val="347"/>
              <w:ind w:left="105"/>
              <w:rPr>
                <w:rFonts w:hint="default" w:eastAsia="宋体"/>
                <w:color w:val="auto"/>
                <w:sz w:val="21"/>
                <w:highlight w:val="none"/>
                <w:lang w:val="en-US" w:eastAsia="zh-CN"/>
              </w:rPr>
            </w:pPr>
          </w:p>
        </w:tc>
        <w:tc>
          <w:tcPr>
            <w:tcW w:w="1405" w:type="dxa"/>
            <w:noWrap w:val="0"/>
            <w:vAlign w:val="center"/>
          </w:tcPr>
          <w:p w14:paraId="48905834">
            <w:pPr>
              <w:pStyle w:val="347"/>
              <w:ind w:left="105"/>
              <w:jc w:val="both"/>
              <w:rPr>
                <w:rFonts w:hint="default" w:eastAsia="宋体"/>
                <w:color w:val="auto"/>
                <w:sz w:val="21"/>
                <w:highlight w:val="none"/>
                <w:lang w:val="en-US" w:eastAsia="zh-CN"/>
              </w:rPr>
            </w:pPr>
          </w:p>
        </w:tc>
        <w:tc>
          <w:tcPr>
            <w:tcW w:w="1091" w:type="dxa"/>
            <w:noWrap w:val="0"/>
            <w:vAlign w:val="center"/>
          </w:tcPr>
          <w:p w14:paraId="1C33C85B">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63052390">
            <w:pPr>
              <w:pStyle w:val="347"/>
              <w:ind w:left="105"/>
              <w:jc w:val="both"/>
              <w:rPr>
                <w:rFonts w:hint="default"/>
                <w:color w:val="auto"/>
                <w:sz w:val="21"/>
                <w:highlight w:val="none"/>
                <w:lang w:val="en-US" w:eastAsia="zh-CN"/>
              </w:rPr>
            </w:pPr>
          </w:p>
        </w:tc>
        <w:tc>
          <w:tcPr>
            <w:tcW w:w="1309" w:type="dxa"/>
            <w:noWrap w:val="0"/>
            <w:vAlign w:val="top"/>
          </w:tcPr>
          <w:p w14:paraId="64548B33">
            <w:pPr>
              <w:pStyle w:val="347"/>
              <w:ind w:left="105"/>
              <w:rPr>
                <w:color w:val="auto"/>
                <w:sz w:val="21"/>
                <w:highlight w:val="none"/>
              </w:rPr>
            </w:pPr>
          </w:p>
        </w:tc>
        <w:tc>
          <w:tcPr>
            <w:tcW w:w="1268" w:type="dxa"/>
            <w:noWrap w:val="0"/>
            <w:vAlign w:val="top"/>
          </w:tcPr>
          <w:p w14:paraId="51FCD3BE">
            <w:pPr>
              <w:pStyle w:val="347"/>
              <w:ind w:left="107"/>
              <w:rPr>
                <w:rFonts w:hint="default" w:eastAsia="宋体"/>
                <w:color w:val="auto"/>
                <w:sz w:val="21"/>
                <w:highlight w:val="none"/>
                <w:lang w:val="en-US" w:eastAsia="zh-CN"/>
              </w:rPr>
            </w:pPr>
          </w:p>
        </w:tc>
        <w:tc>
          <w:tcPr>
            <w:tcW w:w="1303" w:type="dxa"/>
            <w:noWrap w:val="0"/>
            <w:vAlign w:val="top"/>
          </w:tcPr>
          <w:p w14:paraId="1E4EAE0F">
            <w:pPr>
              <w:pStyle w:val="347"/>
              <w:ind w:left="108"/>
              <w:rPr>
                <w:rFonts w:hint="default" w:eastAsia="宋体"/>
                <w:color w:val="auto"/>
                <w:sz w:val="21"/>
                <w:highlight w:val="none"/>
                <w:lang w:val="en-US" w:eastAsia="zh-CN"/>
              </w:rPr>
            </w:pPr>
          </w:p>
        </w:tc>
      </w:tr>
      <w:tr w14:paraId="0E9F0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01283C47">
            <w:pPr>
              <w:pStyle w:val="347"/>
              <w:ind w:left="105"/>
              <w:rPr>
                <w:rFonts w:hint="default" w:eastAsia="宋体"/>
                <w:color w:val="auto"/>
                <w:sz w:val="21"/>
                <w:highlight w:val="none"/>
                <w:lang w:val="en-US" w:eastAsia="zh-CN"/>
              </w:rPr>
            </w:pPr>
          </w:p>
        </w:tc>
        <w:tc>
          <w:tcPr>
            <w:tcW w:w="1405" w:type="dxa"/>
            <w:noWrap w:val="0"/>
            <w:vAlign w:val="center"/>
          </w:tcPr>
          <w:p w14:paraId="017FB4A9">
            <w:pPr>
              <w:pStyle w:val="347"/>
              <w:ind w:left="105"/>
              <w:jc w:val="both"/>
              <w:rPr>
                <w:rFonts w:hint="default" w:eastAsia="宋体"/>
                <w:color w:val="auto"/>
                <w:sz w:val="21"/>
                <w:highlight w:val="none"/>
                <w:lang w:val="en-US" w:eastAsia="zh-CN"/>
              </w:rPr>
            </w:pPr>
          </w:p>
        </w:tc>
        <w:tc>
          <w:tcPr>
            <w:tcW w:w="1091" w:type="dxa"/>
            <w:noWrap w:val="0"/>
            <w:vAlign w:val="center"/>
          </w:tcPr>
          <w:p w14:paraId="6184063C">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109156CF">
            <w:pPr>
              <w:pStyle w:val="347"/>
              <w:ind w:left="105"/>
              <w:jc w:val="both"/>
              <w:rPr>
                <w:rFonts w:hint="default"/>
                <w:color w:val="auto"/>
                <w:sz w:val="21"/>
                <w:highlight w:val="none"/>
                <w:lang w:val="en-US" w:eastAsia="zh-CN"/>
              </w:rPr>
            </w:pPr>
          </w:p>
        </w:tc>
        <w:tc>
          <w:tcPr>
            <w:tcW w:w="1309" w:type="dxa"/>
            <w:noWrap w:val="0"/>
            <w:vAlign w:val="top"/>
          </w:tcPr>
          <w:p w14:paraId="7C96B60E">
            <w:pPr>
              <w:pStyle w:val="347"/>
              <w:ind w:left="105"/>
              <w:rPr>
                <w:color w:val="auto"/>
                <w:sz w:val="21"/>
                <w:highlight w:val="none"/>
              </w:rPr>
            </w:pPr>
          </w:p>
        </w:tc>
        <w:tc>
          <w:tcPr>
            <w:tcW w:w="1268" w:type="dxa"/>
            <w:noWrap w:val="0"/>
            <w:vAlign w:val="top"/>
          </w:tcPr>
          <w:p w14:paraId="26CB393C">
            <w:pPr>
              <w:pStyle w:val="347"/>
              <w:ind w:left="107"/>
              <w:rPr>
                <w:rFonts w:hint="default" w:eastAsia="宋体"/>
                <w:color w:val="auto"/>
                <w:sz w:val="21"/>
                <w:highlight w:val="none"/>
                <w:lang w:val="en-US" w:eastAsia="zh-CN"/>
              </w:rPr>
            </w:pPr>
          </w:p>
        </w:tc>
        <w:tc>
          <w:tcPr>
            <w:tcW w:w="1303" w:type="dxa"/>
            <w:noWrap w:val="0"/>
            <w:vAlign w:val="top"/>
          </w:tcPr>
          <w:p w14:paraId="33AEA525">
            <w:pPr>
              <w:pStyle w:val="347"/>
              <w:ind w:left="108"/>
              <w:rPr>
                <w:rFonts w:hint="default" w:eastAsia="宋体"/>
                <w:color w:val="auto"/>
                <w:sz w:val="21"/>
                <w:highlight w:val="none"/>
                <w:lang w:val="en-US" w:eastAsia="zh-CN"/>
              </w:rPr>
            </w:pPr>
          </w:p>
        </w:tc>
      </w:tr>
      <w:tr w14:paraId="78A31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786BF708">
            <w:pPr>
              <w:pStyle w:val="347"/>
              <w:ind w:left="105"/>
              <w:rPr>
                <w:rFonts w:hint="default" w:eastAsia="宋体"/>
                <w:color w:val="auto"/>
                <w:sz w:val="21"/>
                <w:highlight w:val="none"/>
                <w:lang w:val="en-US" w:eastAsia="zh-CN"/>
              </w:rPr>
            </w:pPr>
          </w:p>
        </w:tc>
        <w:tc>
          <w:tcPr>
            <w:tcW w:w="1405" w:type="dxa"/>
            <w:noWrap w:val="0"/>
            <w:vAlign w:val="center"/>
          </w:tcPr>
          <w:p w14:paraId="225D67E1">
            <w:pPr>
              <w:pStyle w:val="347"/>
              <w:ind w:left="105"/>
              <w:jc w:val="both"/>
              <w:rPr>
                <w:rFonts w:hint="default" w:eastAsia="宋体"/>
                <w:color w:val="auto"/>
                <w:sz w:val="21"/>
                <w:highlight w:val="none"/>
                <w:lang w:val="en-US" w:eastAsia="zh-CN"/>
              </w:rPr>
            </w:pPr>
          </w:p>
        </w:tc>
        <w:tc>
          <w:tcPr>
            <w:tcW w:w="1091" w:type="dxa"/>
            <w:noWrap w:val="0"/>
            <w:vAlign w:val="center"/>
          </w:tcPr>
          <w:p w14:paraId="21791168">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70B12C68">
            <w:pPr>
              <w:pStyle w:val="347"/>
              <w:ind w:left="105"/>
              <w:jc w:val="both"/>
              <w:rPr>
                <w:rFonts w:hint="default"/>
                <w:color w:val="auto"/>
                <w:sz w:val="21"/>
                <w:highlight w:val="none"/>
                <w:lang w:val="en-US" w:eastAsia="zh-CN"/>
              </w:rPr>
            </w:pPr>
          </w:p>
        </w:tc>
        <w:tc>
          <w:tcPr>
            <w:tcW w:w="1309" w:type="dxa"/>
            <w:noWrap w:val="0"/>
            <w:vAlign w:val="top"/>
          </w:tcPr>
          <w:p w14:paraId="07564191">
            <w:pPr>
              <w:pStyle w:val="347"/>
              <w:ind w:left="105"/>
              <w:rPr>
                <w:color w:val="auto"/>
                <w:sz w:val="21"/>
                <w:highlight w:val="none"/>
              </w:rPr>
            </w:pPr>
          </w:p>
        </w:tc>
        <w:tc>
          <w:tcPr>
            <w:tcW w:w="1268" w:type="dxa"/>
            <w:noWrap w:val="0"/>
            <w:vAlign w:val="top"/>
          </w:tcPr>
          <w:p w14:paraId="2DF27146">
            <w:pPr>
              <w:pStyle w:val="347"/>
              <w:ind w:left="107"/>
              <w:rPr>
                <w:rFonts w:hint="default" w:eastAsia="宋体"/>
                <w:color w:val="auto"/>
                <w:sz w:val="21"/>
                <w:highlight w:val="none"/>
                <w:lang w:val="en-US" w:eastAsia="zh-CN"/>
              </w:rPr>
            </w:pPr>
          </w:p>
        </w:tc>
        <w:tc>
          <w:tcPr>
            <w:tcW w:w="1303" w:type="dxa"/>
            <w:noWrap w:val="0"/>
            <w:vAlign w:val="top"/>
          </w:tcPr>
          <w:p w14:paraId="30CFAA6F">
            <w:pPr>
              <w:pStyle w:val="347"/>
              <w:ind w:left="108"/>
              <w:rPr>
                <w:rFonts w:hint="default" w:eastAsia="宋体"/>
                <w:color w:val="auto"/>
                <w:sz w:val="21"/>
                <w:highlight w:val="none"/>
                <w:lang w:val="en-US" w:eastAsia="zh-CN"/>
              </w:rPr>
            </w:pPr>
          </w:p>
        </w:tc>
      </w:tr>
      <w:tr w14:paraId="07145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746CE69E">
            <w:pPr>
              <w:pStyle w:val="347"/>
              <w:ind w:left="105"/>
              <w:rPr>
                <w:rFonts w:hint="default" w:eastAsia="宋体"/>
                <w:color w:val="auto"/>
                <w:sz w:val="21"/>
                <w:highlight w:val="none"/>
                <w:lang w:val="en-US" w:eastAsia="zh-CN"/>
              </w:rPr>
            </w:pPr>
          </w:p>
        </w:tc>
        <w:tc>
          <w:tcPr>
            <w:tcW w:w="1405" w:type="dxa"/>
            <w:noWrap w:val="0"/>
            <w:vAlign w:val="center"/>
          </w:tcPr>
          <w:p w14:paraId="162F4A60">
            <w:pPr>
              <w:pStyle w:val="347"/>
              <w:ind w:left="105"/>
              <w:jc w:val="both"/>
              <w:rPr>
                <w:rFonts w:hint="default" w:eastAsia="宋体"/>
                <w:color w:val="auto"/>
                <w:sz w:val="21"/>
                <w:highlight w:val="none"/>
                <w:lang w:val="en-US" w:eastAsia="zh-CN"/>
              </w:rPr>
            </w:pPr>
          </w:p>
        </w:tc>
        <w:tc>
          <w:tcPr>
            <w:tcW w:w="1091" w:type="dxa"/>
            <w:noWrap w:val="0"/>
            <w:vAlign w:val="center"/>
          </w:tcPr>
          <w:p w14:paraId="06424093">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41952233">
            <w:pPr>
              <w:pStyle w:val="347"/>
              <w:ind w:left="105"/>
              <w:jc w:val="both"/>
              <w:rPr>
                <w:rFonts w:hint="default"/>
                <w:color w:val="auto"/>
                <w:sz w:val="21"/>
                <w:highlight w:val="none"/>
                <w:lang w:val="en-US" w:eastAsia="zh-CN"/>
              </w:rPr>
            </w:pPr>
          </w:p>
        </w:tc>
        <w:tc>
          <w:tcPr>
            <w:tcW w:w="1309" w:type="dxa"/>
            <w:noWrap w:val="0"/>
            <w:vAlign w:val="top"/>
          </w:tcPr>
          <w:p w14:paraId="14C7C7D1">
            <w:pPr>
              <w:pStyle w:val="347"/>
              <w:ind w:left="105"/>
              <w:rPr>
                <w:color w:val="auto"/>
                <w:sz w:val="21"/>
                <w:highlight w:val="none"/>
              </w:rPr>
            </w:pPr>
          </w:p>
        </w:tc>
        <w:tc>
          <w:tcPr>
            <w:tcW w:w="1268" w:type="dxa"/>
            <w:noWrap w:val="0"/>
            <w:vAlign w:val="top"/>
          </w:tcPr>
          <w:p w14:paraId="19578266">
            <w:pPr>
              <w:pStyle w:val="347"/>
              <w:ind w:left="107"/>
              <w:rPr>
                <w:rFonts w:hint="default" w:eastAsia="宋体"/>
                <w:color w:val="auto"/>
                <w:sz w:val="21"/>
                <w:highlight w:val="none"/>
                <w:lang w:val="en-US" w:eastAsia="zh-CN"/>
              </w:rPr>
            </w:pPr>
          </w:p>
        </w:tc>
        <w:tc>
          <w:tcPr>
            <w:tcW w:w="1303" w:type="dxa"/>
            <w:noWrap w:val="0"/>
            <w:vAlign w:val="top"/>
          </w:tcPr>
          <w:p w14:paraId="3D0225F6">
            <w:pPr>
              <w:pStyle w:val="347"/>
              <w:ind w:left="108"/>
              <w:rPr>
                <w:rFonts w:hint="default" w:eastAsia="宋体"/>
                <w:color w:val="auto"/>
                <w:sz w:val="21"/>
                <w:highlight w:val="none"/>
                <w:lang w:val="en-US" w:eastAsia="zh-CN"/>
              </w:rPr>
            </w:pPr>
          </w:p>
        </w:tc>
      </w:tr>
      <w:tr w14:paraId="1363A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481A7381">
            <w:pPr>
              <w:pStyle w:val="347"/>
              <w:ind w:left="105"/>
              <w:rPr>
                <w:rFonts w:hint="default" w:eastAsia="宋体"/>
                <w:color w:val="auto"/>
                <w:sz w:val="21"/>
                <w:highlight w:val="none"/>
                <w:lang w:val="en-US" w:eastAsia="zh-CN"/>
              </w:rPr>
            </w:pPr>
          </w:p>
        </w:tc>
        <w:tc>
          <w:tcPr>
            <w:tcW w:w="1405" w:type="dxa"/>
            <w:noWrap w:val="0"/>
            <w:vAlign w:val="center"/>
          </w:tcPr>
          <w:p w14:paraId="1608AE84">
            <w:pPr>
              <w:pStyle w:val="347"/>
              <w:ind w:left="105"/>
              <w:jc w:val="both"/>
              <w:rPr>
                <w:rFonts w:hint="default" w:eastAsia="宋体"/>
                <w:color w:val="auto"/>
                <w:sz w:val="21"/>
                <w:highlight w:val="none"/>
                <w:lang w:val="en-US" w:eastAsia="zh-CN"/>
              </w:rPr>
            </w:pPr>
          </w:p>
        </w:tc>
        <w:tc>
          <w:tcPr>
            <w:tcW w:w="1091" w:type="dxa"/>
            <w:noWrap w:val="0"/>
            <w:vAlign w:val="center"/>
          </w:tcPr>
          <w:p w14:paraId="6D9A4615">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4655C251">
            <w:pPr>
              <w:pStyle w:val="347"/>
              <w:ind w:left="105"/>
              <w:jc w:val="both"/>
              <w:rPr>
                <w:rFonts w:hint="default"/>
                <w:color w:val="auto"/>
                <w:sz w:val="21"/>
                <w:highlight w:val="none"/>
                <w:lang w:val="en-US" w:eastAsia="zh-CN"/>
              </w:rPr>
            </w:pPr>
          </w:p>
        </w:tc>
        <w:tc>
          <w:tcPr>
            <w:tcW w:w="1309" w:type="dxa"/>
            <w:noWrap w:val="0"/>
            <w:vAlign w:val="top"/>
          </w:tcPr>
          <w:p w14:paraId="6A9CDA84">
            <w:pPr>
              <w:pStyle w:val="347"/>
              <w:ind w:left="105"/>
              <w:rPr>
                <w:color w:val="auto"/>
                <w:sz w:val="21"/>
                <w:highlight w:val="none"/>
              </w:rPr>
            </w:pPr>
          </w:p>
        </w:tc>
        <w:tc>
          <w:tcPr>
            <w:tcW w:w="1268" w:type="dxa"/>
            <w:noWrap w:val="0"/>
            <w:vAlign w:val="top"/>
          </w:tcPr>
          <w:p w14:paraId="47141D31">
            <w:pPr>
              <w:pStyle w:val="347"/>
              <w:ind w:left="107"/>
              <w:rPr>
                <w:rFonts w:hint="default" w:eastAsia="宋体"/>
                <w:color w:val="auto"/>
                <w:sz w:val="21"/>
                <w:highlight w:val="none"/>
                <w:lang w:val="en-US" w:eastAsia="zh-CN"/>
              </w:rPr>
            </w:pPr>
          </w:p>
        </w:tc>
        <w:tc>
          <w:tcPr>
            <w:tcW w:w="1303" w:type="dxa"/>
            <w:noWrap w:val="0"/>
            <w:vAlign w:val="top"/>
          </w:tcPr>
          <w:p w14:paraId="7B68EAE0">
            <w:pPr>
              <w:pStyle w:val="347"/>
              <w:ind w:left="108"/>
              <w:rPr>
                <w:rFonts w:hint="default" w:eastAsia="宋体"/>
                <w:color w:val="auto"/>
                <w:sz w:val="21"/>
                <w:highlight w:val="none"/>
                <w:lang w:val="en-US" w:eastAsia="zh-CN"/>
              </w:rPr>
            </w:pPr>
          </w:p>
        </w:tc>
      </w:tr>
      <w:tr w14:paraId="11AF0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2DD5784D">
            <w:pPr>
              <w:pStyle w:val="347"/>
              <w:ind w:left="105"/>
              <w:rPr>
                <w:rFonts w:hint="default" w:eastAsia="宋体"/>
                <w:color w:val="auto"/>
                <w:sz w:val="21"/>
                <w:highlight w:val="none"/>
                <w:lang w:val="en-US" w:eastAsia="zh-CN"/>
              </w:rPr>
            </w:pPr>
          </w:p>
        </w:tc>
        <w:tc>
          <w:tcPr>
            <w:tcW w:w="1405" w:type="dxa"/>
            <w:noWrap w:val="0"/>
            <w:vAlign w:val="center"/>
          </w:tcPr>
          <w:p w14:paraId="79A67683">
            <w:pPr>
              <w:pStyle w:val="347"/>
              <w:ind w:left="105"/>
              <w:jc w:val="both"/>
              <w:rPr>
                <w:rFonts w:hint="default" w:eastAsia="宋体"/>
                <w:color w:val="auto"/>
                <w:sz w:val="21"/>
                <w:highlight w:val="none"/>
                <w:lang w:val="en-US" w:eastAsia="zh-CN"/>
              </w:rPr>
            </w:pPr>
          </w:p>
        </w:tc>
        <w:tc>
          <w:tcPr>
            <w:tcW w:w="1091" w:type="dxa"/>
            <w:noWrap w:val="0"/>
            <w:vAlign w:val="center"/>
          </w:tcPr>
          <w:p w14:paraId="34810324">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39F3314B">
            <w:pPr>
              <w:pStyle w:val="347"/>
              <w:ind w:left="105"/>
              <w:jc w:val="both"/>
              <w:rPr>
                <w:rFonts w:hint="default"/>
                <w:color w:val="auto"/>
                <w:sz w:val="21"/>
                <w:highlight w:val="none"/>
                <w:lang w:val="en-US" w:eastAsia="zh-CN"/>
              </w:rPr>
            </w:pPr>
          </w:p>
        </w:tc>
        <w:tc>
          <w:tcPr>
            <w:tcW w:w="1309" w:type="dxa"/>
            <w:noWrap w:val="0"/>
            <w:vAlign w:val="top"/>
          </w:tcPr>
          <w:p w14:paraId="3F28DAB3">
            <w:pPr>
              <w:pStyle w:val="347"/>
              <w:ind w:left="105"/>
              <w:rPr>
                <w:color w:val="auto"/>
                <w:sz w:val="21"/>
                <w:highlight w:val="none"/>
              </w:rPr>
            </w:pPr>
          </w:p>
        </w:tc>
        <w:tc>
          <w:tcPr>
            <w:tcW w:w="1268" w:type="dxa"/>
            <w:noWrap w:val="0"/>
            <w:vAlign w:val="top"/>
          </w:tcPr>
          <w:p w14:paraId="25F7D252">
            <w:pPr>
              <w:pStyle w:val="347"/>
              <w:ind w:left="107"/>
              <w:rPr>
                <w:rFonts w:hint="default" w:eastAsia="宋体"/>
                <w:color w:val="auto"/>
                <w:sz w:val="21"/>
                <w:highlight w:val="none"/>
                <w:lang w:val="en-US" w:eastAsia="zh-CN"/>
              </w:rPr>
            </w:pPr>
          </w:p>
        </w:tc>
        <w:tc>
          <w:tcPr>
            <w:tcW w:w="1303" w:type="dxa"/>
            <w:noWrap w:val="0"/>
            <w:vAlign w:val="top"/>
          </w:tcPr>
          <w:p w14:paraId="4440D192">
            <w:pPr>
              <w:pStyle w:val="347"/>
              <w:ind w:left="108"/>
              <w:rPr>
                <w:rFonts w:hint="default" w:eastAsia="宋体"/>
                <w:color w:val="auto"/>
                <w:sz w:val="21"/>
                <w:highlight w:val="none"/>
                <w:lang w:val="en-US" w:eastAsia="zh-CN"/>
              </w:rPr>
            </w:pPr>
          </w:p>
        </w:tc>
      </w:tr>
      <w:tr w14:paraId="49047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4EBC446D">
            <w:pPr>
              <w:pStyle w:val="347"/>
              <w:ind w:left="105"/>
              <w:rPr>
                <w:rFonts w:hint="default" w:eastAsia="宋体"/>
                <w:color w:val="auto"/>
                <w:sz w:val="21"/>
                <w:highlight w:val="none"/>
                <w:lang w:val="en-US" w:eastAsia="zh-CN"/>
              </w:rPr>
            </w:pPr>
          </w:p>
        </w:tc>
        <w:tc>
          <w:tcPr>
            <w:tcW w:w="1405" w:type="dxa"/>
            <w:noWrap w:val="0"/>
            <w:vAlign w:val="center"/>
          </w:tcPr>
          <w:p w14:paraId="7FFECE5E">
            <w:pPr>
              <w:pStyle w:val="347"/>
              <w:ind w:left="105"/>
              <w:jc w:val="both"/>
              <w:rPr>
                <w:rFonts w:hint="default" w:eastAsia="宋体"/>
                <w:color w:val="auto"/>
                <w:sz w:val="21"/>
                <w:highlight w:val="none"/>
                <w:lang w:val="en-US" w:eastAsia="zh-CN"/>
              </w:rPr>
            </w:pPr>
          </w:p>
        </w:tc>
        <w:tc>
          <w:tcPr>
            <w:tcW w:w="1091" w:type="dxa"/>
            <w:noWrap w:val="0"/>
            <w:vAlign w:val="center"/>
          </w:tcPr>
          <w:p w14:paraId="5D0EB424">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25AECBD0">
            <w:pPr>
              <w:pStyle w:val="347"/>
              <w:ind w:left="105"/>
              <w:jc w:val="both"/>
              <w:rPr>
                <w:rFonts w:hint="default"/>
                <w:color w:val="auto"/>
                <w:sz w:val="21"/>
                <w:highlight w:val="none"/>
                <w:lang w:val="en-US" w:eastAsia="zh-CN"/>
              </w:rPr>
            </w:pPr>
          </w:p>
        </w:tc>
        <w:tc>
          <w:tcPr>
            <w:tcW w:w="1309" w:type="dxa"/>
            <w:noWrap w:val="0"/>
            <w:vAlign w:val="top"/>
          </w:tcPr>
          <w:p w14:paraId="5BEB7AB7">
            <w:pPr>
              <w:pStyle w:val="347"/>
              <w:ind w:left="105"/>
              <w:rPr>
                <w:color w:val="auto"/>
                <w:sz w:val="21"/>
                <w:highlight w:val="none"/>
              </w:rPr>
            </w:pPr>
          </w:p>
        </w:tc>
        <w:tc>
          <w:tcPr>
            <w:tcW w:w="1268" w:type="dxa"/>
            <w:noWrap w:val="0"/>
            <w:vAlign w:val="top"/>
          </w:tcPr>
          <w:p w14:paraId="1F7346CE">
            <w:pPr>
              <w:pStyle w:val="347"/>
              <w:ind w:left="107"/>
              <w:rPr>
                <w:rFonts w:hint="default" w:eastAsia="宋体"/>
                <w:color w:val="auto"/>
                <w:sz w:val="21"/>
                <w:highlight w:val="none"/>
                <w:lang w:val="en-US" w:eastAsia="zh-CN"/>
              </w:rPr>
            </w:pPr>
          </w:p>
        </w:tc>
        <w:tc>
          <w:tcPr>
            <w:tcW w:w="1303" w:type="dxa"/>
            <w:noWrap w:val="0"/>
            <w:vAlign w:val="top"/>
          </w:tcPr>
          <w:p w14:paraId="15F579B3">
            <w:pPr>
              <w:pStyle w:val="347"/>
              <w:ind w:left="108"/>
              <w:rPr>
                <w:rFonts w:hint="default" w:eastAsia="宋体"/>
                <w:color w:val="auto"/>
                <w:sz w:val="21"/>
                <w:highlight w:val="none"/>
                <w:lang w:val="en-US" w:eastAsia="zh-CN"/>
              </w:rPr>
            </w:pPr>
          </w:p>
        </w:tc>
      </w:tr>
      <w:tr w14:paraId="39988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47BFE35A">
            <w:pPr>
              <w:pStyle w:val="347"/>
              <w:ind w:left="105"/>
              <w:rPr>
                <w:rFonts w:hint="default" w:eastAsia="宋体"/>
                <w:color w:val="auto"/>
                <w:sz w:val="21"/>
                <w:highlight w:val="none"/>
                <w:lang w:val="en-US" w:eastAsia="zh-CN"/>
              </w:rPr>
            </w:pPr>
          </w:p>
        </w:tc>
        <w:tc>
          <w:tcPr>
            <w:tcW w:w="1405" w:type="dxa"/>
            <w:noWrap w:val="0"/>
            <w:vAlign w:val="center"/>
          </w:tcPr>
          <w:p w14:paraId="60C980EE">
            <w:pPr>
              <w:pStyle w:val="347"/>
              <w:ind w:left="105"/>
              <w:jc w:val="both"/>
              <w:rPr>
                <w:rFonts w:hint="default" w:eastAsia="宋体"/>
                <w:color w:val="auto"/>
                <w:sz w:val="21"/>
                <w:highlight w:val="none"/>
                <w:lang w:val="en-US" w:eastAsia="zh-CN"/>
              </w:rPr>
            </w:pPr>
          </w:p>
        </w:tc>
        <w:tc>
          <w:tcPr>
            <w:tcW w:w="1091" w:type="dxa"/>
            <w:noWrap w:val="0"/>
            <w:vAlign w:val="center"/>
          </w:tcPr>
          <w:p w14:paraId="4515B1B8">
            <w:pPr>
              <w:pStyle w:val="347"/>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68736E70">
            <w:pPr>
              <w:pStyle w:val="347"/>
              <w:ind w:left="105"/>
              <w:jc w:val="both"/>
              <w:rPr>
                <w:rFonts w:hint="default"/>
                <w:color w:val="auto"/>
                <w:sz w:val="21"/>
                <w:highlight w:val="none"/>
                <w:lang w:val="en-US" w:eastAsia="zh-CN"/>
              </w:rPr>
            </w:pPr>
          </w:p>
        </w:tc>
        <w:tc>
          <w:tcPr>
            <w:tcW w:w="1309" w:type="dxa"/>
            <w:noWrap w:val="0"/>
            <w:vAlign w:val="top"/>
          </w:tcPr>
          <w:p w14:paraId="1E7F19F2">
            <w:pPr>
              <w:pStyle w:val="347"/>
              <w:ind w:left="105"/>
              <w:rPr>
                <w:color w:val="auto"/>
                <w:sz w:val="21"/>
                <w:highlight w:val="none"/>
              </w:rPr>
            </w:pPr>
          </w:p>
        </w:tc>
        <w:tc>
          <w:tcPr>
            <w:tcW w:w="1268" w:type="dxa"/>
            <w:noWrap w:val="0"/>
            <w:vAlign w:val="top"/>
          </w:tcPr>
          <w:p w14:paraId="464CDB5D">
            <w:pPr>
              <w:pStyle w:val="347"/>
              <w:ind w:left="107"/>
              <w:rPr>
                <w:rFonts w:hint="default" w:eastAsia="宋体"/>
                <w:color w:val="auto"/>
                <w:sz w:val="21"/>
                <w:highlight w:val="none"/>
                <w:lang w:val="en-US" w:eastAsia="zh-CN"/>
              </w:rPr>
            </w:pPr>
          </w:p>
        </w:tc>
        <w:tc>
          <w:tcPr>
            <w:tcW w:w="1303" w:type="dxa"/>
            <w:noWrap w:val="0"/>
            <w:vAlign w:val="top"/>
          </w:tcPr>
          <w:p w14:paraId="2B15807D">
            <w:pPr>
              <w:pStyle w:val="347"/>
              <w:ind w:left="108"/>
              <w:rPr>
                <w:rFonts w:hint="default" w:eastAsia="宋体"/>
                <w:color w:val="auto"/>
                <w:sz w:val="21"/>
                <w:highlight w:val="none"/>
                <w:lang w:val="en-US" w:eastAsia="zh-CN"/>
              </w:rPr>
            </w:pPr>
          </w:p>
        </w:tc>
      </w:tr>
      <w:tr w14:paraId="737E7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6A95F62E">
            <w:pPr>
              <w:pStyle w:val="347"/>
              <w:spacing w:before="1"/>
              <w:ind w:left="105"/>
              <w:rPr>
                <w:color w:val="auto"/>
                <w:sz w:val="21"/>
                <w:highlight w:val="none"/>
              </w:rPr>
            </w:pPr>
          </w:p>
        </w:tc>
        <w:tc>
          <w:tcPr>
            <w:tcW w:w="1405" w:type="dxa"/>
            <w:noWrap w:val="0"/>
            <w:vAlign w:val="center"/>
          </w:tcPr>
          <w:p w14:paraId="384A8FB4">
            <w:pPr>
              <w:pStyle w:val="347"/>
              <w:spacing w:before="1"/>
              <w:ind w:left="105"/>
              <w:jc w:val="both"/>
              <w:rPr>
                <w:rFonts w:hint="default" w:eastAsia="宋体"/>
                <w:color w:val="auto"/>
                <w:sz w:val="21"/>
                <w:highlight w:val="none"/>
                <w:lang w:val="en-US" w:eastAsia="zh-CN"/>
              </w:rPr>
            </w:pPr>
          </w:p>
        </w:tc>
        <w:tc>
          <w:tcPr>
            <w:tcW w:w="1091" w:type="dxa"/>
            <w:noWrap w:val="0"/>
            <w:vAlign w:val="center"/>
          </w:tcPr>
          <w:p w14:paraId="5D6D389F">
            <w:pPr>
              <w:pStyle w:val="347"/>
              <w:spacing w:before="1"/>
              <w:ind w:left="108" w:leftChars="0" w:right="0" w:rightChars="0"/>
              <w:jc w:val="both"/>
              <w:rPr>
                <w:rFonts w:hint="eastAsia" w:ascii="Times New Roman" w:hAnsi="Times New Roman" w:eastAsia="宋体" w:cs="Times New Roman"/>
                <w:color w:val="auto"/>
                <w:kern w:val="2"/>
                <w:sz w:val="21"/>
                <w:szCs w:val="24"/>
                <w:highlight w:val="none"/>
                <w:lang w:val="en-US" w:eastAsia="zh-CN" w:bidi="ar-SA"/>
              </w:rPr>
            </w:pPr>
          </w:p>
        </w:tc>
        <w:tc>
          <w:tcPr>
            <w:tcW w:w="1445" w:type="dxa"/>
            <w:noWrap w:val="0"/>
            <w:vAlign w:val="center"/>
          </w:tcPr>
          <w:p w14:paraId="01B1D81C">
            <w:pPr>
              <w:pStyle w:val="347"/>
              <w:spacing w:before="1"/>
              <w:ind w:left="105"/>
              <w:jc w:val="both"/>
              <w:rPr>
                <w:rFonts w:hint="default"/>
                <w:color w:val="auto"/>
                <w:sz w:val="21"/>
                <w:highlight w:val="none"/>
                <w:lang w:val="en-US" w:eastAsia="zh-CN"/>
              </w:rPr>
            </w:pPr>
          </w:p>
        </w:tc>
        <w:tc>
          <w:tcPr>
            <w:tcW w:w="1309" w:type="dxa"/>
            <w:noWrap w:val="0"/>
            <w:vAlign w:val="top"/>
          </w:tcPr>
          <w:p w14:paraId="2C918A8D">
            <w:pPr>
              <w:pStyle w:val="347"/>
              <w:spacing w:before="1"/>
              <w:ind w:left="105"/>
              <w:rPr>
                <w:color w:val="auto"/>
                <w:sz w:val="21"/>
                <w:highlight w:val="none"/>
              </w:rPr>
            </w:pPr>
          </w:p>
        </w:tc>
        <w:tc>
          <w:tcPr>
            <w:tcW w:w="1268" w:type="dxa"/>
            <w:noWrap w:val="0"/>
            <w:vAlign w:val="top"/>
          </w:tcPr>
          <w:p w14:paraId="196440C1">
            <w:pPr>
              <w:pStyle w:val="347"/>
              <w:spacing w:before="1"/>
              <w:ind w:left="107"/>
              <w:rPr>
                <w:rFonts w:hint="default" w:eastAsia="宋体"/>
                <w:color w:val="auto"/>
                <w:sz w:val="21"/>
                <w:highlight w:val="none"/>
                <w:lang w:val="en-US" w:eastAsia="zh-CN"/>
              </w:rPr>
            </w:pPr>
          </w:p>
        </w:tc>
        <w:tc>
          <w:tcPr>
            <w:tcW w:w="1303" w:type="dxa"/>
            <w:noWrap w:val="0"/>
            <w:vAlign w:val="top"/>
          </w:tcPr>
          <w:p w14:paraId="1E423030">
            <w:pPr>
              <w:pStyle w:val="347"/>
              <w:spacing w:before="1"/>
              <w:ind w:left="108"/>
              <w:rPr>
                <w:rFonts w:hint="default" w:eastAsia="宋体"/>
                <w:color w:val="auto"/>
                <w:sz w:val="21"/>
                <w:highlight w:val="none"/>
                <w:lang w:val="en-US" w:eastAsia="zh-CN"/>
              </w:rPr>
            </w:pPr>
          </w:p>
        </w:tc>
      </w:tr>
      <w:tr w14:paraId="2C2D2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34F1DB63">
            <w:pPr>
              <w:pStyle w:val="347"/>
              <w:spacing w:before="1"/>
              <w:ind w:left="105"/>
              <w:rPr>
                <w:color w:val="auto"/>
                <w:sz w:val="21"/>
                <w:highlight w:val="none"/>
              </w:rPr>
            </w:pPr>
          </w:p>
        </w:tc>
        <w:tc>
          <w:tcPr>
            <w:tcW w:w="1405" w:type="dxa"/>
            <w:noWrap w:val="0"/>
            <w:vAlign w:val="top"/>
          </w:tcPr>
          <w:p w14:paraId="2805F8B0">
            <w:pPr>
              <w:pStyle w:val="347"/>
              <w:spacing w:before="1"/>
              <w:ind w:left="105"/>
              <w:rPr>
                <w:color w:val="auto"/>
                <w:sz w:val="21"/>
                <w:highlight w:val="none"/>
              </w:rPr>
            </w:pPr>
          </w:p>
        </w:tc>
        <w:tc>
          <w:tcPr>
            <w:tcW w:w="1091" w:type="dxa"/>
            <w:noWrap w:val="0"/>
            <w:vAlign w:val="top"/>
          </w:tcPr>
          <w:p w14:paraId="66D14A3E">
            <w:pPr>
              <w:pStyle w:val="347"/>
              <w:spacing w:before="1"/>
              <w:ind w:left="105"/>
              <w:rPr>
                <w:color w:val="auto"/>
                <w:sz w:val="21"/>
                <w:highlight w:val="none"/>
              </w:rPr>
            </w:pPr>
          </w:p>
        </w:tc>
        <w:tc>
          <w:tcPr>
            <w:tcW w:w="1445" w:type="dxa"/>
            <w:noWrap w:val="0"/>
            <w:vAlign w:val="top"/>
          </w:tcPr>
          <w:p w14:paraId="1C895C0E">
            <w:pPr>
              <w:pStyle w:val="347"/>
              <w:spacing w:before="1"/>
              <w:ind w:left="105"/>
              <w:rPr>
                <w:color w:val="auto"/>
                <w:sz w:val="21"/>
                <w:highlight w:val="none"/>
              </w:rPr>
            </w:pPr>
          </w:p>
        </w:tc>
        <w:tc>
          <w:tcPr>
            <w:tcW w:w="1309" w:type="dxa"/>
            <w:noWrap w:val="0"/>
            <w:vAlign w:val="top"/>
          </w:tcPr>
          <w:p w14:paraId="1CFB85AA">
            <w:pPr>
              <w:pStyle w:val="347"/>
              <w:spacing w:before="1"/>
              <w:ind w:left="105"/>
              <w:rPr>
                <w:color w:val="auto"/>
                <w:sz w:val="21"/>
                <w:highlight w:val="none"/>
              </w:rPr>
            </w:pPr>
          </w:p>
        </w:tc>
        <w:tc>
          <w:tcPr>
            <w:tcW w:w="1268" w:type="dxa"/>
            <w:noWrap w:val="0"/>
            <w:vAlign w:val="top"/>
          </w:tcPr>
          <w:p w14:paraId="229383D9">
            <w:pPr>
              <w:pStyle w:val="347"/>
              <w:spacing w:before="1"/>
              <w:ind w:left="107"/>
              <w:rPr>
                <w:color w:val="auto"/>
                <w:sz w:val="21"/>
                <w:highlight w:val="none"/>
              </w:rPr>
            </w:pPr>
          </w:p>
        </w:tc>
        <w:tc>
          <w:tcPr>
            <w:tcW w:w="1303" w:type="dxa"/>
            <w:noWrap w:val="0"/>
            <w:vAlign w:val="top"/>
          </w:tcPr>
          <w:p w14:paraId="46A73479">
            <w:pPr>
              <w:pStyle w:val="347"/>
              <w:spacing w:before="1"/>
              <w:ind w:left="108"/>
              <w:rPr>
                <w:color w:val="auto"/>
                <w:sz w:val="21"/>
                <w:highlight w:val="none"/>
              </w:rPr>
            </w:pPr>
          </w:p>
        </w:tc>
      </w:tr>
      <w:tr w14:paraId="756D5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exact"/>
        </w:trPr>
        <w:tc>
          <w:tcPr>
            <w:tcW w:w="1227" w:type="dxa"/>
            <w:noWrap w:val="0"/>
            <w:vAlign w:val="top"/>
          </w:tcPr>
          <w:p w14:paraId="369BB438">
            <w:pPr>
              <w:pStyle w:val="347"/>
              <w:rPr>
                <w:rFonts w:ascii="黑体"/>
                <w:color w:val="auto"/>
                <w:sz w:val="20"/>
                <w:highlight w:val="none"/>
              </w:rPr>
            </w:pPr>
          </w:p>
          <w:p w14:paraId="638A3191">
            <w:pPr>
              <w:pStyle w:val="347"/>
              <w:spacing w:before="6"/>
              <w:rPr>
                <w:rFonts w:ascii="黑体"/>
                <w:color w:val="auto"/>
                <w:sz w:val="17"/>
                <w:highlight w:val="none"/>
              </w:rPr>
            </w:pPr>
          </w:p>
          <w:p w14:paraId="443CC9A1">
            <w:pPr>
              <w:pStyle w:val="347"/>
              <w:spacing w:before="1"/>
              <w:ind w:left="105"/>
              <w:rPr>
                <w:color w:val="auto"/>
                <w:sz w:val="21"/>
                <w:highlight w:val="none"/>
              </w:rPr>
            </w:pPr>
            <w:r>
              <w:rPr>
                <w:color w:val="auto"/>
                <w:sz w:val="21"/>
                <w:highlight w:val="none"/>
              </w:rPr>
              <w:t xml:space="preserve"> </w:t>
            </w:r>
          </w:p>
        </w:tc>
        <w:tc>
          <w:tcPr>
            <w:tcW w:w="1405" w:type="dxa"/>
            <w:noWrap w:val="0"/>
            <w:vAlign w:val="top"/>
          </w:tcPr>
          <w:p w14:paraId="1CACCF50">
            <w:pPr>
              <w:pStyle w:val="347"/>
              <w:rPr>
                <w:rFonts w:ascii="黑体"/>
                <w:color w:val="auto"/>
                <w:sz w:val="20"/>
                <w:highlight w:val="none"/>
              </w:rPr>
            </w:pPr>
          </w:p>
          <w:p w14:paraId="78EC5BA4">
            <w:pPr>
              <w:pStyle w:val="347"/>
              <w:spacing w:before="6"/>
              <w:rPr>
                <w:rFonts w:ascii="黑体"/>
                <w:color w:val="auto"/>
                <w:sz w:val="17"/>
                <w:highlight w:val="none"/>
              </w:rPr>
            </w:pPr>
          </w:p>
          <w:p w14:paraId="46121923">
            <w:pPr>
              <w:pStyle w:val="347"/>
              <w:spacing w:before="1"/>
              <w:ind w:left="105"/>
              <w:rPr>
                <w:color w:val="auto"/>
                <w:sz w:val="21"/>
                <w:highlight w:val="none"/>
              </w:rPr>
            </w:pPr>
            <w:r>
              <w:rPr>
                <w:color w:val="auto"/>
                <w:sz w:val="21"/>
                <w:highlight w:val="none"/>
              </w:rPr>
              <w:t xml:space="preserve"> </w:t>
            </w:r>
          </w:p>
        </w:tc>
        <w:tc>
          <w:tcPr>
            <w:tcW w:w="1091" w:type="dxa"/>
            <w:noWrap w:val="0"/>
            <w:vAlign w:val="top"/>
          </w:tcPr>
          <w:p w14:paraId="1292DE4B">
            <w:pPr>
              <w:pStyle w:val="347"/>
              <w:spacing w:before="1"/>
              <w:ind w:left="105"/>
              <w:rPr>
                <w:color w:val="auto"/>
                <w:sz w:val="21"/>
                <w:highlight w:val="none"/>
              </w:rPr>
            </w:pPr>
          </w:p>
        </w:tc>
        <w:tc>
          <w:tcPr>
            <w:tcW w:w="1445" w:type="dxa"/>
            <w:noWrap w:val="0"/>
            <w:vAlign w:val="top"/>
          </w:tcPr>
          <w:p w14:paraId="592EBDD3">
            <w:pPr>
              <w:pStyle w:val="347"/>
              <w:spacing w:before="1"/>
              <w:ind w:left="105"/>
              <w:rPr>
                <w:color w:val="auto"/>
                <w:sz w:val="21"/>
                <w:highlight w:val="none"/>
              </w:rPr>
            </w:pPr>
          </w:p>
        </w:tc>
        <w:tc>
          <w:tcPr>
            <w:tcW w:w="1309" w:type="dxa"/>
            <w:noWrap w:val="0"/>
            <w:vAlign w:val="top"/>
          </w:tcPr>
          <w:p w14:paraId="5AF3C538">
            <w:pPr>
              <w:pStyle w:val="347"/>
              <w:rPr>
                <w:rFonts w:ascii="黑体"/>
                <w:color w:val="auto"/>
                <w:sz w:val="20"/>
                <w:highlight w:val="none"/>
              </w:rPr>
            </w:pPr>
          </w:p>
          <w:p w14:paraId="53EB7C0B">
            <w:pPr>
              <w:pStyle w:val="347"/>
              <w:spacing w:before="6"/>
              <w:rPr>
                <w:rFonts w:ascii="黑体"/>
                <w:color w:val="auto"/>
                <w:sz w:val="17"/>
                <w:highlight w:val="none"/>
              </w:rPr>
            </w:pPr>
          </w:p>
          <w:p w14:paraId="72F98197">
            <w:pPr>
              <w:pStyle w:val="347"/>
              <w:spacing w:before="1"/>
              <w:ind w:left="105"/>
              <w:rPr>
                <w:color w:val="auto"/>
                <w:sz w:val="21"/>
                <w:highlight w:val="none"/>
              </w:rPr>
            </w:pPr>
            <w:r>
              <w:rPr>
                <w:color w:val="auto"/>
                <w:sz w:val="21"/>
                <w:highlight w:val="none"/>
              </w:rPr>
              <w:t xml:space="preserve"> </w:t>
            </w:r>
          </w:p>
        </w:tc>
        <w:tc>
          <w:tcPr>
            <w:tcW w:w="1268" w:type="dxa"/>
            <w:noWrap w:val="0"/>
            <w:vAlign w:val="top"/>
          </w:tcPr>
          <w:p w14:paraId="755BEA41">
            <w:pPr>
              <w:pStyle w:val="347"/>
              <w:rPr>
                <w:rFonts w:ascii="黑体"/>
                <w:color w:val="auto"/>
                <w:sz w:val="20"/>
                <w:highlight w:val="none"/>
              </w:rPr>
            </w:pPr>
          </w:p>
          <w:p w14:paraId="46FF235B">
            <w:pPr>
              <w:pStyle w:val="347"/>
              <w:spacing w:before="6"/>
              <w:rPr>
                <w:rFonts w:ascii="黑体"/>
                <w:color w:val="auto"/>
                <w:sz w:val="17"/>
                <w:highlight w:val="none"/>
              </w:rPr>
            </w:pPr>
          </w:p>
          <w:p w14:paraId="209D2EB5">
            <w:pPr>
              <w:pStyle w:val="347"/>
              <w:spacing w:before="1"/>
              <w:ind w:left="107"/>
              <w:rPr>
                <w:color w:val="auto"/>
                <w:sz w:val="21"/>
                <w:highlight w:val="none"/>
              </w:rPr>
            </w:pPr>
            <w:r>
              <w:rPr>
                <w:color w:val="auto"/>
                <w:sz w:val="21"/>
                <w:highlight w:val="none"/>
              </w:rPr>
              <w:t xml:space="preserve"> </w:t>
            </w:r>
          </w:p>
        </w:tc>
        <w:tc>
          <w:tcPr>
            <w:tcW w:w="1303" w:type="dxa"/>
            <w:noWrap w:val="0"/>
            <w:vAlign w:val="top"/>
          </w:tcPr>
          <w:p w14:paraId="763B4D09">
            <w:pPr>
              <w:pStyle w:val="347"/>
              <w:rPr>
                <w:rFonts w:ascii="黑体"/>
                <w:color w:val="auto"/>
                <w:sz w:val="20"/>
                <w:highlight w:val="none"/>
              </w:rPr>
            </w:pPr>
          </w:p>
          <w:p w14:paraId="3813D73D">
            <w:pPr>
              <w:pStyle w:val="347"/>
              <w:spacing w:before="6"/>
              <w:rPr>
                <w:rFonts w:ascii="黑体"/>
                <w:color w:val="auto"/>
                <w:sz w:val="17"/>
                <w:highlight w:val="none"/>
              </w:rPr>
            </w:pPr>
          </w:p>
          <w:p w14:paraId="004C5580">
            <w:pPr>
              <w:pStyle w:val="347"/>
              <w:spacing w:before="1"/>
              <w:ind w:left="108"/>
              <w:rPr>
                <w:color w:val="auto"/>
                <w:sz w:val="21"/>
                <w:highlight w:val="none"/>
              </w:rPr>
            </w:pPr>
            <w:r>
              <w:rPr>
                <w:color w:val="auto"/>
                <w:sz w:val="21"/>
                <w:highlight w:val="none"/>
              </w:rPr>
              <w:t xml:space="preserve"> </w:t>
            </w:r>
          </w:p>
        </w:tc>
      </w:tr>
    </w:tbl>
    <w:p w14:paraId="5EE98E25">
      <w:pPr>
        <w:ind w:firstLine="200" w:firstLineChars="100"/>
        <w:rPr>
          <w:rFonts w:hint="eastAsia" w:ascii="宋体" w:hAnsi="宋体"/>
          <w:color w:val="auto"/>
          <w:sz w:val="20"/>
          <w:szCs w:val="20"/>
          <w:highlight w:val="none"/>
        </w:rPr>
      </w:pPr>
      <w:r>
        <w:rPr>
          <w:rFonts w:hint="eastAsia" w:ascii="宋体" w:hAnsi="宋体"/>
          <w:color w:val="auto"/>
          <w:sz w:val="20"/>
          <w:szCs w:val="20"/>
          <w:highlight w:val="none"/>
        </w:rPr>
        <w:t>注：</w:t>
      </w:r>
      <w:r>
        <w:rPr>
          <w:rFonts w:hint="eastAsia" w:ascii="宋体" w:hAnsi="宋体"/>
          <w:color w:val="auto"/>
          <w:sz w:val="20"/>
          <w:szCs w:val="20"/>
          <w:highlight w:val="none"/>
          <w:lang w:val="en-US" w:eastAsia="zh-CN"/>
        </w:rPr>
        <w:t>1.</w:t>
      </w:r>
      <w:r>
        <w:rPr>
          <w:rFonts w:hint="eastAsia" w:ascii="宋体" w:hAnsi="宋体"/>
          <w:color w:val="auto"/>
          <w:sz w:val="20"/>
          <w:szCs w:val="20"/>
          <w:highlight w:val="none"/>
        </w:rPr>
        <w:t>此表由招标人填写除“投标单价”栏的内容</w:t>
      </w:r>
      <w:r>
        <w:rPr>
          <w:rFonts w:hint="eastAsia" w:ascii="宋体" w:hAnsi="宋体"/>
          <w:color w:val="auto"/>
          <w:sz w:val="20"/>
          <w:szCs w:val="20"/>
          <w:highlight w:val="none"/>
          <w:lang w:eastAsia="zh-CN"/>
        </w:rPr>
        <w:t>，</w:t>
      </w:r>
      <w:r>
        <w:rPr>
          <w:rFonts w:hint="eastAsia" w:ascii="宋体" w:hAnsi="宋体"/>
          <w:color w:val="auto"/>
          <w:sz w:val="20"/>
          <w:szCs w:val="20"/>
          <w:highlight w:val="none"/>
        </w:rPr>
        <w:t>投标人在投标时自主确定投标单价。</w:t>
      </w:r>
    </w:p>
    <w:p w14:paraId="59FF6B8A">
      <w:pPr>
        <w:spacing w:line="360" w:lineRule="auto"/>
      </w:pPr>
      <w:r>
        <w:rPr>
          <w:rFonts w:hint="eastAsia" w:ascii="宋体" w:hAnsi="宋体"/>
          <w:color w:val="auto"/>
          <w:sz w:val="20"/>
          <w:szCs w:val="20"/>
          <w:highlight w:val="none"/>
          <w:lang w:val="en-US" w:eastAsia="zh-CN"/>
        </w:rPr>
        <w:t>2.应用于一般计税法为除税价，应用于简易计税法为含税价。</w:t>
      </w:r>
      <w:bookmarkEnd w:id="301"/>
      <w:bookmarkEnd w:id="302"/>
      <w:bookmarkEnd w:id="303"/>
      <w:bookmarkEnd w:id="304"/>
      <w:bookmarkEnd w:id="305"/>
      <w:bookmarkEnd w:id="306"/>
      <w:bookmarkEnd w:id="307"/>
    </w:p>
    <w:p w14:paraId="07581AD6">
      <w:pPr>
        <w:spacing w:line="360" w:lineRule="auto"/>
        <w:rPr>
          <w:rFonts w:ascii="宋体"/>
          <w:highlight w:val="none"/>
        </w:rPr>
      </w:pPr>
    </w:p>
    <w:p w14:paraId="463A5035">
      <w:pPr>
        <w:spacing w:line="360" w:lineRule="auto"/>
        <w:rPr>
          <w:rFonts w:hint="eastAsia" w:ascii="宋体"/>
          <w:highlight w:val="none"/>
        </w:rPr>
      </w:pPr>
    </w:p>
    <w:p w14:paraId="17091369">
      <w:pPr>
        <w:pStyle w:val="27"/>
        <w:snapToGrid w:val="0"/>
        <w:spacing w:before="120" w:after="120" w:line="320" w:lineRule="exact"/>
        <w:jc w:val="center"/>
        <w:outlineLvl w:val="0"/>
        <w:rPr>
          <w:rFonts w:ascii="Times New Roman" w:hAnsi="Times New Roman"/>
          <w:highlight w:val="none"/>
        </w:rPr>
      </w:pPr>
      <w:r>
        <w:rPr>
          <w:rFonts w:ascii="Times New Roman" w:hAnsi="Times New Roman"/>
          <w:highlight w:val="none"/>
        </w:rPr>
        <w:br w:type="page"/>
      </w:r>
      <w:r>
        <w:rPr>
          <w:rFonts w:ascii="Times New Roman" w:hAnsi="Times New Roman" w:cs="Times New Roman"/>
          <w:sz w:val="32"/>
          <w:szCs w:val="32"/>
          <w:highlight w:val="none"/>
        </w:rPr>
        <w:t>第</w:t>
      </w:r>
      <w:r>
        <w:rPr>
          <w:rFonts w:hint="eastAsia" w:ascii="Times New Roman" w:hAnsi="Times New Roman" w:cs="Times New Roman"/>
          <w:sz w:val="32"/>
          <w:szCs w:val="32"/>
          <w:highlight w:val="none"/>
        </w:rPr>
        <w:t>六</w:t>
      </w:r>
      <w:r>
        <w:rPr>
          <w:rFonts w:ascii="Times New Roman" w:hAnsi="Times New Roman" w:cs="Times New Roman"/>
          <w:sz w:val="32"/>
          <w:szCs w:val="32"/>
          <w:highlight w:val="none"/>
        </w:rPr>
        <w:t>章  响应文件格式</w:t>
      </w:r>
      <w:bookmarkEnd w:id="126"/>
    </w:p>
    <w:p w14:paraId="6415ACA6">
      <w:pPr>
        <w:rPr>
          <w:rFonts w:hint="eastAsia"/>
          <w:sz w:val="28"/>
          <w:szCs w:val="28"/>
          <w:highlight w:val="none"/>
        </w:rPr>
      </w:pPr>
      <w:bookmarkStart w:id="448" w:name="_Toc254970697"/>
      <w:bookmarkStart w:id="449" w:name="_Toc254970556"/>
    </w:p>
    <w:p w14:paraId="7F020B89">
      <w:pPr>
        <w:rPr>
          <w:rFonts w:hint="eastAsia"/>
          <w:sz w:val="28"/>
          <w:szCs w:val="28"/>
          <w:highlight w:val="none"/>
        </w:rPr>
      </w:pPr>
    </w:p>
    <w:p w14:paraId="2DA3BF43">
      <w:pPr>
        <w:snapToGrid w:val="0"/>
        <w:spacing w:before="120" w:beforeLines="50" w:after="50" w:line="440" w:lineRule="exact"/>
        <w:rPr>
          <w:bCs/>
          <w:sz w:val="24"/>
          <w:highlight w:val="none"/>
        </w:rPr>
      </w:pPr>
      <w:bookmarkStart w:id="450" w:name="_Hlk89190642"/>
      <w:r>
        <w:rPr>
          <w:rFonts w:hint="eastAsia"/>
          <w:sz w:val="28"/>
          <w:szCs w:val="28"/>
          <w:highlight w:val="none"/>
        </w:rPr>
        <w:t>注：有签字、盖章要求的应按要求</w:t>
      </w:r>
      <w:r>
        <w:rPr>
          <w:rFonts w:hint="eastAsia"/>
          <w:color w:val="44546A"/>
          <w:sz w:val="28"/>
          <w:szCs w:val="28"/>
          <w:highlight w:val="none"/>
        </w:rPr>
        <w:t>签字（签章）、盖章（签章）</w:t>
      </w:r>
      <w:r>
        <w:rPr>
          <w:rFonts w:hint="eastAsia"/>
          <w:sz w:val="28"/>
          <w:szCs w:val="28"/>
          <w:highlight w:val="none"/>
        </w:rPr>
        <w:t>。</w:t>
      </w:r>
      <w:bookmarkEnd w:id="448"/>
      <w:bookmarkEnd w:id="449"/>
      <w:r>
        <w:rPr>
          <w:bCs/>
          <w:sz w:val="24"/>
          <w:highlight w:val="none"/>
        </w:rPr>
        <w:t xml:space="preserve"> </w:t>
      </w:r>
    </w:p>
    <w:bookmarkEnd w:id="450"/>
    <w:p w14:paraId="10A656A4">
      <w:pPr>
        <w:snapToGrid w:val="0"/>
        <w:spacing w:before="120" w:beforeLines="50" w:after="50" w:line="440" w:lineRule="exact"/>
        <w:jc w:val="left"/>
        <w:outlineLvl w:val="1"/>
        <w:rPr>
          <w:b/>
          <w:sz w:val="24"/>
          <w:highlight w:val="none"/>
        </w:rPr>
      </w:pPr>
      <w:r>
        <w:rPr>
          <w:sz w:val="24"/>
          <w:highlight w:val="none"/>
        </w:rPr>
        <w:br w:type="page"/>
      </w:r>
      <w:bookmarkStart w:id="451" w:name="_Hlk89190719"/>
      <w:r>
        <w:rPr>
          <w:rFonts w:hint="eastAsia"/>
          <w:b/>
          <w:sz w:val="24"/>
          <w:highlight w:val="none"/>
        </w:rPr>
        <w:t>1.</w:t>
      </w:r>
      <w:r>
        <w:rPr>
          <w:b/>
          <w:sz w:val="24"/>
          <w:highlight w:val="none"/>
        </w:rPr>
        <w:t xml:space="preserve">响应文件封面格式： </w:t>
      </w:r>
    </w:p>
    <w:p w14:paraId="406C40EC">
      <w:pPr>
        <w:snapToGrid w:val="0"/>
        <w:spacing w:before="120" w:beforeLines="50" w:after="50" w:line="360" w:lineRule="exact"/>
        <w:rPr>
          <w:sz w:val="24"/>
          <w:highlight w:val="none"/>
        </w:rPr>
      </w:pPr>
    </w:p>
    <w:p w14:paraId="792692E5">
      <w:pPr>
        <w:snapToGrid w:val="0"/>
        <w:spacing w:before="120" w:beforeLines="50" w:after="50" w:line="360" w:lineRule="exact"/>
        <w:jc w:val="center"/>
        <w:rPr>
          <w:bCs/>
          <w:sz w:val="24"/>
          <w:highlight w:val="none"/>
        </w:rPr>
      </w:pPr>
    </w:p>
    <w:p w14:paraId="23AF40C3">
      <w:pPr>
        <w:snapToGrid w:val="0"/>
        <w:spacing w:before="120" w:beforeLines="50" w:after="50" w:line="360" w:lineRule="exact"/>
        <w:jc w:val="center"/>
        <w:rPr>
          <w:b/>
          <w:bCs/>
          <w:sz w:val="44"/>
          <w:szCs w:val="44"/>
          <w:highlight w:val="none"/>
        </w:rPr>
      </w:pPr>
    </w:p>
    <w:p w14:paraId="2D5AF9B8">
      <w:pPr>
        <w:snapToGrid w:val="0"/>
        <w:spacing w:before="120" w:beforeLines="50" w:after="50" w:line="360" w:lineRule="exact"/>
        <w:jc w:val="center"/>
        <w:rPr>
          <w:rFonts w:hint="eastAsia"/>
          <w:b/>
          <w:bCs/>
          <w:sz w:val="44"/>
          <w:szCs w:val="44"/>
          <w:highlight w:val="none"/>
        </w:rPr>
      </w:pPr>
      <w:r>
        <w:rPr>
          <w:rFonts w:hint="eastAsia"/>
          <w:b/>
          <w:bCs/>
          <w:sz w:val="44"/>
          <w:szCs w:val="44"/>
          <w:highlight w:val="none"/>
        </w:rPr>
        <w:t>电子</w:t>
      </w:r>
      <w:r>
        <w:rPr>
          <w:b/>
          <w:bCs/>
          <w:sz w:val="44"/>
          <w:szCs w:val="44"/>
          <w:highlight w:val="none"/>
        </w:rPr>
        <w:t>响应文件</w:t>
      </w:r>
    </w:p>
    <w:p w14:paraId="7DDFA0DF">
      <w:pPr>
        <w:snapToGrid w:val="0"/>
        <w:spacing w:before="120" w:beforeLines="50" w:after="50" w:line="360" w:lineRule="exact"/>
        <w:rPr>
          <w:bCs/>
          <w:sz w:val="24"/>
          <w:highlight w:val="none"/>
        </w:rPr>
      </w:pPr>
    </w:p>
    <w:p w14:paraId="0728F9EC">
      <w:pPr>
        <w:snapToGrid w:val="0"/>
        <w:spacing w:before="120" w:beforeLines="50" w:after="50" w:line="360" w:lineRule="exact"/>
        <w:ind w:firstLine="720" w:firstLineChars="300"/>
        <w:rPr>
          <w:bCs/>
          <w:sz w:val="24"/>
          <w:highlight w:val="none"/>
        </w:rPr>
      </w:pPr>
      <w:r>
        <w:rPr>
          <w:bCs/>
          <w:sz w:val="24"/>
          <w:highlight w:val="none"/>
        </w:rPr>
        <w:t xml:space="preserve">项目名称： </w:t>
      </w:r>
    </w:p>
    <w:p w14:paraId="2909C199">
      <w:pPr>
        <w:snapToGrid w:val="0"/>
        <w:spacing w:before="120" w:beforeLines="50" w:after="50" w:line="360" w:lineRule="exact"/>
        <w:ind w:firstLine="720" w:firstLineChars="300"/>
        <w:rPr>
          <w:bCs/>
          <w:sz w:val="24"/>
          <w:highlight w:val="none"/>
        </w:rPr>
      </w:pPr>
      <w:r>
        <w:rPr>
          <w:bCs/>
          <w:sz w:val="24"/>
          <w:highlight w:val="none"/>
        </w:rPr>
        <w:t>项目编号：</w:t>
      </w:r>
    </w:p>
    <w:p w14:paraId="4881A68D">
      <w:pPr>
        <w:snapToGrid w:val="0"/>
        <w:spacing w:before="120" w:beforeLines="50" w:after="50" w:line="360" w:lineRule="exact"/>
        <w:ind w:firstLine="720" w:firstLineChars="300"/>
        <w:rPr>
          <w:bCs/>
          <w:sz w:val="24"/>
          <w:highlight w:val="none"/>
        </w:rPr>
      </w:pPr>
      <w:r>
        <w:rPr>
          <w:bCs/>
          <w:sz w:val="24"/>
          <w:highlight w:val="none"/>
        </w:rPr>
        <w:t>响应文件名称：资格</w:t>
      </w:r>
      <w:r>
        <w:rPr>
          <w:rFonts w:hint="eastAsia"/>
          <w:bCs/>
          <w:sz w:val="24"/>
          <w:highlight w:val="none"/>
        </w:rPr>
        <w:t>证明</w:t>
      </w:r>
      <w:r>
        <w:rPr>
          <w:bCs/>
          <w:sz w:val="24"/>
          <w:highlight w:val="none"/>
        </w:rPr>
        <w:t>文件、商务技术文件、报价文件</w:t>
      </w:r>
    </w:p>
    <w:bookmarkEnd w:id="451"/>
    <w:p w14:paraId="3BE82B80">
      <w:pPr>
        <w:snapToGrid w:val="0"/>
        <w:spacing w:before="120" w:beforeLines="50" w:after="50" w:line="360" w:lineRule="exact"/>
        <w:ind w:firstLine="720" w:firstLineChars="300"/>
        <w:rPr>
          <w:bCs/>
          <w:sz w:val="24"/>
          <w:highlight w:val="none"/>
        </w:rPr>
      </w:pPr>
      <w:r>
        <w:rPr>
          <w:bCs/>
          <w:sz w:val="24"/>
          <w:highlight w:val="none"/>
        </w:rPr>
        <w:t>供应商名称：</w:t>
      </w:r>
    </w:p>
    <w:p w14:paraId="1830C45F">
      <w:pPr>
        <w:snapToGrid w:val="0"/>
        <w:spacing w:before="120" w:beforeLines="50" w:after="50" w:line="360" w:lineRule="exact"/>
        <w:ind w:firstLine="720" w:firstLineChars="300"/>
        <w:rPr>
          <w:bCs/>
          <w:sz w:val="24"/>
          <w:highlight w:val="none"/>
        </w:rPr>
      </w:pPr>
      <w:r>
        <w:rPr>
          <w:bCs/>
          <w:sz w:val="24"/>
          <w:highlight w:val="none"/>
        </w:rPr>
        <w:t>供应商地址：</w:t>
      </w:r>
    </w:p>
    <w:p w14:paraId="7A11CA39">
      <w:pPr>
        <w:pStyle w:val="7"/>
        <w:snapToGrid w:val="0"/>
        <w:spacing w:before="50" w:after="50" w:line="360" w:lineRule="exact"/>
        <w:ind w:firstLine="960" w:firstLineChars="400"/>
        <w:rPr>
          <w:bCs/>
          <w:sz w:val="24"/>
          <w:szCs w:val="24"/>
          <w:highlight w:val="none"/>
        </w:rPr>
      </w:pPr>
    </w:p>
    <w:p w14:paraId="64A3E1FB">
      <w:pPr>
        <w:snapToGrid w:val="0"/>
        <w:spacing w:before="120" w:beforeLines="50" w:after="50" w:line="360" w:lineRule="exact"/>
        <w:jc w:val="center"/>
        <w:rPr>
          <w:sz w:val="24"/>
          <w:highlight w:val="none"/>
        </w:rPr>
      </w:pPr>
      <w:r>
        <w:rPr>
          <w:sz w:val="24"/>
          <w:highlight w:val="none"/>
        </w:rPr>
        <w:t xml:space="preserve">                        年  月  日</w:t>
      </w:r>
    </w:p>
    <w:p w14:paraId="3E4618C7">
      <w:pPr>
        <w:snapToGrid w:val="0"/>
        <w:spacing w:before="120" w:beforeLines="50" w:after="50" w:line="440" w:lineRule="exact"/>
        <w:jc w:val="center"/>
        <w:outlineLvl w:val="1"/>
        <w:rPr>
          <w:b/>
          <w:bCs/>
          <w:sz w:val="24"/>
          <w:highlight w:val="none"/>
        </w:rPr>
      </w:pPr>
      <w:bookmarkStart w:id="452" w:name="_Toc254970557"/>
      <w:bookmarkStart w:id="453" w:name="_Toc254970698"/>
      <w:r>
        <w:rPr>
          <w:sz w:val="24"/>
          <w:highlight w:val="none"/>
        </w:rPr>
        <w:br w:type="page"/>
      </w:r>
      <w:bookmarkEnd w:id="452"/>
      <w:bookmarkEnd w:id="453"/>
    </w:p>
    <w:p w14:paraId="7E427E1E">
      <w:pPr>
        <w:snapToGrid w:val="0"/>
        <w:spacing w:before="120" w:beforeLines="50" w:after="50" w:line="440" w:lineRule="exact"/>
        <w:jc w:val="center"/>
        <w:rPr>
          <w:sz w:val="24"/>
          <w:highlight w:val="none"/>
        </w:rPr>
      </w:pPr>
    </w:p>
    <w:p w14:paraId="6A5F9FCC">
      <w:pPr>
        <w:snapToGrid w:val="0"/>
        <w:spacing w:before="50" w:after="50" w:line="440" w:lineRule="exact"/>
        <w:ind w:firstLine="138" w:firstLineChars="49"/>
        <w:jc w:val="center"/>
        <w:rPr>
          <w:b/>
          <w:sz w:val="28"/>
          <w:szCs w:val="28"/>
          <w:highlight w:val="none"/>
        </w:rPr>
      </w:pPr>
      <w:r>
        <w:rPr>
          <w:b/>
          <w:sz w:val="28"/>
          <w:szCs w:val="28"/>
          <w:highlight w:val="none"/>
        </w:rPr>
        <w:t>目录</w:t>
      </w:r>
    </w:p>
    <w:p w14:paraId="6B65D840">
      <w:pPr>
        <w:snapToGrid w:val="0"/>
        <w:spacing w:before="50" w:after="50" w:line="440" w:lineRule="exact"/>
        <w:ind w:firstLine="118" w:firstLineChars="49"/>
        <w:jc w:val="center"/>
        <w:rPr>
          <w:rFonts w:hint="eastAsia"/>
          <w:b/>
          <w:sz w:val="24"/>
          <w:highlight w:val="none"/>
        </w:rPr>
      </w:pPr>
      <w:r>
        <w:rPr>
          <w:b/>
          <w:sz w:val="24"/>
          <w:highlight w:val="none"/>
        </w:rPr>
        <w:t>（</w:t>
      </w:r>
      <w:bookmarkStart w:id="454" w:name="_Hlk89190735"/>
      <w:r>
        <w:rPr>
          <w:b/>
          <w:sz w:val="24"/>
          <w:highlight w:val="none"/>
        </w:rPr>
        <w:t>需</w:t>
      </w:r>
      <w:bookmarkEnd w:id="454"/>
      <w:r>
        <w:rPr>
          <w:b/>
          <w:sz w:val="24"/>
          <w:highlight w:val="none"/>
        </w:rPr>
        <w:t>有页码）</w:t>
      </w:r>
    </w:p>
    <w:p w14:paraId="78F03D46">
      <w:pPr>
        <w:snapToGrid w:val="0"/>
        <w:spacing w:before="50" w:after="50" w:line="440" w:lineRule="exact"/>
        <w:ind w:firstLine="118" w:firstLineChars="49"/>
        <w:jc w:val="center"/>
        <w:rPr>
          <w:rFonts w:hint="eastAsia"/>
          <w:b/>
          <w:sz w:val="24"/>
          <w:highlight w:val="none"/>
        </w:rPr>
      </w:pPr>
      <w:r>
        <w:rPr>
          <w:b/>
          <w:sz w:val="24"/>
          <w:highlight w:val="none"/>
        </w:rPr>
        <w:br w:type="page"/>
      </w:r>
    </w:p>
    <w:p w14:paraId="73EBEE04">
      <w:pPr>
        <w:snapToGrid w:val="0"/>
        <w:spacing w:before="120" w:beforeLines="50" w:after="50" w:line="440" w:lineRule="exact"/>
        <w:jc w:val="center"/>
        <w:outlineLvl w:val="1"/>
        <w:rPr>
          <w:bCs/>
          <w:sz w:val="24"/>
          <w:highlight w:val="none"/>
        </w:rPr>
      </w:pPr>
      <w:r>
        <w:rPr>
          <w:bCs/>
          <w:sz w:val="24"/>
          <w:highlight w:val="none"/>
        </w:rPr>
        <w:t>第</w:t>
      </w:r>
      <w:r>
        <w:rPr>
          <w:rFonts w:hint="eastAsia"/>
          <w:bCs/>
          <w:sz w:val="24"/>
          <w:highlight w:val="none"/>
        </w:rPr>
        <w:t>一</w:t>
      </w:r>
      <w:r>
        <w:rPr>
          <w:bCs/>
          <w:sz w:val="24"/>
          <w:highlight w:val="none"/>
        </w:rPr>
        <w:t xml:space="preserve">部分 </w:t>
      </w:r>
      <w:bookmarkStart w:id="455" w:name="_Hlk89190743"/>
      <w:r>
        <w:rPr>
          <w:bCs/>
          <w:sz w:val="24"/>
          <w:highlight w:val="none"/>
        </w:rPr>
        <w:t>资格</w:t>
      </w:r>
      <w:r>
        <w:rPr>
          <w:rFonts w:hint="eastAsia"/>
          <w:bCs/>
          <w:sz w:val="24"/>
          <w:highlight w:val="none"/>
        </w:rPr>
        <w:t>证明</w:t>
      </w:r>
      <w:r>
        <w:rPr>
          <w:bCs/>
          <w:sz w:val="24"/>
          <w:highlight w:val="none"/>
        </w:rPr>
        <w:t>文件</w:t>
      </w:r>
      <w:bookmarkEnd w:id="455"/>
    </w:p>
    <w:p w14:paraId="376670CA">
      <w:pPr>
        <w:snapToGrid w:val="0"/>
        <w:spacing w:before="50" w:after="50" w:line="440" w:lineRule="exact"/>
        <w:ind w:firstLine="157" w:firstLineChars="49"/>
        <w:jc w:val="center"/>
        <w:rPr>
          <w:rStyle w:val="65"/>
          <w:rFonts w:ascii="Times New Roman" w:hAnsi="Times New Roman" w:eastAsia="宋体"/>
          <w:highlight w:val="none"/>
        </w:rPr>
      </w:pPr>
    </w:p>
    <w:p w14:paraId="511FDE9F">
      <w:pPr>
        <w:snapToGrid w:val="0"/>
        <w:spacing w:before="50" w:after="120" w:afterLines="50" w:line="400" w:lineRule="exact"/>
        <w:jc w:val="left"/>
        <w:rPr>
          <w:b/>
          <w:szCs w:val="21"/>
          <w:highlight w:val="none"/>
        </w:rPr>
      </w:pPr>
      <w:r>
        <w:rPr>
          <w:rFonts w:hint="eastAsia"/>
          <w:b/>
          <w:szCs w:val="21"/>
          <w:highlight w:val="none"/>
        </w:rPr>
        <w:t>1</w:t>
      </w:r>
      <w:r>
        <w:rPr>
          <w:b/>
          <w:szCs w:val="21"/>
          <w:highlight w:val="none"/>
        </w:rPr>
        <w:t>．响应声明书格式：</w:t>
      </w:r>
    </w:p>
    <w:p w14:paraId="4789E1FF">
      <w:pPr>
        <w:snapToGrid w:val="0"/>
        <w:spacing w:before="120" w:beforeLines="50" w:after="50" w:line="360" w:lineRule="exact"/>
        <w:jc w:val="center"/>
        <w:rPr>
          <w:b/>
          <w:szCs w:val="21"/>
          <w:highlight w:val="none"/>
        </w:rPr>
      </w:pPr>
      <w:r>
        <w:rPr>
          <w:b/>
          <w:szCs w:val="21"/>
          <w:highlight w:val="none"/>
        </w:rPr>
        <w:t>响应声明书</w:t>
      </w:r>
    </w:p>
    <w:p w14:paraId="220A69F1">
      <w:pPr>
        <w:snapToGrid w:val="0"/>
        <w:spacing w:before="120" w:beforeLines="50" w:after="50" w:line="360" w:lineRule="exact"/>
        <w:jc w:val="center"/>
        <w:rPr>
          <w:szCs w:val="21"/>
          <w:highlight w:val="none"/>
        </w:rPr>
      </w:pPr>
    </w:p>
    <w:p w14:paraId="48834488">
      <w:pPr>
        <w:snapToGrid w:val="0"/>
        <w:spacing w:before="120" w:beforeLines="50" w:after="50" w:line="360" w:lineRule="exact"/>
        <w:rPr>
          <w:szCs w:val="21"/>
          <w:highlight w:val="none"/>
        </w:rPr>
      </w:pPr>
      <w:r>
        <w:rPr>
          <w:szCs w:val="21"/>
          <w:highlight w:val="none"/>
        </w:rPr>
        <w:t>致：</w:t>
      </w:r>
      <w:r>
        <w:rPr>
          <w:i/>
          <w:iCs/>
          <w:szCs w:val="21"/>
          <w:highlight w:val="none"/>
          <w:u w:val="single"/>
        </w:rPr>
        <w:t>（采购</w:t>
      </w:r>
      <w:r>
        <w:rPr>
          <w:rFonts w:hint="eastAsia"/>
          <w:i/>
          <w:iCs/>
          <w:szCs w:val="21"/>
          <w:highlight w:val="none"/>
          <w:u w:val="single"/>
        </w:rPr>
        <w:t>人</w:t>
      </w:r>
      <w:r>
        <w:rPr>
          <w:i/>
          <w:iCs/>
          <w:szCs w:val="21"/>
          <w:highlight w:val="none"/>
          <w:u w:val="single"/>
        </w:rPr>
        <w:t>名称）</w:t>
      </w:r>
      <w:r>
        <w:rPr>
          <w:szCs w:val="21"/>
          <w:highlight w:val="none"/>
        </w:rPr>
        <w:t>：：</w:t>
      </w:r>
    </w:p>
    <w:p w14:paraId="15026CA1">
      <w:pPr>
        <w:snapToGrid w:val="0"/>
        <w:spacing w:before="120" w:beforeLines="50" w:after="50" w:line="360" w:lineRule="exact"/>
        <w:ind w:firstLine="630" w:firstLineChars="300"/>
        <w:rPr>
          <w:szCs w:val="21"/>
          <w:highlight w:val="none"/>
        </w:rPr>
      </w:pPr>
      <w:r>
        <w:rPr>
          <w:i/>
          <w:iCs/>
          <w:szCs w:val="21"/>
          <w:highlight w:val="none"/>
          <w:u w:val="single"/>
        </w:rPr>
        <w:t>（供应商名称）</w:t>
      </w:r>
      <w:r>
        <w:rPr>
          <w:szCs w:val="21"/>
          <w:highlight w:val="none"/>
        </w:rPr>
        <w:t>系中华人民共和国合法企业，</w:t>
      </w:r>
      <w:r>
        <w:rPr>
          <w:rFonts w:hint="eastAsia"/>
          <w:szCs w:val="21"/>
          <w:highlight w:val="none"/>
          <w:u w:val="single"/>
        </w:rPr>
        <w:t xml:space="preserve"> </w:t>
      </w:r>
      <w:r>
        <w:rPr>
          <w:i/>
          <w:iCs/>
          <w:szCs w:val="21"/>
          <w:highlight w:val="none"/>
          <w:u w:val="single"/>
        </w:rPr>
        <w:t xml:space="preserve"> </w:t>
      </w:r>
      <w:r>
        <w:rPr>
          <w:rFonts w:hint="eastAsia"/>
          <w:i/>
          <w:iCs/>
          <w:szCs w:val="21"/>
          <w:highlight w:val="none"/>
          <w:u w:val="single"/>
        </w:rPr>
        <w:t>（</w:t>
      </w:r>
      <w:r>
        <w:rPr>
          <w:i/>
          <w:iCs/>
          <w:szCs w:val="21"/>
          <w:highlight w:val="none"/>
          <w:u w:val="single"/>
        </w:rPr>
        <w:t>经营地址</w:t>
      </w:r>
      <w:r>
        <w:rPr>
          <w:rFonts w:hint="eastAsia"/>
          <w:i/>
          <w:iCs/>
          <w:szCs w:val="21"/>
          <w:highlight w:val="none"/>
          <w:u w:val="single"/>
        </w:rPr>
        <w:t xml:space="preserve">） </w:t>
      </w:r>
      <w:r>
        <w:rPr>
          <w:i/>
          <w:iCs/>
          <w:szCs w:val="21"/>
          <w:highlight w:val="none"/>
          <w:u w:val="single"/>
        </w:rPr>
        <w:t xml:space="preserve"> </w:t>
      </w:r>
      <w:r>
        <w:rPr>
          <w:szCs w:val="21"/>
          <w:highlight w:val="none"/>
          <w:u w:val="single"/>
        </w:rPr>
        <w:t xml:space="preserve"> </w:t>
      </w:r>
      <w:r>
        <w:rPr>
          <w:szCs w:val="21"/>
          <w:highlight w:val="none"/>
        </w:rPr>
        <w:t>。</w:t>
      </w:r>
    </w:p>
    <w:p w14:paraId="7FF95635">
      <w:pPr>
        <w:snapToGrid w:val="0"/>
        <w:spacing w:before="120" w:beforeLines="50" w:after="50" w:line="360" w:lineRule="exact"/>
        <w:ind w:firstLine="645"/>
        <w:rPr>
          <w:szCs w:val="21"/>
          <w:highlight w:val="none"/>
        </w:rPr>
      </w:pPr>
      <w:r>
        <w:rPr>
          <w:szCs w:val="21"/>
          <w:highlight w:val="none"/>
        </w:rPr>
        <w:t>我</w:t>
      </w:r>
      <w:r>
        <w:rPr>
          <w:i/>
          <w:iCs/>
          <w:szCs w:val="21"/>
          <w:highlight w:val="none"/>
          <w:u w:val="single"/>
        </w:rPr>
        <w:t>（姓名）</w:t>
      </w:r>
      <w:r>
        <w:rPr>
          <w:rFonts w:hint="eastAsia"/>
          <w:i/>
          <w:iCs/>
          <w:szCs w:val="21"/>
          <w:highlight w:val="none"/>
          <w:u w:val="single"/>
        </w:rPr>
        <w:t xml:space="preserve"> </w:t>
      </w:r>
      <w:r>
        <w:rPr>
          <w:szCs w:val="21"/>
          <w:highlight w:val="none"/>
        </w:rPr>
        <w:t>系</w:t>
      </w:r>
      <w:r>
        <w:rPr>
          <w:i/>
          <w:iCs/>
          <w:szCs w:val="21"/>
          <w:highlight w:val="none"/>
          <w:u w:val="single"/>
        </w:rPr>
        <w:t>（供应商名称）</w:t>
      </w:r>
      <w:r>
        <w:rPr>
          <w:szCs w:val="21"/>
          <w:highlight w:val="none"/>
        </w:rPr>
        <w:t>的法定代表人，我方愿意参加贵方组织的</w:t>
      </w:r>
      <w:r>
        <w:rPr>
          <w:rFonts w:hint="eastAsia"/>
          <w:i/>
          <w:iCs/>
          <w:szCs w:val="21"/>
          <w:highlight w:val="none"/>
          <w:u w:val="single"/>
        </w:rPr>
        <w:t xml:space="preserve">（项目名称） </w:t>
      </w:r>
      <w:r>
        <w:rPr>
          <w:szCs w:val="21"/>
          <w:highlight w:val="none"/>
        </w:rPr>
        <w:t>项目的磋商，为便于贵方公正、择优地确定成交供应商及其响应内容，我方就本次磋商有关事项郑重声明如下：</w:t>
      </w:r>
    </w:p>
    <w:p w14:paraId="06FFFD2C">
      <w:pPr>
        <w:snapToGrid w:val="0"/>
        <w:spacing w:before="120" w:beforeLines="50" w:line="360" w:lineRule="exact"/>
        <w:ind w:firstLine="420" w:firstLineChars="200"/>
        <w:rPr>
          <w:szCs w:val="21"/>
          <w:highlight w:val="none"/>
        </w:rPr>
      </w:pPr>
      <w:r>
        <w:rPr>
          <w:szCs w:val="21"/>
          <w:highlight w:val="none"/>
        </w:rPr>
        <w:t>（1）我方向贵方提交的所有响应文件、资料都是准确的和真实的。</w:t>
      </w:r>
    </w:p>
    <w:p w14:paraId="0CD92D57">
      <w:pPr>
        <w:snapToGrid w:val="0"/>
        <w:spacing w:before="120" w:beforeLines="50" w:line="360" w:lineRule="exact"/>
        <w:ind w:firstLine="420" w:firstLineChars="200"/>
        <w:rPr>
          <w:szCs w:val="21"/>
          <w:highlight w:val="none"/>
        </w:rPr>
      </w:pPr>
      <w:r>
        <w:rPr>
          <w:szCs w:val="21"/>
          <w:highlight w:val="none"/>
        </w:rPr>
        <w:t>（2）我方不是采购人的附属机构；也不是为本项目提供整体设计、规范编制或者项目管理、监理、检测等服务的供应商或其附属机构。</w:t>
      </w:r>
    </w:p>
    <w:p w14:paraId="68E1ACF7">
      <w:pPr>
        <w:snapToGrid w:val="0"/>
        <w:spacing w:before="120" w:beforeLines="50" w:line="360" w:lineRule="exact"/>
        <w:ind w:firstLine="420" w:firstLineChars="200"/>
        <w:rPr>
          <w:szCs w:val="21"/>
          <w:highlight w:val="none"/>
        </w:rPr>
      </w:pPr>
      <w:r>
        <w:rPr>
          <w:szCs w:val="21"/>
          <w:highlight w:val="none"/>
        </w:rPr>
        <w:t>（3） 我方承诺在参加本政府采购项目活动前，没有被纳入政府部门或银行认定的失信名单，我方具有良好的商业信誉。</w:t>
      </w:r>
    </w:p>
    <w:p w14:paraId="2DA2730D">
      <w:pPr>
        <w:spacing w:line="300" w:lineRule="exact"/>
        <w:ind w:firstLine="420" w:firstLineChars="200"/>
        <w:jc w:val="left"/>
        <w:rPr>
          <w:szCs w:val="21"/>
          <w:highlight w:val="none"/>
        </w:rPr>
      </w:pPr>
      <w:r>
        <w:rPr>
          <w:szCs w:val="21"/>
          <w:highlight w:val="none"/>
        </w:rPr>
        <w:t>（4）我方及本人承诺在参加本政府采购项目活动前三年内，在经营活动中没有重大违法记录。重大违法记录是指供应商因违法经营受到刑事处罚或者责令停产停业、吊销许可证或者执照、较大数额罚款等行政处罚。如我方提供的声明不实，则自愿承担《政府采购法》有关提供虚假材料的规定给予的处罚。</w:t>
      </w:r>
    </w:p>
    <w:p w14:paraId="2F4A063C">
      <w:pPr>
        <w:snapToGrid w:val="0"/>
        <w:spacing w:before="120" w:beforeLines="50" w:line="360" w:lineRule="exact"/>
        <w:ind w:firstLine="420" w:firstLineChars="200"/>
        <w:rPr>
          <w:szCs w:val="21"/>
          <w:highlight w:val="none"/>
          <w:lang w:val="zh-CN"/>
        </w:rPr>
      </w:pPr>
      <w:r>
        <w:rPr>
          <w:szCs w:val="21"/>
          <w:highlight w:val="none"/>
        </w:rPr>
        <w:t>（5）</w:t>
      </w:r>
      <w:r>
        <w:rPr>
          <w:szCs w:val="21"/>
          <w:highlight w:val="none"/>
          <w:lang w:val="zh-CN"/>
        </w:rPr>
        <w:t>我方</w:t>
      </w:r>
      <w:r>
        <w:rPr>
          <w:szCs w:val="21"/>
          <w:highlight w:val="none"/>
        </w:rPr>
        <w:t>承诺</w:t>
      </w:r>
      <w:r>
        <w:rPr>
          <w:szCs w:val="21"/>
          <w:highlight w:val="none"/>
          <w:lang w:val="zh-CN"/>
        </w:rPr>
        <w:t>具有履行本项目合同所必需的设备和专业技术能力。</w:t>
      </w:r>
    </w:p>
    <w:p w14:paraId="32E2F77B">
      <w:pPr>
        <w:snapToGrid w:val="0"/>
        <w:spacing w:before="120" w:beforeLines="50" w:line="360" w:lineRule="exact"/>
        <w:ind w:firstLine="420" w:firstLineChars="200"/>
        <w:rPr>
          <w:szCs w:val="21"/>
          <w:highlight w:val="none"/>
        </w:rPr>
      </w:pPr>
      <w:r>
        <w:rPr>
          <w:rFonts w:hint="eastAsia"/>
          <w:szCs w:val="21"/>
          <w:highlight w:val="none"/>
        </w:rPr>
        <w:t>（6）我方承诺</w:t>
      </w:r>
      <w:r>
        <w:rPr>
          <w:szCs w:val="21"/>
          <w:highlight w:val="none"/>
        </w:rPr>
        <w:t>未被列入失信被执行人、</w:t>
      </w:r>
      <w:r>
        <w:rPr>
          <w:kern w:val="0"/>
          <w:szCs w:val="21"/>
          <w:highlight w:val="none"/>
        </w:rPr>
        <w:t>重大税收违法失信主体</w:t>
      </w:r>
      <w:r>
        <w:rPr>
          <w:szCs w:val="21"/>
          <w:highlight w:val="none"/>
        </w:rPr>
        <w:t>、政府采购严重违法失信行为记录名单</w:t>
      </w:r>
      <w:r>
        <w:rPr>
          <w:rFonts w:hint="eastAsia"/>
          <w:szCs w:val="21"/>
          <w:highlight w:val="none"/>
        </w:rPr>
        <w:t>，如我方提供的声明不实，则接受本次响应作为响应无效的处理，</w:t>
      </w:r>
      <w:r>
        <w:rPr>
          <w:szCs w:val="21"/>
          <w:highlight w:val="none"/>
        </w:rPr>
        <w:t>并根据财库〔2016〕125号《财政部关于在政府采购活动中查询及使用信用记录有关问题的通知》规定接受失信联合惩戒。</w:t>
      </w:r>
    </w:p>
    <w:p w14:paraId="73A5F09D">
      <w:pPr>
        <w:snapToGrid w:val="0"/>
        <w:spacing w:before="120" w:beforeLines="50" w:line="360" w:lineRule="exact"/>
        <w:ind w:firstLine="420" w:firstLineChars="200"/>
        <w:rPr>
          <w:rFonts w:hint="eastAsia"/>
          <w:szCs w:val="21"/>
          <w:highlight w:val="none"/>
        </w:rPr>
      </w:pPr>
      <w:r>
        <w:rPr>
          <w:rFonts w:hint="eastAsia"/>
          <w:szCs w:val="21"/>
          <w:highlight w:val="none"/>
        </w:rPr>
        <w:t>（7）我方承诺成交后按</w:t>
      </w:r>
      <w:r>
        <w:rPr>
          <w:szCs w:val="21"/>
          <w:highlight w:val="none"/>
        </w:rPr>
        <w:t>规定缴纳代理服务费</w:t>
      </w:r>
      <w:r>
        <w:rPr>
          <w:rFonts w:hint="eastAsia"/>
          <w:szCs w:val="21"/>
          <w:highlight w:val="none"/>
        </w:rPr>
        <w:t>。如未按时缴纳，</w:t>
      </w:r>
      <w:r>
        <w:rPr>
          <w:szCs w:val="21"/>
          <w:highlight w:val="none"/>
        </w:rPr>
        <w:t>贵方可</w:t>
      </w:r>
      <w:r>
        <w:rPr>
          <w:rFonts w:hint="eastAsia"/>
          <w:szCs w:val="21"/>
          <w:highlight w:val="none"/>
        </w:rPr>
        <w:t>不退还</w:t>
      </w:r>
      <w:r>
        <w:rPr>
          <w:szCs w:val="21"/>
          <w:highlight w:val="none"/>
        </w:rPr>
        <w:t>我</w:t>
      </w:r>
      <w:r>
        <w:rPr>
          <w:rFonts w:hint="eastAsia"/>
          <w:szCs w:val="21"/>
          <w:highlight w:val="none"/>
        </w:rPr>
        <w:t>方</w:t>
      </w:r>
      <w:r>
        <w:rPr>
          <w:szCs w:val="21"/>
          <w:highlight w:val="none"/>
        </w:rPr>
        <w:t>提交的</w:t>
      </w:r>
      <w:r>
        <w:rPr>
          <w:rFonts w:hint="eastAsia"/>
          <w:szCs w:val="21"/>
          <w:highlight w:val="none"/>
        </w:rPr>
        <w:t>磋商</w:t>
      </w:r>
      <w:r>
        <w:rPr>
          <w:szCs w:val="21"/>
          <w:highlight w:val="none"/>
        </w:rPr>
        <w:t>保证金</w:t>
      </w:r>
      <w:r>
        <w:rPr>
          <w:rFonts w:hint="eastAsia"/>
          <w:szCs w:val="21"/>
          <w:highlight w:val="none"/>
        </w:rPr>
        <w:t>，并从中</w:t>
      </w:r>
      <w:r>
        <w:rPr>
          <w:szCs w:val="21"/>
          <w:highlight w:val="none"/>
        </w:rPr>
        <w:t>扣除</w:t>
      </w:r>
      <w:r>
        <w:rPr>
          <w:rFonts w:hint="eastAsia"/>
          <w:szCs w:val="21"/>
          <w:highlight w:val="none"/>
        </w:rPr>
        <w:t>代理服务费。</w:t>
      </w:r>
    </w:p>
    <w:p w14:paraId="276D538F">
      <w:pPr>
        <w:snapToGrid w:val="0"/>
        <w:spacing w:before="120" w:beforeLines="50" w:line="360" w:lineRule="exact"/>
        <w:ind w:firstLine="420" w:firstLineChars="200"/>
        <w:rPr>
          <w:szCs w:val="21"/>
          <w:highlight w:val="none"/>
        </w:rPr>
      </w:pPr>
      <w:r>
        <w:rPr>
          <w:szCs w:val="21"/>
          <w:highlight w:val="none"/>
        </w:rPr>
        <w:t>我方对以上声明负全部法律责任。如有虚假或隐瞒，我方愿意承担一切后果，并不再寻求任何旨在减轻或免除法律责任的辩解。</w:t>
      </w:r>
    </w:p>
    <w:p w14:paraId="67B666E1">
      <w:pPr>
        <w:snapToGrid w:val="0"/>
        <w:spacing w:before="120" w:beforeLines="50" w:line="360" w:lineRule="exact"/>
        <w:ind w:firstLine="420" w:firstLineChars="200"/>
        <w:rPr>
          <w:szCs w:val="21"/>
          <w:highlight w:val="none"/>
        </w:rPr>
      </w:pPr>
    </w:p>
    <w:p w14:paraId="6A7C0468">
      <w:pPr>
        <w:snapToGrid w:val="0"/>
        <w:spacing w:before="120" w:beforeLines="50" w:after="50" w:line="360" w:lineRule="exact"/>
        <w:ind w:firstLine="3570" w:firstLineChars="1700"/>
        <w:rPr>
          <w:szCs w:val="21"/>
          <w:highlight w:val="none"/>
        </w:rPr>
      </w:pPr>
      <w:bookmarkStart w:id="456" w:name="_Hlk89190765"/>
      <w:r>
        <w:rPr>
          <w:szCs w:val="21"/>
          <w:highlight w:val="none"/>
        </w:rPr>
        <w:t>供应商</w:t>
      </w:r>
      <w:r>
        <w:rPr>
          <w:rFonts w:hint="eastAsia"/>
          <w:szCs w:val="21"/>
          <w:highlight w:val="none"/>
        </w:rPr>
        <w:t>名称（电子签章）</w:t>
      </w:r>
      <w:bookmarkEnd w:id="456"/>
      <w:r>
        <w:rPr>
          <w:szCs w:val="21"/>
          <w:highlight w:val="none"/>
        </w:rPr>
        <w:t>：</w:t>
      </w:r>
      <w:r>
        <w:rPr>
          <w:szCs w:val="21"/>
          <w:highlight w:val="none"/>
          <w:u w:val="single"/>
        </w:rPr>
        <w:t xml:space="preserve">                </w:t>
      </w:r>
    </w:p>
    <w:p w14:paraId="500FC728">
      <w:pPr>
        <w:snapToGrid w:val="0"/>
        <w:spacing w:before="120" w:beforeLines="50" w:after="50" w:line="360" w:lineRule="exact"/>
        <w:ind w:firstLine="210" w:firstLineChars="100"/>
        <w:rPr>
          <w:szCs w:val="21"/>
          <w:highlight w:val="none"/>
        </w:rPr>
      </w:pPr>
      <w:r>
        <w:rPr>
          <w:szCs w:val="21"/>
          <w:highlight w:val="none"/>
        </w:rPr>
        <w:t xml:space="preserve">                                          年    月    日</w:t>
      </w:r>
    </w:p>
    <w:p w14:paraId="049BD0B2">
      <w:pPr>
        <w:spacing w:line="360" w:lineRule="auto"/>
        <w:rPr>
          <w:szCs w:val="21"/>
          <w:highlight w:val="none"/>
        </w:rPr>
      </w:pPr>
      <w:r>
        <w:rPr>
          <w:szCs w:val="21"/>
          <w:highlight w:val="none"/>
        </w:rPr>
        <w:br w:type="page"/>
      </w:r>
      <w:r>
        <w:rPr>
          <w:rFonts w:hint="eastAsia"/>
          <w:szCs w:val="21"/>
          <w:highlight w:val="none"/>
          <w:lang w:val="en-US" w:eastAsia="zh-CN"/>
        </w:rPr>
        <w:t>2</w:t>
      </w:r>
      <w:r>
        <w:rPr>
          <w:szCs w:val="21"/>
          <w:highlight w:val="none"/>
        </w:rPr>
        <w:t>．法人或者其他组织的营业执照等证明文件。即供应商是企业则提供营业执照（副本）</w:t>
      </w:r>
      <w:r>
        <w:rPr>
          <w:rFonts w:hint="eastAsia"/>
          <w:szCs w:val="21"/>
          <w:highlight w:val="none"/>
        </w:rPr>
        <w:t>扫描件</w:t>
      </w:r>
      <w:r>
        <w:rPr>
          <w:szCs w:val="21"/>
          <w:highlight w:val="none"/>
        </w:rPr>
        <w:t>；供应商是事业单位，则提供事业单位法人证书（副本）</w:t>
      </w:r>
      <w:r>
        <w:rPr>
          <w:rFonts w:hint="eastAsia"/>
          <w:szCs w:val="21"/>
          <w:highlight w:val="none"/>
        </w:rPr>
        <w:t>扫描件</w:t>
      </w:r>
      <w:r>
        <w:rPr>
          <w:szCs w:val="21"/>
          <w:highlight w:val="none"/>
        </w:rPr>
        <w:t>；供应商是非企业专业服务机构的，则提供执业许可证等证明文件</w:t>
      </w:r>
      <w:r>
        <w:rPr>
          <w:rFonts w:hint="eastAsia"/>
          <w:szCs w:val="21"/>
          <w:highlight w:val="none"/>
        </w:rPr>
        <w:t>扫描件</w:t>
      </w:r>
      <w:r>
        <w:rPr>
          <w:szCs w:val="21"/>
          <w:highlight w:val="none"/>
        </w:rPr>
        <w:t>；如供应商不是以上所列的法人、组织的，则提供国家规定的相关证明材料。</w:t>
      </w:r>
      <w:bookmarkStart w:id="457" w:name="_Hlk89190828"/>
      <w:r>
        <w:rPr>
          <w:szCs w:val="21"/>
          <w:highlight w:val="none"/>
        </w:rPr>
        <w:t>（加盖供应商</w:t>
      </w:r>
      <w:r>
        <w:rPr>
          <w:rFonts w:hint="eastAsia"/>
          <w:szCs w:val="21"/>
          <w:highlight w:val="none"/>
        </w:rPr>
        <w:t>电子签章</w:t>
      </w:r>
      <w:r>
        <w:rPr>
          <w:szCs w:val="21"/>
          <w:highlight w:val="none"/>
        </w:rPr>
        <w:t>）</w:t>
      </w:r>
      <w:bookmarkEnd w:id="457"/>
    </w:p>
    <w:p w14:paraId="2BE186DA">
      <w:pPr>
        <w:snapToGrid w:val="0"/>
        <w:spacing w:before="120" w:beforeLines="50" w:after="50" w:line="440" w:lineRule="exact"/>
        <w:rPr>
          <w:rFonts w:hint="eastAsia"/>
          <w:szCs w:val="21"/>
          <w:highlight w:val="none"/>
        </w:rPr>
      </w:pPr>
    </w:p>
    <w:p w14:paraId="366642D6">
      <w:pPr>
        <w:snapToGrid w:val="0"/>
        <w:spacing w:before="120" w:beforeLines="50" w:after="50" w:line="440" w:lineRule="exact"/>
        <w:rPr>
          <w:rFonts w:hint="eastAsia"/>
          <w:szCs w:val="21"/>
          <w:highlight w:val="none"/>
        </w:rPr>
      </w:pPr>
      <w:r>
        <w:rPr>
          <w:rFonts w:hint="eastAsia"/>
          <w:szCs w:val="21"/>
          <w:highlight w:val="none"/>
          <w:lang w:val="en-US" w:eastAsia="zh-CN"/>
        </w:rPr>
        <w:t>3</w:t>
      </w:r>
      <w:r>
        <w:rPr>
          <w:szCs w:val="21"/>
          <w:highlight w:val="none"/>
        </w:rPr>
        <w:t>．财务状况报告（表）</w:t>
      </w:r>
      <w:r>
        <w:rPr>
          <w:rFonts w:hint="eastAsia"/>
          <w:szCs w:val="21"/>
          <w:highlight w:val="none"/>
        </w:rPr>
        <w:t>扫描件</w:t>
      </w:r>
      <w:r>
        <w:rPr>
          <w:szCs w:val="21"/>
          <w:highlight w:val="none"/>
        </w:rPr>
        <w:t>或银行出具的资信证明</w:t>
      </w:r>
      <w:r>
        <w:rPr>
          <w:rFonts w:hint="eastAsia"/>
          <w:szCs w:val="21"/>
          <w:highlight w:val="none"/>
        </w:rPr>
        <w:t>扫描件</w:t>
      </w:r>
      <w:r>
        <w:rPr>
          <w:szCs w:val="21"/>
          <w:highlight w:val="none"/>
        </w:rPr>
        <w:t>。</w:t>
      </w:r>
      <w:r>
        <w:rPr>
          <w:highlight w:val="none"/>
        </w:rPr>
        <w:t>对于从取得营业执照时间起到截标时间为止不足1年的供应商，只需提交</w:t>
      </w:r>
      <w:r>
        <w:rPr>
          <w:szCs w:val="21"/>
          <w:highlight w:val="none"/>
        </w:rPr>
        <w:t>截标时间前一个月的财务状况报告（表）</w:t>
      </w:r>
      <w:r>
        <w:rPr>
          <w:rFonts w:hint="eastAsia"/>
          <w:szCs w:val="21"/>
          <w:highlight w:val="none"/>
        </w:rPr>
        <w:t>扫描件</w:t>
      </w:r>
      <w:r>
        <w:rPr>
          <w:szCs w:val="21"/>
          <w:highlight w:val="none"/>
        </w:rPr>
        <w:t>。（按“评审方法及标准” “资格审查表”规定提供）。</w:t>
      </w:r>
      <w:bookmarkStart w:id="458" w:name="_Hlk89190839"/>
      <w:r>
        <w:rPr>
          <w:szCs w:val="21"/>
          <w:highlight w:val="none"/>
        </w:rPr>
        <w:t>（加盖供应商</w:t>
      </w:r>
      <w:r>
        <w:rPr>
          <w:rFonts w:hint="eastAsia"/>
          <w:szCs w:val="21"/>
          <w:highlight w:val="none"/>
        </w:rPr>
        <w:t>电子签章</w:t>
      </w:r>
      <w:r>
        <w:rPr>
          <w:szCs w:val="21"/>
          <w:highlight w:val="none"/>
        </w:rPr>
        <w:t>）</w:t>
      </w:r>
      <w:bookmarkEnd w:id="458"/>
    </w:p>
    <w:p w14:paraId="53C26375">
      <w:pPr>
        <w:snapToGrid w:val="0"/>
        <w:spacing w:before="120" w:beforeLines="50" w:after="50" w:line="440" w:lineRule="exact"/>
        <w:rPr>
          <w:szCs w:val="21"/>
          <w:highlight w:val="none"/>
        </w:rPr>
      </w:pPr>
    </w:p>
    <w:p w14:paraId="4C30C1A8">
      <w:pPr>
        <w:snapToGrid w:val="0"/>
        <w:spacing w:before="50" w:after="120" w:afterLines="50" w:line="440" w:lineRule="exact"/>
        <w:jc w:val="left"/>
        <w:rPr>
          <w:rFonts w:hint="eastAsia"/>
          <w:b/>
          <w:szCs w:val="21"/>
          <w:highlight w:val="none"/>
        </w:rPr>
      </w:pPr>
      <w:r>
        <w:rPr>
          <w:rFonts w:hint="eastAsia"/>
          <w:szCs w:val="21"/>
          <w:highlight w:val="none"/>
          <w:lang w:val="en-US" w:eastAsia="zh-CN"/>
        </w:rPr>
        <w:t>4</w:t>
      </w:r>
      <w:r>
        <w:rPr>
          <w:szCs w:val="21"/>
          <w:highlight w:val="none"/>
        </w:rPr>
        <w:t>．</w:t>
      </w:r>
      <w:r>
        <w:rPr>
          <w:highlight w:val="none"/>
        </w:rPr>
        <w:t>依法缴纳税费证明和社会保</w:t>
      </w:r>
      <w:r>
        <w:rPr>
          <w:rFonts w:hint="eastAsia"/>
          <w:highlight w:val="none"/>
          <w:lang w:val="en-US" w:eastAsia="zh-CN"/>
        </w:rPr>
        <w:t>障资金</w:t>
      </w:r>
      <w:r>
        <w:rPr>
          <w:highlight w:val="none"/>
        </w:rPr>
        <w:t>缴纳证明材</w:t>
      </w:r>
      <w:r>
        <w:rPr>
          <w:rFonts w:hint="eastAsia" w:ascii="Times New Roman" w:hAnsi="Times New Roman" w:eastAsia="宋体" w:cs="Times New Roman"/>
          <w:highlight w:val="none"/>
          <w:lang w:val="en-US" w:eastAsia="zh-CN"/>
        </w:rPr>
        <w:t>料【社会保障资金包括：养老保险、失业保险、医疗保险、工伤保险、生育保险（如有）】</w:t>
      </w:r>
      <w:r>
        <w:rPr>
          <w:rFonts w:hint="eastAsia"/>
          <w:highlight w:val="none"/>
        </w:rPr>
        <w:t>。</w:t>
      </w:r>
      <w:r>
        <w:rPr>
          <w:highlight w:val="none"/>
        </w:rPr>
        <w:t>供应商成立不足</w:t>
      </w:r>
      <w:r>
        <w:rPr>
          <w:rFonts w:hint="eastAsia"/>
          <w:highlight w:val="none"/>
        </w:rPr>
        <w:t>1个月的，无须提供</w:t>
      </w:r>
      <w:r>
        <w:rPr>
          <w:highlight w:val="none"/>
        </w:rPr>
        <w:t>缴纳税费证明及不需要缴纳社会保障资金缴费证明</w:t>
      </w:r>
      <w:r>
        <w:rPr>
          <w:rFonts w:hint="eastAsia"/>
          <w:highlight w:val="none"/>
        </w:rPr>
        <w:t>。</w:t>
      </w:r>
      <w:r>
        <w:rPr>
          <w:highlight w:val="none"/>
        </w:rPr>
        <w:t>依法免税或不需要缴纳社会保障资金的供应商，须提供相应文件证明其依法免税或不需要缴纳社会保障资金。</w:t>
      </w:r>
      <w:r>
        <w:rPr>
          <w:szCs w:val="21"/>
          <w:highlight w:val="none"/>
        </w:rPr>
        <w:t>（按“评审方法及标准” “资格审查表”规定提供</w:t>
      </w:r>
      <w:r>
        <w:rPr>
          <w:rFonts w:hint="eastAsia"/>
          <w:szCs w:val="21"/>
          <w:highlight w:val="none"/>
        </w:rPr>
        <w:t>，其中社会保险缴纳证明在对应人员资料处提供</w:t>
      </w:r>
      <w:r>
        <w:rPr>
          <w:szCs w:val="21"/>
          <w:highlight w:val="none"/>
        </w:rPr>
        <w:t>）（加盖供应商</w:t>
      </w:r>
      <w:r>
        <w:rPr>
          <w:rFonts w:hint="eastAsia"/>
          <w:szCs w:val="21"/>
          <w:highlight w:val="none"/>
        </w:rPr>
        <w:t>电子签章</w:t>
      </w:r>
      <w:r>
        <w:rPr>
          <w:szCs w:val="21"/>
          <w:highlight w:val="none"/>
        </w:rPr>
        <w:t>）</w:t>
      </w:r>
    </w:p>
    <w:p w14:paraId="380DB90E">
      <w:pPr>
        <w:snapToGrid w:val="0"/>
        <w:spacing w:before="50" w:after="120" w:afterLines="50" w:line="440" w:lineRule="exact"/>
        <w:jc w:val="left"/>
        <w:rPr>
          <w:rFonts w:hint="eastAsia"/>
          <w:highlight w:val="none"/>
        </w:rPr>
      </w:pPr>
    </w:p>
    <w:p w14:paraId="06757C15">
      <w:pPr>
        <w:snapToGrid w:val="0"/>
        <w:spacing w:before="50" w:after="120" w:afterLines="50" w:line="440" w:lineRule="exact"/>
        <w:jc w:val="left"/>
        <w:rPr>
          <w:rFonts w:hint="eastAsia"/>
          <w:highlight w:val="none"/>
        </w:rPr>
      </w:pPr>
      <w:r>
        <w:rPr>
          <w:rFonts w:hint="eastAsia"/>
          <w:highlight w:val="none"/>
          <w:lang w:val="en-US" w:eastAsia="zh-CN"/>
        </w:rPr>
        <w:t>5</w:t>
      </w:r>
      <w:r>
        <w:rPr>
          <w:highlight w:val="none"/>
        </w:rPr>
        <w:t>．具备法律、行政法规规定的其他要求的证明材料（按“评审方法及标准” “</w:t>
      </w:r>
      <w:r>
        <w:rPr>
          <w:szCs w:val="21"/>
          <w:highlight w:val="none"/>
        </w:rPr>
        <w:t>资格审查表</w:t>
      </w:r>
      <w:r>
        <w:rPr>
          <w:highlight w:val="none"/>
        </w:rPr>
        <w:t>”规定提供）。</w:t>
      </w:r>
      <w:r>
        <w:rPr>
          <w:rFonts w:hint="eastAsia"/>
          <w:b/>
          <w:highlight w:val="none"/>
        </w:rPr>
        <w:t>（如采购文件有要求时提供）</w:t>
      </w:r>
    </w:p>
    <w:p w14:paraId="1AF35822">
      <w:pPr>
        <w:rPr>
          <w:rFonts w:hint="eastAsia"/>
          <w:highlight w:val="none"/>
          <w:lang w:val="en-US" w:eastAsia="zh-CN"/>
        </w:rPr>
      </w:pPr>
      <w:r>
        <w:rPr>
          <w:rFonts w:hint="eastAsia"/>
          <w:highlight w:val="none"/>
          <w:lang w:val="en-US" w:eastAsia="zh-CN"/>
        </w:rPr>
        <w:br w:type="page"/>
      </w:r>
    </w:p>
    <w:p w14:paraId="10414218">
      <w:pPr>
        <w:snapToGrid w:val="0"/>
        <w:spacing w:before="50" w:after="120" w:afterLines="50" w:line="440" w:lineRule="exact"/>
        <w:jc w:val="left"/>
        <w:rPr>
          <w:highlight w:val="none"/>
        </w:rPr>
      </w:pPr>
      <w:r>
        <w:rPr>
          <w:rFonts w:hint="eastAsia"/>
          <w:highlight w:val="none"/>
          <w:lang w:val="en-US" w:eastAsia="zh-CN"/>
        </w:rPr>
        <w:t>5</w:t>
      </w:r>
      <w:r>
        <w:rPr>
          <w:highlight w:val="none"/>
        </w:rPr>
        <w:t>.</w:t>
      </w:r>
      <w:r>
        <w:rPr>
          <w:rFonts w:hint="eastAsia"/>
          <w:highlight w:val="none"/>
        </w:rPr>
        <w:t>1</w:t>
      </w:r>
      <w:r>
        <w:rPr>
          <w:highlight w:val="none"/>
        </w:rPr>
        <w:t>供应商基本情况表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552E0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437D7A67">
            <w:pPr>
              <w:jc w:val="center"/>
              <w:rPr>
                <w:szCs w:val="21"/>
                <w:highlight w:val="none"/>
              </w:rPr>
            </w:pPr>
            <w:r>
              <w:rPr>
                <w:szCs w:val="21"/>
                <w:highlight w:val="none"/>
              </w:rPr>
              <w:t>供应商名称</w:t>
            </w:r>
          </w:p>
        </w:tc>
        <w:tc>
          <w:tcPr>
            <w:tcW w:w="7341" w:type="dxa"/>
            <w:gridSpan w:val="8"/>
            <w:noWrap w:val="0"/>
            <w:vAlign w:val="center"/>
          </w:tcPr>
          <w:p w14:paraId="0EA9F4E7">
            <w:pPr>
              <w:jc w:val="center"/>
              <w:rPr>
                <w:szCs w:val="21"/>
                <w:highlight w:val="none"/>
              </w:rPr>
            </w:pPr>
          </w:p>
        </w:tc>
      </w:tr>
      <w:tr w14:paraId="64A0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41859FAE">
            <w:pPr>
              <w:jc w:val="center"/>
              <w:rPr>
                <w:szCs w:val="21"/>
                <w:highlight w:val="none"/>
              </w:rPr>
            </w:pPr>
            <w:r>
              <w:rPr>
                <w:szCs w:val="21"/>
                <w:highlight w:val="none"/>
              </w:rPr>
              <w:t>注册地址</w:t>
            </w:r>
          </w:p>
        </w:tc>
        <w:tc>
          <w:tcPr>
            <w:tcW w:w="3389" w:type="dxa"/>
            <w:gridSpan w:val="4"/>
            <w:noWrap w:val="0"/>
            <w:vAlign w:val="center"/>
          </w:tcPr>
          <w:p w14:paraId="2F368130">
            <w:pPr>
              <w:jc w:val="center"/>
              <w:rPr>
                <w:szCs w:val="21"/>
                <w:highlight w:val="none"/>
              </w:rPr>
            </w:pPr>
          </w:p>
        </w:tc>
        <w:tc>
          <w:tcPr>
            <w:tcW w:w="1246" w:type="dxa"/>
            <w:noWrap w:val="0"/>
            <w:vAlign w:val="center"/>
          </w:tcPr>
          <w:p w14:paraId="540A716D">
            <w:pPr>
              <w:jc w:val="center"/>
              <w:rPr>
                <w:szCs w:val="21"/>
                <w:highlight w:val="none"/>
              </w:rPr>
            </w:pPr>
            <w:r>
              <w:rPr>
                <w:szCs w:val="21"/>
                <w:highlight w:val="none"/>
              </w:rPr>
              <w:t>邮政编码</w:t>
            </w:r>
          </w:p>
        </w:tc>
        <w:tc>
          <w:tcPr>
            <w:tcW w:w="2706" w:type="dxa"/>
            <w:gridSpan w:val="3"/>
            <w:noWrap w:val="0"/>
            <w:vAlign w:val="center"/>
          </w:tcPr>
          <w:p w14:paraId="4AD6802E">
            <w:pPr>
              <w:jc w:val="center"/>
              <w:rPr>
                <w:szCs w:val="21"/>
                <w:highlight w:val="none"/>
              </w:rPr>
            </w:pPr>
          </w:p>
        </w:tc>
      </w:tr>
      <w:tr w14:paraId="1E0C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restart"/>
            <w:noWrap w:val="0"/>
            <w:vAlign w:val="center"/>
          </w:tcPr>
          <w:p w14:paraId="5C27BB53">
            <w:pPr>
              <w:jc w:val="center"/>
              <w:rPr>
                <w:szCs w:val="21"/>
                <w:highlight w:val="none"/>
              </w:rPr>
            </w:pPr>
            <w:r>
              <w:rPr>
                <w:szCs w:val="21"/>
                <w:highlight w:val="none"/>
              </w:rPr>
              <w:t>联系方式</w:t>
            </w:r>
          </w:p>
        </w:tc>
        <w:tc>
          <w:tcPr>
            <w:tcW w:w="897" w:type="dxa"/>
            <w:noWrap w:val="0"/>
            <w:vAlign w:val="center"/>
          </w:tcPr>
          <w:p w14:paraId="2D17B5E8">
            <w:pPr>
              <w:jc w:val="center"/>
              <w:rPr>
                <w:szCs w:val="21"/>
                <w:highlight w:val="none"/>
              </w:rPr>
            </w:pPr>
            <w:r>
              <w:rPr>
                <w:szCs w:val="21"/>
                <w:highlight w:val="none"/>
              </w:rPr>
              <w:t>联系人</w:t>
            </w:r>
          </w:p>
        </w:tc>
        <w:tc>
          <w:tcPr>
            <w:tcW w:w="2492" w:type="dxa"/>
            <w:gridSpan w:val="3"/>
            <w:noWrap w:val="0"/>
            <w:vAlign w:val="center"/>
          </w:tcPr>
          <w:p w14:paraId="5C8DD09A">
            <w:pPr>
              <w:jc w:val="center"/>
              <w:rPr>
                <w:szCs w:val="21"/>
                <w:highlight w:val="none"/>
              </w:rPr>
            </w:pPr>
          </w:p>
        </w:tc>
        <w:tc>
          <w:tcPr>
            <w:tcW w:w="1246" w:type="dxa"/>
            <w:noWrap w:val="0"/>
            <w:vAlign w:val="center"/>
          </w:tcPr>
          <w:p w14:paraId="10F5189D">
            <w:pPr>
              <w:jc w:val="center"/>
              <w:rPr>
                <w:szCs w:val="21"/>
                <w:highlight w:val="none"/>
              </w:rPr>
            </w:pPr>
            <w:r>
              <w:rPr>
                <w:szCs w:val="21"/>
                <w:highlight w:val="none"/>
              </w:rPr>
              <w:t>电  话</w:t>
            </w:r>
          </w:p>
        </w:tc>
        <w:tc>
          <w:tcPr>
            <w:tcW w:w="2706" w:type="dxa"/>
            <w:gridSpan w:val="3"/>
            <w:noWrap w:val="0"/>
            <w:vAlign w:val="center"/>
          </w:tcPr>
          <w:p w14:paraId="62CC52BF">
            <w:pPr>
              <w:jc w:val="center"/>
              <w:rPr>
                <w:szCs w:val="21"/>
                <w:highlight w:val="none"/>
              </w:rPr>
            </w:pPr>
          </w:p>
        </w:tc>
      </w:tr>
      <w:tr w14:paraId="1FE0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vMerge w:val="continue"/>
            <w:noWrap w:val="0"/>
            <w:vAlign w:val="center"/>
          </w:tcPr>
          <w:p w14:paraId="52FA7B8E">
            <w:pPr>
              <w:jc w:val="center"/>
              <w:rPr>
                <w:szCs w:val="21"/>
                <w:highlight w:val="none"/>
              </w:rPr>
            </w:pPr>
          </w:p>
        </w:tc>
        <w:tc>
          <w:tcPr>
            <w:tcW w:w="897" w:type="dxa"/>
            <w:noWrap w:val="0"/>
            <w:vAlign w:val="center"/>
          </w:tcPr>
          <w:p w14:paraId="46984437">
            <w:pPr>
              <w:jc w:val="center"/>
              <w:rPr>
                <w:szCs w:val="21"/>
                <w:highlight w:val="none"/>
              </w:rPr>
            </w:pPr>
            <w:r>
              <w:rPr>
                <w:szCs w:val="21"/>
                <w:highlight w:val="none"/>
              </w:rPr>
              <w:t>传  真</w:t>
            </w:r>
          </w:p>
        </w:tc>
        <w:tc>
          <w:tcPr>
            <w:tcW w:w="2492" w:type="dxa"/>
            <w:gridSpan w:val="3"/>
            <w:noWrap w:val="0"/>
            <w:vAlign w:val="center"/>
          </w:tcPr>
          <w:p w14:paraId="2E784896">
            <w:pPr>
              <w:jc w:val="center"/>
              <w:rPr>
                <w:szCs w:val="21"/>
                <w:highlight w:val="none"/>
              </w:rPr>
            </w:pPr>
          </w:p>
        </w:tc>
        <w:tc>
          <w:tcPr>
            <w:tcW w:w="1246" w:type="dxa"/>
            <w:noWrap w:val="0"/>
            <w:vAlign w:val="center"/>
          </w:tcPr>
          <w:p w14:paraId="758B7E52">
            <w:pPr>
              <w:jc w:val="center"/>
              <w:rPr>
                <w:szCs w:val="21"/>
                <w:highlight w:val="none"/>
              </w:rPr>
            </w:pPr>
            <w:r>
              <w:rPr>
                <w:szCs w:val="21"/>
                <w:highlight w:val="none"/>
              </w:rPr>
              <w:t>网  址</w:t>
            </w:r>
          </w:p>
        </w:tc>
        <w:tc>
          <w:tcPr>
            <w:tcW w:w="2706" w:type="dxa"/>
            <w:gridSpan w:val="3"/>
            <w:noWrap w:val="0"/>
            <w:vAlign w:val="center"/>
          </w:tcPr>
          <w:p w14:paraId="357B8CAF">
            <w:pPr>
              <w:jc w:val="center"/>
              <w:rPr>
                <w:szCs w:val="21"/>
                <w:highlight w:val="none"/>
              </w:rPr>
            </w:pPr>
          </w:p>
        </w:tc>
      </w:tr>
      <w:tr w14:paraId="22B7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1C34CECB">
            <w:pPr>
              <w:jc w:val="center"/>
              <w:rPr>
                <w:szCs w:val="21"/>
                <w:highlight w:val="none"/>
              </w:rPr>
            </w:pPr>
            <w:r>
              <w:rPr>
                <w:szCs w:val="21"/>
                <w:highlight w:val="none"/>
              </w:rPr>
              <w:t>统一社会信用代码</w:t>
            </w:r>
          </w:p>
        </w:tc>
        <w:tc>
          <w:tcPr>
            <w:tcW w:w="7341" w:type="dxa"/>
            <w:gridSpan w:val="8"/>
            <w:noWrap w:val="0"/>
            <w:vAlign w:val="center"/>
          </w:tcPr>
          <w:p w14:paraId="22B8FCE5">
            <w:pPr>
              <w:jc w:val="center"/>
              <w:rPr>
                <w:szCs w:val="21"/>
                <w:highlight w:val="none"/>
              </w:rPr>
            </w:pPr>
          </w:p>
        </w:tc>
      </w:tr>
      <w:tr w14:paraId="508BA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4EBD16D7">
            <w:pPr>
              <w:jc w:val="center"/>
              <w:rPr>
                <w:szCs w:val="21"/>
                <w:highlight w:val="none"/>
              </w:rPr>
            </w:pPr>
            <w:r>
              <w:rPr>
                <w:szCs w:val="21"/>
                <w:highlight w:val="none"/>
              </w:rPr>
              <w:t>法定代表人</w:t>
            </w:r>
          </w:p>
        </w:tc>
        <w:tc>
          <w:tcPr>
            <w:tcW w:w="897" w:type="dxa"/>
            <w:noWrap w:val="0"/>
            <w:vAlign w:val="center"/>
          </w:tcPr>
          <w:p w14:paraId="76794904">
            <w:pPr>
              <w:jc w:val="center"/>
              <w:rPr>
                <w:szCs w:val="21"/>
                <w:highlight w:val="none"/>
              </w:rPr>
            </w:pPr>
            <w:r>
              <w:rPr>
                <w:szCs w:val="21"/>
                <w:highlight w:val="none"/>
              </w:rPr>
              <w:t>姓名</w:t>
            </w:r>
          </w:p>
        </w:tc>
        <w:tc>
          <w:tcPr>
            <w:tcW w:w="1021" w:type="dxa"/>
            <w:noWrap w:val="0"/>
            <w:vAlign w:val="center"/>
          </w:tcPr>
          <w:p w14:paraId="4C1E8935">
            <w:pPr>
              <w:jc w:val="center"/>
              <w:rPr>
                <w:szCs w:val="21"/>
                <w:highlight w:val="none"/>
              </w:rPr>
            </w:pPr>
          </w:p>
        </w:tc>
        <w:tc>
          <w:tcPr>
            <w:tcW w:w="1160" w:type="dxa"/>
            <w:noWrap w:val="0"/>
            <w:vAlign w:val="center"/>
          </w:tcPr>
          <w:p w14:paraId="359D3C32">
            <w:pPr>
              <w:jc w:val="center"/>
              <w:rPr>
                <w:szCs w:val="21"/>
                <w:highlight w:val="none"/>
              </w:rPr>
            </w:pPr>
            <w:r>
              <w:rPr>
                <w:szCs w:val="21"/>
                <w:highlight w:val="none"/>
              </w:rPr>
              <w:t>技术职称</w:t>
            </w:r>
          </w:p>
        </w:tc>
        <w:tc>
          <w:tcPr>
            <w:tcW w:w="1620" w:type="dxa"/>
            <w:gridSpan w:val="3"/>
            <w:noWrap w:val="0"/>
            <w:vAlign w:val="center"/>
          </w:tcPr>
          <w:p w14:paraId="063072E9">
            <w:pPr>
              <w:jc w:val="center"/>
              <w:rPr>
                <w:szCs w:val="21"/>
                <w:highlight w:val="none"/>
              </w:rPr>
            </w:pPr>
          </w:p>
        </w:tc>
        <w:tc>
          <w:tcPr>
            <w:tcW w:w="720" w:type="dxa"/>
            <w:noWrap w:val="0"/>
            <w:vAlign w:val="center"/>
          </w:tcPr>
          <w:p w14:paraId="570CEC9E">
            <w:pPr>
              <w:jc w:val="center"/>
              <w:rPr>
                <w:szCs w:val="21"/>
                <w:highlight w:val="none"/>
              </w:rPr>
            </w:pPr>
            <w:r>
              <w:rPr>
                <w:szCs w:val="21"/>
                <w:highlight w:val="none"/>
              </w:rPr>
              <w:t>电话</w:t>
            </w:r>
          </w:p>
        </w:tc>
        <w:tc>
          <w:tcPr>
            <w:tcW w:w="1923" w:type="dxa"/>
            <w:noWrap w:val="0"/>
            <w:vAlign w:val="center"/>
          </w:tcPr>
          <w:p w14:paraId="658A3E5D">
            <w:pPr>
              <w:jc w:val="center"/>
              <w:rPr>
                <w:szCs w:val="21"/>
                <w:highlight w:val="none"/>
              </w:rPr>
            </w:pPr>
          </w:p>
        </w:tc>
      </w:tr>
      <w:tr w14:paraId="3E890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66862B18">
            <w:pPr>
              <w:jc w:val="center"/>
              <w:rPr>
                <w:szCs w:val="21"/>
                <w:highlight w:val="none"/>
              </w:rPr>
            </w:pPr>
            <w:r>
              <w:rPr>
                <w:szCs w:val="21"/>
                <w:highlight w:val="none"/>
              </w:rPr>
              <w:t>技术负责人</w:t>
            </w:r>
          </w:p>
        </w:tc>
        <w:tc>
          <w:tcPr>
            <w:tcW w:w="897" w:type="dxa"/>
            <w:noWrap w:val="0"/>
            <w:vAlign w:val="center"/>
          </w:tcPr>
          <w:p w14:paraId="065E89AD">
            <w:pPr>
              <w:jc w:val="center"/>
              <w:rPr>
                <w:szCs w:val="21"/>
                <w:highlight w:val="none"/>
              </w:rPr>
            </w:pPr>
            <w:r>
              <w:rPr>
                <w:szCs w:val="21"/>
                <w:highlight w:val="none"/>
              </w:rPr>
              <w:t>姓名</w:t>
            </w:r>
          </w:p>
        </w:tc>
        <w:tc>
          <w:tcPr>
            <w:tcW w:w="1021" w:type="dxa"/>
            <w:noWrap w:val="0"/>
            <w:vAlign w:val="center"/>
          </w:tcPr>
          <w:p w14:paraId="25B34210">
            <w:pPr>
              <w:jc w:val="center"/>
              <w:rPr>
                <w:szCs w:val="21"/>
                <w:highlight w:val="none"/>
              </w:rPr>
            </w:pPr>
          </w:p>
        </w:tc>
        <w:tc>
          <w:tcPr>
            <w:tcW w:w="1160" w:type="dxa"/>
            <w:noWrap w:val="0"/>
            <w:vAlign w:val="center"/>
          </w:tcPr>
          <w:p w14:paraId="640B7D77">
            <w:pPr>
              <w:jc w:val="center"/>
              <w:rPr>
                <w:szCs w:val="21"/>
                <w:highlight w:val="none"/>
              </w:rPr>
            </w:pPr>
            <w:r>
              <w:rPr>
                <w:szCs w:val="21"/>
                <w:highlight w:val="none"/>
              </w:rPr>
              <w:t>技术职称</w:t>
            </w:r>
          </w:p>
        </w:tc>
        <w:tc>
          <w:tcPr>
            <w:tcW w:w="1620" w:type="dxa"/>
            <w:gridSpan w:val="3"/>
            <w:noWrap w:val="0"/>
            <w:vAlign w:val="center"/>
          </w:tcPr>
          <w:p w14:paraId="09523FAB">
            <w:pPr>
              <w:jc w:val="center"/>
              <w:rPr>
                <w:szCs w:val="21"/>
                <w:highlight w:val="none"/>
              </w:rPr>
            </w:pPr>
          </w:p>
        </w:tc>
        <w:tc>
          <w:tcPr>
            <w:tcW w:w="720" w:type="dxa"/>
            <w:noWrap w:val="0"/>
            <w:vAlign w:val="center"/>
          </w:tcPr>
          <w:p w14:paraId="76FDCCB2">
            <w:pPr>
              <w:jc w:val="center"/>
              <w:rPr>
                <w:szCs w:val="21"/>
                <w:highlight w:val="none"/>
              </w:rPr>
            </w:pPr>
            <w:r>
              <w:rPr>
                <w:szCs w:val="21"/>
                <w:highlight w:val="none"/>
              </w:rPr>
              <w:t>电话</w:t>
            </w:r>
          </w:p>
        </w:tc>
        <w:tc>
          <w:tcPr>
            <w:tcW w:w="1923" w:type="dxa"/>
            <w:noWrap w:val="0"/>
            <w:vAlign w:val="center"/>
          </w:tcPr>
          <w:p w14:paraId="5B981EF5">
            <w:pPr>
              <w:jc w:val="center"/>
              <w:rPr>
                <w:szCs w:val="21"/>
                <w:highlight w:val="none"/>
              </w:rPr>
            </w:pPr>
          </w:p>
        </w:tc>
      </w:tr>
      <w:tr w14:paraId="3619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5217E886">
            <w:pPr>
              <w:jc w:val="center"/>
              <w:rPr>
                <w:szCs w:val="21"/>
                <w:highlight w:val="none"/>
              </w:rPr>
            </w:pPr>
            <w:r>
              <w:rPr>
                <w:szCs w:val="21"/>
                <w:highlight w:val="none"/>
              </w:rPr>
              <w:t>成立时间</w:t>
            </w:r>
          </w:p>
        </w:tc>
        <w:tc>
          <w:tcPr>
            <w:tcW w:w="7341" w:type="dxa"/>
            <w:gridSpan w:val="8"/>
            <w:noWrap w:val="0"/>
            <w:vAlign w:val="center"/>
          </w:tcPr>
          <w:p w14:paraId="6525318E">
            <w:pPr>
              <w:jc w:val="center"/>
              <w:rPr>
                <w:szCs w:val="21"/>
                <w:highlight w:val="none"/>
              </w:rPr>
            </w:pPr>
          </w:p>
        </w:tc>
      </w:tr>
      <w:tr w14:paraId="791A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6D4EB636">
            <w:pPr>
              <w:jc w:val="center"/>
              <w:rPr>
                <w:szCs w:val="21"/>
                <w:highlight w:val="none"/>
              </w:rPr>
            </w:pPr>
            <w:r>
              <w:rPr>
                <w:szCs w:val="21"/>
                <w:highlight w:val="none"/>
              </w:rPr>
              <w:t>资质等级</w:t>
            </w:r>
          </w:p>
        </w:tc>
        <w:tc>
          <w:tcPr>
            <w:tcW w:w="1918" w:type="dxa"/>
            <w:gridSpan w:val="2"/>
            <w:noWrap w:val="0"/>
            <w:vAlign w:val="center"/>
          </w:tcPr>
          <w:p w14:paraId="47E0E9EC">
            <w:pPr>
              <w:jc w:val="center"/>
              <w:rPr>
                <w:szCs w:val="21"/>
                <w:highlight w:val="none"/>
              </w:rPr>
            </w:pPr>
          </w:p>
        </w:tc>
        <w:tc>
          <w:tcPr>
            <w:tcW w:w="2780" w:type="dxa"/>
            <w:gridSpan w:val="4"/>
            <w:noWrap w:val="0"/>
            <w:vAlign w:val="center"/>
          </w:tcPr>
          <w:p w14:paraId="29E62519">
            <w:pPr>
              <w:jc w:val="center"/>
              <w:rPr>
                <w:rFonts w:hint="default" w:eastAsia="宋体"/>
                <w:szCs w:val="21"/>
                <w:highlight w:val="none"/>
                <w:lang w:val="en-US" w:eastAsia="zh-CN"/>
              </w:rPr>
            </w:pPr>
            <w:r>
              <w:rPr>
                <w:rFonts w:hint="eastAsia"/>
                <w:szCs w:val="21"/>
                <w:highlight w:val="none"/>
                <w:lang w:val="en-US" w:eastAsia="zh-CN"/>
              </w:rPr>
              <w:t>资质有效期</w:t>
            </w:r>
          </w:p>
        </w:tc>
        <w:tc>
          <w:tcPr>
            <w:tcW w:w="2643" w:type="dxa"/>
            <w:gridSpan w:val="2"/>
            <w:noWrap w:val="0"/>
            <w:vAlign w:val="center"/>
          </w:tcPr>
          <w:p w14:paraId="63E61806">
            <w:pPr>
              <w:jc w:val="center"/>
              <w:rPr>
                <w:szCs w:val="21"/>
                <w:highlight w:val="none"/>
              </w:rPr>
            </w:pPr>
          </w:p>
        </w:tc>
      </w:tr>
      <w:tr w14:paraId="3F65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0394A31">
            <w:pPr>
              <w:jc w:val="center"/>
              <w:rPr>
                <w:szCs w:val="21"/>
                <w:highlight w:val="none"/>
              </w:rPr>
            </w:pPr>
            <w:r>
              <w:rPr>
                <w:szCs w:val="21"/>
                <w:highlight w:val="none"/>
              </w:rPr>
              <w:t>安全生产许可证号</w:t>
            </w:r>
          </w:p>
        </w:tc>
        <w:tc>
          <w:tcPr>
            <w:tcW w:w="1918" w:type="dxa"/>
            <w:gridSpan w:val="2"/>
            <w:noWrap w:val="0"/>
            <w:vAlign w:val="center"/>
          </w:tcPr>
          <w:p w14:paraId="246A42D2">
            <w:pPr>
              <w:jc w:val="center"/>
              <w:rPr>
                <w:color w:val="auto"/>
                <w:szCs w:val="21"/>
                <w:highlight w:val="none"/>
              </w:rPr>
            </w:pPr>
          </w:p>
        </w:tc>
        <w:tc>
          <w:tcPr>
            <w:tcW w:w="1160" w:type="dxa"/>
            <w:noWrap w:val="0"/>
            <w:vAlign w:val="center"/>
          </w:tcPr>
          <w:p w14:paraId="3B38C938">
            <w:pPr>
              <w:jc w:val="center"/>
              <w:rPr>
                <w:color w:val="auto"/>
                <w:szCs w:val="21"/>
                <w:highlight w:val="none"/>
              </w:rPr>
            </w:pPr>
          </w:p>
        </w:tc>
        <w:tc>
          <w:tcPr>
            <w:tcW w:w="1620" w:type="dxa"/>
            <w:gridSpan w:val="3"/>
            <w:noWrap w:val="0"/>
            <w:vAlign w:val="center"/>
          </w:tcPr>
          <w:p w14:paraId="64ED3E79">
            <w:pPr>
              <w:jc w:val="center"/>
              <w:rPr>
                <w:rFonts w:hint="eastAsia" w:eastAsia="宋体"/>
                <w:color w:val="auto"/>
                <w:szCs w:val="21"/>
                <w:highlight w:val="none"/>
                <w:lang w:val="en-US" w:eastAsia="zh-CN"/>
              </w:rPr>
            </w:pPr>
            <w:r>
              <w:rPr>
                <w:color w:val="auto"/>
                <w:szCs w:val="21"/>
                <w:highlight w:val="none"/>
              </w:rPr>
              <w:t>安全生产许可证</w:t>
            </w:r>
            <w:r>
              <w:rPr>
                <w:rFonts w:hint="eastAsia"/>
                <w:color w:val="auto"/>
                <w:szCs w:val="21"/>
                <w:highlight w:val="none"/>
                <w:lang w:val="en-US" w:eastAsia="zh-CN"/>
              </w:rPr>
              <w:t>有效期</w:t>
            </w:r>
          </w:p>
        </w:tc>
        <w:tc>
          <w:tcPr>
            <w:tcW w:w="2643" w:type="dxa"/>
            <w:gridSpan w:val="2"/>
            <w:noWrap w:val="0"/>
            <w:vAlign w:val="center"/>
          </w:tcPr>
          <w:p w14:paraId="4E57B2D1">
            <w:pPr>
              <w:jc w:val="center"/>
              <w:rPr>
                <w:color w:val="auto"/>
                <w:szCs w:val="21"/>
                <w:highlight w:val="none"/>
              </w:rPr>
            </w:pPr>
          </w:p>
        </w:tc>
      </w:tr>
      <w:tr w14:paraId="5EB8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B62E156">
            <w:pPr>
              <w:jc w:val="center"/>
              <w:rPr>
                <w:szCs w:val="21"/>
                <w:highlight w:val="none"/>
              </w:rPr>
            </w:pPr>
            <w:r>
              <w:rPr>
                <w:szCs w:val="21"/>
                <w:highlight w:val="none"/>
              </w:rPr>
              <w:t>注册资金</w:t>
            </w:r>
          </w:p>
        </w:tc>
        <w:tc>
          <w:tcPr>
            <w:tcW w:w="7341" w:type="dxa"/>
            <w:gridSpan w:val="8"/>
            <w:noWrap w:val="0"/>
            <w:vAlign w:val="center"/>
          </w:tcPr>
          <w:p w14:paraId="1BA83A3F">
            <w:pPr>
              <w:jc w:val="center"/>
              <w:rPr>
                <w:color w:val="auto"/>
                <w:szCs w:val="21"/>
                <w:highlight w:val="none"/>
              </w:rPr>
            </w:pPr>
          </w:p>
        </w:tc>
      </w:tr>
      <w:tr w14:paraId="1BE9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3A75064A">
            <w:pPr>
              <w:jc w:val="center"/>
              <w:rPr>
                <w:szCs w:val="21"/>
                <w:highlight w:val="none"/>
              </w:rPr>
            </w:pPr>
            <w:r>
              <w:rPr>
                <w:szCs w:val="21"/>
                <w:highlight w:val="none"/>
              </w:rPr>
              <w:t>开户银行</w:t>
            </w:r>
          </w:p>
        </w:tc>
        <w:tc>
          <w:tcPr>
            <w:tcW w:w="7341" w:type="dxa"/>
            <w:gridSpan w:val="8"/>
            <w:noWrap w:val="0"/>
            <w:vAlign w:val="center"/>
          </w:tcPr>
          <w:p w14:paraId="648D7154">
            <w:pPr>
              <w:jc w:val="center"/>
              <w:rPr>
                <w:szCs w:val="21"/>
                <w:highlight w:val="none"/>
              </w:rPr>
            </w:pPr>
          </w:p>
        </w:tc>
      </w:tr>
      <w:tr w14:paraId="7852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2FA272D3">
            <w:pPr>
              <w:jc w:val="center"/>
              <w:rPr>
                <w:szCs w:val="21"/>
                <w:highlight w:val="none"/>
              </w:rPr>
            </w:pPr>
            <w:r>
              <w:rPr>
                <w:szCs w:val="21"/>
                <w:highlight w:val="none"/>
              </w:rPr>
              <w:t>账号</w:t>
            </w:r>
          </w:p>
        </w:tc>
        <w:tc>
          <w:tcPr>
            <w:tcW w:w="7341" w:type="dxa"/>
            <w:gridSpan w:val="8"/>
            <w:noWrap w:val="0"/>
            <w:vAlign w:val="center"/>
          </w:tcPr>
          <w:p w14:paraId="09C6492A">
            <w:pPr>
              <w:jc w:val="center"/>
              <w:rPr>
                <w:szCs w:val="21"/>
                <w:highlight w:val="none"/>
              </w:rPr>
            </w:pPr>
          </w:p>
        </w:tc>
      </w:tr>
      <w:tr w14:paraId="4D41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jc w:val="center"/>
        </w:trPr>
        <w:tc>
          <w:tcPr>
            <w:tcW w:w="1626" w:type="dxa"/>
            <w:noWrap w:val="0"/>
            <w:vAlign w:val="center"/>
          </w:tcPr>
          <w:p w14:paraId="21B4C6C3">
            <w:pPr>
              <w:jc w:val="center"/>
              <w:rPr>
                <w:szCs w:val="21"/>
                <w:highlight w:val="none"/>
              </w:rPr>
            </w:pPr>
            <w:r>
              <w:rPr>
                <w:szCs w:val="21"/>
                <w:highlight w:val="none"/>
              </w:rPr>
              <w:t>经营范围</w:t>
            </w:r>
          </w:p>
        </w:tc>
        <w:tc>
          <w:tcPr>
            <w:tcW w:w="7341" w:type="dxa"/>
            <w:gridSpan w:val="8"/>
            <w:noWrap w:val="0"/>
            <w:vAlign w:val="center"/>
          </w:tcPr>
          <w:p w14:paraId="4275F266">
            <w:pPr>
              <w:jc w:val="center"/>
              <w:rPr>
                <w:szCs w:val="21"/>
                <w:highlight w:val="none"/>
              </w:rPr>
            </w:pPr>
          </w:p>
        </w:tc>
      </w:tr>
      <w:tr w14:paraId="4DDE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26" w:type="dxa"/>
            <w:noWrap w:val="0"/>
            <w:vAlign w:val="center"/>
          </w:tcPr>
          <w:p w14:paraId="6D8519F3">
            <w:pPr>
              <w:jc w:val="center"/>
              <w:rPr>
                <w:szCs w:val="21"/>
                <w:highlight w:val="none"/>
              </w:rPr>
            </w:pPr>
            <w:r>
              <w:rPr>
                <w:szCs w:val="21"/>
                <w:highlight w:val="none"/>
              </w:rPr>
              <w:t>备注</w:t>
            </w:r>
          </w:p>
        </w:tc>
        <w:tc>
          <w:tcPr>
            <w:tcW w:w="7341" w:type="dxa"/>
            <w:gridSpan w:val="8"/>
            <w:noWrap w:val="0"/>
            <w:vAlign w:val="center"/>
          </w:tcPr>
          <w:p w14:paraId="2B3E8DC6">
            <w:pPr>
              <w:jc w:val="center"/>
              <w:rPr>
                <w:szCs w:val="21"/>
                <w:highlight w:val="none"/>
              </w:rPr>
            </w:pPr>
          </w:p>
        </w:tc>
      </w:tr>
    </w:tbl>
    <w:p w14:paraId="4A1413C7">
      <w:pPr>
        <w:snapToGrid w:val="0"/>
        <w:spacing w:before="50" w:after="120" w:afterLines="50" w:line="440" w:lineRule="exact"/>
        <w:jc w:val="left"/>
        <w:rPr>
          <w:b/>
          <w:szCs w:val="21"/>
          <w:highlight w:val="none"/>
        </w:rPr>
      </w:pPr>
      <w:r>
        <w:rPr>
          <w:szCs w:val="21"/>
          <w:highlight w:val="none"/>
        </w:rPr>
        <w:t>【备注：</w:t>
      </w:r>
      <w:r>
        <w:rPr>
          <w:rFonts w:hint="eastAsia"/>
          <w:szCs w:val="21"/>
          <w:highlight w:val="none"/>
        </w:rPr>
        <w:t>附有效的安全生产许可证副本扫描件</w:t>
      </w:r>
      <w:r>
        <w:rPr>
          <w:szCs w:val="21"/>
          <w:highlight w:val="none"/>
        </w:rPr>
        <w:t>加盖</w:t>
      </w:r>
      <w:bookmarkStart w:id="459" w:name="_Hlk89190857"/>
      <w:r>
        <w:rPr>
          <w:szCs w:val="21"/>
          <w:highlight w:val="none"/>
        </w:rPr>
        <w:t>供应商</w:t>
      </w:r>
      <w:r>
        <w:rPr>
          <w:rFonts w:hint="eastAsia"/>
          <w:szCs w:val="21"/>
          <w:highlight w:val="none"/>
        </w:rPr>
        <w:t>电子签章</w:t>
      </w:r>
      <w:bookmarkEnd w:id="459"/>
      <w:r>
        <w:rPr>
          <w:szCs w:val="21"/>
          <w:highlight w:val="none"/>
        </w:rPr>
        <w:t>】</w:t>
      </w:r>
      <w:r>
        <w:rPr>
          <w:szCs w:val="21"/>
          <w:highlight w:val="none"/>
        </w:rPr>
        <w:br w:type="page"/>
      </w:r>
      <w:bookmarkStart w:id="460" w:name="_Hlk132792497"/>
      <w:r>
        <w:rPr>
          <w:rFonts w:hint="eastAsia"/>
          <w:bCs/>
          <w:szCs w:val="21"/>
          <w:highlight w:val="none"/>
          <w:lang w:val="en-US" w:eastAsia="zh-CN"/>
        </w:rPr>
        <w:t>6</w:t>
      </w:r>
      <w:r>
        <w:rPr>
          <w:bCs/>
          <w:szCs w:val="21"/>
          <w:highlight w:val="none"/>
        </w:rPr>
        <w:t>．</w:t>
      </w:r>
      <w:r>
        <w:rPr>
          <w:rFonts w:hint="eastAsia"/>
          <w:bCs/>
          <w:szCs w:val="21"/>
          <w:highlight w:val="none"/>
        </w:rPr>
        <w:t>落实政府采购政策需满足的资格要求</w:t>
      </w:r>
      <w:r>
        <w:rPr>
          <w:bCs/>
          <w:szCs w:val="21"/>
          <w:highlight w:val="none"/>
        </w:rPr>
        <w:t>（按“评审方法及标准” “资格审查表”规定提供）。</w:t>
      </w:r>
      <w:r>
        <w:rPr>
          <w:rFonts w:hint="eastAsia"/>
          <w:bCs/>
          <w:szCs w:val="21"/>
          <w:highlight w:val="none"/>
        </w:rPr>
        <w:t>（</w:t>
      </w:r>
      <w:r>
        <w:rPr>
          <w:rFonts w:hint="eastAsia"/>
          <w:b/>
          <w:szCs w:val="21"/>
          <w:highlight w:val="none"/>
        </w:rPr>
        <w:t>如采购文件有要求时提供</w:t>
      </w:r>
      <w:r>
        <w:rPr>
          <w:rFonts w:hint="eastAsia"/>
          <w:bCs/>
          <w:szCs w:val="21"/>
          <w:highlight w:val="none"/>
        </w:rPr>
        <w:t>）</w:t>
      </w:r>
    </w:p>
    <w:bookmarkEnd w:id="460"/>
    <w:p w14:paraId="5652997E">
      <w:pPr>
        <w:rPr>
          <w:szCs w:val="21"/>
          <w:highlight w:val="none"/>
        </w:rPr>
      </w:pPr>
      <w:r>
        <w:rPr>
          <w:rFonts w:hint="eastAsia"/>
          <w:szCs w:val="21"/>
          <w:highlight w:val="none"/>
          <w:lang w:val="en-US" w:eastAsia="zh-CN"/>
        </w:rPr>
        <w:t>6</w:t>
      </w:r>
      <w:r>
        <w:rPr>
          <w:szCs w:val="21"/>
          <w:highlight w:val="none"/>
        </w:rPr>
        <w:t>.1</w:t>
      </w:r>
      <w:r>
        <w:rPr>
          <w:rFonts w:hint="eastAsia"/>
          <w:bCs/>
          <w:szCs w:val="21"/>
          <w:highlight w:val="none"/>
        </w:rPr>
        <w:t>中小企业声明函</w:t>
      </w:r>
      <w:r>
        <w:rPr>
          <w:szCs w:val="21"/>
          <w:highlight w:val="none"/>
        </w:rPr>
        <w:t>。</w:t>
      </w:r>
    </w:p>
    <w:p w14:paraId="20E9395F">
      <w:pPr>
        <w:spacing w:line="360" w:lineRule="auto"/>
        <w:ind w:firstLine="3584" w:firstLineChars="1700"/>
        <w:rPr>
          <w:b/>
          <w:szCs w:val="21"/>
          <w:highlight w:val="none"/>
        </w:rPr>
      </w:pPr>
    </w:p>
    <w:p w14:paraId="421FC741">
      <w:pPr>
        <w:spacing w:line="360" w:lineRule="auto"/>
        <w:ind w:firstLine="420"/>
        <w:jc w:val="center"/>
        <w:rPr>
          <w:b/>
          <w:szCs w:val="21"/>
          <w:highlight w:val="none"/>
        </w:rPr>
      </w:pPr>
      <w:r>
        <w:rPr>
          <w:rFonts w:hint="eastAsia"/>
          <w:b/>
          <w:szCs w:val="21"/>
          <w:highlight w:val="none"/>
        </w:rPr>
        <w:t>中小企业声明函（工程）</w:t>
      </w:r>
    </w:p>
    <w:p w14:paraId="41746102">
      <w:pPr>
        <w:spacing w:line="360" w:lineRule="auto"/>
        <w:ind w:firstLine="420"/>
        <w:rPr>
          <w:bCs/>
          <w:szCs w:val="21"/>
          <w:highlight w:val="none"/>
        </w:rPr>
      </w:pPr>
      <w:r>
        <w:rPr>
          <w:rFonts w:hint="eastAsia"/>
          <w:bCs/>
          <w:szCs w:val="21"/>
          <w:highlight w:val="none"/>
        </w:rPr>
        <w:t>本公司（联合体）郑重声明，根据《政府采购促进中小企业发展管理办法》（财库﹝2020﹞46 号）的规定，本公司（联合体）参加</w:t>
      </w:r>
      <w:r>
        <w:rPr>
          <w:rFonts w:hint="eastAsia"/>
          <w:bCs/>
          <w:szCs w:val="21"/>
          <w:highlight w:val="none"/>
          <w:u w:val="single"/>
        </w:rPr>
        <w:t>（单位名称）</w:t>
      </w:r>
      <w:r>
        <w:rPr>
          <w:rFonts w:hint="eastAsia"/>
          <w:bCs/>
          <w:szCs w:val="21"/>
          <w:highlight w:val="none"/>
        </w:rPr>
        <w:t>的</w:t>
      </w:r>
      <w:r>
        <w:rPr>
          <w:rFonts w:hint="eastAsia"/>
          <w:bCs/>
          <w:szCs w:val="21"/>
          <w:highlight w:val="none"/>
          <w:u w:val="single"/>
        </w:rPr>
        <w:t>（项目名称）</w:t>
      </w:r>
      <w:r>
        <w:rPr>
          <w:rFonts w:hint="eastAsia"/>
          <w:bCs/>
          <w:szCs w:val="21"/>
          <w:highlight w:val="none"/>
        </w:rPr>
        <w:t>采购活动，服务全部由符合政策要求的中小企业承接。相关企业（含联合体中的中小企业、签订分包意向协议的中小企业） 的具体情况如下：</w:t>
      </w:r>
    </w:p>
    <w:p w14:paraId="20EBDF18">
      <w:pPr>
        <w:spacing w:line="360" w:lineRule="auto"/>
        <w:ind w:firstLine="420"/>
        <w:rPr>
          <w:bCs/>
          <w:szCs w:val="21"/>
          <w:highlight w:val="none"/>
        </w:rPr>
      </w:pPr>
      <w:r>
        <w:rPr>
          <w:bCs/>
          <w:szCs w:val="21"/>
          <w:highlight w:val="none"/>
        </w:rPr>
        <w:t>1.</w:t>
      </w:r>
      <w:r>
        <w:rPr>
          <w:rFonts w:hint="eastAsia"/>
          <w:bCs/>
          <w:szCs w:val="21"/>
          <w:highlight w:val="none"/>
          <w:u w:val="single"/>
        </w:rPr>
        <w:t>（标的名称）</w:t>
      </w:r>
      <w:r>
        <w:rPr>
          <w:rFonts w:hint="eastAsia"/>
          <w:bCs/>
          <w:szCs w:val="21"/>
          <w:highlight w:val="none"/>
        </w:rPr>
        <w:t>，属于</w:t>
      </w:r>
      <w:r>
        <w:rPr>
          <w:rFonts w:hint="eastAsia"/>
          <w:bCs/>
          <w:szCs w:val="21"/>
          <w:highlight w:val="none"/>
          <w:u w:val="single"/>
        </w:rPr>
        <w:t>（采购文件中明确的所属行业）</w:t>
      </w:r>
      <w:r>
        <w:rPr>
          <w:rFonts w:hint="eastAsia"/>
          <w:bCs/>
          <w:szCs w:val="21"/>
          <w:highlight w:val="none"/>
        </w:rPr>
        <w:t>行业；承建（承接）企业为</w:t>
      </w:r>
      <w:r>
        <w:rPr>
          <w:rFonts w:hint="eastAsia"/>
          <w:bCs/>
          <w:szCs w:val="21"/>
          <w:highlight w:val="none"/>
          <w:u w:val="single"/>
        </w:rPr>
        <w:t>（企业名称）</w:t>
      </w:r>
      <w:r>
        <w:rPr>
          <w:rFonts w:hint="eastAsia"/>
          <w:bCs/>
          <w:szCs w:val="21"/>
          <w:highlight w:val="none"/>
        </w:rPr>
        <w:t>，从业人员</w:t>
      </w:r>
      <w:r>
        <w:rPr>
          <w:bCs/>
          <w:szCs w:val="21"/>
          <w:highlight w:val="none"/>
          <w:u w:val="single"/>
        </w:rPr>
        <w:t xml:space="preserve">    </w:t>
      </w:r>
      <w:r>
        <w:rPr>
          <w:rFonts w:hint="eastAsia"/>
          <w:bCs/>
          <w:szCs w:val="21"/>
          <w:highlight w:val="none"/>
        </w:rPr>
        <w:t>人，营业收入为</w:t>
      </w:r>
      <w:r>
        <w:rPr>
          <w:rFonts w:hint="eastAsia"/>
          <w:bCs/>
          <w:szCs w:val="21"/>
          <w:highlight w:val="none"/>
          <w:u w:val="single"/>
        </w:rPr>
        <w:t xml:space="preserve"> </w:t>
      </w:r>
      <w:r>
        <w:rPr>
          <w:bCs/>
          <w:szCs w:val="21"/>
          <w:highlight w:val="none"/>
          <w:u w:val="single"/>
        </w:rPr>
        <w:t xml:space="preserve">  </w:t>
      </w:r>
      <w:r>
        <w:rPr>
          <w:rFonts w:hint="eastAsia"/>
          <w:bCs/>
          <w:szCs w:val="21"/>
          <w:highlight w:val="none"/>
          <w:u w:val="single"/>
        </w:rPr>
        <w:t xml:space="preserve"> </w:t>
      </w:r>
      <w:r>
        <w:rPr>
          <w:rFonts w:hint="eastAsia"/>
          <w:bCs/>
          <w:szCs w:val="21"/>
          <w:highlight w:val="none"/>
        </w:rPr>
        <w:t>万元，资产总额为</w:t>
      </w:r>
      <w:r>
        <w:rPr>
          <w:rFonts w:hint="eastAsia"/>
          <w:bCs/>
          <w:szCs w:val="21"/>
          <w:highlight w:val="none"/>
          <w:u w:val="single"/>
        </w:rPr>
        <w:t xml:space="preserve">    </w:t>
      </w:r>
      <w:r>
        <w:rPr>
          <w:rFonts w:hint="eastAsia"/>
          <w:bCs/>
          <w:szCs w:val="21"/>
          <w:highlight w:val="none"/>
        </w:rPr>
        <w:t>万元，属于</w:t>
      </w:r>
      <w:r>
        <w:rPr>
          <w:rFonts w:hint="eastAsia"/>
          <w:bCs/>
          <w:szCs w:val="21"/>
          <w:highlight w:val="none"/>
          <w:u w:val="single"/>
        </w:rPr>
        <w:t>（中型企业、小型企业、微型企业）</w:t>
      </w:r>
      <w:r>
        <w:rPr>
          <w:rFonts w:hint="eastAsia"/>
          <w:bCs/>
          <w:szCs w:val="21"/>
          <w:highlight w:val="none"/>
        </w:rPr>
        <w:t>；</w:t>
      </w:r>
    </w:p>
    <w:p w14:paraId="1DB272B1">
      <w:pPr>
        <w:spacing w:line="360" w:lineRule="auto"/>
        <w:ind w:firstLine="420"/>
        <w:rPr>
          <w:bCs/>
          <w:szCs w:val="21"/>
          <w:highlight w:val="none"/>
        </w:rPr>
      </w:pPr>
      <w:r>
        <w:rPr>
          <w:bCs/>
          <w:szCs w:val="21"/>
          <w:highlight w:val="none"/>
        </w:rPr>
        <w:t>2.</w:t>
      </w:r>
      <w:r>
        <w:rPr>
          <w:rFonts w:hint="eastAsia"/>
          <w:bCs/>
          <w:szCs w:val="21"/>
          <w:highlight w:val="none"/>
          <w:u w:val="single"/>
        </w:rPr>
        <w:t>（标的名称）</w:t>
      </w:r>
      <w:r>
        <w:rPr>
          <w:rFonts w:hint="eastAsia"/>
          <w:bCs/>
          <w:szCs w:val="21"/>
          <w:highlight w:val="none"/>
        </w:rPr>
        <w:t>，属于</w:t>
      </w:r>
      <w:r>
        <w:rPr>
          <w:rFonts w:hint="eastAsia"/>
          <w:bCs/>
          <w:szCs w:val="21"/>
          <w:highlight w:val="none"/>
          <w:u w:val="single"/>
        </w:rPr>
        <w:t>（采购文件中明确的所属行业）</w:t>
      </w:r>
      <w:r>
        <w:rPr>
          <w:rFonts w:hint="eastAsia"/>
          <w:bCs/>
          <w:szCs w:val="21"/>
          <w:highlight w:val="none"/>
        </w:rPr>
        <w:t>行业；承建（承接）企业为</w:t>
      </w:r>
      <w:r>
        <w:rPr>
          <w:rFonts w:hint="eastAsia"/>
          <w:bCs/>
          <w:szCs w:val="21"/>
          <w:highlight w:val="none"/>
          <w:u w:val="single"/>
        </w:rPr>
        <w:t>（企业名称）</w:t>
      </w:r>
      <w:r>
        <w:rPr>
          <w:rFonts w:hint="eastAsia"/>
          <w:bCs/>
          <w:szCs w:val="21"/>
          <w:highlight w:val="none"/>
        </w:rPr>
        <w:t>，从业人员</w:t>
      </w:r>
      <w:r>
        <w:rPr>
          <w:rFonts w:hint="eastAsia"/>
          <w:bCs/>
          <w:szCs w:val="21"/>
          <w:highlight w:val="none"/>
          <w:u w:val="single"/>
        </w:rPr>
        <w:t xml:space="preserve">       </w:t>
      </w:r>
      <w:r>
        <w:rPr>
          <w:rFonts w:hint="eastAsia"/>
          <w:bCs/>
          <w:szCs w:val="21"/>
          <w:highlight w:val="none"/>
        </w:rPr>
        <w:t>人，营业收入为</w:t>
      </w:r>
      <w:r>
        <w:rPr>
          <w:rFonts w:hint="eastAsia"/>
          <w:bCs/>
          <w:szCs w:val="21"/>
          <w:highlight w:val="none"/>
          <w:u w:val="single"/>
        </w:rPr>
        <w:t xml:space="preserve">     </w:t>
      </w:r>
      <w:r>
        <w:rPr>
          <w:rFonts w:hint="eastAsia"/>
          <w:bCs/>
          <w:szCs w:val="21"/>
          <w:highlight w:val="none"/>
        </w:rPr>
        <w:t>万元，资产总额为</w:t>
      </w:r>
      <w:r>
        <w:rPr>
          <w:rFonts w:hint="eastAsia"/>
          <w:bCs/>
          <w:szCs w:val="21"/>
          <w:highlight w:val="none"/>
          <w:u w:val="single"/>
        </w:rPr>
        <w:t xml:space="preserve"> </w:t>
      </w:r>
      <w:r>
        <w:rPr>
          <w:bCs/>
          <w:szCs w:val="21"/>
          <w:highlight w:val="none"/>
          <w:u w:val="single"/>
        </w:rPr>
        <w:t xml:space="preserve">     </w:t>
      </w:r>
      <w:r>
        <w:rPr>
          <w:rFonts w:hint="eastAsia"/>
          <w:bCs/>
          <w:szCs w:val="21"/>
          <w:highlight w:val="none"/>
          <w:u w:val="single"/>
        </w:rPr>
        <w:t xml:space="preserve"> </w:t>
      </w:r>
      <w:r>
        <w:rPr>
          <w:rFonts w:hint="eastAsia"/>
          <w:bCs/>
          <w:szCs w:val="21"/>
          <w:highlight w:val="none"/>
        </w:rPr>
        <w:t>万元，属于</w:t>
      </w:r>
      <w:r>
        <w:rPr>
          <w:rFonts w:hint="eastAsia"/>
          <w:bCs/>
          <w:szCs w:val="21"/>
          <w:highlight w:val="none"/>
          <w:u w:val="single"/>
        </w:rPr>
        <w:t>（中型企业、小型企业、微型企业）</w:t>
      </w:r>
      <w:r>
        <w:rPr>
          <w:rFonts w:hint="eastAsia"/>
          <w:bCs/>
          <w:szCs w:val="21"/>
          <w:highlight w:val="none"/>
        </w:rPr>
        <w:t>；</w:t>
      </w:r>
    </w:p>
    <w:p w14:paraId="60F53D62">
      <w:pPr>
        <w:spacing w:line="360" w:lineRule="auto"/>
        <w:ind w:firstLine="420"/>
        <w:rPr>
          <w:bCs/>
          <w:szCs w:val="21"/>
          <w:highlight w:val="none"/>
        </w:rPr>
      </w:pPr>
      <w:r>
        <w:rPr>
          <w:rFonts w:hint="eastAsia"/>
          <w:bCs/>
          <w:szCs w:val="21"/>
          <w:highlight w:val="none"/>
        </w:rPr>
        <w:t>……</w:t>
      </w:r>
    </w:p>
    <w:p w14:paraId="08F4FA88">
      <w:pPr>
        <w:spacing w:line="360" w:lineRule="auto"/>
        <w:ind w:firstLine="420"/>
        <w:rPr>
          <w:bCs/>
          <w:szCs w:val="21"/>
          <w:highlight w:val="none"/>
        </w:rPr>
      </w:pPr>
      <w:r>
        <w:rPr>
          <w:rFonts w:hint="eastAsia"/>
          <w:bCs/>
          <w:szCs w:val="21"/>
          <w:highlight w:val="none"/>
        </w:rPr>
        <w:t>以上企业，不属于大企业的分支机构，不存在控股股东为大企业的情形，也不存在与大企业的负责人为同一人的情形。</w:t>
      </w:r>
    </w:p>
    <w:p w14:paraId="67C9BCF8">
      <w:pPr>
        <w:spacing w:line="360" w:lineRule="auto"/>
        <w:ind w:firstLine="420"/>
        <w:rPr>
          <w:bCs/>
          <w:szCs w:val="21"/>
          <w:highlight w:val="none"/>
        </w:rPr>
      </w:pPr>
      <w:r>
        <w:rPr>
          <w:rFonts w:hint="eastAsia"/>
          <w:bCs/>
          <w:szCs w:val="21"/>
          <w:highlight w:val="none"/>
        </w:rPr>
        <w:t>本企业对上述声明内容的真实性负责。如有虚假，将依法承担相应责任。</w:t>
      </w:r>
    </w:p>
    <w:p w14:paraId="6D31959B">
      <w:pPr>
        <w:spacing w:line="360" w:lineRule="auto"/>
        <w:ind w:firstLine="3150" w:firstLineChars="1500"/>
        <w:rPr>
          <w:rFonts w:hint="eastAsia"/>
          <w:bCs/>
          <w:szCs w:val="21"/>
          <w:highlight w:val="none"/>
        </w:rPr>
      </w:pPr>
      <w:r>
        <w:rPr>
          <w:rFonts w:hint="eastAsia"/>
          <w:bCs/>
          <w:szCs w:val="21"/>
          <w:highlight w:val="none"/>
        </w:rPr>
        <w:t>企业名称（</w:t>
      </w:r>
      <w:r>
        <w:rPr>
          <w:rFonts w:hint="eastAsia"/>
          <w:szCs w:val="21"/>
          <w:highlight w:val="none"/>
        </w:rPr>
        <w:t>电子签章</w:t>
      </w:r>
      <w:r>
        <w:rPr>
          <w:rFonts w:hint="eastAsia"/>
          <w:bCs/>
          <w:szCs w:val="21"/>
          <w:highlight w:val="none"/>
        </w:rPr>
        <w:t>）：日期：</w:t>
      </w:r>
    </w:p>
    <w:p w14:paraId="1E20F0F0">
      <w:pPr>
        <w:spacing w:line="360" w:lineRule="auto"/>
        <w:jc w:val="left"/>
        <w:rPr>
          <w:bCs/>
          <w:color w:val="0070C0"/>
          <w:szCs w:val="21"/>
          <w:highlight w:val="none"/>
        </w:rPr>
      </w:pPr>
      <w:r>
        <w:rPr>
          <w:rFonts w:hint="eastAsia"/>
          <w:bCs/>
          <w:szCs w:val="21"/>
          <w:highlight w:val="none"/>
        </w:rPr>
        <w:t>注：</w:t>
      </w:r>
    </w:p>
    <w:p w14:paraId="725E965D">
      <w:pPr>
        <w:spacing w:line="360" w:lineRule="auto"/>
        <w:jc w:val="left"/>
        <w:rPr>
          <w:bCs/>
          <w:szCs w:val="21"/>
          <w:highlight w:val="none"/>
        </w:rPr>
      </w:pPr>
      <w:r>
        <w:rPr>
          <w:rFonts w:hint="eastAsia"/>
          <w:bCs/>
          <w:szCs w:val="21"/>
          <w:highlight w:val="none"/>
        </w:rPr>
        <w:t>（1）标的名称按照第二章采购需求中的名称填写，</w:t>
      </w:r>
      <w:r>
        <w:rPr>
          <w:szCs w:val="21"/>
          <w:highlight w:val="none"/>
        </w:rPr>
        <w:t>所属行业标明“/”的</w:t>
      </w:r>
      <w:r>
        <w:rPr>
          <w:rFonts w:hint="eastAsia"/>
          <w:bCs/>
          <w:szCs w:val="21"/>
          <w:highlight w:val="none"/>
        </w:rPr>
        <w:t>，无需在上表填写。</w:t>
      </w:r>
    </w:p>
    <w:p w14:paraId="67A3A461">
      <w:pPr>
        <w:spacing w:line="360" w:lineRule="auto"/>
        <w:jc w:val="left"/>
        <w:rPr>
          <w:bCs/>
          <w:szCs w:val="21"/>
          <w:highlight w:val="none"/>
        </w:rPr>
      </w:pPr>
      <w:r>
        <w:rPr>
          <w:rFonts w:hint="eastAsia"/>
          <w:bCs/>
          <w:szCs w:val="21"/>
          <w:highlight w:val="none"/>
        </w:rPr>
        <w:t>（</w:t>
      </w:r>
      <w:r>
        <w:rPr>
          <w:bCs/>
          <w:szCs w:val="21"/>
          <w:highlight w:val="none"/>
        </w:rPr>
        <w:t>2</w:t>
      </w:r>
      <w:r>
        <w:rPr>
          <w:rFonts w:hint="eastAsia"/>
          <w:bCs/>
          <w:szCs w:val="21"/>
          <w:highlight w:val="none"/>
        </w:rPr>
        <w:t>）如供应商为联合体或分包的，声明函中“项目名称”应填写联合体中小微企业承担的具体内容或者小微企业具体分包内容。</w:t>
      </w:r>
    </w:p>
    <w:p w14:paraId="645E8CB5">
      <w:pPr>
        <w:spacing w:line="360" w:lineRule="auto"/>
        <w:jc w:val="left"/>
        <w:rPr>
          <w:bCs/>
          <w:szCs w:val="21"/>
          <w:highlight w:val="none"/>
        </w:rPr>
      </w:pPr>
      <w:r>
        <w:rPr>
          <w:rFonts w:hint="eastAsia"/>
          <w:bCs/>
          <w:szCs w:val="21"/>
          <w:highlight w:val="none"/>
        </w:rPr>
        <w:t>（</w:t>
      </w:r>
      <w:r>
        <w:rPr>
          <w:bCs/>
          <w:szCs w:val="21"/>
          <w:highlight w:val="none"/>
        </w:rPr>
        <w:t>3</w:t>
      </w:r>
      <w:r>
        <w:rPr>
          <w:rFonts w:hint="eastAsia"/>
          <w:bCs/>
          <w:szCs w:val="21"/>
          <w:highlight w:val="none"/>
        </w:rPr>
        <w:t>）从业人员、营业收入、资产总额填报上一年度数据，无上一年度数据的新成立企业参照国务院批准的中小企业划分标准，根据企业自身情况如实判断。</w:t>
      </w:r>
    </w:p>
    <w:p w14:paraId="3A70D7BF">
      <w:pPr>
        <w:spacing w:line="360" w:lineRule="auto"/>
        <w:jc w:val="left"/>
        <w:rPr>
          <w:bCs/>
          <w:szCs w:val="21"/>
          <w:highlight w:val="none"/>
        </w:rPr>
      </w:pPr>
      <w:r>
        <w:rPr>
          <w:rFonts w:hint="eastAsia"/>
          <w:bCs/>
          <w:szCs w:val="21"/>
          <w:highlight w:val="none"/>
        </w:rPr>
        <w:t>（</w:t>
      </w:r>
      <w:r>
        <w:rPr>
          <w:bCs/>
          <w:szCs w:val="21"/>
          <w:highlight w:val="none"/>
        </w:rPr>
        <w:t>4</w:t>
      </w:r>
      <w:r>
        <w:rPr>
          <w:rFonts w:hint="eastAsia"/>
          <w:bCs/>
          <w:szCs w:val="21"/>
          <w:highlight w:val="none"/>
        </w:rPr>
        <w:t>）根据工业和信息化部对“从业人员”定义的答复，《民法典》、《公司法》等法律规定，分公司不具有法人资格，其民事责任由总公司承担。企业划型时，应将分公司的从业人员、营业收入、资产总额等指标数据纳入合并计算。</w:t>
      </w:r>
    </w:p>
    <w:p w14:paraId="1A97A7E6">
      <w:pPr>
        <w:spacing w:line="360" w:lineRule="auto"/>
        <w:jc w:val="left"/>
        <w:rPr>
          <w:rFonts w:hint="eastAsia"/>
          <w:bCs/>
          <w:szCs w:val="21"/>
          <w:highlight w:val="none"/>
        </w:rPr>
      </w:pPr>
      <w:r>
        <w:rPr>
          <w:rFonts w:hint="eastAsia"/>
          <w:bCs/>
          <w:szCs w:val="21"/>
          <w:highlight w:val="none"/>
        </w:rPr>
        <w:t>（5）根据</w:t>
      </w:r>
      <w:r>
        <w:rPr>
          <w:rFonts w:hint="eastAsia"/>
          <w:bCs/>
          <w:szCs w:val="21"/>
          <w:highlight w:val="none"/>
          <w:lang w:val="en-US" w:eastAsia="zh-CN"/>
        </w:rPr>
        <w:t>国家</w:t>
      </w:r>
      <w:r>
        <w:rPr>
          <w:rFonts w:hint="eastAsia"/>
          <w:bCs/>
          <w:szCs w:val="21"/>
          <w:highlight w:val="none"/>
        </w:rPr>
        <w:t>统计局《劳动工资统计报表制度》，从业人员数是指本单位工作，并取得工资</w:t>
      </w:r>
      <w:r>
        <w:rPr>
          <w:rFonts w:hint="eastAsia"/>
          <w:bCs/>
          <w:szCs w:val="21"/>
          <w:highlight w:val="none"/>
          <w:lang w:val="en-US" w:eastAsia="zh-CN"/>
        </w:rPr>
        <w:t>或</w:t>
      </w:r>
      <w:r>
        <w:rPr>
          <w:rFonts w:hint="eastAsia"/>
          <w:bCs/>
          <w:szCs w:val="21"/>
          <w:highlight w:val="none"/>
        </w:rPr>
        <w:t>其他形式劳动报酬的人员数，是在岗职工、劳务派遣人员及其他从业人员之和。</w:t>
      </w:r>
    </w:p>
    <w:p w14:paraId="1E25B22D">
      <w:pPr>
        <w:spacing w:line="360" w:lineRule="auto"/>
        <w:jc w:val="left"/>
        <w:rPr>
          <w:bCs/>
          <w:szCs w:val="21"/>
          <w:highlight w:val="none"/>
        </w:rPr>
      </w:pPr>
      <w:r>
        <w:rPr>
          <w:rFonts w:hint="eastAsia"/>
          <w:bCs/>
          <w:szCs w:val="21"/>
          <w:highlight w:val="none"/>
        </w:rPr>
        <w:t>（</w:t>
      </w:r>
      <w:r>
        <w:rPr>
          <w:bCs/>
          <w:szCs w:val="21"/>
          <w:highlight w:val="none"/>
        </w:rPr>
        <w:t>6</w:t>
      </w:r>
      <w:r>
        <w:rPr>
          <w:rFonts w:hint="eastAsia"/>
          <w:bCs/>
          <w:szCs w:val="21"/>
          <w:highlight w:val="none"/>
        </w:rPr>
        <w:t>）本声明函由供应商填写，供应商应按中小企业划分标准《关于印发中小企业划型标准规定的通知》（工信部联企业〔2011〕300号</w:t>
      </w:r>
      <w:r>
        <w:rPr>
          <w:rFonts w:hint="eastAsia"/>
          <w:szCs w:val="21"/>
          <w:highlight w:val="none"/>
        </w:rPr>
        <w:t>以及《金融业企业划型标准规定》（银发〔2015〕309号）</w:t>
      </w:r>
      <w:r>
        <w:rPr>
          <w:rFonts w:hint="eastAsia"/>
          <w:bCs/>
          <w:szCs w:val="21"/>
          <w:highlight w:val="none"/>
        </w:rPr>
        <w:t>）判断是否为中小企业。</w:t>
      </w:r>
    </w:p>
    <w:p w14:paraId="08A1BEB5">
      <w:pPr>
        <w:spacing w:line="360" w:lineRule="auto"/>
        <w:jc w:val="left"/>
        <w:rPr>
          <w:bCs/>
          <w:szCs w:val="21"/>
          <w:highlight w:val="none"/>
        </w:rPr>
      </w:pPr>
      <w:r>
        <w:rPr>
          <w:rFonts w:hint="eastAsia"/>
          <w:bCs/>
          <w:szCs w:val="21"/>
          <w:highlight w:val="none"/>
        </w:rPr>
        <w:t>（</w:t>
      </w:r>
      <w:r>
        <w:rPr>
          <w:bCs/>
          <w:szCs w:val="21"/>
          <w:highlight w:val="none"/>
        </w:rPr>
        <w:t>7</w:t>
      </w:r>
      <w:r>
        <w:rPr>
          <w:rFonts w:hint="eastAsia"/>
          <w:bCs/>
          <w:szCs w:val="21"/>
          <w:highlight w:val="none"/>
        </w:rPr>
        <w:t>）供应商对《中小企业声明函》的真实性负责，如有虚假则需承担不利后果。依法享受中小企业优惠政策的，采购人或采购代理机构在公告成交结果时，同时公告其《中小企业声明函》，接受社会监督。</w:t>
      </w:r>
    </w:p>
    <w:p w14:paraId="4AA0D05E">
      <w:pPr>
        <w:spacing w:line="360" w:lineRule="auto"/>
        <w:jc w:val="left"/>
        <w:rPr>
          <w:bCs/>
          <w:szCs w:val="21"/>
          <w:highlight w:val="none"/>
        </w:rPr>
      </w:pPr>
      <w:r>
        <w:rPr>
          <w:rFonts w:hint="eastAsia"/>
          <w:bCs/>
          <w:szCs w:val="21"/>
          <w:highlight w:val="none"/>
        </w:rPr>
        <w:t>（</w:t>
      </w:r>
      <w:r>
        <w:rPr>
          <w:bCs/>
          <w:szCs w:val="21"/>
          <w:highlight w:val="none"/>
        </w:rPr>
        <w:t>8</w:t>
      </w:r>
      <w:r>
        <w:rPr>
          <w:rFonts w:hint="eastAsia"/>
          <w:bCs/>
          <w:szCs w:val="21"/>
          <w:highlight w:val="none"/>
        </w:rPr>
        <w:t>）上述企业属于大企业的分支机构或控股股东为大企业或与大企业的负责人为同一人的，不得享受价格扣除优惠政策。接受分包的小微企业与分包企业之间存在直接控股、管理关系的，不得享受价格扣除优惠政策。</w:t>
      </w:r>
    </w:p>
    <w:p w14:paraId="4DAB6103">
      <w:pPr>
        <w:snapToGrid w:val="0"/>
        <w:spacing w:before="50" w:after="120" w:afterLines="50"/>
        <w:jc w:val="left"/>
        <w:rPr>
          <w:szCs w:val="21"/>
          <w:highlight w:val="none"/>
        </w:rPr>
      </w:pPr>
    </w:p>
    <w:p w14:paraId="30DB336F">
      <w:pPr>
        <w:snapToGrid w:val="0"/>
        <w:spacing w:before="50" w:after="120" w:afterLines="50"/>
        <w:jc w:val="left"/>
        <w:rPr>
          <w:szCs w:val="21"/>
          <w:highlight w:val="none"/>
        </w:rPr>
      </w:pPr>
      <w:r>
        <w:rPr>
          <w:rFonts w:hint="eastAsia"/>
          <w:szCs w:val="21"/>
          <w:highlight w:val="none"/>
          <w:lang w:val="en-US" w:eastAsia="zh-CN"/>
        </w:rPr>
        <w:t>6</w:t>
      </w:r>
      <w:r>
        <w:rPr>
          <w:szCs w:val="21"/>
          <w:highlight w:val="none"/>
        </w:rPr>
        <w:t>.2监狱企业须提供最新一期《XX省监狱企业产品目录》或其他监狱企业证明材料。（非监狱企业无需提供）</w:t>
      </w:r>
    </w:p>
    <w:p w14:paraId="295DEA22">
      <w:pPr>
        <w:snapToGrid w:val="0"/>
        <w:spacing w:before="50" w:after="120" w:afterLines="50"/>
        <w:jc w:val="left"/>
        <w:rPr>
          <w:szCs w:val="21"/>
          <w:highlight w:val="none"/>
        </w:rPr>
      </w:pPr>
    </w:p>
    <w:p w14:paraId="0D35558F">
      <w:pPr>
        <w:widowControl/>
        <w:jc w:val="left"/>
        <w:rPr>
          <w:szCs w:val="21"/>
          <w:highlight w:val="none"/>
        </w:rPr>
      </w:pPr>
      <w:r>
        <w:rPr>
          <w:rFonts w:hint="eastAsia"/>
          <w:szCs w:val="21"/>
          <w:highlight w:val="none"/>
          <w:lang w:val="en-US" w:eastAsia="zh-CN"/>
        </w:rPr>
        <w:t>6</w:t>
      </w:r>
      <w:r>
        <w:rPr>
          <w:szCs w:val="21"/>
          <w:highlight w:val="none"/>
        </w:rPr>
        <w:t>.3</w:t>
      </w:r>
      <w:r>
        <w:rPr>
          <w:highlight w:val="none"/>
        </w:rPr>
        <w:t>残疾人福利性单位须提供《残疾人福利性单位声明函》，格式如下。</w:t>
      </w:r>
      <w:r>
        <w:rPr>
          <w:szCs w:val="21"/>
          <w:highlight w:val="none"/>
        </w:rPr>
        <w:t>（非残疾人福利性单位无需提供）</w:t>
      </w:r>
    </w:p>
    <w:p w14:paraId="70B5D468">
      <w:pPr>
        <w:spacing w:line="360" w:lineRule="auto"/>
        <w:jc w:val="center"/>
        <w:rPr>
          <w:b/>
          <w:szCs w:val="21"/>
          <w:highlight w:val="none"/>
        </w:rPr>
      </w:pPr>
    </w:p>
    <w:p w14:paraId="7FA370F2">
      <w:pPr>
        <w:spacing w:line="360" w:lineRule="auto"/>
        <w:jc w:val="center"/>
        <w:rPr>
          <w:b/>
          <w:szCs w:val="21"/>
          <w:highlight w:val="none"/>
        </w:rPr>
      </w:pPr>
      <w:r>
        <w:rPr>
          <w:b/>
          <w:szCs w:val="21"/>
          <w:highlight w:val="none"/>
        </w:rPr>
        <w:t>残疾人福利性单位声明函</w:t>
      </w:r>
    </w:p>
    <w:p w14:paraId="1AA0CB69">
      <w:pPr>
        <w:spacing w:line="360" w:lineRule="auto"/>
        <w:ind w:firstLine="420"/>
        <w:jc w:val="left"/>
        <w:rPr>
          <w:szCs w:val="21"/>
          <w:highlight w:val="none"/>
        </w:rPr>
      </w:pPr>
      <w:r>
        <w:rPr>
          <w:szCs w:val="21"/>
          <w:highlight w:val="none"/>
        </w:rPr>
        <w:t>本单位郑重声明，根据《财政部 民政部 中国残疾人联合会关于促进残疾人就业政府采购政策的通知》（财库〔2017〕141号）的规定，本单位为符合条件的残疾人福利性单位，且本单位参加</w:t>
      </w:r>
      <w:r>
        <w:rPr>
          <w:szCs w:val="21"/>
          <w:highlight w:val="none"/>
          <w:u w:val="single"/>
        </w:rPr>
        <w:t xml:space="preserve">        </w:t>
      </w:r>
      <w:r>
        <w:rPr>
          <w:szCs w:val="21"/>
          <w:highlight w:val="none"/>
        </w:rPr>
        <w:t>单位的</w:t>
      </w:r>
      <w:r>
        <w:rPr>
          <w:szCs w:val="21"/>
          <w:highlight w:val="none"/>
          <w:u w:val="single"/>
        </w:rPr>
        <w:t xml:space="preserve">           </w:t>
      </w:r>
      <w:r>
        <w:rPr>
          <w:szCs w:val="21"/>
          <w:highlight w:val="none"/>
        </w:rPr>
        <w:t>项目采购活动提供本单位制造的货物（由本单位承担工程/提供服务），或者提供其他残疾人福利性单位制造的货物（不包括使用非残疾人福利性单位注册商标的货物）。</w:t>
      </w:r>
    </w:p>
    <w:p w14:paraId="11F115A9">
      <w:pPr>
        <w:spacing w:line="360" w:lineRule="auto"/>
        <w:ind w:firstLine="420"/>
        <w:rPr>
          <w:szCs w:val="21"/>
          <w:highlight w:val="none"/>
        </w:rPr>
      </w:pPr>
      <w:r>
        <w:rPr>
          <w:szCs w:val="21"/>
          <w:highlight w:val="none"/>
        </w:rPr>
        <w:t>本单位对上述声明的真实性负责。如有虚假，将依法承担相应责任。</w:t>
      </w:r>
    </w:p>
    <w:p w14:paraId="1290A1F8">
      <w:pPr>
        <w:spacing w:line="360" w:lineRule="auto"/>
        <w:ind w:firstLine="420"/>
        <w:jc w:val="right"/>
        <w:rPr>
          <w:spacing w:val="6"/>
          <w:szCs w:val="21"/>
          <w:highlight w:val="none"/>
        </w:rPr>
      </w:pPr>
      <w:r>
        <w:rPr>
          <w:spacing w:val="6"/>
          <w:sz w:val="30"/>
          <w:szCs w:val="30"/>
          <w:highlight w:val="none"/>
        </w:rPr>
        <w:t xml:space="preserve"> </w:t>
      </w:r>
      <w:r>
        <w:rPr>
          <w:spacing w:val="6"/>
          <w:szCs w:val="21"/>
          <w:highlight w:val="none"/>
        </w:rPr>
        <w:t xml:space="preserve"> </w:t>
      </w:r>
      <w:r>
        <w:rPr>
          <w:rFonts w:hint="eastAsia"/>
          <w:spacing w:val="6"/>
          <w:szCs w:val="21"/>
          <w:highlight w:val="none"/>
        </w:rPr>
        <w:t xml:space="preserve">                                            </w:t>
      </w:r>
      <w:r>
        <w:rPr>
          <w:spacing w:val="6"/>
          <w:szCs w:val="21"/>
          <w:highlight w:val="none"/>
        </w:rPr>
        <w:t>单位名称</w:t>
      </w:r>
      <w:r>
        <w:rPr>
          <w:rFonts w:hint="eastAsia"/>
          <w:szCs w:val="21"/>
          <w:highlight w:val="none"/>
        </w:rPr>
        <w:t>(电子签章</w:t>
      </w:r>
      <w:r>
        <w:rPr>
          <w:szCs w:val="21"/>
          <w:highlight w:val="none"/>
        </w:rPr>
        <w:t>)</w:t>
      </w:r>
      <w:r>
        <w:rPr>
          <w:spacing w:val="6"/>
          <w:szCs w:val="21"/>
          <w:highlight w:val="none"/>
        </w:rPr>
        <w:t xml:space="preserve">：          </w:t>
      </w:r>
    </w:p>
    <w:p w14:paraId="37FB1807">
      <w:pPr>
        <w:spacing w:line="360" w:lineRule="auto"/>
        <w:ind w:firstLine="420"/>
        <w:jc w:val="right"/>
        <w:rPr>
          <w:spacing w:val="6"/>
          <w:szCs w:val="21"/>
          <w:highlight w:val="none"/>
        </w:rPr>
      </w:pPr>
      <w:r>
        <w:rPr>
          <w:spacing w:val="6"/>
          <w:szCs w:val="21"/>
          <w:highlight w:val="none"/>
        </w:rPr>
        <w:t xml:space="preserve"> </w:t>
      </w:r>
      <w:r>
        <w:rPr>
          <w:rFonts w:hint="eastAsia"/>
          <w:spacing w:val="6"/>
          <w:szCs w:val="21"/>
          <w:highlight w:val="none"/>
        </w:rPr>
        <w:t xml:space="preserve">                                                      </w:t>
      </w:r>
      <w:r>
        <w:rPr>
          <w:spacing w:val="6"/>
          <w:szCs w:val="21"/>
          <w:highlight w:val="none"/>
        </w:rPr>
        <w:t>日  期：</w:t>
      </w:r>
    </w:p>
    <w:p w14:paraId="0021DAF0">
      <w:pPr>
        <w:spacing w:line="360" w:lineRule="auto"/>
        <w:rPr>
          <w:szCs w:val="21"/>
          <w:highlight w:val="none"/>
        </w:rPr>
      </w:pPr>
    </w:p>
    <w:p w14:paraId="58E26835">
      <w:pPr>
        <w:snapToGrid w:val="0"/>
        <w:spacing w:before="50" w:after="120" w:afterLines="50"/>
        <w:jc w:val="left"/>
        <w:rPr>
          <w:rFonts w:hint="eastAsia"/>
          <w:szCs w:val="21"/>
          <w:highlight w:val="none"/>
        </w:rPr>
      </w:pPr>
    </w:p>
    <w:p w14:paraId="4CB0BE8B">
      <w:pPr>
        <w:pStyle w:val="7"/>
        <w:overflowPunct w:val="0"/>
        <w:ind w:left="0" w:leftChars="0" w:firstLine="0" w:firstLineChars="0"/>
        <w:rPr>
          <w:szCs w:val="21"/>
          <w:highlight w:val="none"/>
        </w:rPr>
      </w:pPr>
    </w:p>
    <w:p w14:paraId="7B3125D0">
      <w:pPr>
        <w:snapToGrid w:val="0"/>
        <w:spacing w:before="50" w:after="120" w:afterLines="50" w:line="440" w:lineRule="exact"/>
        <w:jc w:val="left"/>
        <w:rPr>
          <w:rFonts w:hint="eastAsia"/>
          <w:b/>
          <w:highlight w:val="none"/>
        </w:rPr>
      </w:pPr>
      <w:r>
        <w:rPr>
          <w:b/>
          <w:szCs w:val="21"/>
          <w:highlight w:val="none"/>
        </w:rPr>
        <w:br w:type="page"/>
      </w:r>
      <w:r>
        <w:rPr>
          <w:rFonts w:hint="eastAsia"/>
          <w:highlight w:val="none"/>
          <w:lang w:val="en-US" w:eastAsia="zh-CN"/>
        </w:rPr>
        <w:t>7</w:t>
      </w:r>
      <w:r>
        <w:rPr>
          <w:highlight w:val="none"/>
        </w:rPr>
        <w:t>．满足供应商特定资格条件的其他证明材料加盖</w:t>
      </w:r>
      <w:r>
        <w:rPr>
          <w:szCs w:val="21"/>
          <w:highlight w:val="none"/>
        </w:rPr>
        <w:t>供应商</w:t>
      </w:r>
      <w:r>
        <w:rPr>
          <w:rFonts w:hint="eastAsia"/>
          <w:szCs w:val="21"/>
          <w:highlight w:val="none"/>
        </w:rPr>
        <w:t>电子签章</w:t>
      </w:r>
      <w:r>
        <w:rPr>
          <w:highlight w:val="none"/>
        </w:rPr>
        <w:t>（按“评审方法及标准” “</w:t>
      </w:r>
      <w:r>
        <w:rPr>
          <w:szCs w:val="21"/>
          <w:highlight w:val="none"/>
        </w:rPr>
        <w:t>资格审查表</w:t>
      </w:r>
      <w:r>
        <w:rPr>
          <w:highlight w:val="none"/>
        </w:rPr>
        <w:t>”规定提供）。</w:t>
      </w:r>
      <w:r>
        <w:rPr>
          <w:rFonts w:hint="eastAsia"/>
          <w:b/>
          <w:highlight w:val="none"/>
        </w:rPr>
        <w:t>（如采购文件有要求时提供）</w:t>
      </w:r>
    </w:p>
    <w:p w14:paraId="54DC9FF8">
      <w:pPr>
        <w:pStyle w:val="197"/>
        <w:jc w:val="left"/>
        <w:rPr>
          <w:rFonts w:hint="eastAsia" w:ascii="Times New Roman" w:hAnsi="Times New Roman"/>
          <w:highlight w:val="none"/>
        </w:rPr>
      </w:pPr>
    </w:p>
    <w:p w14:paraId="3839259F">
      <w:pPr>
        <w:pStyle w:val="197"/>
        <w:jc w:val="left"/>
        <w:rPr>
          <w:rFonts w:hint="eastAsia" w:ascii="Times New Roman" w:hAnsi="Times New Roman"/>
          <w:highlight w:val="none"/>
        </w:rPr>
      </w:pPr>
      <w:r>
        <w:rPr>
          <w:rFonts w:hint="eastAsia" w:ascii="Times New Roman" w:hAnsi="Times New Roman"/>
          <w:highlight w:val="none"/>
          <w:lang w:val="en-US" w:eastAsia="zh-CN"/>
        </w:rPr>
        <w:t>7</w:t>
      </w:r>
      <w:r>
        <w:rPr>
          <w:rFonts w:hint="eastAsia" w:ascii="Times New Roman" w:hAnsi="Times New Roman"/>
          <w:highlight w:val="none"/>
        </w:rPr>
        <w:t>.1有效的企业资质证书副本</w:t>
      </w:r>
      <w:r>
        <w:rPr>
          <w:rFonts w:hint="eastAsia"/>
          <w:szCs w:val="21"/>
          <w:highlight w:val="none"/>
        </w:rPr>
        <w:t>扫描件</w:t>
      </w:r>
      <w:r>
        <w:rPr>
          <w:rFonts w:ascii="Times New Roman" w:hAnsi="Times New Roman"/>
          <w:highlight w:val="none"/>
        </w:rPr>
        <w:t>加盖</w:t>
      </w:r>
      <w:r>
        <w:rPr>
          <w:szCs w:val="21"/>
          <w:highlight w:val="none"/>
        </w:rPr>
        <w:t>供应商</w:t>
      </w:r>
      <w:bookmarkStart w:id="461" w:name="_Hlk89190867"/>
      <w:r>
        <w:rPr>
          <w:rFonts w:hint="eastAsia"/>
          <w:szCs w:val="21"/>
          <w:highlight w:val="none"/>
        </w:rPr>
        <w:t>电子签章</w:t>
      </w:r>
      <w:bookmarkEnd w:id="461"/>
    </w:p>
    <w:p w14:paraId="05FD8A67">
      <w:pPr>
        <w:pStyle w:val="197"/>
        <w:jc w:val="left"/>
        <w:rPr>
          <w:rFonts w:hint="eastAsia" w:ascii="Times New Roman" w:hAnsi="Times New Roman"/>
          <w:highlight w:val="none"/>
        </w:rPr>
      </w:pPr>
    </w:p>
    <w:p w14:paraId="56CC8044">
      <w:pPr>
        <w:pStyle w:val="197"/>
        <w:jc w:val="left"/>
        <w:rPr>
          <w:rFonts w:hint="eastAsia" w:ascii="Times New Roman" w:hAnsi="Times New Roman"/>
          <w:highlight w:val="none"/>
        </w:rPr>
      </w:pPr>
    </w:p>
    <w:p w14:paraId="766F5197">
      <w:pPr>
        <w:pStyle w:val="27"/>
        <w:tabs>
          <w:tab w:val="left" w:pos="2127"/>
        </w:tabs>
        <w:spacing w:line="340" w:lineRule="exact"/>
        <w:rPr>
          <w:rFonts w:ascii="Times New Roman" w:hAnsi="Times New Roman"/>
          <w:highlight w:val="none"/>
        </w:rPr>
      </w:pPr>
      <w:r>
        <w:rPr>
          <w:rFonts w:hint="eastAsia" w:ascii="Times New Roman" w:hAnsi="Times New Roman" w:cs="Times New Roman"/>
          <w:highlight w:val="none"/>
          <w:lang w:val="en-US" w:eastAsia="zh-CN"/>
        </w:rPr>
        <w:t>7</w:t>
      </w:r>
      <w:r>
        <w:rPr>
          <w:rFonts w:ascii="Times New Roman" w:hAnsi="Times New Roman" w:cs="Times New Roman"/>
          <w:highlight w:val="none"/>
        </w:rPr>
        <w:t>.</w:t>
      </w:r>
      <w:bookmarkStart w:id="462" w:name="_Toc251052200"/>
      <w:bookmarkStart w:id="463" w:name="_Toc173579006"/>
      <w:bookmarkStart w:id="464" w:name="_Toc153274948"/>
      <w:bookmarkStart w:id="465" w:name="_Toc172364026"/>
      <w:bookmarkStart w:id="466" w:name="_Toc389065364"/>
      <w:r>
        <w:rPr>
          <w:rFonts w:hint="eastAsia" w:ascii="Times New Roman" w:hAnsi="Times New Roman" w:cs="Times New Roman"/>
          <w:highlight w:val="none"/>
        </w:rPr>
        <w:t>2</w:t>
      </w:r>
      <w:r>
        <w:rPr>
          <w:rFonts w:ascii="Times New Roman" w:hAnsi="Times New Roman"/>
          <w:highlight w:val="none"/>
        </w:rPr>
        <w:t>项目经理简历表</w:t>
      </w:r>
      <w:bookmarkEnd w:id="462"/>
      <w:bookmarkEnd w:id="463"/>
      <w:bookmarkEnd w:id="464"/>
      <w:bookmarkEnd w:id="465"/>
      <w:bookmarkEnd w:id="466"/>
    </w:p>
    <w:tbl>
      <w:tblPr>
        <w:tblStyle w:val="54"/>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468E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218EE0F4">
            <w:pPr>
              <w:jc w:val="center"/>
              <w:rPr>
                <w:highlight w:val="none"/>
              </w:rPr>
            </w:pPr>
            <w:r>
              <w:rPr>
                <w:highlight w:val="none"/>
              </w:rPr>
              <w:t>姓名</w:t>
            </w:r>
          </w:p>
        </w:tc>
        <w:tc>
          <w:tcPr>
            <w:tcW w:w="2340" w:type="dxa"/>
            <w:gridSpan w:val="3"/>
            <w:noWrap w:val="0"/>
            <w:vAlign w:val="center"/>
          </w:tcPr>
          <w:p w14:paraId="3435237F">
            <w:pPr>
              <w:jc w:val="center"/>
              <w:rPr>
                <w:highlight w:val="none"/>
              </w:rPr>
            </w:pPr>
          </w:p>
        </w:tc>
        <w:tc>
          <w:tcPr>
            <w:tcW w:w="1893" w:type="dxa"/>
            <w:gridSpan w:val="2"/>
            <w:noWrap w:val="0"/>
            <w:vAlign w:val="center"/>
          </w:tcPr>
          <w:p w14:paraId="6AA88008">
            <w:pPr>
              <w:jc w:val="center"/>
              <w:rPr>
                <w:highlight w:val="none"/>
              </w:rPr>
            </w:pPr>
            <w:r>
              <w:rPr>
                <w:highlight w:val="none"/>
              </w:rPr>
              <w:t>性别</w:t>
            </w:r>
          </w:p>
        </w:tc>
        <w:tc>
          <w:tcPr>
            <w:tcW w:w="1585" w:type="dxa"/>
            <w:gridSpan w:val="2"/>
            <w:noWrap w:val="0"/>
            <w:vAlign w:val="center"/>
          </w:tcPr>
          <w:p w14:paraId="2920EE70">
            <w:pPr>
              <w:jc w:val="center"/>
              <w:rPr>
                <w:highlight w:val="none"/>
              </w:rPr>
            </w:pPr>
          </w:p>
        </w:tc>
        <w:tc>
          <w:tcPr>
            <w:tcW w:w="1108" w:type="dxa"/>
            <w:gridSpan w:val="2"/>
            <w:noWrap w:val="0"/>
            <w:vAlign w:val="center"/>
          </w:tcPr>
          <w:p w14:paraId="264C3C45">
            <w:pPr>
              <w:jc w:val="center"/>
              <w:rPr>
                <w:highlight w:val="none"/>
              </w:rPr>
            </w:pPr>
            <w:r>
              <w:rPr>
                <w:highlight w:val="none"/>
              </w:rPr>
              <w:t>年龄</w:t>
            </w:r>
          </w:p>
        </w:tc>
        <w:tc>
          <w:tcPr>
            <w:tcW w:w="1276" w:type="dxa"/>
            <w:noWrap w:val="0"/>
            <w:vAlign w:val="center"/>
          </w:tcPr>
          <w:p w14:paraId="31B4258E">
            <w:pPr>
              <w:jc w:val="center"/>
              <w:rPr>
                <w:highlight w:val="none"/>
              </w:rPr>
            </w:pPr>
          </w:p>
        </w:tc>
      </w:tr>
      <w:tr w14:paraId="1AA7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73DB70AE">
            <w:pPr>
              <w:jc w:val="center"/>
              <w:rPr>
                <w:rFonts w:hint="eastAsia" w:eastAsia="宋体"/>
                <w:highlight w:val="none"/>
                <w:lang w:eastAsia="zh-CN"/>
              </w:rPr>
            </w:pPr>
            <w:r>
              <w:rPr>
                <w:rFonts w:hint="eastAsia"/>
                <w:highlight w:val="none"/>
                <w:lang w:val="en-US" w:eastAsia="zh-CN"/>
              </w:rPr>
              <w:t>岗位</w:t>
            </w:r>
          </w:p>
        </w:tc>
        <w:tc>
          <w:tcPr>
            <w:tcW w:w="2340" w:type="dxa"/>
            <w:gridSpan w:val="3"/>
            <w:noWrap w:val="0"/>
            <w:vAlign w:val="center"/>
          </w:tcPr>
          <w:p w14:paraId="40C99B32">
            <w:pPr>
              <w:jc w:val="center"/>
              <w:rPr>
                <w:highlight w:val="none"/>
              </w:rPr>
            </w:pPr>
          </w:p>
        </w:tc>
        <w:tc>
          <w:tcPr>
            <w:tcW w:w="1893" w:type="dxa"/>
            <w:gridSpan w:val="2"/>
            <w:noWrap w:val="0"/>
            <w:vAlign w:val="center"/>
          </w:tcPr>
          <w:p w14:paraId="46BD8706">
            <w:pPr>
              <w:jc w:val="center"/>
              <w:rPr>
                <w:highlight w:val="none"/>
              </w:rPr>
            </w:pPr>
            <w:r>
              <w:rPr>
                <w:highlight w:val="none"/>
              </w:rPr>
              <w:t>职称</w:t>
            </w:r>
          </w:p>
        </w:tc>
        <w:tc>
          <w:tcPr>
            <w:tcW w:w="1585" w:type="dxa"/>
            <w:gridSpan w:val="2"/>
            <w:noWrap w:val="0"/>
            <w:vAlign w:val="center"/>
          </w:tcPr>
          <w:p w14:paraId="491BF571">
            <w:pPr>
              <w:jc w:val="center"/>
              <w:rPr>
                <w:highlight w:val="none"/>
              </w:rPr>
            </w:pPr>
          </w:p>
        </w:tc>
        <w:tc>
          <w:tcPr>
            <w:tcW w:w="1108" w:type="dxa"/>
            <w:gridSpan w:val="2"/>
            <w:noWrap w:val="0"/>
            <w:vAlign w:val="center"/>
          </w:tcPr>
          <w:p w14:paraId="5A1610AB">
            <w:pPr>
              <w:jc w:val="center"/>
              <w:rPr>
                <w:highlight w:val="none"/>
              </w:rPr>
            </w:pPr>
            <w:r>
              <w:rPr>
                <w:highlight w:val="none"/>
              </w:rPr>
              <w:t>学历</w:t>
            </w:r>
          </w:p>
        </w:tc>
        <w:tc>
          <w:tcPr>
            <w:tcW w:w="1276" w:type="dxa"/>
            <w:noWrap w:val="0"/>
            <w:vAlign w:val="center"/>
          </w:tcPr>
          <w:p w14:paraId="7E2FB7DF">
            <w:pPr>
              <w:jc w:val="center"/>
              <w:rPr>
                <w:highlight w:val="none"/>
              </w:rPr>
            </w:pPr>
          </w:p>
        </w:tc>
      </w:tr>
      <w:tr w14:paraId="4554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37882D72">
            <w:pPr>
              <w:jc w:val="center"/>
              <w:rPr>
                <w:highlight w:val="none"/>
              </w:rPr>
            </w:pPr>
            <w:r>
              <w:rPr>
                <w:highlight w:val="none"/>
              </w:rPr>
              <w:t>参加工作时间</w:t>
            </w:r>
          </w:p>
        </w:tc>
        <w:tc>
          <w:tcPr>
            <w:tcW w:w="1893" w:type="dxa"/>
            <w:gridSpan w:val="2"/>
            <w:noWrap w:val="0"/>
            <w:vAlign w:val="center"/>
          </w:tcPr>
          <w:p w14:paraId="5B5ED50E">
            <w:pPr>
              <w:jc w:val="center"/>
              <w:rPr>
                <w:highlight w:val="none"/>
              </w:rPr>
            </w:pPr>
          </w:p>
        </w:tc>
        <w:tc>
          <w:tcPr>
            <w:tcW w:w="2693" w:type="dxa"/>
            <w:gridSpan w:val="4"/>
            <w:noWrap w:val="0"/>
            <w:vAlign w:val="center"/>
          </w:tcPr>
          <w:p w14:paraId="14F3C925">
            <w:pPr>
              <w:jc w:val="center"/>
              <w:rPr>
                <w:highlight w:val="none"/>
              </w:rPr>
            </w:pPr>
            <w:r>
              <w:rPr>
                <w:highlight w:val="none"/>
              </w:rPr>
              <w:t>担任项目经理年限</w:t>
            </w:r>
          </w:p>
        </w:tc>
        <w:tc>
          <w:tcPr>
            <w:tcW w:w="1276" w:type="dxa"/>
            <w:noWrap w:val="0"/>
            <w:vAlign w:val="center"/>
          </w:tcPr>
          <w:p w14:paraId="31D72312">
            <w:pPr>
              <w:jc w:val="center"/>
              <w:rPr>
                <w:highlight w:val="none"/>
              </w:rPr>
            </w:pPr>
          </w:p>
        </w:tc>
      </w:tr>
      <w:tr w14:paraId="5D54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7ED4010D">
            <w:pPr>
              <w:jc w:val="center"/>
              <w:rPr>
                <w:highlight w:val="none"/>
              </w:rPr>
            </w:pPr>
            <w:r>
              <w:rPr>
                <w:highlight w:val="none"/>
              </w:rPr>
              <w:t>建造师注册编号</w:t>
            </w:r>
          </w:p>
        </w:tc>
        <w:tc>
          <w:tcPr>
            <w:tcW w:w="5862" w:type="dxa"/>
            <w:gridSpan w:val="7"/>
            <w:noWrap w:val="0"/>
            <w:vAlign w:val="center"/>
          </w:tcPr>
          <w:p w14:paraId="1417042D">
            <w:pPr>
              <w:jc w:val="center"/>
              <w:rPr>
                <w:highlight w:val="none"/>
              </w:rPr>
            </w:pPr>
          </w:p>
        </w:tc>
      </w:tr>
      <w:tr w14:paraId="4300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3423" w:type="dxa"/>
            <w:gridSpan w:val="4"/>
            <w:noWrap w:val="0"/>
            <w:vAlign w:val="center"/>
          </w:tcPr>
          <w:p w14:paraId="212E8A8C">
            <w:pPr>
              <w:jc w:val="center"/>
              <w:rPr>
                <w:highlight w:val="none"/>
              </w:rPr>
            </w:pPr>
            <w:r>
              <w:rPr>
                <w:highlight w:val="none"/>
              </w:rPr>
              <w:t>注册专业、等级</w:t>
            </w:r>
          </w:p>
        </w:tc>
        <w:tc>
          <w:tcPr>
            <w:tcW w:w="5862" w:type="dxa"/>
            <w:gridSpan w:val="7"/>
            <w:noWrap w:val="0"/>
            <w:vAlign w:val="center"/>
          </w:tcPr>
          <w:p w14:paraId="3DDCC44B">
            <w:pPr>
              <w:jc w:val="center"/>
              <w:rPr>
                <w:highlight w:val="none"/>
              </w:rPr>
            </w:pPr>
          </w:p>
        </w:tc>
      </w:tr>
      <w:tr w14:paraId="45A44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7CCE0942">
            <w:pPr>
              <w:jc w:val="center"/>
              <w:rPr>
                <w:highlight w:val="none"/>
              </w:rPr>
            </w:pPr>
            <w:r>
              <w:rPr>
                <w:highlight w:val="none"/>
              </w:rPr>
              <w:t>在建和已完工程项目情况</w:t>
            </w:r>
          </w:p>
        </w:tc>
      </w:tr>
      <w:tr w14:paraId="3602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323482D0">
            <w:pPr>
              <w:jc w:val="center"/>
              <w:rPr>
                <w:highlight w:val="none"/>
              </w:rPr>
            </w:pPr>
            <w:r>
              <w:rPr>
                <w:highlight w:val="none"/>
              </w:rPr>
              <w:t>建设单位</w:t>
            </w:r>
          </w:p>
        </w:tc>
        <w:tc>
          <w:tcPr>
            <w:tcW w:w="1548" w:type="dxa"/>
            <w:noWrap w:val="0"/>
            <w:vAlign w:val="center"/>
          </w:tcPr>
          <w:p w14:paraId="154F9B30">
            <w:pPr>
              <w:jc w:val="center"/>
              <w:rPr>
                <w:highlight w:val="none"/>
              </w:rPr>
            </w:pPr>
            <w:r>
              <w:rPr>
                <w:highlight w:val="none"/>
              </w:rPr>
              <w:t>项目名称</w:t>
            </w:r>
          </w:p>
        </w:tc>
        <w:tc>
          <w:tcPr>
            <w:tcW w:w="1547" w:type="dxa"/>
            <w:gridSpan w:val="2"/>
            <w:noWrap w:val="0"/>
            <w:vAlign w:val="center"/>
          </w:tcPr>
          <w:p w14:paraId="0AD55436">
            <w:pPr>
              <w:jc w:val="center"/>
              <w:rPr>
                <w:highlight w:val="none"/>
              </w:rPr>
            </w:pPr>
            <w:r>
              <w:rPr>
                <w:highlight w:val="none"/>
              </w:rPr>
              <w:t>建设规模</w:t>
            </w:r>
          </w:p>
        </w:tc>
        <w:tc>
          <w:tcPr>
            <w:tcW w:w="1548" w:type="dxa"/>
            <w:gridSpan w:val="2"/>
            <w:noWrap w:val="0"/>
            <w:vAlign w:val="center"/>
          </w:tcPr>
          <w:p w14:paraId="47064C71">
            <w:pPr>
              <w:jc w:val="center"/>
              <w:rPr>
                <w:highlight w:val="none"/>
              </w:rPr>
            </w:pPr>
            <w:r>
              <w:rPr>
                <w:highlight w:val="none"/>
              </w:rPr>
              <w:t>开、竣工日期</w:t>
            </w:r>
          </w:p>
        </w:tc>
        <w:tc>
          <w:tcPr>
            <w:tcW w:w="1547" w:type="dxa"/>
            <w:gridSpan w:val="2"/>
            <w:noWrap w:val="0"/>
            <w:vAlign w:val="center"/>
          </w:tcPr>
          <w:p w14:paraId="0229C2E0">
            <w:pPr>
              <w:jc w:val="center"/>
              <w:rPr>
                <w:highlight w:val="none"/>
              </w:rPr>
            </w:pPr>
            <w:r>
              <w:rPr>
                <w:highlight w:val="none"/>
              </w:rPr>
              <w:t>在建或已完</w:t>
            </w:r>
          </w:p>
        </w:tc>
        <w:tc>
          <w:tcPr>
            <w:tcW w:w="1548" w:type="dxa"/>
            <w:gridSpan w:val="2"/>
            <w:noWrap w:val="0"/>
            <w:vAlign w:val="center"/>
          </w:tcPr>
          <w:p w14:paraId="7C3C06F6">
            <w:pPr>
              <w:jc w:val="center"/>
              <w:rPr>
                <w:highlight w:val="none"/>
              </w:rPr>
            </w:pPr>
            <w:r>
              <w:rPr>
                <w:highlight w:val="none"/>
              </w:rPr>
              <w:t>工程质量</w:t>
            </w:r>
          </w:p>
        </w:tc>
      </w:tr>
      <w:tr w14:paraId="3B1C5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7E4B8C40">
            <w:pPr>
              <w:jc w:val="center"/>
              <w:rPr>
                <w:highlight w:val="none"/>
              </w:rPr>
            </w:pPr>
          </w:p>
        </w:tc>
        <w:tc>
          <w:tcPr>
            <w:tcW w:w="1548" w:type="dxa"/>
            <w:noWrap w:val="0"/>
            <w:vAlign w:val="center"/>
          </w:tcPr>
          <w:p w14:paraId="2C627A42">
            <w:pPr>
              <w:jc w:val="center"/>
              <w:rPr>
                <w:highlight w:val="none"/>
              </w:rPr>
            </w:pPr>
          </w:p>
        </w:tc>
        <w:tc>
          <w:tcPr>
            <w:tcW w:w="1547" w:type="dxa"/>
            <w:gridSpan w:val="2"/>
            <w:noWrap w:val="0"/>
            <w:vAlign w:val="center"/>
          </w:tcPr>
          <w:p w14:paraId="28977DFD">
            <w:pPr>
              <w:jc w:val="center"/>
              <w:rPr>
                <w:highlight w:val="none"/>
              </w:rPr>
            </w:pPr>
          </w:p>
        </w:tc>
        <w:tc>
          <w:tcPr>
            <w:tcW w:w="1548" w:type="dxa"/>
            <w:gridSpan w:val="2"/>
            <w:noWrap w:val="0"/>
            <w:vAlign w:val="center"/>
          </w:tcPr>
          <w:p w14:paraId="47FF76AF">
            <w:pPr>
              <w:jc w:val="center"/>
              <w:rPr>
                <w:highlight w:val="none"/>
              </w:rPr>
            </w:pPr>
          </w:p>
        </w:tc>
        <w:tc>
          <w:tcPr>
            <w:tcW w:w="1547" w:type="dxa"/>
            <w:gridSpan w:val="2"/>
            <w:noWrap w:val="0"/>
            <w:vAlign w:val="center"/>
          </w:tcPr>
          <w:p w14:paraId="44748AF4">
            <w:pPr>
              <w:jc w:val="center"/>
              <w:rPr>
                <w:highlight w:val="none"/>
              </w:rPr>
            </w:pPr>
          </w:p>
        </w:tc>
        <w:tc>
          <w:tcPr>
            <w:tcW w:w="1548" w:type="dxa"/>
            <w:gridSpan w:val="2"/>
            <w:noWrap w:val="0"/>
            <w:vAlign w:val="center"/>
          </w:tcPr>
          <w:p w14:paraId="2537A761">
            <w:pPr>
              <w:jc w:val="center"/>
              <w:rPr>
                <w:highlight w:val="none"/>
              </w:rPr>
            </w:pPr>
          </w:p>
        </w:tc>
      </w:tr>
      <w:tr w14:paraId="17A55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7DA3D20C">
            <w:pPr>
              <w:jc w:val="center"/>
              <w:rPr>
                <w:highlight w:val="none"/>
              </w:rPr>
            </w:pPr>
          </w:p>
        </w:tc>
        <w:tc>
          <w:tcPr>
            <w:tcW w:w="1548" w:type="dxa"/>
            <w:noWrap w:val="0"/>
            <w:vAlign w:val="center"/>
          </w:tcPr>
          <w:p w14:paraId="032A12BA">
            <w:pPr>
              <w:jc w:val="center"/>
              <w:rPr>
                <w:highlight w:val="none"/>
              </w:rPr>
            </w:pPr>
          </w:p>
        </w:tc>
        <w:tc>
          <w:tcPr>
            <w:tcW w:w="1547" w:type="dxa"/>
            <w:gridSpan w:val="2"/>
            <w:noWrap w:val="0"/>
            <w:vAlign w:val="center"/>
          </w:tcPr>
          <w:p w14:paraId="70C6B1EA">
            <w:pPr>
              <w:jc w:val="center"/>
              <w:rPr>
                <w:highlight w:val="none"/>
              </w:rPr>
            </w:pPr>
          </w:p>
        </w:tc>
        <w:tc>
          <w:tcPr>
            <w:tcW w:w="1548" w:type="dxa"/>
            <w:gridSpan w:val="2"/>
            <w:noWrap w:val="0"/>
            <w:vAlign w:val="center"/>
          </w:tcPr>
          <w:p w14:paraId="4093098C">
            <w:pPr>
              <w:jc w:val="center"/>
              <w:rPr>
                <w:highlight w:val="none"/>
              </w:rPr>
            </w:pPr>
          </w:p>
        </w:tc>
        <w:tc>
          <w:tcPr>
            <w:tcW w:w="1547" w:type="dxa"/>
            <w:gridSpan w:val="2"/>
            <w:noWrap w:val="0"/>
            <w:vAlign w:val="center"/>
          </w:tcPr>
          <w:p w14:paraId="2E2626FA">
            <w:pPr>
              <w:jc w:val="center"/>
              <w:rPr>
                <w:highlight w:val="none"/>
              </w:rPr>
            </w:pPr>
          </w:p>
        </w:tc>
        <w:tc>
          <w:tcPr>
            <w:tcW w:w="1548" w:type="dxa"/>
            <w:gridSpan w:val="2"/>
            <w:noWrap w:val="0"/>
            <w:vAlign w:val="center"/>
          </w:tcPr>
          <w:p w14:paraId="34941E48">
            <w:pPr>
              <w:jc w:val="center"/>
              <w:rPr>
                <w:highlight w:val="none"/>
              </w:rPr>
            </w:pPr>
          </w:p>
        </w:tc>
      </w:tr>
      <w:tr w14:paraId="5BB9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8D35F43">
            <w:pPr>
              <w:jc w:val="center"/>
              <w:rPr>
                <w:highlight w:val="none"/>
              </w:rPr>
            </w:pPr>
          </w:p>
        </w:tc>
        <w:tc>
          <w:tcPr>
            <w:tcW w:w="1548" w:type="dxa"/>
            <w:noWrap w:val="0"/>
            <w:vAlign w:val="center"/>
          </w:tcPr>
          <w:p w14:paraId="6CB15C72">
            <w:pPr>
              <w:jc w:val="center"/>
              <w:rPr>
                <w:highlight w:val="none"/>
              </w:rPr>
            </w:pPr>
          </w:p>
        </w:tc>
        <w:tc>
          <w:tcPr>
            <w:tcW w:w="1547" w:type="dxa"/>
            <w:gridSpan w:val="2"/>
            <w:noWrap w:val="0"/>
            <w:vAlign w:val="center"/>
          </w:tcPr>
          <w:p w14:paraId="2F09E4BD">
            <w:pPr>
              <w:jc w:val="center"/>
              <w:rPr>
                <w:highlight w:val="none"/>
              </w:rPr>
            </w:pPr>
          </w:p>
        </w:tc>
        <w:tc>
          <w:tcPr>
            <w:tcW w:w="1548" w:type="dxa"/>
            <w:gridSpan w:val="2"/>
            <w:noWrap w:val="0"/>
            <w:vAlign w:val="center"/>
          </w:tcPr>
          <w:p w14:paraId="0BC4EF76">
            <w:pPr>
              <w:jc w:val="center"/>
              <w:rPr>
                <w:highlight w:val="none"/>
              </w:rPr>
            </w:pPr>
          </w:p>
        </w:tc>
        <w:tc>
          <w:tcPr>
            <w:tcW w:w="1547" w:type="dxa"/>
            <w:gridSpan w:val="2"/>
            <w:noWrap w:val="0"/>
            <w:vAlign w:val="center"/>
          </w:tcPr>
          <w:p w14:paraId="03C91C1C">
            <w:pPr>
              <w:jc w:val="center"/>
              <w:rPr>
                <w:highlight w:val="none"/>
              </w:rPr>
            </w:pPr>
          </w:p>
        </w:tc>
        <w:tc>
          <w:tcPr>
            <w:tcW w:w="1548" w:type="dxa"/>
            <w:gridSpan w:val="2"/>
            <w:noWrap w:val="0"/>
            <w:vAlign w:val="center"/>
          </w:tcPr>
          <w:p w14:paraId="045EAB97">
            <w:pPr>
              <w:jc w:val="center"/>
              <w:rPr>
                <w:highlight w:val="none"/>
              </w:rPr>
            </w:pPr>
          </w:p>
        </w:tc>
      </w:tr>
    </w:tbl>
    <w:p w14:paraId="757DFAC9">
      <w:pPr>
        <w:pStyle w:val="197"/>
        <w:rPr>
          <w:rFonts w:hint="eastAsia" w:ascii="Times New Roman" w:hAnsi="Times New Roman"/>
          <w:highlight w:val="none"/>
        </w:rPr>
      </w:pPr>
      <w:r>
        <w:rPr>
          <w:rFonts w:ascii="Times New Roman" w:hAnsi="Times New Roman"/>
          <w:highlight w:val="none"/>
        </w:rPr>
        <w:t>备注：附项目经理注册建造师注册证书、安全生产考核合格证书（B证）、响应文件递交截止时间前6个月内</w:t>
      </w:r>
      <w:r>
        <w:rPr>
          <w:highlight w:val="none"/>
        </w:rPr>
        <w:t>任意</w:t>
      </w:r>
      <w:r>
        <w:rPr>
          <w:rFonts w:hint="eastAsia" w:ascii="Times New Roman" w:hAnsi="Times New Roman"/>
          <w:highlight w:val="none"/>
        </w:rPr>
        <w:t>1个月</w:t>
      </w:r>
      <w:r>
        <w:rPr>
          <w:rFonts w:ascii="Times New Roman" w:hAnsi="Times New Roman"/>
          <w:highlight w:val="none"/>
        </w:rPr>
        <w:t>在现任职单位依法缴纳社会保险的凭证和已完工程中标（成交）通知书、工程合同协议书、工程竣工验收证明材料，以及供应商认为需要增加的其他证明材料</w:t>
      </w:r>
      <w:r>
        <w:rPr>
          <w:rFonts w:hint="eastAsia"/>
          <w:szCs w:val="21"/>
          <w:highlight w:val="none"/>
        </w:rPr>
        <w:t>扫描件</w:t>
      </w:r>
      <w:r>
        <w:rPr>
          <w:rFonts w:ascii="Times New Roman" w:hAnsi="Times New Roman"/>
          <w:highlight w:val="none"/>
        </w:rPr>
        <w:t>，以上</w:t>
      </w:r>
      <w:r>
        <w:rPr>
          <w:rFonts w:hint="eastAsia"/>
          <w:szCs w:val="21"/>
          <w:highlight w:val="none"/>
        </w:rPr>
        <w:t>扫描件</w:t>
      </w:r>
      <w:r>
        <w:rPr>
          <w:rFonts w:ascii="Times New Roman" w:hAnsi="Times New Roman"/>
          <w:highlight w:val="none"/>
        </w:rPr>
        <w:t>须加盖</w:t>
      </w:r>
      <w:r>
        <w:rPr>
          <w:szCs w:val="21"/>
          <w:highlight w:val="none"/>
        </w:rPr>
        <w:t>供应商</w:t>
      </w:r>
      <w:r>
        <w:rPr>
          <w:rFonts w:hint="eastAsia"/>
          <w:szCs w:val="21"/>
          <w:highlight w:val="none"/>
        </w:rPr>
        <w:t>电子签章</w:t>
      </w:r>
      <w:r>
        <w:rPr>
          <w:rFonts w:ascii="Times New Roman" w:hAnsi="Times New Roman"/>
          <w:highlight w:val="none"/>
        </w:rPr>
        <w:t>。</w:t>
      </w:r>
      <w:bookmarkStart w:id="467" w:name="_Toc389065365"/>
      <w:bookmarkStart w:id="468" w:name="_Toc251052219"/>
      <w:bookmarkStart w:id="469" w:name="_Toc153274949"/>
      <w:bookmarkStart w:id="470" w:name="_Toc173579007"/>
      <w:bookmarkStart w:id="471" w:name="_Toc172364027"/>
    </w:p>
    <w:p w14:paraId="7A2F6E18">
      <w:pPr>
        <w:pStyle w:val="197"/>
        <w:rPr>
          <w:rFonts w:hint="eastAsia" w:ascii="Times New Roman" w:hAnsi="Times New Roman"/>
          <w:highlight w:val="none"/>
        </w:rPr>
      </w:pPr>
    </w:p>
    <w:p w14:paraId="36E60EE8">
      <w:pPr>
        <w:pStyle w:val="197"/>
        <w:rPr>
          <w:rFonts w:ascii="Times New Roman" w:hAnsi="Times New Roman"/>
          <w:highlight w:val="none"/>
        </w:rPr>
      </w:pPr>
    </w:p>
    <w:p w14:paraId="53CA8426">
      <w:pPr>
        <w:pStyle w:val="197"/>
        <w:rPr>
          <w:rFonts w:ascii="Times New Roman" w:hAnsi="Times New Roman"/>
          <w:highlight w:val="none"/>
        </w:rPr>
      </w:pPr>
      <w:r>
        <w:rPr>
          <w:rFonts w:hint="eastAsia" w:ascii="Times New Roman" w:hAnsi="Times New Roman"/>
          <w:highlight w:val="none"/>
          <w:lang w:val="en-US" w:eastAsia="zh-CN"/>
        </w:rPr>
        <w:t>7</w:t>
      </w:r>
      <w:r>
        <w:rPr>
          <w:rFonts w:ascii="Times New Roman" w:hAnsi="Times New Roman"/>
          <w:highlight w:val="none"/>
        </w:rPr>
        <w:t>.</w:t>
      </w:r>
      <w:r>
        <w:rPr>
          <w:rFonts w:hint="eastAsia" w:ascii="Times New Roman" w:hAnsi="Times New Roman"/>
          <w:highlight w:val="none"/>
        </w:rPr>
        <w:t>3</w:t>
      </w:r>
      <w:r>
        <w:rPr>
          <w:rFonts w:ascii="Times New Roman" w:hAnsi="Times New Roman"/>
          <w:highlight w:val="none"/>
        </w:rPr>
        <w:t>项目技术负责人简历表</w:t>
      </w:r>
      <w:bookmarkEnd w:id="467"/>
      <w:bookmarkEnd w:id="468"/>
      <w:bookmarkEnd w:id="469"/>
      <w:bookmarkEnd w:id="470"/>
      <w:bookmarkEnd w:id="471"/>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464"/>
        <w:gridCol w:w="1548"/>
        <w:gridCol w:w="328"/>
        <w:gridCol w:w="1219"/>
        <w:gridCol w:w="674"/>
        <w:gridCol w:w="874"/>
        <w:gridCol w:w="711"/>
        <w:gridCol w:w="836"/>
        <w:gridCol w:w="272"/>
        <w:gridCol w:w="1276"/>
      </w:tblGrid>
      <w:tr w14:paraId="56FF8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83" w:type="dxa"/>
            <w:noWrap w:val="0"/>
            <w:vAlign w:val="center"/>
          </w:tcPr>
          <w:p w14:paraId="281CE4EE">
            <w:pPr>
              <w:jc w:val="center"/>
              <w:rPr>
                <w:highlight w:val="none"/>
              </w:rPr>
            </w:pPr>
            <w:r>
              <w:rPr>
                <w:highlight w:val="none"/>
              </w:rPr>
              <w:t>姓名</w:t>
            </w:r>
          </w:p>
        </w:tc>
        <w:tc>
          <w:tcPr>
            <w:tcW w:w="2340" w:type="dxa"/>
            <w:gridSpan w:val="3"/>
            <w:noWrap w:val="0"/>
            <w:vAlign w:val="center"/>
          </w:tcPr>
          <w:p w14:paraId="5A28A205">
            <w:pPr>
              <w:jc w:val="center"/>
              <w:rPr>
                <w:highlight w:val="none"/>
              </w:rPr>
            </w:pPr>
          </w:p>
        </w:tc>
        <w:tc>
          <w:tcPr>
            <w:tcW w:w="1893" w:type="dxa"/>
            <w:gridSpan w:val="2"/>
            <w:noWrap w:val="0"/>
            <w:vAlign w:val="center"/>
          </w:tcPr>
          <w:p w14:paraId="135D0FA5">
            <w:pPr>
              <w:jc w:val="center"/>
              <w:rPr>
                <w:highlight w:val="none"/>
              </w:rPr>
            </w:pPr>
            <w:r>
              <w:rPr>
                <w:highlight w:val="none"/>
              </w:rPr>
              <w:t>性别</w:t>
            </w:r>
          </w:p>
        </w:tc>
        <w:tc>
          <w:tcPr>
            <w:tcW w:w="1585" w:type="dxa"/>
            <w:gridSpan w:val="2"/>
            <w:noWrap w:val="0"/>
            <w:vAlign w:val="center"/>
          </w:tcPr>
          <w:p w14:paraId="4525B09F">
            <w:pPr>
              <w:jc w:val="center"/>
              <w:rPr>
                <w:highlight w:val="none"/>
              </w:rPr>
            </w:pPr>
          </w:p>
        </w:tc>
        <w:tc>
          <w:tcPr>
            <w:tcW w:w="1108" w:type="dxa"/>
            <w:gridSpan w:val="2"/>
            <w:noWrap w:val="0"/>
            <w:vAlign w:val="center"/>
          </w:tcPr>
          <w:p w14:paraId="3D90AAA1">
            <w:pPr>
              <w:jc w:val="center"/>
              <w:rPr>
                <w:highlight w:val="none"/>
              </w:rPr>
            </w:pPr>
            <w:r>
              <w:rPr>
                <w:highlight w:val="none"/>
              </w:rPr>
              <w:t>年龄</w:t>
            </w:r>
          </w:p>
        </w:tc>
        <w:tc>
          <w:tcPr>
            <w:tcW w:w="1276" w:type="dxa"/>
            <w:noWrap w:val="0"/>
            <w:vAlign w:val="center"/>
          </w:tcPr>
          <w:p w14:paraId="681125D5">
            <w:pPr>
              <w:jc w:val="center"/>
              <w:rPr>
                <w:highlight w:val="none"/>
              </w:rPr>
            </w:pPr>
          </w:p>
        </w:tc>
      </w:tr>
      <w:tr w14:paraId="13EC5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083" w:type="dxa"/>
            <w:noWrap w:val="0"/>
            <w:vAlign w:val="center"/>
          </w:tcPr>
          <w:p w14:paraId="3DC1536A">
            <w:pPr>
              <w:jc w:val="center"/>
              <w:rPr>
                <w:highlight w:val="none"/>
              </w:rPr>
            </w:pPr>
            <w:r>
              <w:rPr>
                <w:rFonts w:hint="eastAsia"/>
                <w:highlight w:val="none"/>
                <w:lang w:val="en-US" w:eastAsia="zh-CN"/>
              </w:rPr>
              <w:t>岗位</w:t>
            </w:r>
          </w:p>
        </w:tc>
        <w:tc>
          <w:tcPr>
            <w:tcW w:w="2340" w:type="dxa"/>
            <w:gridSpan w:val="3"/>
            <w:noWrap w:val="0"/>
            <w:vAlign w:val="center"/>
          </w:tcPr>
          <w:p w14:paraId="7366F0EC">
            <w:pPr>
              <w:jc w:val="center"/>
              <w:rPr>
                <w:highlight w:val="none"/>
              </w:rPr>
            </w:pPr>
          </w:p>
        </w:tc>
        <w:tc>
          <w:tcPr>
            <w:tcW w:w="1893" w:type="dxa"/>
            <w:gridSpan w:val="2"/>
            <w:noWrap w:val="0"/>
            <w:vAlign w:val="center"/>
          </w:tcPr>
          <w:p w14:paraId="5DE8FA19">
            <w:pPr>
              <w:jc w:val="center"/>
              <w:rPr>
                <w:highlight w:val="none"/>
              </w:rPr>
            </w:pPr>
            <w:r>
              <w:rPr>
                <w:highlight w:val="none"/>
              </w:rPr>
              <w:t>职称</w:t>
            </w:r>
          </w:p>
        </w:tc>
        <w:tc>
          <w:tcPr>
            <w:tcW w:w="1585" w:type="dxa"/>
            <w:gridSpan w:val="2"/>
            <w:noWrap w:val="0"/>
            <w:vAlign w:val="center"/>
          </w:tcPr>
          <w:p w14:paraId="6FE6ED34">
            <w:pPr>
              <w:jc w:val="center"/>
              <w:rPr>
                <w:highlight w:val="none"/>
              </w:rPr>
            </w:pPr>
          </w:p>
        </w:tc>
        <w:tc>
          <w:tcPr>
            <w:tcW w:w="1108" w:type="dxa"/>
            <w:gridSpan w:val="2"/>
            <w:noWrap w:val="0"/>
            <w:vAlign w:val="center"/>
          </w:tcPr>
          <w:p w14:paraId="7FA107D2">
            <w:pPr>
              <w:jc w:val="center"/>
              <w:rPr>
                <w:highlight w:val="none"/>
              </w:rPr>
            </w:pPr>
            <w:r>
              <w:rPr>
                <w:highlight w:val="none"/>
              </w:rPr>
              <w:t>学历</w:t>
            </w:r>
          </w:p>
        </w:tc>
        <w:tc>
          <w:tcPr>
            <w:tcW w:w="1276" w:type="dxa"/>
            <w:noWrap w:val="0"/>
            <w:vAlign w:val="center"/>
          </w:tcPr>
          <w:p w14:paraId="61046409">
            <w:pPr>
              <w:jc w:val="center"/>
              <w:rPr>
                <w:highlight w:val="none"/>
              </w:rPr>
            </w:pPr>
          </w:p>
        </w:tc>
      </w:tr>
      <w:tr w14:paraId="6FC90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3" w:type="dxa"/>
            <w:gridSpan w:val="4"/>
            <w:noWrap w:val="0"/>
            <w:vAlign w:val="center"/>
          </w:tcPr>
          <w:p w14:paraId="36032192">
            <w:pPr>
              <w:jc w:val="center"/>
              <w:rPr>
                <w:highlight w:val="none"/>
              </w:rPr>
            </w:pPr>
            <w:r>
              <w:rPr>
                <w:highlight w:val="none"/>
              </w:rPr>
              <w:t>参加工作时间</w:t>
            </w:r>
          </w:p>
        </w:tc>
        <w:tc>
          <w:tcPr>
            <w:tcW w:w="1893" w:type="dxa"/>
            <w:gridSpan w:val="2"/>
            <w:noWrap w:val="0"/>
            <w:vAlign w:val="center"/>
          </w:tcPr>
          <w:p w14:paraId="71F755D6">
            <w:pPr>
              <w:jc w:val="center"/>
              <w:rPr>
                <w:highlight w:val="none"/>
              </w:rPr>
            </w:pPr>
          </w:p>
        </w:tc>
        <w:tc>
          <w:tcPr>
            <w:tcW w:w="2693" w:type="dxa"/>
            <w:gridSpan w:val="4"/>
            <w:noWrap w:val="0"/>
            <w:vAlign w:val="center"/>
          </w:tcPr>
          <w:p w14:paraId="2D56B589">
            <w:pPr>
              <w:jc w:val="center"/>
              <w:rPr>
                <w:highlight w:val="none"/>
              </w:rPr>
            </w:pPr>
            <w:r>
              <w:rPr>
                <w:highlight w:val="none"/>
              </w:rPr>
              <w:t>担任技术负责人年限</w:t>
            </w:r>
          </w:p>
        </w:tc>
        <w:tc>
          <w:tcPr>
            <w:tcW w:w="1276" w:type="dxa"/>
            <w:noWrap w:val="0"/>
            <w:vAlign w:val="center"/>
          </w:tcPr>
          <w:p w14:paraId="33080624">
            <w:pPr>
              <w:jc w:val="center"/>
              <w:rPr>
                <w:highlight w:val="none"/>
              </w:rPr>
            </w:pPr>
          </w:p>
        </w:tc>
      </w:tr>
      <w:tr w14:paraId="3D7B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85" w:type="dxa"/>
            <w:gridSpan w:val="11"/>
            <w:noWrap w:val="0"/>
            <w:vAlign w:val="center"/>
          </w:tcPr>
          <w:p w14:paraId="4675FCD4">
            <w:pPr>
              <w:jc w:val="center"/>
              <w:rPr>
                <w:highlight w:val="none"/>
              </w:rPr>
            </w:pPr>
            <w:r>
              <w:rPr>
                <w:highlight w:val="none"/>
              </w:rPr>
              <w:t>在建和已完工程项目情况</w:t>
            </w:r>
          </w:p>
        </w:tc>
      </w:tr>
      <w:tr w14:paraId="7BD7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47" w:type="dxa"/>
            <w:gridSpan w:val="2"/>
            <w:noWrap w:val="0"/>
            <w:vAlign w:val="center"/>
          </w:tcPr>
          <w:p w14:paraId="7E494809">
            <w:pPr>
              <w:jc w:val="center"/>
              <w:rPr>
                <w:highlight w:val="none"/>
              </w:rPr>
            </w:pPr>
            <w:r>
              <w:rPr>
                <w:highlight w:val="none"/>
              </w:rPr>
              <w:t>建设单位</w:t>
            </w:r>
          </w:p>
        </w:tc>
        <w:tc>
          <w:tcPr>
            <w:tcW w:w="1548" w:type="dxa"/>
            <w:noWrap w:val="0"/>
            <w:vAlign w:val="center"/>
          </w:tcPr>
          <w:p w14:paraId="28A93AF8">
            <w:pPr>
              <w:jc w:val="center"/>
              <w:rPr>
                <w:highlight w:val="none"/>
              </w:rPr>
            </w:pPr>
            <w:r>
              <w:rPr>
                <w:highlight w:val="none"/>
              </w:rPr>
              <w:t>项目名称</w:t>
            </w:r>
          </w:p>
        </w:tc>
        <w:tc>
          <w:tcPr>
            <w:tcW w:w="1547" w:type="dxa"/>
            <w:gridSpan w:val="2"/>
            <w:noWrap w:val="0"/>
            <w:vAlign w:val="center"/>
          </w:tcPr>
          <w:p w14:paraId="5AD305E3">
            <w:pPr>
              <w:jc w:val="center"/>
              <w:rPr>
                <w:highlight w:val="none"/>
              </w:rPr>
            </w:pPr>
            <w:r>
              <w:rPr>
                <w:highlight w:val="none"/>
              </w:rPr>
              <w:t>建设规模</w:t>
            </w:r>
          </w:p>
        </w:tc>
        <w:tc>
          <w:tcPr>
            <w:tcW w:w="1548" w:type="dxa"/>
            <w:gridSpan w:val="2"/>
            <w:noWrap w:val="0"/>
            <w:vAlign w:val="center"/>
          </w:tcPr>
          <w:p w14:paraId="25ABAD1D">
            <w:pPr>
              <w:jc w:val="center"/>
              <w:rPr>
                <w:highlight w:val="none"/>
              </w:rPr>
            </w:pPr>
            <w:r>
              <w:rPr>
                <w:highlight w:val="none"/>
              </w:rPr>
              <w:t>开、竣工日期</w:t>
            </w:r>
          </w:p>
        </w:tc>
        <w:tc>
          <w:tcPr>
            <w:tcW w:w="1547" w:type="dxa"/>
            <w:gridSpan w:val="2"/>
            <w:noWrap w:val="0"/>
            <w:vAlign w:val="center"/>
          </w:tcPr>
          <w:p w14:paraId="74B9B70E">
            <w:pPr>
              <w:jc w:val="center"/>
              <w:rPr>
                <w:highlight w:val="none"/>
              </w:rPr>
            </w:pPr>
            <w:r>
              <w:rPr>
                <w:highlight w:val="none"/>
              </w:rPr>
              <w:t>在建或已完</w:t>
            </w:r>
          </w:p>
        </w:tc>
        <w:tc>
          <w:tcPr>
            <w:tcW w:w="1548" w:type="dxa"/>
            <w:gridSpan w:val="2"/>
            <w:noWrap w:val="0"/>
            <w:vAlign w:val="center"/>
          </w:tcPr>
          <w:p w14:paraId="1557F80B">
            <w:pPr>
              <w:jc w:val="center"/>
              <w:rPr>
                <w:highlight w:val="none"/>
              </w:rPr>
            </w:pPr>
            <w:r>
              <w:rPr>
                <w:highlight w:val="none"/>
              </w:rPr>
              <w:t>工程质量</w:t>
            </w:r>
          </w:p>
        </w:tc>
      </w:tr>
      <w:tr w14:paraId="68CC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14F9406D">
            <w:pPr>
              <w:jc w:val="center"/>
              <w:rPr>
                <w:highlight w:val="none"/>
              </w:rPr>
            </w:pPr>
          </w:p>
        </w:tc>
        <w:tc>
          <w:tcPr>
            <w:tcW w:w="1548" w:type="dxa"/>
            <w:noWrap w:val="0"/>
            <w:vAlign w:val="center"/>
          </w:tcPr>
          <w:p w14:paraId="13C98E44">
            <w:pPr>
              <w:jc w:val="center"/>
              <w:rPr>
                <w:highlight w:val="none"/>
              </w:rPr>
            </w:pPr>
          </w:p>
        </w:tc>
        <w:tc>
          <w:tcPr>
            <w:tcW w:w="1547" w:type="dxa"/>
            <w:gridSpan w:val="2"/>
            <w:noWrap w:val="0"/>
            <w:vAlign w:val="center"/>
          </w:tcPr>
          <w:p w14:paraId="5F722B67">
            <w:pPr>
              <w:jc w:val="center"/>
              <w:rPr>
                <w:highlight w:val="none"/>
              </w:rPr>
            </w:pPr>
          </w:p>
        </w:tc>
        <w:tc>
          <w:tcPr>
            <w:tcW w:w="1548" w:type="dxa"/>
            <w:gridSpan w:val="2"/>
            <w:noWrap w:val="0"/>
            <w:vAlign w:val="center"/>
          </w:tcPr>
          <w:p w14:paraId="272F8A07">
            <w:pPr>
              <w:jc w:val="center"/>
              <w:rPr>
                <w:highlight w:val="none"/>
              </w:rPr>
            </w:pPr>
          </w:p>
        </w:tc>
        <w:tc>
          <w:tcPr>
            <w:tcW w:w="1547" w:type="dxa"/>
            <w:gridSpan w:val="2"/>
            <w:noWrap w:val="0"/>
            <w:vAlign w:val="center"/>
          </w:tcPr>
          <w:p w14:paraId="73FD07EF">
            <w:pPr>
              <w:jc w:val="center"/>
              <w:rPr>
                <w:highlight w:val="none"/>
              </w:rPr>
            </w:pPr>
          </w:p>
        </w:tc>
        <w:tc>
          <w:tcPr>
            <w:tcW w:w="1548" w:type="dxa"/>
            <w:gridSpan w:val="2"/>
            <w:noWrap w:val="0"/>
            <w:vAlign w:val="center"/>
          </w:tcPr>
          <w:p w14:paraId="31018D6C">
            <w:pPr>
              <w:jc w:val="center"/>
              <w:rPr>
                <w:highlight w:val="none"/>
              </w:rPr>
            </w:pPr>
          </w:p>
        </w:tc>
      </w:tr>
      <w:tr w14:paraId="342A7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5BDB411B">
            <w:pPr>
              <w:jc w:val="center"/>
              <w:rPr>
                <w:highlight w:val="none"/>
              </w:rPr>
            </w:pPr>
          </w:p>
        </w:tc>
        <w:tc>
          <w:tcPr>
            <w:tcW w:w="1548" w:type="dxa"/>
            <w:noWrap w:val="0"/>
            <w:vAlign w:val="center"/>
          </w:tcPr>
          <w:p w14:paraId="3BDEA3B7">
            <w:pPr>
              <w:jc w:val="center"/>
              <w:rPr>
                <w:highlight w:val="none"/>
              </w:rPr>
            </w:pPr>
          </w:p>
        </w:tc>
        <w:tc>
          <w:tcPr>
            <w:tcW w:w="1547" w:type="dxa"/>
            <w:gridSpan w:val="2"/>
            <w:noWrap w:val="0"/>
            <w:vAlign w:val="center"/>
          </w:tcPr>
          <w:p w14:paraId="63F9A78C">
            <w:pPr>
              <w:jc w:val="center"/>
              <w:rPr>
                <w:highlight w:val="none"/>
              </w:rPr>
            </w:pPr>
          </w:p>
        </w:tc>
        <w:tc>
          <w:tcPr>
            <w:tcW w:w="1548" w:type="dxa"/>
            <w:gridSpan w:val="2"/>
            <w:noWrap w:val="0"/>
            <w:vAlign w:val="center"/>
          </w:tcPr>
          <w:p w14:paraId="1BC30CE6">
            <w:pPr>
              <w:jc w:val="center"/>
              <w:rPr>
                <w:highlight w:val="none"/>
              </w:rPr>
            </w:pPr>
          </w:p>
        </w:tc>
        <w:tc>
          <w:tcPr>
            <w:tcW w:w="1547" w:type="dxa"/>
            <w:gridSpan w:val="2"/>
            <w:noWrap w:val="0"/>
            <w:vAlign w:val="center"/>
          </w:tcPr>
          <w:p w14:paraId="7DBB43DF">
            <w:pPr>
              <w:jc w:val="center"/>
              <w:rPr>
                <w:highlight w:val="none"/>
              </w:rPr>
            </w:pPr>
          </w:p>
        </w:tc>
        <w:tc>
          <w:tcPr>
            <w:tcW w:w="1548" w:type="dxa"/>
            <w:gridSpan w:val="2"/>
            <w:noWrap w:val="0"/>
            <w:vAlign w:val="center"/>
          </w:tcPr>
          <w:p w14:paraId="2260D04D">
            <w:pPr>
              <w:jc w:val="center"/>
              <w:rPr>
                <w:highlight w:val="none"/>
              </w:rPr>
            </w:pPr>
          </w:p>
        </w:tc>
      </w:tr>
      <w:tr w14:paraId="20130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547" w:type="dxa"/>
            <w:gridSpan w:val="2"/>
            <w:noWrap w:val="0"/>
            <w:vAlign w:val="center"/>
          </w:tcPr>
          <w:p w14:paraId="4AACE497">
            <w:pPr>
              <w:jc w:val="center"/>
              <w:rPr>
                <w:highlight w:val="none"/>
              </w:rPr>
            </w:pPr>
          </w:p>
        </w:tc>
        <w:tc>
          <w:tcPr>
            <w:tcW w:w="1548" w:type="dxa"/>
            <w:noWrap w:val="0"/>
            <w:vAlign w:val="center"/>
          </w:tcPr>
          <w:p w14:paraId="7D7AEB5E">
            <w:pPr>
              <w:jc w:val="center"/>
              <w:rPr>
                <w:highlight w:val="none"/>
              </w:rPr>
            </w:pPr>
          </w:p>
        </w:tc>
        <w:tc>
          <w:tcPr>
            <w:tcW w:w="1547" w:type="dxa"/>
            <w:gridSpan w:val="2"/>
            <w:noWrap w:val="0"/>
            <w:vAlign w:val="center"/>
          </w:tcPr>
          <w:p w14:paraId="35FB8EEF">
            <w:pPr>
              <w:jc w:val="center"/>
              <w:rPr>
                <w:highlight w:val="none"/>
              </w:rPr>
            </w:pPr>
          </w:p>
        </w:tc>
        <w:tc>
          <w:tcPr>
            <w:tcW w:w="1548" w:type="dxa"/>
            <w:gridSpan w:val="2"/>
            <w:noWrap w:val="0"/>
            <w:vAlign w:val="center"/>
          </w:tcPr>
          <w:p w14:paraId="49C9E259">
            <w:pPr>
              <w:jc w:val="center"/>
              <w:rPr>
                <w:highlight w:val="none"/>
              </w:rPr>
            </w:pPr>
          </w:p>
        </w:tc>
        <w:tc>
          <w:tcPr>
            <w:tcW w:w="1547" w:type="dxa"/>
            <w:gridSpan w:val="2"/>
            <w:noWrap w:val="0"/>
            <w:vAlign w:val="center"/>
          </w:tcPr>
          <w:p w14:paraId="5484EA91">
            <w:pPr>
              <w:jc w:val="center"/>
              <w:rPr>
                <w:highlight w:val="none"/>
              </w:rPr>
            </w:pPr>
          </w:p>
        </w:tc>
        <w:tc>
          <w:tcPr>
            <w:tcW w:w="1548" w:type="dxa"/>
            <w:gridSpan w:val="2"/>
            <w:noWrap w:val="0"/>
            <w:vAlign w:val="center"/>
          </w:tcPr>
          <w:p w14:paraId="26EEE19C">
            <w:pPr>
              <w:jc w:val="center"/>
              <w:rPr>
                <w:highlight w:val="none"/>
              </w:rPr>
            </w:pPr>
          </w:p>
        </w:tc>
      </w:tr>
      <w:tr w14:paraId="3F6C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547" w:type="dxa"/>
            <w:gridSpan w:val="2"/>
            <w:noWrap w:val="0"/>
            <w:vAlign w:val="center"/>
          </w:tcPr>
          <w:p w14:paraId="194D8855">
            <w:pPr>
              <w:jc w:val="center"/>
              <w:rPr>
                <w:highlight w:val="none"/>
              </w:rPr>
            </w:pPr>
          </w:p>
        </w:tc>
        <w:tc>
          <w:tcPr>
            <w:tcW w:w="1548" w:type="dxa"/>
            <w:noWrap w:val="0"/>
            <w:vAlign w:val="center"/>
          </w:tcPr>
          <w:p w14:paraId="7373EA16">
            <w:pPr>
              <w:jc w:val="center"/>
              <w:rPr>
                <w:highlight w:val="none"/>
              </w:rPr>
            </w:pPr>
          </w:p>
        </w:tc>
        <w:tc>
          <w:tcPr>
            <w:tcW w:w="1547" w:type="dxa"/>
            <w:gridSpan w:val="2"/>
            <w:noWrap w:val="0"/>
            <w:vAlign w:val="center"/>
          </w:tcPr>
          <w:p w14:paraId="378AD5DA">
            <w:pPr>
              <w:jc w:val="center"/>
              <w:rPr>
                <w:highlight w:val="none"/>
              </w:rPr>
            </w:pPr>
          </w:p>
        </w:tc>
        <w:tc>
          <w:tcPr>
            <w:tcW w:w="1548" w:type="dxa"/>
            <w:gridSpan w:val="2"/>
            <w:noWrap w:val="0"/>
            <w:vAlign w:val="center"/>
          </w:tcPr>
          <w:p w14:paraId="4D33C1B8">
            <w:pPr>
              <w:jc w:val="center"/>
              <w:rPr>
                <w:highlight w:val="none"/>
              </w:rPr>
            </w:pPr>
          </w:p>
        </w:tc>
        <w:tc>
          <w:tcPr>
            <w:tcW w:w="1547" w:type="dxa"/>
            <w:gridSpan w:val="2"/>
            <w:noWrap w:val="0"/>
            <w:vAlign w:val="center"/>
          </w:tcPr>
          <w:p w14:paraId="1057FD17">
            <w:pPr>
              <w:jc w:val="center"/>
              <w:rPr>
                <w:highlight w:val="none"/>
              </w:rPr>
            </w:pPr>
          </w:p>
        </w:tc>
        <w:tc>
          <w:tcPr>
            <w:tcW w:w="1548" w:type="dxa"/>
            <w:gridSpan w:val="2"/>
            <w:noWrap w:val="0"/>
            <w:vAlign w:val="center"/>
          </w:tcPr>
          <w:p w14:paraId="62687510">
            <w:pPr>
              <w:jc w:val="center"/>
              <w:rPr>
                <w:highlight w:val="none"/>
              </w:rPr>
            </w:pPr>
          </w:p>
        </w:tc>
      </w:tr>
    </w:tbl>
    <w:p w14:paraId="41796D07">
      <w:pPr>
        <w:pStyle w:val="197"/>
        <w:rPr>
          <w:rFonts w:hint="eastAsia" w:ascii="Times New Roman" w:hAnsi="Times New Roman"/>
          <w:highlight w:val="none"/>
        </w:rPr>
      </w:pPr>
      <w:r>
        <w:rPr>
          <w:rFonts w:ascii="Times New Roman" w:hAnsi="Times New Roman"/>
          <w:highlight w:val="none"/>
        </w:rPr>
        <w:t>备注：附技术负责人的职称证、资格证、响应文件递交截止时间前6个月内</w:t>
      </w:r>
      <w:r>
        <w:rPr>
          <w:rFonts w:hint="eastAsia" w:ascii="Times New Roman" w:hAnsi="Times New Roman"/>
          <w:highlight w:val="none"/>
        </w:rPr>
        <w:t>任意1个月</w:t>
      </w:r>
      <w:r>
        <w:rPr>
          <w:rFonts w:ascii="Times New Roman" w:hAnsi="Times New Roman"/>
          <w:highlight w:val="none"/>
        </w:rPr>
        <w:t>在现任职单位依法缴纳社会保险的凭证和已完工程中标（成交）通知书、工程合同协议书、工程竣工验收证明材料，以及供应商认为需要增加的其他证明材料</w:t>
      </w:r>
      <w:r>
        <w:rPr>
          <w:rFonts w:hint="eastAsia"/>
          <w:szCs w:val="21"/>
          <w:highlight w:val="none"/>
        </w:rPr>
        <w:t>扫描件</w:t>
      </w:r>
      <w:r>
        <w:rPr>
          <w:rFonts w:ascii="Times New Roman" w:hAnsi="Times New Roman"/>
          <w:highlight w:val="none"/>
        </w:rPr>
        <w:t>，以上</w:t>
      </w:r>
      <w:r>
        <w:rPr>
          <w:rFonts w:hint="eastAsia"/>
          <w:szCs w:val="21"/>
          <w:highlight w:val="none"/>
        </w:rPr>
        <w:t>扫描件</w:t>
      </w:r>
      <w:r>
        <w:rPr>
          <w:rFonts w:ascii="Times New Roman" w:hAnsi="Times New Roman"/>
          <w:highlight w:val="none"/>
        </w:rPr>
        <w:t>均须加盖</w:t>
      </w:r>
      <w:r>
        <w:rPr>
          <w:szCs w:val="21"/>
          <w:highlight w:val="none"/>
        </w:rPr>
        <w:t>供应商</w:t>
      </w:r>
      <w:r>
        <w:rPr>
          <w:rFonts w:hint="eastAsia"/>
          <w:szCs w:val="21"/>
          <w:highlight w:val="none"/>
        </w:rPr>
        <w:t>电子签章</w:t>
      </w:r>
      <w:r>
        <w:rPr>
          <w:rFonts w:ascii="Times New Roman" w:hAnsi="Times New Roman"/>
          <w:highlight w:val="none"/>
        </w:rPr>
        <w:t>。</w:t>
      </w:r>
    </w:p>
    <w:p w14:paraId="60CAF2B5">
      <w:pPr>
        <w:pStyle w:val="197"/>
        <w:rPr>
          <w:rFonts w:hint="eastAsia" w:ascii="Times New Roman" w:hAnsi="Times New Roman"/>
          <w:highlight w:val="none"/>
        </w:rPr>
      </w:pPr>
    </w:p>
    <w:p w14:paraId="6587FD47">
      <w:pPr>
        <w:pStyle w:val="197"/>
        <w:rPr>
          <w:rFonts w:hint="eastAsia" w:ascii="Times New Roman" w:hAnsi="Times New Roman"/>
          <w:highlight w:val="none"/>
        </w:rPr>
      </w:pPr>
    </w:p>
    <w:p w14:paraId="1F5F5C3A">
      <w:pPr>
        <w:pStyle w:val="197"/>
        <w:jc w:val="left"/>
        <w:rPr>
          <w:rFonts w:ascii="Times New Roman" w:hAnsi="Times New Roman"/>
          <w:highlight w:val="none"/>
        </w:rPr>
      </w:pPr>
      <w:r>
        <w:rPr>
          <w:rFonts w:hint="eastAsia" w:ascii="Times New Roman" w:hAnsi="Times New Roman"/>
          <w:highlight w:val="none"/>
          <w:lang w:val="en-US" w:eastAsia="zh-CN"/>
        </w:rPr>
        <w:t>7</w:t>
      </w:r>
      <w:r>
        <w:rPr>
          <w:rFonts w:ascii="Times New Roman" w:hAnsi="Times New Roman"/>
          <w:highlight w:val="none"/>
        </w:rPr>
        <w:t>.</w:t>
      </w:r>
      <w:r>
        <w:rPr>
          <w:rFonts w:hint="eastAsia" w:ascii="Times New Roman" w:hAnsi="Times New Roman"/>
          <w:highlight w:val="none"/>
        </w:rPr>
        <w:t>4</w:t>
      </w:r>
      <w:r>
        <w:rPr>
          <w:rFonts w:ascii="Times New Roman" w:hAnsi="Times New Roman"/>
          <w:highlight w:val="none"/>
        </w:rPr>
        <w:t>项目管理机构其他人员配备情况表</w:t>
      </w:r>
    </w:p>
    <w:tbl>
      <w:tblPr>
        <w:tblStyle w:val="5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829"/>
        <w:gridCol w:w="816"/>
        <w:gridCol w:w="1148"/>
        <w:gridCol w:w="1148"/>
        <w:gridCol w:w="1148"/>
        <w:gridCol w:w="1148"/>
        <w:gridCol w:w="850"/>
        <w:gridCol w:w="1276"/>
      </w:tblGrid>
      <w:tr w14:paraId="05394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93" w:type="dxa"/>
            <w:vMerge w:val="restart"/>
            <w:noWrap w:val="0"/>
            <w:vAlign w:val="center"/>
          </w:tcPr>
          <w:p w14:paraId="41B3FCA6">
            <w:pPr>
              <w:ind w:left="223" w:hanging="222" w:hangingChars="106"/>
              <w:jc w:val="center"/>
              <w:rPr>
                <w:highlight w:val="none"/>
              </w:rPr>
            </w:pPr>
            <w:r>
              <w:rPr>
                <w:highlight w:val="none"/>
              </w:rPr>
              <w:t>岗位</w:t>
            </w:r>
          </w:p>
        </w:tc>
        <w:tc>
          <w:tcPr>
            <w:tcW w:w="829" w:type="dxa"/>
            <w:vMerge w:val="restart"/>
            <w:noWrap w:val="0"/>
            <w:vAlign w:val="center"/>
          </w:tcPr>
          <w:p w14:paraId="24355805">
            <w:pPr>
              <w:ind w:left="223" w:hanging="222" w:hangingChars="106"/>
              <w:jc w:val="center"/>
              <w:rPr>
                <w:highlight w:val="none"/>
              </w:rPr>
            </w:pPr>
            <w:bookmarkStart w:id="472" w:name="_Toc251052187"/>
            <w:r>
              <w:rPr>
                <w:highlight w:val="none"/>
              </w:rPr>
              <w:t>姓名</w:t>
            </w:r>
            <w:bookmarkEnd w:id="472"/>
          </w:p>
        </w:tc>
        <w:tc>
          <w:tcPr>
            <w:tcW w:w="816" w:type="dxa"/>
            <w:vMerge w:val="restart"/>
            <w:noWrap w:val="0"/>
            <w:vAlign w:val="center"/>
          </w:tcPr>
          <w:p w14:paraId="12E81A69">
            <w:pPr>
              <w:ind w:left="223" w:hanging="222" w:hangingChars="106"/>
              <w:jc w:val="center"/>
              <w:rPr>
                <w:highlight w:val="none"/>
              </w:rPr>
            </w:pPr>
            <w:bookmarkStart w:id="473" w:name="_Toc251052188"/>
            <w:r>
              <w:rPr>
                <w:highlight w:val="none"/>
              </w:rPr>
              <w:t>职称</w:t>
            </w:r>
            <w:bookmarkEnd w:id="473"/>
          </w:p>
        </w:tc>
        <w:tc>
          <w:tcPr>
            <w:tcW w:w="4592" w:type="dxa"/>
            <w:gridSpan w:val="4"/>
            <w:noWrap w:val="0"/>
            <w:vAlign w:val="center"/>
          </w:tcPr>
          <w:p w14:paraId="56C49CFE">
            <w:pPr>
              <w:ind w:left="223" w:hanging="222" w:hangingChars="106"/>
              <w:jc w:val="center"/>
              <w:rPr>
                <w:highlight w:val="none"/>
              </w:rPr>
            </w:pPr>
            <w:bookmarkStart w:id="474" w:name="_Toc251052189"/>
            <w:r>
              <w:rPr>
                <w:highlight w:val="none"/>
              </w:rPr>
              <w:t>执业或职业资格证明</w:t>
            </w:r>
            <w:bookmarkEnd w:id="474"/>
          </w:p>
        </w:tc>
        <w:tc>
          <w:tcPr>
            <w:tcW w:w="2126" w:type="dxa"/>
            <w:gridSpan w:val="2"/>
            <w:noWrap w:val="0"/>
            <w:vAlign w:val="center"/>
          </w:tcPr>
          <w:p w14:paraId="46F74906">
            <w:pPr>
              <w:ind w:left="223" w:hanging="222" w:hangingChars="106"/>
              <w:jc w:val="center"/>
              <w:rPr>
                <w:highlight w:val="none"/>
              </w:rPr>
            </w:pPr>
            <w:bookmarkStart w:id="475" w:name="_Toc251052190"/>
            <w:r>
              <w:rPr>
                <w:highlight w:val="none"/>
              </w:rPr>
              <w:t>承担完工</w:t>
            </w:r>
            <w:bookmarkEnd w:id="475"/>
            <w:bookmarkStart w:id="476" w:name="_Toc251052191"/>
            <w:r>
              <w:rPr>
                <w:highlight w:val="none"/>
              </w:rPr>
              <w:t>工程情况</w:t>
            </w:r>
            <w:bookmarkEnd w:id="476"/>
          </w:p>
        </w:tc>
      </w:tr>
      <w:tr w14:paraId="668B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93" w:type="dxa"/>
            <w:vMerge w:val="continue"/>
            <w:noWrap w:val="0"/>
            <w:vAlign w:val="center"/>
          </w:tcPr>
          <w:p w14:paraId="53F36DFD">
            <w:pPr>
              <w:ind w:left="223" w:hanging="222" w:hangingChars="106"/>
              <w:jc w:val="center"/>
              <w:rPr>
                <w:highlight w:val="none"/>
              </w:rPr>
            </w:pPr>
          </w:p>
        </w:tc>
        <w:tc>
          <w:tcPr>
            <w:tcW w:w="829" w:type="dxa"/>
            <w:vMerge w:val="continue"/>
            <w:noWrap w:val="0"/>
            <w:vAlign w:val="center"/>
          </w:tcPr>
          <w:p w14:paraId="63DC39B7">
            <w:pPr>
              <w:ind w:left="223" w:hanging="222" w:hangingChars="106"/>
              <w:jc w:val="center"/>
              <w:rPr>
                <w:highlight w:val="none"/>
              </w:rPr>
            </w:pPr>
          </w:p>
        </w:tc>
        <w:tc>
          <w:tcPr>
            <w:tcW w:w="816" w:type="dxa"/>
            <w:vMerge w:val="continue"/>
            <w:noWrap w:val="0"/>
            <w:vAlign w:val="center"/>
          </w:tcPr>
          <w:p w14:paraId="1F2D401B">
            <w:pPr>
              <w:ind w:left="223" w:hanging="222" w:hangingChars="106"/>
              <w:jc w:val="center"/>
              <w:rPr>
                <w:highlight w:val="none"/>
              </w:rPr>
            </w:pPr>
          </w:p>
        </w:tc>
        <w:tc>
          <w:tcPr>
            <w:tcW w:w="1148" w:type="dxa"/>
            <w:noWrap w:val="0"/>
            <w:vAlign w:val="center"/>
          </w:tcPr>
          <w:p w14:paraId="5F08009D">
            <w:pPr>
              <w:ind w:left="223" w:hanging="222" w:hangingChars="106"/>
              <w:jc w:val="center"/>
              <w:rPr>
                <w:highlight w:val="none"/>
              </w:rPr>
            </w:pPr>
            <w:bookmarkStart w:id="477" w:name="_Toc251052192"/>
            <w:r>
              <w:rPr>
                <w:highlight w:val="none"/>
              </w:rPr>
              <w:t>证书名称</w:t>
            </w:r>
            <w:bookmarkEnd w:id="477"/>
          </w:p>
        </w:tc>
        <w:tc>
          <w:tcPr>
            <w:tcW w:w="1148" w:type="dxa"/>
            <w:noWrap w:val="0"/>
            <w:vAlign w:val="center"/>
          </w:tcPr>
          <w:p w14:paraId="64F65F76">
            <w:pPr>
              <w:ind w:left="223" w:hanging="222" w:hangingChars="106"/>
              <w:jc w:val="center"/>
              <w:rPr>
                <w:highlight w:val="none"/>
              </w:rPr>
            </w:pPr>
            <w:bookmarkStart w:id="478" w:name="_Toc251052193"/>
            <w:r>
              <w:rPr>
                <w:highlight w:val="none"/>
              </w:rPr>
              <w:t>级别</w:t>
            </w:r>
            <w:bookmarkEnd w:id="478"/>
          </w:p>
        </w:tc>
        <w:tc>
          <w:tcPr>
            <w:tcW w:w="1148" w:type="dxa"/>
            <w:noWrap w:val="0"/>
            <w:vAlign w:val="center"/>
          </w:tcPr>
          <w:p w14:paraId="2A156345">
            <w:pPr>
              <w:ind w:left="223" w:hanging="222" w:hangingChars="106"/>
              <w:jc w:val="center"/>
              <w:rPr>
                <w:highlight w:val="none"/>
              </w:rPr>
            </w:pPr>
            <w:bookmarkStart w:id="479" w:name="_Toc251052194"/>
            <w:r>
              <w:rPr>
                <w:highlight w:val="none"/>
              </w:rPr>
              <w:t>证号</w:t>
            </w:r>
            <w:bookmarkEnd w:id="479"/>
          </w:p>
        </w:tc>
        <w:tc>
          <w:tcPr>
            <w:tcW w:w="1148" w:type="dxa"/>
            <w:noWrap w:val="0"/>
            <w:vAlign w:val="center"/>
          </w:tcPr>
          <w:p w14:paraId="72A29399">
            <w:pPr>
              <w:ind w:left="223" w:hanging="222" w:hangingChars="106"/>
              <w:jc w:val="center"/>
              <w:rPr>
                <w:highlight w:val="none"/>
              </w:rPr>
            </w:pPr>
            <w:bookmarkStart w:id="480" w:name="_Toc251052195"/>
            <w:r>
              <w:rPr>
                <w:highlight w:val="none"/>
              </w:rPr>
              <w:t>专业</w:t>
            </w:r>
            <w:bookmarkEnd w:id="480"/>
          </w:p>
        </w:tc>
        <w:tc>
          <w:tcPr>
            <w:tcW w:w="850" w:type="dxa"/>
            <w:noWrap w:val="0"/>
            <w:vAlign w:val="center"/>
          </w:tcPr>
          <w:p w14:paraId="019B4748">
            <w:pPr>
              <w:ind w:left="223" w:hanging="222" w:hangingChars="106"/>
              <w:jc w:val="center"/>
              <w:rPr>
                <w:highlight w:val="none"/>
              </w:rPr>
            </w:pPr>
            <w:bookmarkStart w:id="481" w:name="_Toc251052197"/>
            <w:r>
              <w:rPr>
                <w:highlight w:val="none"/>
              </w:rPr>
              <w:t>项目数</w:t>
            </w:r>
            <w:bookmarkEnd w:id="481"/>
          </w:p>
        </w:tc>
        <w:tc>
          <w:tcPr>
            <w:tcW w:w="1276" w:type="dxa"/>
            <w:noWrap w:val="0"/>
            <w:vAlign w:val="center"/>
          </w:tcPr>
          <w:p w14:paraId="5A4908E7">
            <w:pPr>
              <w:ind w:left="223" w:hanging="222" w:hangingChars="106"/>
              <w:jc w:val="center"/>
              <w:rPr>
                <w:highlight w:val="none"/>
              </w:rPr>
            </w:pPr>
            <w:bookmarkStart w:id="482" w:name="_Toc251052198"/>
            <w:r>
              <w:rPr>
                <w:highlight w:val="none"/>
              </w:rPr>
              <w:t>主要项目</w:t>
            </w:r>
          </w:p>
          <w:p w14:paraId="25A9DEA8">
            <w:pPr>
              <w:ind w:left="223" w:hanging="222" w:hangingChars="106"/>
              <w:jc w:val="center"/>
              <w:rPr>
                <w:highlight w:val="none"/>
              </w:rPr>
            </w:pPr>
            <w:r>
              <w:rPr>
                <w:highlight w:val="none"/>
              </w:rPr>
              <w:t>名称</w:t>
            </w:r>
            <w:bookmarkEnd w:id="482"/>
          </w:p>
        </w:tc>
      </w:tr>
      <w:tr w14:paraId="32619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4F8B1444">
            <w:pPr>
              <w:ind w:left="223" w:hanging="222" w:hangingChars="106"/>
              <w:jc w:val="center"/>
              <w:rPr>
                <w:szCs w:val="21"/>
                <w:highlight w:val="none"/>
              </w:rPr>
            </w:pPr>
            <w:r>
              <w:rPr>
                <w:szCs w:val="21"/>
                <w:highlight w:val="none"/>
              </w:rPr>
              <w:t>施工员</w:t>
            </w:r>
          </w:p>
        </w:tc>
        <w:tc>
          <w:tcPr>
            <w:tcW w:w="829" w:type="dxa"/>
            <w:noWrap w:val="0"/>
            <w:vAlign w:val="center"/>
          </w:tcPr>
          <w:p w14:paraId="47F9385F">
            <w:pPr>
              <w:ind w:left="223" w:hanging="222" w:hangingChars="106"/>
              <w:jc w:val="center"/>
              <w:rPr>
                <w:highlight w:val="none"/>
              </w:rPr>
            </w:pPr>
          </w:p>
        </w:tc>
        <w:tc>
          <w:tcPr>
            <w:tcW w:w="816" w:type="dxa"/>
            <w:noWrap w:val="0"/>
            <w:vAlign w:val="center"/>
          </w:tcPr>
          <w:p w14:paraId="0E06F00A">
            <w:pPr>
              <w:ind w:left="223" w:hanging="222" w:hangingChars="106"/>
              <w:jc w:val="center"/>
              <w:rPr>
                <w:highlight w:val="none"/>
              </w:rPr>
            </w:pPr>
          </w:p>
        </w:tc>
        <w:tc>
          <w:tcPr>
            <w:tcW w:w="1148" w:type="dxa"/>
            <w:noWrap w:val="0"/>
            <w:vAlign w:val="center"/>
          </w:tcPr>
          <w:p w14:paraId="1311C441">
            <w:pPr>
              <w:ind w:left="223" w:hanging="222" w:hangingChars="106"/>
              <w:jc w:val="center"/>
              <w:rPr>
                <w:highlight w:val="none"/>
              </w:rPr>
            </w:pPr>
          </w:p>
        </w:tc>
        <w:tc>
          <w:tcPr>
            <w:tcW w:w="1148" w:type="dxa"/>
            <w:noWrap w:val="0"/>
            <w:vAlign w:val="center"/>
          </w:tcPr>
          <w:p w14:paraId="498D15B5">
            <w:pPr>
              <w:ind w:left="223" w:hanging="222" w:hangingChars="106"/>
              <w:jc w:val="center"/>
              <w:rPr>
                <w:highlight w:val="none"/>
              </w:rPr>
            </w:pPr>
          </w:p>
        </w:tc>
        <w:tc>
          <w:tcPr>
            <w:tcW w:w="1148" w:type="dxa"/>
            <w:noWrap w:val="0"/>
            <w:vAlign w:val="center"/>
          </w:tcPr>
          <w:p w14:paraId="5600833E">
            <w:pPr>
              <w:ind w:left="223" w:hanging="222" w:hangingChars="106"/>
              <w:jc w:val="center"/>
              <w:rPr>
                <w:highlight w:val="none"/>
              </w:rPr>
            </w:pPr>
          </w:p>
        </w:tc>
        <w:tc>
          <w:tcPr>
            <w:tcW w:w="1148" w:type="dxa"/>
            <w:noWrap w:val="0"/>
            <w:vAlign w:val="center"/>
          </w:tcPr>
          <w:p w14:paraId="606599C0">
            <w:pPr>
              <w:ind w:left="223" w:hanging="222" w:hangingChars="106"/>
              <w:jc w:val="center"/>
              <w:rPr>
                <w:highlight w:val="none"/>
              </w:rPr>
            </w:pPr>
          </w:p>
        </w:tc>
        <w:tc>
          <w:tcPr>
            <w:tcW w:w="850" w:type="dxa"/>
            <w:noWrap w:val="0"/>
            <w:vAlign w:val="center"/>
          </w:tcPr>
          <w:p w14:paraId="5E8971A7">
            <w:pPr>
              <w:ind w:left="223" w:hanging="222" w:hangingChars="106"/>
              <w:jc w:val="center"/>
              <w:rPr>
                <w:highlight w:val="none"/>
              </w:rPr>
            </w:pPr>
          </w:p>
        </w:tc>
        <w:tc>
          <w:tcPr>
            <w:tcW w:w="1276" w:type="dxa"/>
            <w:noWrap w:val="0"/>
            <w:vAlign w:val="center"/>
          </w:tcPr>
          <w:p w14:paraId="694D762B">
            <w:pPr>
              <w:ind w:left="223" w:hanging="222" w:hangingChars="106"/>
              <w:jc w:val="center"/>
              <w:rPr>
                <w:highlight w:val="none"/>
              </w:rPr>
            </w:pPr>
          </w:p>
        </w:tc>
      </w:tr>
      <w:tr w14:paraId="306C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10CA6F98">
            <w:pPr>
              <w:ind w:left="223" w:hanging="222" w:hangingChars="106"/>
              <w:jc w:val="center"/>
              <w:rPr>
                <w:szCs w:val="21"/>
                <w:highlight w:val="none"/>
              </w:rPr>
            </w:pPr>
            <w:r>
              <w:rPr>
                <w:szCs w:val="21"/>
                <w:highlight w:val="none"/>
              </w:rPr>
              <w:t>质量员</w:t>
            </w:r>
          </w:p>
        </w:tc>
        <w:tc>
          <w:tcPr>
            <w:tcW w:w="829" w:type="dxa"/>
            <w:noWrap w:val="0"/>
            <w:vAlign w:val="center"/>
          </w:tcPr>
          <w:p w14:paraId="46B75649">
            <w:pPr>
              <w:ind w:left="223" w:hanging="222" w:hangingChars="106"/>
              <w:jc w:val="center"/>
              <w:rPr>
                <w:highlight w:val="none"/>
              </w:rPr>
            </w:pPr>
          </w:p>
        </w:tc>
        <w:tc>
          <w:tcPr>
            <w:tcW w:w="816" w:type="dxa"/>
            <w:noWrap w:val="0"/>
            <w:vAlign w:val="center"/>
          </w:tcPr>
          <w:p w14:paraId="0314CE89">
            <w:pPr>
              <w:ind w:left="223" w:hanging="222" w:hangingChars="106"/>
              <w:jc w:val="center"/>
              <w:rPr>
                <w:highlight w:val="none"/>
              </w:rPr>
            </w:pPr>
          </w:p>
        </w:tc>
        <w:tc>
          <w:tcPr>
            <w:tcW w:w="1148" w:type="dxa"/>
            <w:noWrap w:val="0"/>
            <w:vAlign w:val="center"/>
          </w:tcPr>
          <w:p w14:paraId="2B751AC0">
            <w:pPr>
              <w:ind w:left="223" w:hanging="222" w:hangingChars="106"/>
              <w:jc w:val="center"/>
              <w:rPr>
                <w:highlight w:val="none"/>
              </w:rPr>
            </w:pPr>
          </w:p>
        </w:tc>
        <w:tc>
          <w:tcPr>
            <w:tcW w:w="1148" w:type="dxa"/>
            <w:noWrap w:val="0"/>
            <w:vAlign w:val="center"/>
          </w:tcPr>
          <w:p w14:paraId="1F5E1FAD">
            <w:pPr>
              <w:ind w:left="223" w:hanging="222" w:hangingChars="106"/>
              <w:jc w:val="center"/>
              <w:rPr>
                <w:highlight w:val="none"/>
              </w:rPr>
            </w:pPr>
          </w:p>
        </w:tc>
        <w:tc>
          <w:tcPr>
            <w:tcW w:w="1148" w:type="dxa"/>
            <w:noWrap w:val="0"/>
            <w:vAlign w:val="center"/>
          </w:tcPr>
          <w:p w14:paraId="197C24E9">
            <w:pPr>
              <w:ind w:left="223" w:hanging="222" w:hangingChars="106"/>
              <w:jc w:val="center"/>
              <w:rPr>
                <w:highlight w:val="none"/>
              </w:rPr>
            </w:pPr>
          </w:p>
        </w:tc>
        <w:tc>
          <w:tcPr>
            <w:tcW w:w="1148" w:type="dxa"/>
            <w:noWrap w:val="0"/>
            <w:vAlign w:val="center"/>
          </w:tcPr>
          <w:p w14:paraId="3632BE84">
            <w:pPr>
              <w:ind w:left="223" w:hanging="222" w:hangingChars="106"/>
              <w:jc w:val="center"/>
              <w:rPr>
                <w:highlight w:val="none"/>
              </w:rPr>
            </w:pPr>
          </w:p>
        </w:tc>
        <w:tc>
          <w:tcPr>
            <w:tcW w:w="850" w:type="dxa"/>
            <w:noWrap w:val="0"/>
            <w:vAlign w:val="center"/>
          </w:tcPr>
          <w:p w14:paraId="7F7F9744">
            <w:pPr>
              <w:ind w:left="223" w:hanging="222" w:hangingChars="106"/>
              <w:jc w:val="center"/>
              <w:rPr>
                <w:highlight w:val="none"/>
              </w:rPr>
            </w:pPr>
          </w:p>
        </w:tc>
        <w:tc>
          <w:tcPr>
            <w:tcW w:w="1276" w:type="dxa"/>
            <w:noWrap w:val="0"/>
            <w:vAlign w:val="center"/>
          </w:tcPr>
          <w:p w14:paraId="3F63773F">
            <w:pPr>
              <w:ind w:left="223" w:hanging="222" w:hangingChars="106"/>
              <w:jc w:val="center"/>
              <w:rPr>
                <w:highlight w:val="none"/>
              </w:rPr>
            </w:pPr>
          </w:p>
        </w:tc>
      </w:tr>
      <w:tr w14:paraId="7DD2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restart"/>
            <w:noWrap w:val="0"/>
            <w:vAlign w:val="center"/>
          </w:tcPr>
          <w:p w14:paraId="0E6BC334">
            <w:pPr>
              <w:ind w:left="223" w:hanging="222" w:hangingChars="106"/>
              <w:jc w:val="center"/>
              <w:rPr>
                <w:szCs w:val="21"/>
                <w:highlight w:val="none"/>
              </w:rPr>
            </w:pPr>
            <w:r>
              <w:rPr>
                <w:szCs w:val="21"/>
                <w:highlight w:val="none"/>
              </w:rPr>
              <w:t>安全员</w:t>
            </w:r>
          </w:p>
        </w:tc>
        <w:tc>
          <w:tcPr>
            <w:tcW w:w="829" w:type="dxa"/>
            <w:noWrap w:val="0"/>
            <w:vAlign w:val="center"/>
          </w:tcPr>
          <w:p w14:paraId="6420A16E">
            <w:pPr>
              <w:ind w:left="223" w:hanging="222" w:hangingChars="106"/>
              <w:jc w:val="center"/>
              <w:rPr>
                <w:highlight w:val="none"/>
              </w:rPr>
            </w:pPr>
          </w:p>
        </w:tc>
        <w:tc>
          <w:tcPr>
            <w:tcW w:w="816" w:type="dxa"/>
            <w:noWrap w:val="0"/>
            <w:vAlign w:val="center"/>
          </w:tcPr>
          <w:p w14:paraId="5A32AFE8">
            <w:pPr>
              <w:ind w:left="223" w:hanging="222" w:hangingChars="106"/>
              <w:jc w:val="center"/>
              <w:rPr>
                <w:highlight w:val="none"/>
              </w:rPr>
            </w:pPr>
          </w:p>
        </w:tc>
        <w:tc>
          <w:tcPr>
            <w:tcW w:w="1148" w:type="dxa"/>
            <w:noWrap w:val="0"/>
            <w:vAlign w:val="center"/>
          </w:tcPr>
          <w:p w14:paraId="1B7B4636">
            <w:pPr>
              <w:ind w:left="223" w:hanging="222" w:hangingChars="106"/>
              <w:jc w:val="center"/>
              <w:rPr>
                <w:highlight w:val="none"/>
              </w:rPr>
            </w:pPr>
          </w:p>
        </w:tc>
        <w:tc>
          <w:tcPr>
            <w:tcW w:w="1148" w:type="dxa"/>
            <w:noWrap w:val="0"/>
            <w:vAlign w:val="center"/>
          </w:tcPr>
          <w:p w14:paraId="6AC50914">
            <w:pPr>
              <w:ind w:left="223" w:hanging="222" w:hangingChars="106"/>
              <w:jc w:val="center"/>
              <w:rPr>
                <w:highlight w:val="none"/>
              </w:rPr>
            </w:pPr>
          </w:p>
        </w:tc>
        <w:tc>
          <w:tcPr>
            <w:tcW w:w="1148" w:type="dxa"/>
            <w:noWrap w:val="0"/>
            <w:vAlign w:val="center"/>
          </w:tcPr>
          <w:p w14:paraId="673EE466">
            <w:pPr>
              <w:ind w:left="223" w:hanging="222" w:hangingChars="106"/>
              <w:jc w:val="center"/>
              <w:rPr>
                <w:highlight w:val="none"/>
              </w:rPr>
            </w:pPr>
          </w:p>
        </w:tc>
        <w:tc>
          <w:tcPr>
            <w:tcW w:w="1148" w:type="dxa"/>
            <w:noWrap w:val="0"/>
            <w:vAlign w:val="center"/>
          </w:tcPr>
          <w:p w14:paraId="7785EADF">
            <w:pPr>
              <w:ind w:left="223" w:hanging="222" w:hangingChars="106"/>
              <w:jc w:val="center"/>
              <w:rPr>
                <w:highlight w:val="none"/>
              </w:rPr>
            </w:pPr>
          </w:p>
        </w:tc>
        <w:tc>
          <w:tcPr>
            <w:tcW w:w="850" w:type="dxa"/>
            <w:noWrap w:val="0"/>
            <w:vAlign w:val="center"/>
          </w:tcPr>
          <w:p w14:paraId="59C7F9AC">
            <w:pPr>
              <w:ind w:left="223" w:hanging="222" w:hangingChars="106"/>
              <w:jc w:val="center"/>
              <w:rPr>
                <w:highlight w:val="none"/>
              </w:rPr>
            </w:pPr>
          </w:p>
        </w:tc>
        <w:tc>
          <w:tcPr>
            <w:tcW w:w="1276" w:type="dxa"/>
            <w:noWrap w:val="0"/>
            <w:vAlign w:val="center"/>
          </w:tcPr>
          <w:p w14:paraId="1DC5E541">
            <w:pPr>
              <w:ind w:left="223" w:hanging="222" w:hangingChars="106"/>
              <w:jc w:val="center"/>
              <w:rPr>
                <w:highlight w:val="none"/>
              </w:rPr>
            </w:pPr>
          </w:p>
        </w:tc>
      </w:tr>
      <w:tr w14:paraId="2F32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1DDDA2F4">
            <w:pPr>
              <w:ind w:left="223" w:hanging="222" w:hangingChars="106"/>
              <w:jc w:val="center"/>
              <w:rPr>
                <w:szCs w:val="21"/>
                <w:highlight w:val="none"/>
              </w:rPr>
            </w:pPr>
          </w:p>
        </w:tc>
        <w:tc>
          <w:tcPr>
            <w:tcW w:w="829" w:type="dxa"/>
            <w:noWrap w:val="0"/>
            <w:vAlign w:val="center"/>
          </w:tcPr>
          <w:p w14:paraId="2F84ED74">
            <w:pPr>
              <w:ind w:left="223" w:hanging="222" w:hangingChars="106"/>
              <w:jc w:val="center"/>
              <w:rPr>
                <w:highlight w:val="none"/>
              </w:rPr>
            </w:pPr>
          </w:p>
        </w:tc>
        <w:tc>
          <w:tcPr>
            <w:tcW w:w="816" w:type="dxa"/>
            <w:noWrap w:val="0"/>
            <w:vAlign w:val="center"/>
          </w:tcPr>
          <w:p w14:paraId="4592D06D">
            <w:pPr>
              <w:ind w:left="223" w:hanging="222" w:hangingChars="106"/>
              <w:jc w:val="center"/>
              <w:rPr>
                <w:highlight w:val="none"/>
              </w:rPr>
            </w:pPr>
          </w:p>
        </w:tc>
        <w:tc>
          <w:tcPr>
            <w:tcW w:w="1148" w:type="dxa"/>
            <w:noWrap w:val="0"/>
            <w:vAlign w:val="center"/>
          </w:tcPr>
          <w:p w14:paraId="00DCA94D">
            <w:pPr>
              <w:ind w:left="223" w:hanging="222" w:hangingChars="106"/>
              <w:jc w:val="center"/>
              <w:rPr>
                <w:highlight w:val="none"/>
              </w:rPr>
            </w:pPr>
          </w:p>
        </w:tc>
        <w:tc>
          <w:tcPr>
            <w:tcW w:w="1148" w:type="dxa"/>
            <w:noWrap w:val="0"/>
            <w:vAlign w:val="center"/>
          </w:tcPr>
          <w:p w14:paraId="7F94749B">
            <w:pPr>
              <w:ind w:left="223" w:hanging="222" w:hangingChars="106"/>
              <w:jc w:val="center"/>
              <w:rPr>
                <w:highlight w:val="none"/>
              </w:rPr>
            </w:pPr>
          </w:p>
        </w:tc>
        <w:tc>
          <w:tcPr>
            <w:tcW w:w="1148" w:type="dxa"/>
            <w:noWrap w:val="0"/>
            <w:vAlign w:val="center"/>
          </w:tcPr>
          <w:p w14:paraId="3503D847">
            <w:pPr>
              <w:ind w:left="223" w:hanging="222" w:hangingChars="106"/>
              <w:jc w:val="center"/>
              <w:rPr>
                <w:highlight w:val="none"/>
              </w:rPr>
            </w:pPr>
          </w:p>
        </w:tc>
        <w:tc>
          <w:tcPr>
            <w:tcW w:w="1148" w:type="dxa"/>
            <w:noWrap w:val="0"/>
            <w:vAlign w:val="center"/>
          </w:tcPr>
          <w:p w14:paraId="6F414C79">
            <w:pPr>
              <w:ind w:left="223" w:hanging="222" w:hangingChars="106"/>
              <w:jc w:val="center"/>
              <w:rPr>
                <w:highlight w:val="none"/>
              </w:rPr>
            </w:pPr>
          </w:p>
        </w:tc>
        <w:tc>
          <w:tcPr>
            <w:tcW w:w="850" w:type="dxa"/>
            <w:noWrap w:val="0"/>
            <w:vAlign w:val="center"/>
          </w:tcPr>
          <w:p w14:paraId="4578D5A8">
            <w:pPr>
              <w:ind w:left="223" w:hanging="222" w:hangingChars="106"/>
              <w:jc w:val="center"/>
              <w:rPr>
                <w:highlight w:val="none"/>
              </w:rPr>
            </w:pPr>
          </w:p>
        </w:tc>
        <w:tc>
          <w:tcPr>
            <w:tcW w:w="1276" w:type="dxa"/>
            <w:noWrap w:val="0"/>
            <w:vAlign w:val="center"/>
          </w:tcPr>
          <w:p w14:paraId="7AEE5534">
            <w:pPr>
              <w:ind w:left="223" w:hanging="222" w:hangingChars="106"/>
              <w:jc w:val="center"/>
              <w:rPr>
                <w:highlight w:val="none"/>
              </w:rPr>
            </w:pPr>
          </w:p>
        </w:tc>
      </w:tr>
      <w:tr w14:paraId="7C2E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vMerge w:val="continue"/>
            <w:noWrap w:val="0"/>
            <w:vAlign w:val="center"/>
          </w:tcPr>
          <w:p w14:paraId="11515403">
            <w:pPr>
              <w:ind w:left="223" w:hanging="222" w:hangingChars="106"/>
              <w:jc w:val="center"/>
              <w:rPr>
                <w:szCs w:val="21"/>
                <w:highlight w:val="none"/>
              </w:rPr>
            </w:pPr>
          </w:p>
        </w:tc>
        <w:tc>
          <w:tcPr>
            <w:tcW w:w="829" w:type="dxa"/>
            <w:noWrap w:val="0"/>
            <w:vAlign w:val="center"/>
          </w:tcPr>
          <w:p w14:paraId="3F6542BC">
            <w:pPr>
              <w:ind w:left="223" w:hanging="222" w:hangingChars="106"/>
              <w:jc w:val="center"/>
              <w:rPr>
                <w:highlight w:val="none"/>
              </w:rPr>
            </w:pPr>
          </w:p>
        </w:tc>
        <w:tc>
          <w:tcPr>
            <w:tcW w:w="816" w:type="dxa"/>
            <w:noWrap w:val="0"/>
            <w:vAlign w:val="center"/>
          </w:tcPr>
          <w:p w14:paraId="5CFBD51F">
            <w:pPr>
              <w:ind w:left="223" w:hanging="222" w:hangingChars="106"/>
              <w:jc w:val="center"/>
              <w:rPr>
                <w:highlight w:val="none"/>
              </w:rPr>
            </w:pPr>
          </w:p>
        </w:tc>
        <w:tc>
          <w:tcPr>
            <w:tcW w:w="1148" w:type="dxa"/>
            <w:noWrap w:val="0"/>
            <w:vAlign w:val="center"/>
          </w:tcPr>
          <w:p w14:paraId="49EF4D46">
            <w:pPr>
              <w:ind w:left="223" w:hanging="222" w:hangingChars="106"/>
              <w:jc w:val="center"/>
              <w:rPr>
                <w:highlight w:val="none"/>
              </w:rPr>
            </w:pPr>
          </w:p>
        </w:tc>
        <w:tc>
          <w:tcPr>
            <w:tcW w:w="1148" w:type="dxa"/>
            <w:noWrap w:val="0"/>
            <w:vAlign w:val="center"/>
          </w:tcPr>
          <w:p w14:paraId="088BCE63">
            <w:pPr>
              <w:ind w:left="223" w:hanging="222" w:hangingChars="106"/>
              <w:jc w:val="center"/>
              <w:rPr>
                <w:highlight w:val="none"/>
              </w:rPr>
            </w:pPr>
          </w:p>
        </w:tc>
        <w:tc>
          <w:tcPr>
            <w:tcW w:w="1148" w:type="dxa"/>
            <w:noWrap w:val="0"/>
            <w:vAlign w:val="center"/>
          </w:tcPr>
          <w:p w14:paraId="1614E627">
            <w:pPr>
              <w:ind w:left="223" w:hanging="222" w:hangingChars="106"/>
              <w:jc w:val="center"/>
              <w:rPr>
                <w:highlight w:val="none"/>
              </w:rPr>
            </w:pPr>
          </w:p>
        </w:tc>
        <w:tc>
          <w:tcPr>
            <w:tcW w:w="1148" w:type="dxa"/>
            <w:noWrap w:val="0"/>
            <w:vAlign w:val="center"/>
          </w:tcPr>
          <w:p w14:paraId="7BE53436">
            <w:pPr>
              <w:ind w:left="223" w:hanging="222" w:hangingChars="106"/>
              <w:jc w:val="center"/>
              <w:rPr>
                <w:highlight w:val="none"/>
              </w:rPr>
            </w:pPr>
          </w:p>
        </w:tc>
        <w:tc>
          <w:tcPr>
            <w:tcW w:w="850" w:type="dxa"/>
            <w:noWrap w:val="0"/>
            <w:vAlign w:val="center"/>
          </w:tcPr>
          <w:p w14:paraId="09A8FBCD">
            <w:pPr>
              <w:ind w:left="223" w:hanging="222" w:hangingChars="106"/>
              <w:jc w:val="center"/>
              <w:rPr>
                <w:highlight w:val="none"/>
              </w:rPr>
            </w:pPr>
          </w:p>
        </w:tc>
        <w:tc>
          <w:tcPr>
            <w:tcW w:w="1276" w:type="dxa"/>
            <w:noWrap w:val="0"/>
            <w:vAlign w:val="center"/>
          </w:tcPr>
          <w:p w14:paraId="16D8681F">
            <w:pPr>
              <w:ind w:left="223" w:hanging="222" w:hangingChars="106"/>
              <w:jc w:val="center"/>
              <w:rPr>
                <w:highlight w:val="none"/>
              </w:rPr>
            </w:pPr>
          </w:p>
        </w:tc>
      </w:tr>
      <w:tr w14:paraId="19116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6F9DA9C0">
            <w:pPr>
              <w:ind w:left="223" w:hanging="222" w:hangingChars="106"/>
              <w:jc w:val="center"/>
              <w:rPr>
                <w:szCs w:val="21"/>
                <w:highlight w:val="none"/>
              </w:rPr>
            </w:pPr>
            <w:r>
              <w:rPr>
                <w:szCs w:val="21"/>
                <w:highlight w:val="none"/>
              </w:rPr>
              <w:t>材料员</w:t>
            </w:r>
          </w:p>
        </w:tc>
        <w:tc>
          <w:tcPr>
            <w:tcW w:w="829" w:type="dxa"/>
            <w:noWrap w:val="0"/>
            <w:vAlign w:val="center"/>
          </w:tcPr>
          <w:p w14:paraId="7B2CDB7A">
            <w:pPr>
              <w:ind w:left="223" w:hanging="222" w:hangingChars="106"/>
              <w:jc w:val="center"/>
              <w:rPr>
                <w:highlight w:val="none"/>
              </w:rPr>
            </w:pPr>
          </w:p>
        </w:tc>
        <w:tc>
          <w:tcPr>
            <w:tcW w:w="816" w:type="dxa"/>
            <w:noWrap w:val="0"/>
            <w:vAlign w:val="center"/>
          </w:tcPr>
          <w:p w14:paraId="33158F88">
            <w:pPr>
              <w:ind w:left="223" w:hanging="222" w:hangingChars="106"/>
              <w:jc w:val="center"/>
              <w:rPr>
                <w:highlight w:val="none"/>
              </w:rPr>
            </w:pPr>
          </w:p>
        </w:tc>
        <w:tc>
          <w:tcPr>
            <w:tcW w:w="1148" w:type="dxa"/>
            <w:noWrap w:val="0"/>
            <w:vAlign w:val="center"/>
          </w:tcPr>
          <w:p w14:paraId="1B1DC074">
            <w:pPr>
              <w:ind w:left="223" w:hanging="222" w:hangingChars="106"/>
              <w:jc w:val="center"/>
              <w:rPr>
                <w:highlight w:val="none"/>
              </w:rPr>
            </w:pPr>
          </w:p>
        </w:tc>
        <w:tc>
          <w:tcPr>
            <w:tcW w:w="1148" w:type="dxa"/>
            <w:noWrap w:val="0"/>
            <w:vAlign w:val="center"/>
          </w:tcPr>
          <w:p w14:paraId="7917C8F1">
            <w:pPr>
              <w:ind w:left="223" w:hanging="222" w:hangingChars="106"/>
              <w:jc w:val="center"/>
              <w:rPr>
                <w:highlight w:val="none"/>
              </w:rPr>
            </w:pPr>
          </w:p>
        </w:tc>
        <w:tc>
          <w:tcPr>
            <w:tcW w:w="1148" w:type="dxa"/>
            <w:noWrap w:val="0"/>
            <w:vAlign w:val="center"/>
          </w:tcPr>
          <w:p w14:paraId="514BBA91">
            <w:pPr>
              <w:ind w:left="223" w:hanging="222" w:hangingChars="106"/>
              <w:jc w:val="center"/>
              <w:rPr>
                <w:highlight w:val="none"/>
              </w:rPr>
            </w:pPr>
          </w:p>
        </w:tc>
        <w:tc>
          <w:tcPr>
            <w:tcW w:w="1148" w:type="dxa"/>
            <w:noWrap w:val="0"/>
            <w:vAlign w:val="center"/>
          </w:tcPr>
          <w:p w14:paraId="3C4F92B6">
            <w:pPr>
              <w:ind w:left="223" w:hanging="222" w:hangingChars="106"/>
              <w:jc w:val="center"/>
              <w:rPr>
                <w:highlight w:val="none"/>
              </w:rPr>
            </w:pPr>
          </w:p>
        </w:tc>
        <w:tc>
          <w:tcPr>
            <w:tcW w:w="850" w:type="dxa"/>
            <w:noWrap w:val="0"/>
            <w:vAlign w:val="center"/>
          </w:tcPr>
          <w:p w14:paraId="1F99C54E">
            <w:pPr>
              <w:ind w:left="223" w:hanging="222" w:hangingChars="106"/>
              <w:jc w:val="center"/>
              <w:rPr>
                <w:highlight w:val="none"/>
              </w:rPr>
            </w:pPr>
          </w:p>
        </w:tc>
        <w:tc>
          <w:tcPr>
            <w:tcW w:w="1276" w:type="dxa"/>
            <w:noWrap w:val="0"/>
            <w:vAlign w:val="center"/>
          </w:tcPr>
          <w:p w14:paraId="361E927F">
            <w:pPr>
              <w:ind w:left="223" w:hanging="222" w:hangingChars="106"/>
              <w:jc w:val="center"/>
              <w:rPr>
                <w:highlight w:val="none"/>
              </w:rPr>
            </w:pPr>
          </w:p>
        </w:tc>
      </w:tr>
      <w:tr w14:paraId="0937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0F3F2E4B">
            <w:pPr>
              <w:ind w:left="223" w:hanging="222" w:hangingChars="106"/>
              <w:jc w:val="center"/>
              <w:rPr>
                <w:szCs w:val="21"/>
                <w:highlight w:val="none"/>
              </w:rPr>
            </w:pPr>
          </w:p>
        </w:tc>
        <w:tc>
          <w:tcPr>
            <w:tcW w:w="829" w:type="dxa"/>
            <w:noWrap w:val="0"/>
            <w:vAlign w:val="center"/>
          </w:tcPr>
          <w:p w14:paraId="502C57C7">
            <w:pPr>
              <w:ind w:left="223" w:hanging="222" w:hangingChars="106"/>
              <w:jc w:val="center"/>
              <w:rPr>
                <w:highlight w:val="none"/>
              </w:rPr>
            </w:pPr>
          </w:p>
        </w:tc>
        <w:tc>
          <w:tcPr>
            <w:tcW w:w="816" w:type="dxa"/>
            <w:noWrap w:val="0"/>
            <w:vAlign w:val="center"/>
          </w:tcPr>
          <w:p w14:paraId="677F68AA">
            <w:pPr>
              <w:ind w:left="223" w:hanging="222" w:hangingChars="106"/>
              <w:jc w:val="center"/>
              <w:rPr>
                <w:highlight w:val="none"/>
              </w:rPr>
            </w:pPr>
          </w:p>
        </w:tc>
        <w:tc>
          <w:tcPr>
            <w:tcW w:w="1148" w:type="dxa"/>
            <w:noWrap w:val="0"/>
            <w:vAlign w:val="center"/>
          </w:tcPr>
          <w:p w14:paraId="05CB5739">
            <w:pPr>
              <w:ind w:left="223" w:hanging="222" w:hangingChars="106"/>
              <w:jc w:val="center"/>
              <w:rPr>
                <w:highlight w:val="none"/>
              </w:rPr>
            </w:pPr>
          </w:p>
        </w:tc>
        <w:tc>
          <w:tcPr>
            <w:tcW w:w="1148" w:type="dxa"/>
            <w:noWrap w:val="0"/>
            <w:vAlign w:val="center"/>
          </w:tcPr>
          <w:p w14:paraId="5BD3E63C">
            <w:pPr>
              <w:ind w:left="223" w:hanging="222" w:hangingChars="106"/>
              <w:jc w:val="center"/>
              <w:rPr>
                <w:highlight w:val="none"/>
              </w:rPr>
            </w:pPr>
          </w:p>
        </w:tc>
        <w:tc>
          <w:tcPr>
            <w:tcW w:w="1148" w:type="dxa"/>
            <w:noWrap w:val="0"/>
            <w:vAlign w:val="center"/>
          </w:tcPr>
          <w:p w14:paraId="7AA0270A">
            <w:pPr>
              <w:ind w:left="223" w:hanging="222" w:hangingChars="106"/>
              <w:jc w:val="center"/>
              <w:rPr>
                <w:highlight w:val="none"/>
              </w:rPr>
            </w:pPr>
          </w:p>
        </w:tc>
        <w:tc>
          <w:tcPr>
            <w:tcW w:w="1148" w:type="dxa"/>
            <w:noWrap w:val="0"/>
            <w:vAlign w:val="center"/>
          </w:tcPr>
          <w:p w14:paraId="217F4AB2">
            <w:pPr>
              <w:ind w:left="223" w:hanging="222" w:hangingChars="106"/>
              <w:jc w:val="center"/>
              <w:rPr>
                <w:highlight w:val="none"/>
              </w:rPr>
            </w:pPr>
          </w:p>
        </w:tc>
        <w:tc>
          <w:tcPr>
            <w:tcW w:w="850" w:type="dxa"/>
            <w:noWrap w:val="0"/>
            <w:vAlign w:val="center"/>
          </w:tcPr>
          <w:p w14:paraId="26B62DE1">
            <w:pPr>
              <w:ind w:left="223" w:hanging="222" w:hangingChars="106"/>
              <w:jc w:val="center"/>
              <w:rPr>
                <w:highlight w:val="none"/>
              </w:rPr>
            </w:pPr>
          </w:p>
        </w:tc>
        <w:tc>
          <w:tcPr>
            <w:tcW w:w="1276" w:type="dxa"/>
            <w:noWrap w:val="0"/>
            <w:vAlign w:val="center"/>
          </w:tcPr>
          <w:p w14:paraId="7FC5641C">
            <w:pPr>
              <w:ind w:left="223" w:hanging="222" w:hangingChars="106"/>
              <w:jc w:val="center"/>
              <w:rPr>
                <w:highlight w:val="none"/>
              </w:rPr>
            </w:pPr>
          </w:p>
        </w:tc>
      </w:tr>
      <w:tr w14:paraId="0DB9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93" w:type="dxa"/>
            <w:noWrap w:val="0"/>
            <w:vAlign w:val="center"/>
          </w:tcPr>
          <w:p w14:paraId="3FB4B86C">
            <w:pPr>
              <w:ind w:left="223" w:hanging="222" w:hangingChars="106"/>
              <w:jc w:val="center"/>
              <w:rPr>
                <w:highlight w:val="none"/>
              </w:rPr>
            </w:pPr>
            <w:r>
              <w:rPr>
                <w:highlight w:val="none"/>
              </w:rPr>
              <w:t>……</w:t>
            </w:r>
          </w:p>
        </w:tc>
        <w:tc>
          <w:tcPr>
            <w:tcW w:w="829" w:type="dxa"/>
            <w:noWrap w:val="0"/>
            <w:vAlign w:val="center"/>
          </w:tcPr>
          <w:p w14:paraId="2A2A632B">
            <w:pPr>
              <w:ind w:left="223" w:hanging="222" w:hangingChars="106"/>
              <w:jc w:val="center"/>
              <w:rPr>
                <w:highlight w:val="none"/>
              </w:rPr>
            </w:pPr>
          </w:p>
        </w:tc>
        <w:tc>
          <w:tcPr>
            <w:tcW w:w="816" w:type="dxa"/>
            <w:noWrap w:val="0"/>
            <w:vAlign w:val="center"/>
          </w:tcPr>
          <w:p w14:paraId="7133CE79">
            <w:pPr>
              <w:ind w:left="223" w:hanging="222" w:hangingChars="106"/>
              <w:jc w:val="center"/>
              <w:rPr>
                <w:highlight w:val="none"/>
              </w:rPr>
            </w:pPr>
          </w:p>
        </w:tc>
        <w:tc>
          <w:tcPr>
            <w:tcW w:w="1148" w:type="dxa"/>
            <w:noWrap w:val="0"/>
            <w:vAlign w:val="center"/>
          </w:tcPr>
          <w:p w14:paraId="406E0D26">
            <w:pPr>
              <w:ind w:left="223" w:hanging="222" w:hangingChars="106"/>
              <w:jc w:val="center"/>
              <w:rPr>
                <w:highlight w:val="none"/>
              </w:rPr>
            </w:pPr>
          </w:p>
        </w:tc>
        <w:tc>
          <w:tcPr>
            <w:tcW w:w="1148" w:type="dxa"/>
            <w:noWrap w:val="0"/>
            <w:vAlign w:val="center"/>
          </w:tcPr>
          <w:p w14:paraId="0DD9BE31">
            <w:pPr>
              <w:ind w:left="223" w:hanging="222" w:hangingChars="106"/>
              <w:jc w:val="center"/>
              <w:rPr>
                <w:highlight w:val="none"/>
              </w:rPr>
            </w:pPr>
          </w:p>
        </w:tc>
        <w:tc>
          <w:tcPr>
            <w:tcW w:w="1148" w:type="dxa"/>
            <w:noWrap w:val="0"/>
            <w:vAlign w:val="center"/>
          </w:tcPr>
          <w:p w14:paraId="651605FE">
            <w:pPr>
              <w:ind w:left="223" w:hanging="222" w:hangingChars="106"/>
              <w:jc w:val="center"/>
              <w:rPr>
                <w:highlight w:val="none"/>
              </w:rPr>
            </w:pPr>
          </w:p>
        </w:tc>
        <w:tc>
          <w:tcPr>
            <w:tcW w:w="1148" w:type="dxa"/>
            <w:noWrap w:val="0"/>
            <w:vAlign w:val="center"/>
          </w:tcPr>
          <w:p w14:paraId="6634F866">
            <w:pPr>
              <w:ind w:left="223" w:hanging="222" w:hangingChars="106"/>
              <w:jc w:val="center"/>
              <w:rPr>
                <w:highlight w:val="none"/>
              </w:rPr>
            </w:pPr>
          </w:p>
        </w:tc>
        <w:tc>
          <w:tcPr>
            <w:tcW w:w="850" w:type="dxa"/>
            <w:noWrap w:val="0"/>
            <w:vAlign w:val="center"/>
          </w:tcPr>
          <w:p w14:paraId="62BA33CB">
            <w:pPr>
              <w:ind w:left="223" w:hanging="222" w:hangingChars="106"/>
              <w:jc w:val="center"/>
              <w:rPr>
                <w:highlight w:val="none"/>
              </w:rPr>
            </w:pPr>
          </w:p>
        </w:tc>
        <w:tc>
          <w:tcPr>
            <w:tcW w:w="1276" w:type="dxa"/>
            <w:noWrap w:val="0"/>
            <w:vAlign w:val="center"/>
          </w:tcPr>
          <w:p w14:paraId="0C648127">
            <w:pPr>
              <w:ind w:left="223" w:hanging="222" w:hangingChars="106"/>
              <w:jc w:val="center"/>
              <w:rPr>
                <w:highlight w:val="none"/>
              </w:rPr>
            </w:pPr>
          </w:p>
        </w:tc>
      </w:tr>
      <w:tr w14:paraId="4EE5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9356" w:type="dxa"/>
            <w:gridSpan w:val="9"/>
            <w:noWrap w:val="0"/>
            <w:vAlign w:val="center"/>
          </w:tcPr>
          <w:p w14:paraId="64D064B8">
            <w:pPr>
              <w:spacing w:line="360" w:lineRule="auto"/>
              <w:rPr>
                <w:szCs w:val="21"/>
                <w:highlight w:val="none"/>
              </w:rPr>
            </w:pPr>
            <w:bookmarkStart w:id="483" w:name="_Toc251052199"/>
            <w:r>
              <w:rPr>
                <w:szCs w:val="21"/>
                <w:highlight w:val="none"/>
              </w:rPr>
              <w:t>一旦我单位成交，将实行项目经理负责制，我方保证并配备上述项目管理机构。上述填报内容真实，若不真实，愿按有关规定接受处理。项目管理班子机构设置、职责分工等情况另附资料说明</w:t>
            </w:r>
            <w:bookmarkEnd w:id="483"/>
          </w:p>
        </w:tc>
      </w:tr>
    </w:tbl>
    <w:p w14:paraId="38328700">
      <w:pPr>
        <w:pStyle w:val="27"/>
        <w:tabs>
          <w:tab w:val="left" w:pos="2127"/>
        </w:tabs>
        <w:spacing w:line="340" w:lineRule="exact"/>
        <w:rPr>
          <w:rFonts w:ascii="Times New Roman" w:hAnsi="Times New Roman" w:cs="Times New Roman"/>
          <w:highlight w:val="none"/>
        </w:rPr>
      </w:pPr>
      <w:r>
        <w:rPr>
          <w:rFonts w:ascii="Times New Roman" w:hAnsi="Times New Roman" w:cs="Times New Roman"/>
          <w:highlight w:val="none"/>
        </w:rPr>
        <w:t>【备注：附</w:t>
      </w:r>
      <w:r>
        <w:rPr>
          <w:rFonts w:hint="eastAsia" w:ascii="Times New Roman" w:hAnsi="Times New Roman" w:cs="Times New Roman"/>
          <w:highlight w:val="none"/>
        </w:rPr>
        <w:t>安全</w:t>
      </w:r>
      <w:r>
        <w:rPr>
          <w:rFonts w:ascii="Times New Roman" w:hAnsi="Times New Roman" w:cs="Times New Roman"/>
          <w:highlight w:val="none"/>
        </w:rPr>
        <w:t>员证件、响应文件递交截止时间前6个月内</w:t>
      </w:r>
      <w:r>
        <w:rPr>
          <w:highlight w:val="none"/>
        </w:rPr>
        <w:t>任意</w:t>
      </w:r>
      <w:r>
        <w:rPr>
          <w:rFonts w:hint="eastAsia" w:ascii="Times New Roman" w:hAnsi="Times New Roman" w:cs="Times New Roman"/>
          <w:highlight w:val="none"/>
        </w:rPr>
        <w:t>1个月</w:t>
      </w:r>
      <w:r>
        <w:rPr>
          <w:rFonts w:ascii="Times New Roman" w:hAnsi="Times New Roman" w:cs="Times New Roman"/>
          <w:highlight w:val="none"/>
        </w:rPr>
        <w:t>在现任职单位依法缴纳社会保险的凭证等相关证明材料的</w:t>
      </w:r>
      <w:r>
        <w:rPr>
          <w:rFonts w:hint="eastAsia"/>
          <w:highlight w:val="none"/>
        </w:rPr>
        <w:t>扫描件</w:t>
      </w:r>
      <w:r>
        <w:rPr>
          <w:rFonts w:ascii="Times New Roman" w:hAnsi="Times New Roman" w:cs="Times New Roman"/>
          <w:highlight w:val="none"/>
        </w:rPr>
        <w:t>，以及供应商认为需要增加的其他证明材料</w:t>
      </w:r>
      <w:r>
        <w:rPr>
          <w:rFonts w:hint="eastAsia"/>
          <w:highlight w:val="none"/>
        </w:rPr>
        <w:t>扫描件</w:t>
      </w:r>
      <w:r>
        <w:rPr>
          <w:rFonts w:ascii="Times New Roman" w:hAnsi="Times New Roman" w:cs="Times New Roman"/>
          <w:highlight w:val="none"/>
        </w:rPr>
        <w:t>，以上</w:t>
      </w:r>
      <w:r>
        <w:rPr>
          <w:rFonts w:hint="eastAsia"/>
          <w:highlight w:val="none"/>
        </w:rPr>
        <w:t>扫描件</w:t>
      </w:r>
      <w:r>
        <w:rPr>
          <w:rFonts w:ascii="Times New Roman" w:hAnsi="Times New Roman" w:cs="Times New Roman"/>
          <w:highlight w:val="none"/>
        </w:rPr>
        <w:t>须加盖</w:t>
      </w:r>
      <w:r>
        <w:rPr>
          <w:highlight w:val="none"/>
        </w:rPr>
        <w:t>供应商</w:t>
      </w:r>
      <w:r>
        <w:rPr>
          <w:rFonts w:hint="eastAsia"/>
          <w:highlight w:val="none"/>
        </w:rPr>
        <w:t>电子签章</w:t>
      </w:r>
      <w:r>
        <w:rPr>
          <w:rFonts w:ascii="Times New Roman" w:hAnsi="Times New Roman" w:cs="Times New Roman"/>
          <w:highlight w:val="none"/>
        </w:rPr>
        <w:t>。】</w:t>
      </w:r>
    </w:p>
    <w:p w14:paraId="3F18B369">
      <w:pPr>
        <w:pStyle w:val="197"/>
        <w:rPr>
          <w:rFonts w:ascii="Times New Roman" w:hAnsi="Times New Roman"/>
          <w:highlight w:val="none"/>
        </w:rPr>
      </w:pPr>
    </w:p>
    <w:p w14:paraId="7DED3F6E">
      <w:pPr>
        <w:snapToGrid w:val="0"/>
        <w:spacing w:before="50" w:after="120" w:afterLines="50" w:line="440" w:lineRule="exact"/>
        <w:jc w:val="left"/>
        <w:rPr>
          <w:rFonts w:hint="eastAsia"/>
          <w:highlight w:val="none"/>
        </w:rPr>
      </w:pPr>
      <w:r>
        <w:rPr>
          <w:highlight w:val="none"/>
        </w:rPr>
        <w:br w:type="page"/>
      </w:r>
      <w:r>
        <w:rPr>
          <w:rFonts w:hint="eastAsia"/>
          <w:highlight w:val="none"/>
          <w:lang w:val="en-US" w:eastAsia="zh-CN"/>
        </w:rPr>
        <w:t>7</w:t>
      </w:r>
      <w:r>
        <w:rPr>
          <w:highlight w:val="none"/>
        </w:rPr>
        <w:t>.</w:t>
      </w:r>
      <w:r>
        <w:rPr>
          <w:rFonts w:hint="eastAsia"/>
          <w:highlight w:val="none"/>
        </w:rPr>
        <w:t>5</w:t>
      </w:r>
      <w:r>
        <w:rPr>
          <w:highlight w:val="none"/>
        </w:rPr>
        <w:t>满足本项目特定资格条件其他要求的证明材料。</w:t>
      </w:r>
    </w:p>
    <w:p w14:paraId="7E25E6FF">
      <w:pPr>
        <w:snapToGrid w:val="0"/>
        <w:spacing w:before="50" w:after="120" w:afterLines="50" w:line="360" w:lineRule="auto"/>
        <w:jc w:val="left"/>
        <w:rPr>
          <w:szCs w:val="21"/>
          <w:highlight w:val="none"/>
        </w:rPr>
      </w:pPr>
      <w:r>
        <w:rPr>
          <w:rFonts w:hint="eastAsia"/>
          <w:szCs w:val="21"/>
          <w:highlight w:val="none"/>
          <w:lang w:val="en-US" w:eastAsia="zh-CN"/>
        </w:rPr>
        <w:t>7</w:t>
      </w:r>
      <w:r>
        <w:rPr>
          <w:szCs w:val="21"/>
          <w:highlight w:val="none"/>
        </w:rPr>
        <w:t>.5.1</w:t>
      </w:r>
      <w:r>
        <w:rPr>
          <w:rFonts w:hint="eastAsia"/>
          <w:szCs w:val="21"/>
          <w:highlight w:val="none"/>
        </w:rPr>
        <w:t>供应商直接控股股东信息表</w:t>
      </w:r>
    </w:p>
    <w:tbl>
      <w:tblPr>
        <w:tblStyle w:val="54"/>
        <w:tblW w:w="0" w:type="auto"/>
        <w:tblInd w:w="125" w:type="dxa"/>
        <w:tblLayout w:type="fixed"/>
        <w:tblCellMar>
          <w:top w:w="0" w:type="dxa"/>
          <w:left w:w="0" w:type="dxa"/>
          <w:bottom w:w="0" w:type="dxa"/>
          <w:right w:w="0" w:type="dxa"/>
        </w:tblCellMar>
      </w:tblPr>
      <w:tblGrid>
        <w:gridCol w:w="828"/>
        <w:gridCol w:w="2269"/>
        <w:gridCol w:w="1239"/>
        <w:gridCol w:w="3722"/>
        <w:gridCol w:w="1418"/>
      </w:tblGrid>
      <w:tr w14:paraId="0D65F65A">
        <w:trPr>
          <w:tblHeader/>
        </w:trPr>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0D299C5">
            <w:pPr>
              <w:spacing w:line="360" w:lineRule="auto"/>
              <w:jc w:val="center"/>
              <w:rPr>
                <w:szCs w:val="21"/>
                <w:highlight w:val="none"/>
              </w:rPr>
            </w:pPr>
            <w:r>
              <w:rPr>
                <w:rFonts w:hint="eastAsia"/>
                <w:szCs w:val="21"/>
                <w:highlight w:val="none"/>
              </w:rPr>
              <w:t>序号</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F51A2A1">
            <w:pPr>
              <w:spacing w:line="360" w:lineRule="auto"/>
              <w:jc w:val="center"/>
              <w:rPr>
                <w:szCs w:val="21"/>
                <w:highlight w:val="none"/>
              </w:rPr>
            </w:pPr>
            <w:r>
              <w:rPr>
                <w:rFonts w:hint="eastAsia"/>
                <w:szCs w:val="21"/>
                <w:highlight w:val="none"/>
              </w:rPr>
              <w:t>直接控股股东名称</w:t>
            </w: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6C9FE2E">
            <w:pPr>
              <w:spacing w:line="360" w:lineRule="auto"/>
              <w:jc w:val="center"/>
              <w:rPr>
                <w:szCs w:val="21"/>
                <w:highlight w:val="none"/>
              </w:rPr>
            </w:pPr>
            <w:r>
              <w:rPr>
                <w:rFonts w:hint="eastAsia"/>
                <w:szCs w:val="21"/>
                <w:highlight w:val="none"/>
              </w:rPr>
              <w:t>出资比例</w:t>
            </w: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9531460">
            <w:pPr>
              <w:spacing w:line="360" w:lineRule="auto"/>
              <w:jc w:val="center"/>
              <w:rPr>
                <w:szCs w:val="21"/>
                <w:highlight w:val="none"/>
              </w:rPr>
            </w:pPr>
            <w:r>
              <w:rPr>
                <w:rFonts w:hint="eastAsia"/>
                <w:szCs w:val="21"/>
                <w:highlight w:val="none"/>
              </w:rPr>
              <w:t>身份证号码或者统一社会信用代码</w:t>
            </w: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4500215">
            <w:pPr>
              <w:spacing w:line="360" w:lineRule="auto"/>
              <w:jc w:val="center"/>
              <w:rPr>
                <w:szCs w:val="21"/>
                <w:highlight w:val="none"/>
              </w:rPr>
            </w:pPr>
            <w:r>
              <w:rPr>
                <w:rFonts w:hint="eastAsia"/>
                <w:szCs w:val="21"/>
                <w:highlight w:val="none"/>
              </w:rPr>
              <w:t>备注</w:t>
            </w:r>
          </w:p>
        </w:tc>
      </w:tr>
      <w:tr w14:paraId="207ACB14">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3DAECCF">
            <w:pPr>
              <w:spacing w:line="360" w:lineRule="auto"/>
              <w:jc w:val="center"/>
              <w:rPr>
                <w:szCs w:val="21"/>
                <w:highlight w:val="none"/>
              </w:rPr>
            </w:pPr>
            <w:r>
              <w:rPr>
                <w:rFonts w:hint="eastAsia"/>
                <w:szCs w:val="21"/>
                <w:highlight w:val="none"/>
              </w:rPr>
              <w:t>1</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152E3D2">
            <w:pPr>
              <w:spacing w:line="360" w:lineRule="auto"/>
              <w:jc w:val="center"/>
              <w:rPr>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C0B433F">
            <w:pPr>
              <w:spacing w:line="360" w:lineRule="auto"/>
              <w:jc w:val="center"/>
              <w:rPr>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DE23E08">
            <w:pPr>
              <w:spacing w:line="360" w:lineRule="auto"/>
              <w:jc w:val="center"/>
              <w:rPr>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6A79F99">
            <w:pPr>
              <w:spacing w:line="360" w:lineRule="auto"/>
              <w:jc w:val="center"/>
              <w:rPr>
                <w:szCs w:val="21"/>
                <w:highlight w:val="none"/>
              </w:rPr>
            </w:pPr>
          </w:p>
        </w:tc>
      </w:tr>
      <w:tr w14:paraId="64D324EF">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F6DEA23">
            <w:pPr>
              <w:spacing w:line="360" w:lineRule="auto"/>
              <w:jc w:val="center"/>
              <w:rPr>
                <w:szCs w:val="21"/>
                <w:highlight w:val="none"/>
              </w:rPr>
            </w:pPr>
            <w:r>
              <w:rPr>
                <w:rFonts w:hint="eastAsia"/>
                <w:szCs w:val="21"/>
                <w:highlight w:val="none"/>
              </w:rPr>
              <w:t>2</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A3F9839">
            <w:pPr>
              <w:spacing w:line="360" w:lineRule="auto"/>
              <w:jc w:val="center"/>
              <w:rPr>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39A521C">
            <w:pPr>
              <w:spacing w:line="360" w:lineRule="auto"/>
              <w:jc w:val="center"/>
              <w:rPr>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3C0EA1B">
            <w:pPr>
              <w:spacing w:line="360" w:lineRule="auto"/>
              <w:jc w:val="center"/>
              <w:rPr>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A8BD51C">
            <w:pPr>
              <w:spacing w:line="360" w:lineRule="auto"/>
              <w:jc w:val="center"/>
              <w:rPr>
                <w:szCs w:val="21"/>
                <w:highlight w:val="none"/>
              </w:rPr>
            </w:pPr>
          </w:p>
        </w:tc>
      </w:tr>
      <w:tr w14:paraId="483DFE8D">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D1762E9">
            <w:pPr>
              <w:spacing w:line="360" w:lineRule="auto"/>
              <w:jc w:val="center"/>
              <w:rPr>
                <w:szCs w:val="21"/>
                <w:highlight w:val="none"/>
              </w:rPr>
            </w:pPr>
            <w:r>
              <w:rPr>
                <w:rFonts w:hint="eastAsia"/>
                <w:szCs w:val="21"/>
                <w:highlight w:val="none"/>
              </w:rPr>
              <w:t>3</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F1D9FAF">
            <w:pPr>
              <w:spacing w:line="360" w:lineRule="auto"/>
              <w:jc w:val="center"/>
              <w:rPr>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3DB757E">
            <w:pPr>
              <w:spacing w:line="360" w:lineRule="auto"/>
              <w:jc w:val="center"/>
              <w:rPr>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BA70CCB">
            <w:pPr>
              <w:spacing w:line="360" w:lineRule="auto"/>
              <w:jc w:val="center"/>
              <w:rPr>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D5D3C45">
            <w:pPr>
              <w:spacing w:line="360" w:lineRule="auto"/>
              <w:jc w:val="center"/>
              <w:rPr>
                <w:szCs w:val="21"/>
                <w:highlight w:val="none"/>
              </w:rPr>
            </w:pPr>
          </w:p>
        </w:tc>
      </w:tr>
      <w:tr w14:paraId="5FF53560">
        <w:tblPrEx>
          <w:tblCellMar>
            <w:top w:w="0" w:type="dxa"/>
            <w:left w:w="0" w:type="dxa"/>
            <w:bottom w:w="0" w:type="dxa"/>
            <w:right w:w="0" w:type="dxa"/>
          </w:tblCellMar>
        </w:tblPrEx>
        <w:tc>
          <w:tcPr>
            <w:tcW w:w="82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00D58D4">
            <w:pPr>
              <w:spacing w:line="360" w:lineRule="auto"/>
              <w:jc w:val="center"/>
              <w:rPr>
                <w:szCs w:val="21"/>
                <w:highlight w:val="none"/>
              </w:rPr>
            </w:pPr>
            <w:r>
              <w:rPr>
                <w:rFonts w:hint="eastAsia"/>
                <w:szCs w:val="21"/>
                <w:highlight w:val="none"/>
              </w:rPr>
              <w:t>……</w:t>
            </w:r>
          </w:p>
        </w:tc>
        <w:tc>
          <w:tcPr>
            <w:tcW w:w="226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AC52845">
            <w:pPr>
              <w:spacing w:line="360" w:lineRule="auto"/>
              <w:jc w:val="center"/>
              <w:rPr>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8BD0D91">
            <w:pPr>
              <w:spacing w:line="360" w:lineRule="auto"/>
              <w:jc w:val="center"/>
              <w:rPr>
                <w:szCs w:val="21"/>
                <w:highlight w:val="none"/>
              </w:rPr>
            </w:pPr>
          </w:p>
        </w:tc>
        <w:tc>
          <w:tcPr>
            <w:tcW w:w="3722"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0B3BB6C">
            <w:pPr>
              <w:spacing w:line="360" w:lineRule="auto"/>
              <w:jc w:val="center"/>
              <w:rPr>
                <w:szCs w:val="21"/>
                <w:highlight w:val="none"/>
              </w:rPr>
            </w:pPr>
          </w:p>
        </w:tc>
        <w:tc>
          <w:tcPr>
            <w:tcW w:w="1418" w:type="dxa"/>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A3FAB9D">
            <w:pPr>
              <w:spacing w:line="360" w:lineRule="auto"/>
              <w:jc w:val="center"/>
              <w:rPr>
                <w:szCs w:val="21"/>
                <w:highlight w:val="none"/>
              </w:rPr>
            </w:pPr>
          </w:p>
        </w:tc>
      </w:tr>
    </w:tbl>
    <w:p w14:paraId="3276A4B5">
      <w:pPr>
        <w:snapToGrid w:val="0"/>
        <w:spacing w:line="360" w:lineRule="auto"/>
        <w:jc w:val="left"/>
        <w:rPr>
          <w:szCs w:val="21"/>
          <w:highlight w:val="none"/>
        </w:rPr>
      </w:pPr>
      <w:r>
        <w:rPr>
          <w:rFonts w:hint="eastAsia"/>
          <w:szCs w:val="21"/>
          <w:highlight w:val="none"/>
        </w:rPr>
        <w:t>注：</w:t>
      </w:r>
    </w:p>
    <w:p w14:paraId="439EF934">
      <w:pPr>
        <w:snapToGrid w:val="0"/>
        <w:spacing w:line="360" w:lineRule="auto"/>
        <w:jc w:val="left"/>
        <w:rPr>
          <w:szCs w:val="21"/>
          <w:highlight w:val="none"/>
        </w:rPr>
      </w:pPr>
      <w:r>
        <w:rPr>
          <w:rFonts w:hint="eastAsia"/>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09AA79C">
      <w:pPr>
        <w:snapToGrid w:val="0"/>
        <w:spacing w:line="360" w:lineRule="auto"/>
        <w:jc w:val="left"/>
        <w:rPr>
          <w:szCs w:val="21"/>
          <w:highlight w:val="none"/>
        </w:rPr>
      </w:pPr>
      <w:r>
        <w:rPr>
          <w:rFonts w:hint="eastAsia"/>
          <w:szCs w:val="21"/>
          <w:highlight w:val="none"/>
        </w:rPr>
        <w:t>2.本表所指的控股关系仅限于直接控股关系，不包括间接的控股关系。公司实际控制人与公司之间的关系不属于本表所指的直接控股关系。</w:t>
      </w:r>
    </w:p>
    <w:p w14:paraId="5018B3AA">
      <w:pPr>
        <w:snapToGrid w:val="0"/>
        <w:spacing w:line="360" w:lineRule="auto"/>
        <w:jc w:val="left"/>
        <w:rPr>
          <w:szCs w:val="21"/>
          <w:highlight w:val="none"/>
        </w:rPr>
      </w:pPr>
      <w:r>
        <w:rPr>
          <w:rFonts w:hint="eastAsia"/>
          <w:szCs w:val="21"/>
          <w:highlight w:val="none"/>
        </w:rPr>
        <w:t>3.供应商不存在直接控股股东的，则填“无”。</w:t>
      </w:r>
    </w:p>
    <w:p w14:paraId="741DB24C">
      <w:pPr>
        <w:snapToGrid w:val="0"/>
        <w:spacing w:line="360" w:lineRule="auto"/>
        <w:jc w:val="left"/>
        <w:rPr>
          <w:szCs w:val="21"/>
          <w:highlight w:val="none"/>
        </w:rPr>
      </w:pPr>
    </w:p>
    <w:p w14:paraId="4829B3CC">
      <w:pPr>
        <w:snapToGrid w:val="0"/>
        <w:spacing w:line="360" w:lineRule="auto"/>
        <w:jc w:val="left"/>
        <w:rPr>
          <w:szCs w:val="21"/>
          <w:highlight w:val="none"/>
        </w:rPr>
      </w:pPr>
    </w:p>
    <w:p w14:paraId="29F4AA58">
      <w:pPr>
        <w:snapToGrid w:val="0"/>
        <w:spacing w:line="360" w:lineRule="auto"/>
        <w:jc w:val="left"/>
        <w:rPr>
          <w:szCs w:val="21"/>
          <w:highlight w:val="none"/>
        </w:rPr>
      </w:pPr>
    </w:p>
    <w:p w14:paraId="1EF545DA">
      <w:pPr>
        <w:snapToGrid w:val="0"/>
        <w:spacing w:line="360" w:lineRule="auto"/>
        <w:jc w:val="left"/>
        <w:rPr>
          <w:szCs w:val="21"/>
          <w:highlight w:val="none"/>
        </w:rPr>
      </w:pPr>
    </w:p>
    <w:p w14:paraId="633C7525">
      <w:pPr>
        <w:snapToGrid w:val="0"/>
        <w:spacing w:line="360" w:lineRule="auto"/>
        <w:jc w:val="left"/>
        <w:rPr>
          <w:szCs w:val="21"/>
          <w:highlight w:val="none"/>
        </w:rPr>
      </w:pPr>
    </w:p>
    <w:p w14:paraId="5E354402">
      <w:pPr>
        <w:snapToGrid w:val="0"/>
        <w:spacing w:line="360" w:lineRule="auto"/>
        <w:ind w:firstLine="4410" w:firstLineChars="2100"/>
        <w:rPr>
          <w:szCs w:val="21"/>
          <w:highlight w:val="none"/>
        </w:rPr>
      </w:pPr>
      <w:r>
        <w:rPr>
          <w:rFonts w:hint="eastAsia"/>
          <w:szCs w:val="21"/>
          <w:highlight w:val="none"/>
        </w:rPr>
        <w:t>供应商名称(电子签章)：</w:t>
      </w:r>
    </w:p>
    <w:p w14:paraId="185D656D">
      <w:pPr>
        <w:snapToGrid w:val="0"/>
        <w:spacing w:line="360" w:lineRule="auto"/>
        <w:ind w:firstLine="4515" w:firstLineChars="2150"/>
        <w:rPr>
          <w:szCs w:val="21"/>
          <w:highlight w:val="none"/>
        </w:rPr>
      </w:pPr>
      <w:r>
        <w:rPr>
          <w:rFonts w:hint="eastAsia"/>
          <w:szCs w:val="21"/>
          <w:highlight w:val="none"/>
        </w:rPr>
        <w:t>日期：  年  月   日</w:t>
      </w:r>
    </w:p>
    <w:p w14:paraId="5B44998E">
      <w:pPr>
        <w:snapToGrid w:val="0"/>
        <w:jc w:val="center"/>
        <w:rPr>
          <w:rFonts w:ascii="宋体" w:hAnsi="宋体"/>
          <w:b/>
          <w:color w:val="000000"/>
          <w:sz w:val="28"/>
          <w:szCs w:val="28"/>
          <w:highlight w:val="none"/>
        </w:rPr>
      </w:pPr>
      <w:r>
        <w:rPr>
          <w:rFonts w:ascii="宋体" w:hAnsi="宋体"/>
          <w:b/>
          <w:color w:val="000000"/>
          <w:sz w:val="28"/>
          <w:szCs w:val="28"/>
          <w:highlight w:val="none"/>
        </w:rPr>
        <w:br w:type="page"/>
      </w:r>
    </w:p>
    <w:p w14:paraId="2056D8B7">
      <w:pPr>
        <w:snapToGrid w:val="0"/>
        <w:spacing w:line="360" w:lineRule="auto"/>
        <w:jc w:val="left"/>
        <w:rPr>
          <w:szCs w:val="21"/>
          <w:highlight w:val="none"/>
        </w:rPr>
      </w:pPr>
      <w:r>
        <w:rPr>
          <w:rFonts w:hint="eastAsia"/>
          <w:szCs w:val="21"/>
          <w:highlight w:val="none"/>
          <w:lang w:val="en-US" w:eastAsia="zh-CN"/>
        </w:rPr>
        <w:t>7</w:t>
      </w:r>
      <w:r>
        <w:rPr>
          <w:szCs w:val="21"/>
          <w:highlight w:val="none"/>
        </w:rPr>
        <w:t>.5.2</w:t>
      </w:r>
      <w:r>
        <w:rPr>
          <w:rFonts w:hint="eastAsia"/>
          <w:szCs w:val="21"/>
          <w:highlight w:val="none"/>
        </w:rPr>
        <w:t>供应商直接管理关系信息表</w:t>
      </w:r>
    </w:p>
    <w:tbl>
      <w:tblPr>
        <w:tblStyle w:val="54"/>
        <w:tblW w:w="0" w:type="auto"/>
        <w:tblInd w:w="125" w:type="dxa"/>
        <w:shd w:val="clear" w:color="auto" w:fill="FBFBFB"/>
        <w:tblLayout w:type="fixed"/>
        <w:tblCellMar>
          <w:top w:w="0" w:type="dxa"/>
          <w:left w:w="0" w:type="dxa"/>
          <w:bottom w:w="0" w:type="dxa"/>
          <w:right w:w="0" w:type="dxa"/>
        </w:tblCellMar>
      </w:tblPr>
      <w:tblGrid>
        <w:gridCol w:w="1005"/>
        <w:gridCol w:w="2659"/>
        <w:gridCol w:w="3924"/>
        <w:gridCol w:w="2064"/>
      </w:tblGrid>
      <w:tr w14:paraId="7E8E2908">
        <w:tblPrEx>
          <w:tblCellMar>
            <w:top w:w="0" w:type="dxa"/>
            <w:left w:w="0" w:type="dxa"/>
            <w:bottom w:w="0" w:type="dxa"/>
            <w:right w:w="0" w:type="dxa"/>
          </w:tblCellMar>
        </w:tblPrEx>
        <w:trPr>
          <w:tblHeader/>
        </w:trPr>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96E4B36">
            <w:pPr>
              <w:spacing w:line="360" w:lineRule="auto"/>
              <w:jc w:val="center"/>
              <w:rPr>
                <w:szCs w:val="21"/>
                <w:highlight w:val="none"/>
              </w:rPr>
            </w:pPr>
            <w:r>
              <w:rPr>
                <w:rFonts w:hint="eastAsia"/>
                <w:szCs w:val="21"/>
                <w:highlight w:val="none"/>
              </w:rPr>
              <w:t>序号</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BF0BA82">
            <w:pPr>
              <w:spacing w:line="360" w:lineRule="auto"/>
              <w:jc w:val="center"/>
              <w:rPr>
                <w:szCs w:val="21"/>
                <w:highlight w:val="none"/>
              </w:rPr>
            </w:pPr>
            <w:r>
              <w:rPr>
                <w:rFonts w:hint="eastAsia"/>
                <w:szCs w:val="21"/>
                <w:highlight w:val="none"/>
              </w:rPr>
              <w:t>直接管理关系单位名称</w:t>
            </w: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1A79B4E">
            <w:pPr>
              <w:spacing w:line="360" w:lineRule="auto"/>
              <w:jc w:val="center"/>
              <w:rPr>
                <w:szCs w:val="21"/>
                <w:highlight w:val="none"/>
              </w:rPr>
            </w:pPr>
            <w:r>
              <w:rPr>
                <w:rFonts w:hint="eastAsia"/>
                <w:szCs w:val="21"/>
                <w:highlight w:val="none"/>
              </w:rPr>
              <w:t>统一社会信用代码</w:t>
            </w: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20D4CAD">
            <w:pPr>
              <w:spacing w:line="360" w:lineRule="auto"/>
              <w:jc w:val="center"/>
              <w:rPr>
                <w:szCs w:val="21"/>
                <w:highlight w:val="none"/>
              </w:rPr>
            </w:pPr>
            <w:r>
              <w:rPr>
                <w:rFonts w:hint="eastAsia"/>
                <w:szCs w:val="21"/>
                <w:highlight w:val="none"/>
              </w:rPr>
              <w:t>备注</w:t>
            </w:r>
          </w:p>
        </w:tc>
      </w:tr>
      <w:tr w14:paraId="515D2F36">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7110C5F">
            <w:pPr>
              <w:spacing w:line="360" w:lineRule="auto"/>
              <w:jc w:val="center"/>
              <w:rPr>
                <w:szCs w:val="21"/>
                <w:highlight w:val="none"/>
              </w:rPr>
            </w:pPr>
            <w:r>
              <w:rPr>
                <w:rFonts w:hint="eastAsia"/>
                <w:szCs w:val="21"/>
                <w:highlight w:val="none"/>
              </w:rPr>
              <w:t>1</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918E516">
            <w:pPr>
              <w:spacing w:line="360" w:lineRule="auto"/>
              <w:jc w:val="center"/>
              <w:rPr>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649C200">
            <w:pPr>
              <w:spacing w:line="360" w:lineRule="auto"/>
              <w:jc w:val="center"/>
              <w:rPr>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233F171">
            <w:pPr>
              <w:spacing w:line="360" w:lineRule="auto"/>
              <w:jc w:val="center"/>
              <w:rPr>
                <w:szCs w:val="21"/>
                <w:highlight w:val="none"/>
              </w:rPr>
            </w:pPr>
          </w:p>
        </w:tc>
      </w:tr>
      <w:tr w14:paraId="6E590468">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68B3246">
            <w:pPr>
              <w:spacing w:line="360" w:lineRule="auto"/>
              <w:jc w:val="center"/>
              <w:rPr>
                <w:szCs w:val="21"/>
                <w:highlight w:val="none"/>
              </w:rPr>
            </w:pPr>
            <w:r>
              <w:rPr>
                <w:rFonts w:hint="eastAsia"/>
                <w:szCs w:val="21"/>
                <w:highlight w:val="none"/>
              </w:rPr>
              <w:t>2</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890EE20">
            <w:pPr>
              <w:spacing w:line="360" w:lineRule="auto"/>
              <w:jc w:val="center"/>
              <w:rPr>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239F51E7">
            <w:pPr>
              <w:spacing w:line="360" w:lineRule="auto"/>
              <w:jc w:val="center"/>
              <w:rPr>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583CBBD9">
            <w:pPr>
              <w:spacing w:line="360" w:lineRule="auto"/>
              <w:jc w:val="center"/>
              <w:rPr>
                <w:szCs w:val="21"/>
                <w:highlight w:val="none"/>
              </w:rPr>
            </w:pPr>
          </w:p>
        </w:tc>
      </w:tr>
      <w:tr w14:paraId="60EAD089">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151F1174">
            <w:pPr>
              <w:spacing w:line="360" w:lineRule="auto"/>
              <w:jc w:val="center"/>
              <w:rPr>
                <w:szCs w:val="21"/>
                <w:highlight w:val="none"/>
              </w:rPr>
            </w:pPr>
            <w:r>
              <w:rPr>
                <w:rFonts w:hint="eastAsia"/>
                <w:szCs w:val="21"/>
                <w:highlight w:val="none"/>
              </w:rPr>
              <w:t>3</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E063A66">
            <w:pPr>
              <w:spacing w:line="360" w:lineRule="auto"/>
              <w:jc w:val="center"/>
              <w:rPr>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0940F88F">
            <w:pPr>
              <w:spacing w:line="360" w:lineRule="auto"/>
              <w:jc w:val="center"/>
              <w:rPr>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8A081B7">
            <w:pPr>
              <w:spacing w:line="360" w:lineRule="auto"/>
              <w:jc w:val="center"/>
              <w:rPr>
                <w:szCs w:val="21"/>
                <w:highlight w:val="none"/>
              </w:rPr>
            </w:pPr>
          </w:p>
        </w:tc>
      </w:tr>
      <w:tr w14:paraId="4C734D8F">
        <w:tblPrEx>
          <w:tblCellMar>
            <w:top w:w="0" w:type="dxa"/>
            <w:left w:w="0" w:type="dxa"/>
            <w:bottom w:w="0" w:type="dxa"/>
            <w:right w:w="0" w:type="dxa"/>
          </w:tblCellMar>
        </w:tblPrEx>
        <w:tc>
          <w:tcPr>
            <w:tcW w:w="1005"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3535E103">
            <w:pPr>
              <w:spacing w:line="360" w:lineRule="auto"/>
              <w:jc w:val="center"/>
              <w:rPr>
                <w:szCs w:val="21"/>
                <w:highlight w:val="none"/>
              </w:rPr>
            </w:pPr>
            <w:r>
              <w:rPr>
                <w:rFonts w:hint="eastAsia"/>
                <w:szCs w:val="21"/>
                <w:highlight w:val="none"/>
              </w:rPr>
              <w:t>……</w:t>
            </w:r>
          </w:p>
        </w:tc>
        <w:tc>
          <w:tcPr>
            <w:tcW w:w="2659"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79FE22FC">
            <w:pPr>
              <w:spacing w:line="360" w:lineRule="auto"/>
              <w:jc w:val="center"/>
              <w:rPr>
                <w:szCs w:val="21"/>
                <w:highlight w:val="none"/>
              </w:rPr>
            </w:pPr>
          </w:p>
        </w:tc>
        <w:tc>
          <w:tcPr>
            <w:tcW w:w="392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6FD6921C">
            <w:pPr>
              <w:spacing w:line="360" w:lineRule="auto"/>
              <w:jc w:val="center"/>
              <w:rPr>
                <w:szCs w:val="21"/>
                <w:highlight w:val="none"/>
              </w:rPr>
            </w:pPr>
          </w:p>
        </w:tc>
        <w:tc>
          <w:tcPr>
            <w:tcW w:w="2064" w:type="dxa"/>
            <w:tcBorders>
              <w:top w:val="single" w:color="auto" w:sz="4" w:space="0"/>
              <w:left w:val="single" w:color="auto" w:sz="4" w:space="0"/>
              <w:bottom w:val="single" w:color="auto" w:sz="4" w:space="0"/>
              <w:right w:val="single" w:color="auto" w:sz="4" w:space="0"/>
            </w:tcBorders>
            <w:shd w:val="clear" w:color="auto" w:fill="auto"/>
            <w:noWrap w:val="0"/>
            <w:tcMar>
              <w:top w:w="120" w:type="dxa"/>
              <w:left w:w="120" w:type="dxa"/>
              <w:bottom w:w="120" w:type="dxa"/>
              <w:right w:w="120" w:type="dxa"/>
            </w:tcMar>
            <w:vAlign w:val="center"/>
          </w:tcPr>
          <w:p w14:paraId="495C88A3">
            <w:pPr>
              <w:spacing w:line="360" w:lineRule="auto"/>
              <w:jc w:val="center"/>
              <w:rPr>
                <w:szCs w:val="21"/>
                <w:highlight w:val="none"/>
              </w:rPr>
            </w:pPr>
          </w:p>
        </w:tc>
      </w:tr>
    </w:tbl>
    <w:p w14:paraId="4E4202D6">
      <w:pPr>
        <w:snapToGrid w:val="0"/>
        <w:spacing w:line="360" w:lineRule="auto"/>
        <w:jc w:val="left"/>
        <w:rPr>
          <w:szCs w:val="21"/>
          <w:highlight w:val="none"/>
        </w:rPr>
      </w:pPr>
      <w:r>
        <w:rPr>
          <w:rFonts w:hint="eastAsia"/>
          <w:szCs w:val="21"/>
          <w:highlight w:val="none"/>
        </w:rPr>
        <w:t>注：</w:t>
      </w:r>
    </w:p>
    <w:p w14:paraId="1F5DB547">
      <w:pPr>
        <w:snapToGrid w:val="0"/>
        <w:spacing w:line="360" w:lineRule="auto"/>
        <w:ind w:firstLine="420" w:firstLineChars="200"/>
        <w:jc w:val="left"/>
        <w:rPr>
          <w:szCs w:val="21"/>
          <w:highlight w:val="none"/>
        </w:rPr>
      </w:pPr>
      <w:r>
        <w:rPr>
          <w:rFonts w:hint="eastAsia"/>
          <w:szCs w:val="21"/>
          <w:highlight w:val="none"/>
        </w:rPr>
        <w:t>1.管理关系：是指不具有出资持股关系的其他单位之间存在的管理与被管理关系，如一些上下级关系的事业单位和团体组织。</w:t>
      </w:r>
    </w:p>
    <w:p w14:paraId="20E7897B">
      <w:pPr>
        <w:snapToGrid w:val="0"/>
        <w:spacing w:line="360" w:lineRule="auto"/>
        <w:ind w:firstLine="420" w:firstLineChars="200"/>
        <w:jc w:val="left"/>
        <w:rPr>
          <w:szCs w:val="21"/>
          <w:highlight w:val="none"/>
        </w:rPr>
      </w:pPr>
      <w:r>
        <w:rPr>
          <w:rFonts w:hint="eastAsia"/>
          <w:szCs w:val="21"/>
          <w:highlight w:val="none"/>
        </w:rPr>
        <w:t>2.本表所指的管理关系仅限于直接管理关系，不包括间接的管理关系。</w:t>
      </w:r>
    </w:p>
    <w:p w14:paraId="22147105">
      <w:pPr>
        <w:snapToGrid w:val="0"/>
        <w:spacing w:line="360" w:lineRule="auto"/>
        <w:ind w:firstLine="420" w:firstLineChars="200"/>
        <w:jc w:val="left"/>
        <w:rPr>
          <w:szCs w:val="21"/>
          <w:highlight w:val="none"/>
        </w:rPr>
      </w:pPr>
      <w:r>
        <w:rPr>
          <w:rFonts w:hint="eastAsia"/>
          <w:szCs w:val="21"/>
          <w:highlight w:val="none"/>
        </w:rPr>
        <w:t>3.供应商不存在直接管理关系的，则填“无”。</w:t>
      </w:r>
    </w:p>
    <w:p w14:paraId="45C98AA3">
      <w:pPr>
        <w:snapToGrid w:val="0"/>
        <w:spacing w:line="360" w:lineRule="auto"/>
        <w:jc w:val="left"/>
        <w:rPr>
          <w:szCs w:val="21"/>
          <w:highlight w:val="none"/>
        </w:rPr>
      </w:pPr>
    </w:p>
    <w:p w14:paraId="208D8686">
      <w:pPr>
        <w:snapToGrid w:val="0"/>
        <w:spacing w:line="360" w:lineRule="auto"/>
        <w:jc w:val="left"/>
        <w:rPr>
          <w:szCs w:val="21"/>
          <w:highlight w:val="none"/>
        </w:rPr>
      </w:pPr>
    </w:p>
    <w:p w14:paraId="0B1B332A">
      <w:pPr>
        <w:snapToGrid w:val="0"/>
        <w:spacing w:line="360" w:lineRule="auto"/>
        <w:jc w:val="left"/>
        <w:rPr>
          <w:szCs w:val="21"/>
          <w:highlight w:val="none"/>
        </w:rPr>
      </w:pPr>
    </w:p>
    <w:p w14:paraId="690BFC2E">
      <w:pPr>
        <w:snapToGrid w:val="0"/>
        <w:spacing w:line="360" w:lineRule="auto"/>
        <w:jc w:val="left"/>
        <w:rPr>
          <w:szCs w:val="21"/>
          <w:highlight w:val="none"/>
        </w:rPr>
      </w:pPr>
    </w:p>
    <w:p w14:paraId="17763AE9">
      <w:pPr>
        <w:snapToGrid w:val="0"/>
        <w:spacing w:line="360" w:lineRule="auto"/>
        <w:jc w:val="left"/>
        <w:rPr>
          <w:szCs w:val="21"/>
          <w:highlight w:val="none"/>
        </w:rPr>
      </w:pPr>
    </w:p>
    <w:p w14:paraId="6674FE0D">
      <w:pPr>
        <w:snapToGrid w:val="0"/>
        <w:spacing w:line="360" w:lineRule="auto"/>
        <w:jc w:val="left"/>
        <w:rPr>
          <w:szCs w:val="21"/>
          <w:highlight w:val="none"/>
        </w:rPr>
      </w:pPr>
    </w:p>
    <w:p w14:paraId="2A6D0756">
      <w:pPr>
        <w:snapToGrid w:val="0"/>
        <w:spacing w:line="360" w:lineRule="auto"/>
        <w:jc w:val="left"/>
        <w:rPr>
          <w:szCs w:val="21"/>
          <w:highlight w:val="none"/>
        </w:rPr>
      </w:pPr>
    </w:p>
    <w:p w14:paraId="025E3EB1">
      <w:pPr>
        <w:snapToGrid w:val="0"/>
        <w:spacing w:line="360" w:lineRule="auto"/>
        <w:jc w:val="left"/>
        <w:rPr>
          <w:szCs w:val="21"/>
          <w:highlight w:val="none"/>
        </w:rPr>
      </w:pPr>
    </w:p>
    <w:p w14:paraId="69144E17">
      <w:pPr>
        <w:snapToGrid w:val="0"/>
        <w:spacing w:line="360" w:lineRule="auto"/>
        <w:ind w:firstLine="4410" w:firstLineChars="2100"/>
        <w:rPr>
          <w:szCs w:val="21"/>
          <w:highlight w:val="none"/>
        </w:rPr>
      </w:pPr>
      <w:r>
        <w:rPr>
          <w:rFonts w:hint="eastAsia"/>
          <w:szCs w:val="21"/>
          <w:highlight w:val="none"/>
        </w:rPr>
        <w:t>供应商名称(电子签章)：</w:t>
      </w:r>
    </w:p>
    <w:p w14:paraId="744C37ED">
      <w:pPr>
        <w:snapToGrid w:val="0"/>
        <w:spacing w:line="360" w:lineRule="auto"/>
        <w:ind w:firstLine="4515" w:firstLineChars="2150"/>
        <w:rPr>
          <w:szCs w:val="21"/>
          <w:highlight w:val="none"/>
        </w:rPr>
      </w:pPr>
      <w:r>
        <w:rPr>
          <w:rFonts w:hint="eastAsia"/>
          <w:szCs w:val="21"/>
          <w:highlight w:val="none"/>
        </w:rPr>
        <w:t>日期：  年  月   日</w:t>
      </w:r>
    </w:p>
    <w:p w14:paraId="6EA878FC">
      <w:pPr>
        <w:pStyle w:val="27"/>
        <w:tabs>
          <w:tab w:val="left" w:pos="2127"/>
        </w:tabs>
        <w:spacing w:line="340" w:lineRule="exact"/>
        <w:rPr>
          <w:rFonts w:hint="eastAsia" w:ascii="Times New Roman" w:hAnsi="Times New Roman" w:cs="Times New Roman"/>
          <w:highlight w:val="none"/>
        </w:rPr>
      </w:pPr>
    </w:p>
    <w:p w14:paraId="02B483DB">
      <w:pPr>
        <w:snapToGrid w:val="0"/>
        <w:spacing w:before="50" w:after="120" w:afterLines="50" w:line="440" w:lineRule="exact"/>
        <w:jc w:val="left"/>
        <w:rPr>
          <w:rFonts w:hint="eastAsia"/>
          <w:szCs w:val="21"/>
          <w:highlight w:val="none"/>
        </w:rPr>
      </w:pPr>
    </w:p>
    <w:p w14:paraId="0185CFBB">
      <w:pPr>
        <w:snapToGrid w:val="0"/>
        <w:spacing w:before="50" w:after="120" w:afterLines="50" w:line="400" w:lineRule="exact"/>
        <w:jc w:val="left"/>
        <w:rPr>
          <w:rFonts w:hint="eastAsia"/>
          <w:bCs/>
          <w:sz w:val="24"/>
          <w:highlight w:val="none"/>
        </w:rPr>
      </w:pPr>
      <w:r>
        <w:rPr>
          <w:szCs w:val="21"/>
          <w:highlight w:val="none"/>
        </w:rPr>
        <w:br w:type="page"/>
      </w:r>
      <w:r>
        <w:rPr>
          <w:rFonts w:hint="eastAsia"/>
          <w:szCs w:val="21"/>
          <w:highlight w:val="none"/>
          <w:lang w:val="en-US" w:eastAsia="zh-CN"/>
        </w:rPr>
        <w:t>8</w:t>
      </w:r>
      <w:r>
        <w:rPr>
          <w:szCs w:val="21"/>
          <w:highlight w:val="none"/>
        </w:rPr>
        <w:t>．建设工程项目管理承诺书</w:t>
      </w:r>
    </w:p>
    <w:p w14:paraId="54C4E5AA">
      <w:pPr>
        <w:pStyle w:val="197"/>
        <w:jc w:val="center"/>
        <w:rPr>
          <w:rFonts w:ascii="Times New Roman" w:hAnsi="Times New Roman"/>
          <w:szCs w:val="21"/>
          <w:highlight w:val="none"/>
        </w:rPr>
      </w:pPr>
      <w:r>
        <w:rPr>
          <w:rFonts w:ascii="Times New Roman" w:hAnsi="Times New Roman"/>
          <w:szCs w:val="21"/>
          <w:highlight w:val="none"/>
        </w:rPr>
        <w:t>建设工程项目管理承诺书</w:t>
      </w:r>
    </w:p>
    <w:p w14:paraId="4DC58137">
      <w:pPr>
        <w:spacing w:line="360" w:lineRule="auto"/>
        <w:jc w:val="center"/>
        <w:rPr>
          <w:b/>
          <w:bCs/>
          <w:sz w:val="24"/>
          <w:highlight w:val="none"/>
        </w:rPr>
      </w:pPr>
    </w:p>
    <w:p w14:paraId="3773E8FF">
      <w:pPr>
        <w:spacing w:line="360" w:lineRule="auto"/>
        <w:jc w:val="center"/>
        <w:rPr>
          <w:b/>
          <w:bCs/>
          <w:sz w:val="24"/>
          <w:highlight w:val="none"/>
        </w:rPr>
      </w:pPr>
    </w:p>
    <w:p w14:paraId="1FA2AF4E">
      <w:pPr>
        <w:pStyle w:val="27"/>
        <w:tabs>
          <w:tab w:val="left" w:pos="2127"/>
        </w:tabs>
        <w:spacing w:line="340" w:lineRule="exact"/>
        <w:rPr>
          <w:rFonts w:ascii="Times New Roman" w:hAnsi="Times New Roman" w:cs="Times New Roman"/>
          <w:highlight w:val="none"/>
        </w:rPr>
      </w:pPr>
      <w:r>
        <w:rPr>
          <w:rFonts w:ascii="Times New Roman" w:hAnsi="Times New Roman" w:cs="Times New Roman"/>
          <w:highlight w:val="none"/>
        </w:rPr>
        <w:t>致</w:t>
      </w:r>
      <w:r>
        <w:rPr>
          <w:i/>
          <w:iCs/>
          <w:highlight w:val="none"/>
          <w:u w:val="single"/>
        </w:rPr>
        <w:t>（采购</w:t>
      </w:r>
      <w:r>
        <w:rPr>
          <w:rFonts w:hint="eastAsia"/>
          <w:i/>
          <w:iCs/>
          <w:highlight w:val="none"/>
          <w:u w:val="single"/>
        </w:rPr>
        <w:t>人</w:t>
      </w:r>
      <w:r>
        <w:rPr>
          <w:i/>
          <w:iCs/>
          <w:highlight w:val="none"/>
          <w:u w:val="single"/>
        </w:rPr>
        <w:t>名称）</w:t>
      </w:r>
      <w:r>
        <w:rPr>
          <w:highlight w:val="none"/>
        </w:rPr>
        <w:t>：</w:t>
      </w:r>
    </w:p>
    <w:p w14:paraId="6DDC2807">
      <w:pPr>
        <w:snapToGrid w:val="0"/>
        <w:spacing w:before="120" w:beforeLines="50" w:line="360" w:lineRule="exact"/>
        <w:ind w:firstLine="420" w:firstLineChars="200"/>
        <w:rPr>
          <w:szCs w:val="21"/>
          <w:highlight w:val="none"/>
        </w:rPr>
      </w:pPr>
      <w:r>
        <w:rPr>
          <w:szCs w:val="21"/>
          <w:highlight w:val="none"/>
        </w:rPr>
        <w:t>作为参与</w:t>
      </w:r>
      <w:r>
        <w:rPr>
          <w:szCs w:val="21"/>
          <w:highlight w:val="none"/>
          <w:u w:val="single"/>
        </w:rPr>
        <w:t></w:t>
      </w:r>
      <w:r>
        <w:rPr>
          <w:i/>
          <w:iCs/>
          <w:szCs w:val="21"/>
          <w:highlight w:val="none"/>
          <w:u w:val="single"/>
        </w:rPr>
        <w:t>（工程名称）</w:t>
      </w:r>
      <w:r>
        <w:rPr>
          <w:szCs w:val="21"/>
          <w:highlight w:val="none"/>
        </w:rPr>
        <w:t>项目的供应商，根据国家、自治区相关文件规定，我方在此承诺：</w:t>
      </w:r>
    </w:p>
    <w:p w14:paraId="477D00CF">
      <w:pPr>
        <w:spacing w:line="520" w:lineRule="exact"/>
        <w:ind w:left="-2" w:leftChars="-1" w:firstLine="449" w:firstLineChars="214"/>
        <w:jc w:val="left"/>
        <w:rPr>
          <w:rFonts w:hint="eastAsia"/>
          <w:szCs w:val="21"/>
          <w:highlight w:val="none"/>
        </w:rPr>
      </w:pPr>
      <w:r>
        <w:rPr>
          <w:rFonts w:hint="eastAsia"/>
          <w:szCs w:val="21"/>
          <w:highlight w:val="none"/>
        </w:rPr>
        <w:t>1、一旦成交，</w:t>
      </w:r>
      <w:r>
        <w:rPr>
          <w:highlight w:val="none"/>
        </w:rPr>
        <w:t>我方保证按照政府相关部门的规定，</w:t>
      </w:r>
      <w:r>
        <w:rPr>
          <w:rFonts w:hint="eastAsia" w:ascii="宋体" w:hAnsi="宋体"/>
          <w:highlight w:val="none"/>
        </w:rPr>
        <w:t>在</w:t>
      </w:r>
      <w:r>
        <w:rPr>
          <w:rFonts w:hint="eastAsia"/>
          <w:szCs w:val="21"/>
          <w:highlight w:val="none"/>
        </w:rPr>
        <w:t>成交</w:t>
      </w:r>
      <w:r>
        <w:rPr>
          <w:rFonts w:hint="eastAsia" w:ascii="宋体" w:hAnsi="宋体"/>
          <w:highlight w:val="none"/>
        </w:rPr>
        <w:t>后7个工作日内，按照《保障农民工工资支付条例》规定及广西壮族自治区有关规定开设农民工工资专用账户，并按</w:t>
      </w:r>
      <w:r>
        <w:rPr>
          <w:rFonts w:hint="eastAsia" w:ascii="宋体" w:hAnsi="宋体"/>
          <w:highlight w:val="none"/>
          <w:u w:val="single"/>
        </w:rPr>
        <w:t>要求</w:t>
      </w:r>
      <w:r>
        <w:rPr>
          <w:rFonts w:hint="eastAsia" w:ascii="宋体" w:hAnsi="宋体"/>
          <w:highlight w:val="none"/>
        </w:rPr>
        <w:t>比例将农民工工资保证金存入帐户</w:t>
      </w:r>
      <w:r>
        <w:rPr>
          <w:rFonts w:hint="eastAsia"/>
          <w:highlight w:val="none"/>
        </w:rPr>
        <w:t>，专项用于支付本工程提供劳动的农民工被拖欠的工资。</w:t>
      </w:r>
      <w:r>
        <w:rPr>
          <w:highlight w:val="none"/>
        </w:rPr>
        <w:t>按照与农民工依法约定的工资支付周期和具体支付日期支付工资</w:t>
      </w:r>
      <w:r>
        <w:rPr>
          <w:rFonts w:hint="eastAsia"/>
          <w:highlight w:val="none"/>
        </w:rPr>
        <w:t>，保证</w:t>
      </w:r>
      <w:r>
        <w:rPr>
          <w:highlight w:val="none"/>
        </w:rPr>
        <w:t>每月至少向农民工足额支付一次工资。</w:t>
      </w:r>
    </w:p>
    <w:p w14:paraId="527E4ADA">
      <w:pPr>
        <w:spacing w:line="520" w:lineRule="exact"/>
        <w:ind w:left="-2" w:leftChars="-1" w:firstLine="449" w:firstLineChars="214"/>
        <w:jc w:val="left"/>
        <w:rPr>
          <w:rFonts w:hint="eastAsia"/>
          <w:szCs w:val="21"/>
          <w:highlight w:val="none"/>
        </w:rPr>
      </w:pPr>
      <w:r>
        <w:rPr>
          <w:rFonts w:hint="eastAsia"/>
          <w:szCs w:val="21"/>
          <w:highlight w:val="none"/>
        </w:rPr>
        <w:t>2、一旦成交，我方保证在施工过程中，严格执行《广西壮族自治区建筑工程安全文明施工费使用管理细则》（桂建质〔2015〕16号）的有关规定，确保建设工程各项安全防护、文明施工措施落实到位。如我方在该项目的承包中出现未按桂建质〔2015〕16号文附件一规定执行的情形，我方愿意按照相关规定接受建设单位及有关主管部门的处罚。</w:t>
      </w:r>
    </w:p>
    <w:p w14:paraId="7CA971B2">
      <w:pPr>
        <w:spacing w:line="520" w:lineRule="exact"/>
        <w:ind w:left="-2" w:leftChars="-1" w:firstLine="449" w:firstLineChars="214"/>
        <w:jc w:val="left"/>
        <w:rPr>
          <w:rFonts w:hint="eastAsia"/>
          <w:szCs w:val="21"/>
          <w:highlight w:val="none"/>
        </w:rPr>
      </w:pPr>
      <w:r>
        <w:rPr>
          <w:rFonts w:hint="eastAsia"/>
          <w:szCs w:val="21"/>
          <w:highlight w:val="none"/>
        </w:rPr>
        <w:t>3、一旦成交，我方保证在施工过程中，严格执行散装水泥和预拌混凝土管理的有关规定，确保建设工程按规定使用散装水泥和预拌混凝土。如我方在该项目的承包中出现未按规定执行的情形，我方愿意按照相关规定接受建设单位及有关主管部门的处罚。</w:t>
      </w:r>
    </w:p>
    <w:p w14:paraId="75F80695">
      <w:pPr>
        <w:spacing w:line="520" w:lineRule="exact"/>
        <w:ind w:left="-2" w:leftChars="-1" w:firstLine="449" w:firstLineChars="214"/>
        <w:jc w:val="left"/>
        <w:rPr>
          <w:rFonts w:hint="eastAsia"/>
          <w:szCs w:val="21"/>
          <w:highlight w:val="none"/>
        </w:rPr>
      </w:pPr>
      <w:r>
        <w:rPr>
          <w:rFonts w:hint="eastAsia"/>
          <w:szCs w:val="21"/>
          <w:highlight w:val="none"/>
        </w:rPr>
        <w:t>4、一旦成交，我方保证在施工过程中，严格执行《关于禁止使用不符合规范要求的竹脚手架的通知》（桂建管字〔2003〕40号）的有关规定，不使用竹脚手架。如我方在该项目的承包中出现未按规定执行的情形，我方愿意按照相关规定接受建设单位及有关主管部门的处罚。</w:t>
      </w:r>
    </w:p>
    <w:p w14:paraId="336EFD9E">
      <w:pPr>
        <w:spacing w:line="520" w:lineRule="exact"/>
        <w:ind w:left="-2" w:leftChars="-1" w:firstLine="449" w:firstLineChars="214"/>
        <w:jc w:val="left"/>
        <w:rPr>
          <w:highlight w:val="none"/>
        </w:rPr>
      </w:pPr>
      <w:r>
        <w:rPr>
          <w:rFonts w:hint="eastAsia"/>
          <w:szCs w:val="21"/>
          <w:highlight w:val="none"/>
        </w:rPr>
        <w:t>5、一旦成交，我方保证严格执行《危险性较大的分部分项工程安全管理规定》（建办质〔2018〕31号）的规定，强化对深基坑、高切坡、高大模板、人工挖孔桩、起重吊装、临时活动板房等重大危险源的专项施工方案的编制、论证、审批、实施、检测的风险管理。</w:t>
      </w:r>
    </w:p>
    <w:p w14:paraId="3360FF3D">
      <w:pPr>
        <w:spacing w:line="360" w:lineRule="auto"/>
        <w:jc w:val="left"/>
        <w:rPr>
          <w:highlight w:val="none"/>
        </w:rPr>
      </w:pPr>
    </w:p>
    <w:p w14:paraId="1A121E63">
      <w:pPr>
        <w:spacing w:line="360" w:lineRule="auto"/>
        <w:jc w:val="left"/>
        <w:rPr>
          <w:highlight w:val="none"/>
        </w:rPr>
      </w:pPr>
    </w:p>
    <w:p w14:paraId="41E17A20">
      <w:pPr>
        <w:snapToGrid w:val="0"/>
        <w:spacing w:before="120" w:beforeLines="50" w:after="50" w:line="360" w:lineRule="exact"/>
        <w:ind w:firstLine="4410" w:firstLineChars="2100"/>
        <w:rPr>
          <w:szCs w:val="21"/>
          <w:highlight w:val="none"/>
        </w:rPr>
      </w:pPr>
      <w:bookmarkStart w:id="484" w:name="_Hlk89190944"/>
      <w:r>
        <w:rPr>
          <w:szCs w:val="21"/>
          <w:highlight w:val="none"/>
        </w:rPr>
        <w:t>供应商</w:t>
      </w:r>
      <w:r>
        <w:rPr>
          <w:rFonts w:hint="eastAsia"/>
          <w:szCs w:val="21"/>
          <w:highlight w:val="none"/>
        </w:rPr>
        <w:t>名称（电子签章）</w:t>
      </w:r>
      <w:r>
        <w:rPr>
          <w:szCs w:val="21"/>
          <w:highlight w:val="none"/>
        </w:rPr>
        <w:t>：</w:t>
      </w:r>
      <w:r>
        <w:rPr>
          <w:szCs w:val="21"/>
          <w:highlight w:val="none"/>
          <w:u w:val="single"/>
        </w:rPr>
        <w:t xml:space="preserve">                </w:t>
      </w:r>
    </w:p>
    <w:bookmarkEnd w:id="484"/>
    <w:p w14:paraId="330422BB">
      <w:pPr>
        <w:spacing w:line="360" w:lineRule="auto"/>
        <w:ind w:firstLine="1260" w:firstLineChars="600"/>
        <w:jc w:val="left"/>
        <w:rPr>
          <w:highlight w:val="none"/>
        </w:rPr>
      </w:pPr>
    </w:p>
    <w:p w14:paraId="284C8318">
      <w:pPr>
        <w:spacing w:line="360" w:lineRule="auto"/>
        <w:ind w:firstLine="4515" w:firstLineChars="2150"/>
        <w:jc w:val="left"/>
        <w:rPr>
          <w:highlight w:val="none"/>
        </w:rPr>
      </w:pPr>
      <w:r>
        <w:rPr>
          <w:highlight w:val="none"/>
        </w:rPr>
        <w:t>日期：</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27A49AC5">
      <w:pPr>
        <w:spacing w:line="360" w:lineRule="auto"/>
        <w:ind w:firstLine="525" w:firstLineChars="250"/>
        <w:jc w:val="center"/>
        <w:rPr>
          <w:b/>
          <w:sz w:val="28"/>
          <w:szCs w:val="28"/>
          <w:highlight w:val="none"/>
        </w:rPr>
      </w:pPr>
      <w:r>
        <w:rPr>
          <w:szCs w:val="21"/>
          <w:highlight w:val="none"/>
        </w:rPr>
        <w:br w:type="page"/>
      </w:r>
      <w:r>
        <w:rPr>
          <w:b/>
          <w:sz w:val="28"/>
          <w:szCs w:val="28"/>
          <w:highlight w:val="none"/>
        </w:rPr>
        <w:t>广西壮族自治区建筑工程安全文明施工措施项目清单内容</w:t>
      </w:r>
    </w:p>
    <w:p w14:paraId="343031EE">
      <w:pPr>
        <w:pStyle w:val="255"/>
        <w:spacing w:line="360" w:lineRule="auto"/>
        <w:jc w:val="center"/>
        <w:rPr>
          <w:highlight w:val="none"/>
        </w:rPr>
      </w:pPr>
      <w:r>
        <w:rPr>
          <w:sz w:val="24"/>
          <w:highlight w:val="none"/>
        </w:rPr>
        <w:t>（桂建质</w:t>
      </w:r>
      <w:r>
        <w:rPr>
          <w:rFonts w:hint="eastAsia" w:cs="宋体"/>
          <w:sz w:val="24"/>
          <w:szCs w:val="24"/>
        </w:rPr>
        <w:t>〔</w:t>
      </w:r>
      <w:r>
        <w:rPr>
          <w:sz w:val="24"/>
          <w:highlight w:val="none"/>
        </w:rPr>
        <w:t>2015</w:t>
      </w:r>
      <w:r>
        <w:rPr>
          <w:rFonts w:hint="eastAsia" w:cs="宋体"/>
          <w:sz w:val="24"/>
          <w:szCs w:val="24"/>
        </w:rPr>
        <w:t>〕</w:t>
      </w:r>
      <w:r>
        <w:rPr>
          <w:sz w:val="24"/>
          <w:highlight w:val="none"/>
        </w:rPr>
        <w:t>16号文附件一）</w:t>
      </w:r>
    </w:p>
    <w:p w14:paraId="6B238C61">
      <w:pPr>
        <w:pStyle w:val="256"/>
        <w:spacing w:line="0" w:lineRule="atLeast"/>
        <w:jc w:val="center"/>
        <w:rPr>
          <w:b/>
          <w:bCs/>
          <w:sz w:val="24"/>
          <w:highlight w:val="none"/>
        </w:rPr>
      </w:pPr>
      <w:r>
        <w:rPr>
          <w:b/>
          <w:bCs/>
          <w:sz w:val="24"/>
          <w:highlight w:val="none"/>
        </w:rPr>
        <w:t>广西壮族自治区</w:t>
      </w:r>
    </w:p>
    <w:p w14:paraId="021F0DC2">
      <w:pPr>
        <w:pStyle w:val="256"/>
        <w:spacing w:line="0" w:lineRule="atLeast"/>
        <w:jc w:val="center"/>
        <w:rPr>
          <w:b/>
          <w:bCs/>
          <w:w w:val="90"/>
          <w:sz w:val="24"/>
          <w:highlight w:val="none"/>
        </w:rPr>
      </w:pPr>
      <w:r>
        <w:rPr>
          <w:b/>
          <w:bCs/>
          <w:w w:val="90"/>
          <w:sz w:val="24"/>
          <w:highlight w:val="none"/>
        </w:rPr>
        <w:t>建设工程安全文明施工措施项目清单内容</w:t>
      </w:r>
    </w:p>
    <w:tbl>
      <w:tblPr>
        <w:tblStyle w:val="5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8"/>
        <w:gridCol w:w="525"/>
        <w:gridCol w:w="1545"/>
        <w:gridCol w:w="6645"/>
      </w:tblGrid>
      <w:tr w14:paraId="52C393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01" w:hRule="exact"/>
        </w:trPr>
        <w:tc>
          <w:tcPr>
            <w:tcW w:w="738" w:type="dxa"/>
            <w:noWrap w:val="0"/>
            <w:vAlign w:val="center"/>
          </w:tcPr>
          <w:p w14:paraId="123DF73B">
            <w:pPr>
              <w:pStyle w:val="256"/>
              <w:spacing w:line="300" w:lineRule="exact"/>
              <w:jc w:val="center"/>
              <w:rPr>
                <w:rFonts w:eastAsia="方正仿宋_GBK"/>
                <w:b/>
                <w:bCs/>
                <w:szCs w:val="21"/>
                <w:highlight w:val="none"/>
              </w:rPr>
            </w:pPr>
            <w:r>
              <w:rPr>
                <w:rFonts w:eastAsia="方正仿宋_GBK"/>
                <w:b/>
                <w:bCs/>
                <w:szCs w:val="21"/>
                <w:highlight w:val="none"/>
              </w:rPr>
              <w:t>类别</w:t>
            </w:r>
          </w:p>
        </w:tc>
        <w:tc>
          <w:tcPr>
            <w:tcW w:w="2070" w:type="dxa"/>
            <w:gridSpan w:val="2"/>
            <w:noWrap w:val="0"/>
            <w:vAlign w:val="center"/>
          </w:tcPr>
          <w:p w14:paraId="7A675F2E">
            <w:pPr>
              <w:pStyle w:val="256"/>
              <w:spacing w:line="300" w:lineRule="exact"/>
              <w:jc w:val="center"/>
              <w:rPr>
                <w:rFonts w:eastAsia="方正仿宋_GBK"/>
                <w:b/>
                <w:bCs/>
                <w:szCs w:val="21"/>
                <w:highlight w:val="none"/>
              </w:rPr>
            </w:pPr>
            <w:r>
              <w:rPr>
                <w:rFonts w:eastAsia="方正仿宋_GBK"/>
                <w:b/>
                <w:bCs/>
                <w:szCs w:val="21"/>
                <w:highlight w:val="none"/>
              </w:rPr>
              <w:t>项目名称</w:t>
            </w:r>
          </w:p>
        </w:tc>
        <w:tc>
          <w:tcPr>
            <w:tcW w:w="6645" w:type="dxa"/>
            <w:noWrap w:val="0"/>
            <w:vAlign w:val="center"/>
          </w:tcPr>
          <w:p w14:paraId="2BB9D09A">
            <w:pPr>
              <w:pStyle w:val="256"/>
              <w:spacing w:line="300" w:lineRule="exact"/>
              <w:jc w:val="center"/>
              <w:rPr>
                <w:rFonts w:eastAsia="方正仿宋_GBK"/>
                <w:b/>
                <w:bCs/>
                <w:szCs w:val="21"/>
                <w:highlight w:val="none"/>
              </w:rPr>
            </w:pPr>
            <w:r>
              <w:rPr>
                <w:rFonts w:eastAsia="方正仿宋_GBK"/>
                <w:b/>
                <w:bCs/>
                <w:szCs w:val="21"/>
                <w:highlight w:val="none"/>
              </w:rPr>
              <w:t>主要内容和要求</w:t>
            </w:r>
          </w:p>
        </w:tc>
      </w:tr>
      <w:tr w14:paraId="3649D6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78A75AA8">
            <w:pPr>
              <w:pStyle w:val="256"/>
              <w:spacing w:line="300" w:lineRule="exact"/>
              <w:jc w:val="center"/>
              <w:rPr>
                <w:rFonts w:eastAsia="方正仿宋_GBK"/>
                <w:szCs w:val="21"/>
                <w:highlight w:val="none"/>
              </w:rPr>
            </w:pPr>
            <w:r>
              <w:rPr>
                <w:rFonts w:eastAsia="方正仿宋_GBK"/>
                <w:szCs w:val="21"/>
                <w:highlight w:val="none"/>
              </w:rPr>
              <w:t>文明</w:t>
            </w:r>
          </w:p>
          <w:p w14:paraId="62E6F5FC">
            <w:pPr>
              <w:pStyle w:val="256"/>
              <w:spacing w:line="300" w:lineRule="exact"/>
              <w:jc w:val="center"/>
              <w:rPr>
                <w:rFonts w:eastAsia="方正仿宋_GBK"/>
                <w:szCs w:val="21"/>
                <w:highlight w:val="none"/>
              </w:rPr>
            </w:pPr>
            <w:r>
              <w:rPr>
                <w:rFonts w:eastAsia="方正仿宋_GBK"/>
                <w:szCs w:val="21"/>
                <w:highlight w:val="none"/>
              </w:rPr>
              <w:t>施工</w:t>
            </w:r>
          </w:p>
          <w:p w14:paraId="4107F517">
            <w:pPr>
              <w:pStyle w:val="256"/>
              <w:spacing w:line="300" w:lineRule="exact"/>
              <w:jc w:val="center"/>
              <w:rPr>
                <w:rFonts w:eastAsia="方正仿宋_GBK"/>
                <w:szCs w:val="21"/>
                <w:highlight w:val="none"/>
              </w:rPr>
            </w:pPr>
            <w:r>
              <w:rPr>
                <w:rFonts w:eastAsia="方正仿宋_GBK"/>
                <w:szCs w:val="21"/>
                <w:highlight w:val="none"/>
              </w:rPr>
              <w:t>与</w:t>
            </w:r>
          </w:p>
          <w:p w14:paraId="5B7FE56D">
            <w:pPr>
              <w:pStyle w:val="256"/>
              <w:spacing w:line="300" w:lineRule="exact"/>
              <w:jc w:val="center"/>
              <w:rPr>
                <w:rFonts w:eastAsia="方正仿宋_GBK"/>
                <w:szCs w:val="21"/>
                <w:highlight w:val="none"/>
              </w:rPr>
            </w:pPr>
            <w:r>
              <w:rPr>
                <w:rFonts w:eastAsia="方正仿宋_GBK"/>
                <w:szCs w:val="21"/>
                <w:highlight w:val="none"/>
              </w:rPr>
              <w:t>环境</w:t>
            </w:r>
          </w:p>
          <w:p w14:paraId="1198764A">
            <w:pPr>
              <w:pStyle w:val="256"/>
              <w:spacing w:line="300" w:lineRule="exact"/>
              <w:jc w:val="center"/>
              <w:rPr>
                <w:rFonts w:eastAsia="方正仿宋_GBK"/>
                <w:szCs w:val="21"/>
                <w:highlight w:val="none"/>
              </w:rPr>
            </w:pPr>
            <w:r>
              <w:rPr>
                <w:rFonts w:eastAsia="方正仿宋_GBK"/>
                <w:szCs w:val="21"/>
                <w:highlight w:val="none"/>
              </w:rPr>
              <w:t>保护</w:t>
            </w:r>
          </w:p>
        </w:tc>
        <w:tc>
          <w:tcPr>
            <w:tcW w:w="2070" w:type="dxa"/>
            <w:gridSpan w:val="2"/>
            <w:noWrap w:val="0"/>
            <w:vAlign w:val="center"/>
          </w:tcPr>
          <w:p w14:paraId="36733160">
            <w:pPr>
              <w:pStyle w:val="256"/>
              <w:spacing w:line="300" w:lineRule="exact"/>
              <w:jc w:val="center"/>
              <w:rPr>
                <w:rFonts w:eastAsia="方正仿宋_GBK"/>
                <w:szCs w:val="21"/>
                <w:highlight w:val="none"/>
              </w:rPr>
            </w:pPr>
            <w:r>
              <w:rPr>
                <w:rFonts w:eastAsia="方正仿宋_GBK"/>
                <w:szCs w:val="21"/>
                <w:highlight w:val="none"/>
              </w:rPr>
              <w:t>安全警示</w:t>
            </w:r>
          </w:p>
          <w:p w14:paraId="734A81D2">
            <w:pPr>
              <w:pStyle w:val="256"/>
              <w:spacing w:line="300" w:lineRule="exact"/>
              <w:jc w:val="center"/>
              <w:rPr>
                <w:rFonts w:eastAsia="方正仿宋_GBK"/>
                <w:szCs w:val="21"/>
                <w:highlight w:val="none"/>
              </w:rPr>
            </w:pPr>
            <w:r>
              <w:rPr>
                <w:rFonts w:eastAsia="方正仿宋_GBK"/>
                <w:szCs w:val="21"/>
                <w:highlight w:val="none"/>
              </w:rPr>
              <w:t>标志牌</w:t>
            </w:r>
          </w:p>
        </w:tc>
        <w:tc>
          <w:tcPr>
            <w:tcW w:w="6645" w:type="dxa"/>
            <w:noWrap w:val="0"/>
            <w:vAlign w:val="center"/>
          </w:tcPr>
          <w:p w14:paraId="67AF2444">
            <w:pPr>
              <w:pStyle w:val="256"/>
              <w:spacing w:line="300" w:lineRule="exact"/>
              <w:rPr>
                <w:rFonts w:eastAsia="方正仿宋_GBK"/>
                <w:szCs w:val="21"/>
                <w:highlight w:val="none"/>
              </w:rPr>
            </w:pPr>
            <w:r>
              <w:rPr>
                <w:rFonts w:eastAsia="方正仿宋_GBK"/>
                <w:szCs w:val="21"/>
                <w:highlight w:val="none"/>
              </w:rPr>
              <w:t>在易发伤亡事故（或危险）处设置明显的、符合国家标准要求的安全警示标志牌。</w:t>
            </w:r>
          </w:p>
        </w:tc>
      </w:tr>
      <w:tr w14:paraId="55E834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941C5D0">
            <w:pPr>
              <w:pStyle w:val="256"/>
              <w:spacing w:line="300" w:lineRule="exact"/>
              <w:jc w:val="center"/>
              <w:rPr>
                <w:rFonts w:eastAsia="方正仿宋_GBK"/>
                <w:szCs w:val="21"/>
                <w:highlight w:val="none"/>
              </w:rPr>
            </w:pPr>
          </w:p>
        </w:tc>
        <w:tc>
          <w:tcPr>
            <w:tcW w:w="2070" w:type="dxa"/>
            <w:gridSpan w:val="2"/>
            <w:noWrap w:val="0"/>
            <w:vAlign w:val="center"/>
          </w:tcPr>
          <w:p w14:paraId="00EAAFEF">
            <w:pPr>
              <w:pStyle w:val="256"/>
              <w:spacing w:line="300" w:lineRule="exact"/>
              <w:jc w:val="center"/>
              <w:rPr>
                <w:rFonts w:eastAsia="方正仿宋_GBK"/>
                <w:szCs w:val="21"/>
                <w:highlight w:val="none"/>
              </w:rPr>
            </w:pPr>
            <w:r>
              <w:rPr>
                <w:rFonts w:eastAsia="方正仿宋_GBK"/>
                <w:szCs w:val="21"/>
                <w:highlight w:val="none"/>
              </w:rPr>
              <w:t>现场围挡</w:t>
            </w:r>
          </w:p>
        </w:tc>
        <w:tc>
          <w:tcPr>
            <w:tcW w:w="6645" w:type="dxa"/>
            <w:noWrap w:val="0"/>
            <w:vAlign w:val="center"/>
          </w:tcPr>
          <w:p w14:paraId="24E3A268">
            <w:pPr>
              <w:pStyle w:val="256"/>
              <w:spacing w:line="300" w:lineRule="exact"/>
              <w:rPr>
                <w:rFonts w:eastAsia="方正仿宋_GBK"/>
                <w:szCs w:val="21"/>
                <w:highlight w:val="none"/>
              </w:rPr>
            </w:pPr>
            <w:r>
              <w:rPr>
                <w:rFonts w:eastAsia="方正仿宋_GBK"/>
                <w:szCs w:val="21"/>
                <w:highlight w:val="none"/>
              </w:rPr>
              <w:t>1. 现场采用封闭围挡，高度不小于1.8m。</w:t>
            </w:r>
          </w:p>
          <w:p w14:paraId="4912174B">
            <w:pPr>
              <w:pStyle w:val="256"/>
              <w:spacing w:line="300" w:lineRule="exact"/>
              <w:rPr>
                <w:rFonts w:eastAsia="方正仿宋_GBK"/>
                <w:szCs w:val="21"/>
                <w:highlight w:val="none"/>
              </w:rPr>
            </w:pPr>
            <w:r>
              <w:rPr>
                <w:rFonts w:eastAsia="方正仿宋_GBK"/>
                <w:szCs w:val="21"/>
                <w:highlight w:val="none"/>
              </w:rPr>
              <w:t>2. 围挡材料可用彩色、定型钢板，砌块等墙体。</w:t>
            </w:r>
          </w:p>
        </w:tc>
      </w:tr>
      <w:tr w14:paraId="21BF2A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39F481E">
            <w:pPr>
              <w:pStyle w:val="256"/>
              <w:spacing w:line="300" w:lineRule="exact"/>
              <w:jc w:val="center"/>
              <w:rPr>
                <w:rFonts w:eastAsia="方正仿宋_GBK"/>
                <w:szCs w:val="21"/>
                <w:highlight w:val="none"/>
              </w:rPr>
            </w:pPr>
          </w:p>
        </w:tc>
        <w:tc>
          <w:tcPr>
            <w:tcW w:w="2070" w:type="dxa"/>
            <w:gridSpan w:val="2"/>
            <w:noWrap w:val="0"/>
            <w:vAlign w:val="center"/>
          </w:tcPr>
          <w:p w14:paraId="78C96E19">
            <w:pPr>
              <w:pStyle w:val="256"/>
              <w:spacing w:line="300" w:lineRule="exact"/>
              <w:jc w:val="center"/>
              <w:rPr>
                <w:rFonts w:eastAsia="方正仿宋_GBK"/>
                <w:szCs w:val="21"/>
                <w:highlight w:val="none"/>
              </w:rPr>
            </w:pPr>
            <w:r>
              <w:rPr>
                <w:rFonts w:eastAsia="方正仿宋_GBK"/>
                <w:szCs w:val="21"/>
                <w:highlight w:val="none"/>
              </w:rPr>
              <w:t>七牌二图</w:t>
            </w:r>
          </w:p>
        </w:tc>
        <w:tc>
          <w:tcPr>
            <w:tcW w:w="6645" w:type="dxa"/>
            <w:noWrap w:val="0"/>
            <w:vAlign w:val="center"/>
          </w:tcPr>
          <w:p w14:paraId="4B3F807A">
            <w:pPr>
              <w:pStyle w:val="256"/>
              <w:spacing w:line="300" w:lineRule="exact"/>
              <w:rPr>
                <w:rFonts w:eastAsia="方正仿宋_GBK"/>
                <w:szCs w:val="21"/>
                <w:highlight w:val="none"/>
              </w:rPr>
            </w:pPr>
            <w:r>
              <w:rPr>
                <w:rFonts w:eastAsia="方正仿宋_GBK"/>
                <w:szCs w:val="21"/>
                <w:highlight w:val="none"/>
              </w:rPr>
              <w:t>在进门处悬挂工程概况、现场出入制度、管理人员名单及监督电话、安全生产规定、文明施工、消防保卫、节能公示等七牌以及施工现场总平面图、工程效果图。</w:t>
            </w:r>
          </w:p>
        </w:tc>
      </w:tr>
      <w:tr w14:paraId="1625EF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738" w:type="dxa"/>
            <w:vMerge w:val="continue"/>
            <w:noWrap w:val="0"/>
            <w:vAlign w:val="center"/>
          </w:tcPr>
          <w:p w14:paraId="5CE604C2">
            <w:pPr>
              <w:pStyle w:val="256"/>
              <w:spacing w:line="300" w:lineRule="exact"/>
              <w:jc w:val="center"/>
              <w:rPr>
                <w:rFonts w:eastAsia="方正仿宋_GBK"/>
                <w:szCs w:val="21"/>
                <w:highlight w:val="none"/>
              </w:rPr>
            </w:pPr>
          </w:p>
        </w:tc>
        <w:tc>
          <w:tcPr>
            <w:tcW w:w="2070" w:type="dxa"/>
            <w:gridSpan w:val="2"/>
            <w:noWrap w:val="0"/>
            <w:vAlign w:val="center"/>
          </w:tcPr>
          <w:p w14:paraId="1A9000A6">
            <w:pPr>
              <w:pStyle w:val="256"/>
              <w:spacing w:line="300" w:lineRule="exact"/>
              <w:jc w:val="center"/>
              <w:rPr>
                <w:rFonts w:eastAsia="方正仿宋_GBK"/>
                <w:szCs w:val="21"/>
                <w:highlight w:val="none"/>
              </w:rPr>
            </w:pPr>
            <w:r>
              <w:rPr>
                <w:rFonts w:eastAsia="方正仿宋_GBK"/>
                <w:szCs w:val="21"/>
                <w:highlight w:val="none"/>
              </w:rPr>
              <w:t>企业标志</w:t>
            </w:r>
          </w:p>
        </w:tc>
        <w:tc>
          <w:tcPr>
            <w:tcW w:w="6645" w:type="dxa"/>
            <w:noWrap w:val="0"/>
            <w:vAlign w:val="center"/>
          </w:tcPr>
          <w:p w14:paraId="14E6B1AC">
            <w:pPr>
              <w:pStyle w:val="256"/>
              <w:spacing w:line="300" w:lineRule="exact"/>
              <w:rPr>
                <w:rFonts w:eastAsia="方正仿宋_GBK"/>
                <w:szCs w:val="21"/>
                <w:highlight w:val="none"/>
              </w:rPr>
            </w:pPr>
            <w:r>
              <w:rPr>
                <w:rFonts w:eastAsia="方正仿宋_GBK"/>
                <w:szCs w:val="21"/>
                <w:highlight w:val="none"/>
              </w:rPr>
              <w:t>现场出入的大门应设有本企业标志或企业标识。</w:t>
            </w:r>
          </w:p>
        </w:tc>
      </w:tr>
      <w:tr w14:paraId="04377A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4D211FD">
            <w:pPr>
              <w:pStyle w:val="256"/>
              <w:spacing w:line="300" w:lineRule="exact"/>
              <w:jc w:val="center"/>
              <w:rPr>
                <w:rFonts w:eastAsia="方正仿宋_GBK"/>
                <w:szCs w:val="21"/>
                <w:highlight w:val="none"/>
              </w:rPr>
            </w:pPr>
          </w:p>
        </w:tc>
        <w:tc>
          <w:tcPr>
            <w:tcW w:w="2070" w:type="dxa"/>
            <w:gridSpan w:val="2"/>
            <w:noWrap w:val="0"/>
            <w:vAlign w:val="center"/>
          </w:tcPr>
          <w:p w14:paraId="3C1856B1">
            <w:pPr>
              <w:pStyle w:val="256"/>
              <w:spacing w:line="300" w:lineRule="exact"/>
              <w:jc w:val="center"/>
              <w:rPr>
                <w:rFonts w:eastAsia="方正仿宋_GBK"/>
                <w:szCs w:val="21"/>
                <w:highlight w:val="none"/>
              </w:rPr>
            </w:pPr>
            <w:r>
              <w:rPr>
                <w:rFonts w:eastAsia="方正仿宋_GBK"/>
                <w:szCs w:val="21"/>
                <w:highlight w:val="none"/>
              </w:rPr>
              <w:t>场容场貌</w:t>
            </w:r>
          </w:p>
        </w:tc>
        <w:tc>
          <w:tcPr>
            <w:tcW w:w="6645" w:type="dxa"/>
            <w:noWrap w:val="0"/>
            <w:vAlign w:val="center"/>
          </w:tcPr>
          <w:p w14:paraId="7E81DDAD">
            <w:pPr>
              <w:pStyle w:val="256"/>
              <w:spacing w:line="300" w:lineRule="exact"/>
              <w:rPr>
                <w:rFonts w:eastAsia="方正仿宋_GBK"/>
                <w:szCs w:val="21"/>
                <w:highlight w:val="none"/>
              </w:rPr>
            </w:pPr>
            <w:r>
              <w:rPr>
                <w:rFonts w:eastAsia="方正仿宋_GBK"/>
                <w:szCs w:val="21"/>
                <w:highlight w:val="none"/>
              </w:rPr>
              <w:t>1. 道路畅通。</w:t>
            </w:r>
          </w:p>
          <w:p w14:paraId="3DC54618">
            <w:pPr>
              <w:pStyle w:val="256"/>
              <w:spacing w:line="300" w:lineRule="exact"/>
              <w:rPr>
                <w:rFonts w:eastAsia="方正仿宋_GBK"/>
                <w:szCs w:val="21"/>
                <w:highlight w:val="none"/>
              </w:rPr>
            </w:pPr>
            <w:r>
              <w:rPr>
                <w:rFonts w:eastAsia="方正仿宋_GBK"/>
                <w:szCs w:val="21"/>
                <w:highlight w:val="none"/>
              </w:rPr>
              <w:t>2. 排水设施齐全畅通。</w:t>
            </w:r>
          </w:p>
          <w:p w14:paraId="454A1360">
            <w:pPr>
              <w:pStyle w:val="256"/>
              <w:spacing w:line="300" w:lineRule="exact"/>
              <w:rPr>
                <w:rFonts w:eastAsia="方正仿宋_GBK"/>
                <w:szCs w:val="21"/>
                <w:highlight w:val="none"/>
              </w:rPr>
            </w:pPr>
            <w:r>
              <w:rPr>
                <w:rFonts w:eastAsia="方正仿宋_GBK"/>
                <w:szCs w:val="21"/>
                <w:highlight w:val="none"/>
              </w:rPr>
              <w:t>3. 工地地面硬化处理（办公区、生活区、现场道路、材料堆放、混凝土搅拌、砂浆搅拌、钢筋加工等场地和外脚手架基础等）。</w:t>
            </w:r>
          </w:p>
        </w:tc>
      </w:tr>
      <w:tr w14:paraId="7CE256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99F8605">
            <w:pPr>
              <w:pStyle w:val="256"/>
              <w:spacing w:line="300" w:lineRule="exact"/>
              <w:jc w:val="center"/>
              <w:rPr>
                <w:rFonts w:eastAsia="方正仿宋_GBK"/>
                <w:szCs w:val="21"/>
                <w:highlight w:val="none"/>
              </w:rPr>
            </w:pPr>
          </w:p>
        </w:tc>
        <w:tc>
          <w:tcPr>
            <w:tcW w:w="2070" w:type="dxa"/>
            <w:gridSpan w:val="2"/>
            <w:noWrap w:val="0"/>
            <w:vAlign w:val="center"/>
          </w:tcPr>
          <w:p w14:paraId="086E5440">
            <w:pPr>
              <w:pStyle w:val="256"/>
              <w:spacing w:line="300" w:lineRule="exact"/>
              <w:jc w:val="center"/>
              <w:rPr>
                <w:rFonts w:eastAsia="方正仿宋_GBK"/>
                <w:szCs w:val="21"/>
                <w:highlight w:val="none"/>
              </w:rPr>
            </w:pPr>
            <w:r>
              <w:rPr>
                <w:rFonts w:eastAsia="方正仿宋_GBK"/>
                <w:szCs w:val="21"/>
                <w:highlight w:val="none"/>
              </w:rPr>
              <w:t>材料堆放</w:t>
            </w:r>
          </w:p>
        </w:tc>
        <w:tc>
          <w:tcPr>
            <w:tcW w:w="6645" w:type="dxa"/>
            <w:noWrap w:val="0"/>
            <w:vAlign w:val="center"/>
          </w:tcPr>
          <w:p w14:paraId="73F32E78">
            <w:pPr>
              <w:pStyle w:val="256"/>
              <w:numPr>
                <w:ilvl w:val="0"/>
                <w:numId w:val="7"/>
              </w:numPr>
              <w:spacing w:line="300" w:lineRule="exact"/>
              <w:rPr>
                <w:rFonts w:eastAsia="方正仿宋_GBK"/>
                <w:szCs w:val="21"/>
                <w:highlight w:val="none"/>
              </w:rPr>
            </w:pPr>
            <w:r>
              <w:rPr>
                <w:rFonts w:eastAsia="方正仿宋_GBK"/>
                <w:szCs w:val="21"/>
                <w:highlight w:val="none"/>
              </w:rPr>
              <w:t>材料、构件、料具等堆放时，应有名称、品种、规格等标牌。</w:t>
            </w:r>
          </w:p>
          <w:p w14:paraId="5BCEE6EF">
            <w:pPr>
              <w:pStyle w:val="256"/>
              <w:spacing w:line="300" w:lineRule="exact"/>
              <w:rPr>
                <w:rFonts w:eastAsia="方正仿宋_GBK"/>
                <w:szCs w:val="21"/>
                <w:highlight w:val="none"/>
              </w:rPr>
            </w:pPr>
            <w:r>
              <w:rPr>
                <w:rFonts w:eastAsia="方正仿宋_GBK"/>
                <w:szCs w:val="21"/>
                <w:highlight w:val="none"/>
              </w:rPr>
              <w:t>2. 水泥和其它易飞扬细颗粒建筑材料应封闭存放或采取覆盖等措施。</w:t>
            </w:r>
          </w:p>
          <w:p w14:paraId="307FF30E">
            <w:pPr>
              <w:pStyle w:val="256"/>
              <w:spacing w:line="300" w:lineRule="exact"/>
              <w:rPr>
                <w:rFonts w:eastAsia="方正仿宋_GBK"/>
                <w:szCs w:val="21"/>
                <w:highlight w:val="none"/>
              </w:rPr>
            </w:pPr>
            <w:r>
              <w:rPr>
                <w:rFonts w:eastAsia="方正仿宋_GBK"/>
                <w:szCs w:val="21"/>
                <w:highlight w:val="none"/>
              </w:rPr>
              <w:t>3. 易燃、易爆和有毒有害物品分类存放。</w:t>
            </w:r>
          </w:p>
        </w:tc>
      </w:tr>
      <w:tr w14:paraId="5D654C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00729AD4">
            <w:pPr>
              <w:pStyle w:val="256"/>
              <w:spacing w:line="300" w:lineRule="exact"/>
              <w:jc w:val="center"/>
              <w:rPr>
                <w:rFonts w:eastAsia="方正仿宋_GBK"/>
                <w:szCs w:val="21"/>
                <w:highlight w:val="none"/>
              </w:rPr>
            </w:pPr>
          </w:p>
        </w:tc>
        <w:tc>
          <w:tcPr>
            <w:tcW w:w="2070" w:type="dxa"/>
            <w:gridSpan w:val="2"/>
            <w:noWrap w:val="0"/>
            <w:vAlign w:val="center"/>
          </w:tcPr>
          <w:p w14:paraId="466CB71B">
            <w:pPr>
              <w:pStyle w:val="256"/>
              <w:spacing w:line="300" w:lineRule="exact"/>
              <w:jc w:val="center"/>
              <w:rPr>
                <w:rFonts w:eastAsia="方正仿宋_GBK"/>
                <w:szCs w:val="21"/>
                <w:highlight w:val="none"/>
              </w:rPr>
            </w:pPr>
            <w:r>
              <w:rPr>
                <w:rFonts w:eastAsia="方正仿宋_GBK"/>
                <w:szCs w:val="21"/>
                <w:highlight w:val="none"/>
              </w:rPr>
              <w:t>现场防火</w:t>
            </w:r>
          </w:p>
        </w:tc>
        <w:tc>
          <w:tcPr>
            <w:tcW w:w="6645" w:type="dxa"/>
            <w:noWrap w:val="0"/>
            <w:vAlign w:val="center"/>
          </w:tcPr>
          <w:p w14:paraId="22F25972">
            <w:pPr>
              <w:pStyle w:val="256"/>
              <w:spacing w:line="300" w:lineRule="exact"/>
              <w:rPr>
                <w:rFonts w:eastAsia="方正仿宋_GBK"/>
                <w:szCs w:val="21"/>
                <w:highlight w:val="none"/>
              </w:rPr>
            </w:pPr>
            <w:r>
              <w:rPr>
                <w:rFonts w:eastAsia="方正仿宋_GBK"/>
                <w:szCs w:val="21"/>
                <w:highlight w:val="none"/>
              </w:rPr>
              <w:t>消防器材配置合理，符合消防要求。</w:t>
            </w:r>
          </w:p>
        </w:tc>
      </w:tr>
      <w:tr w14:paraId="104299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B1FD405">
            <w:pPr>
              <w:pStyle w:val="256"/>
              <w:spacing w:line="300" w:lineRule="exact"/>
              <w:jc w:val="center"/>
              <w:rPr>
                <w:rFonts w:eastAsia="方正仿宋_GBK"/>
                <w:szCs w:val="21"/>
                <w:highlight w:val="none"/>
              </w:rPr>
            </w:pPr>
          </w:p>
        </w:tc>
        <w:tc>
          <w:tcPr>
            <w:tcW w:w="2070" w:type="dxa"/>
            <w:gridSpan w:val="2"/>
            <w:noWrap w:val="0"/>
            <w:vAlign w:val="center"/>
          </w:tcPr>
          <w:p w14:paraId="2A7B8069">
            <w:pPr>
              <w:pStyle w:val="256"/>
              <w:spacing w:line="300" w:lineRule="exact"/>
              <w:jc w:val="center"/>
              <w:rPr>
                <w:rFonts w:eastAsia="方正仿宋_GBK"/>
                <w:szCs w:val="21"/>
                <w:highlight w:val="none"/>
              </w:rPr>
            </w:pPr>
            <w:r>
              <w:rPr>
                <w:rFonts w:eastAsia="方正仿宋_GBK"/>
                <w:szCs w:val="21"/>
                <w:highlight w:val="none"/>
              </w:rPr>
              <w:t>垃圾清运</w:t>
            </w:r>
          </w:p>
        </w:tc>
        <w:tc>
          <w:tcPr>
            <w:tcW w:w="6645" w:type="dxa"/>
            <w:noWrap w:val="0"/>
            <w:vAlign w:val="center"/>
          </w:tcPr>
          <w:p w14:paraId="20B33482">
            <w:pPr>
              <w:pStyle w:val="256"/>
              <w:spacing w:line="300" w:lineRule="exact"/>
              <w:rPr>
                <w:rFonts w:eastAsia="方正仿宋_GBK"/>
                <w:szCs w:val="21"/>
                <w:highlight w:val="none"/>
              </w:rPr>
            </w:pPr>
            <w:r>
              <w:rPr>
                <w:rFonts w:eastAsia="方正仿宋_GBK"/>
                <w:szCs w:val="21"/>
                <w:highlight w:val="none"/>
              </w:rPr>
              <w:t>1. 施工现场应设置密闭式垃圾站，施工垃圾、生活垃圾应分类存放。</w:t>
            </w:r>
          </w:p>
          <w:p w14:paraId="0554BDAC">
            <w:pPr>
              <w:pStyle w:val="256"/>
              <w:spacing w:line="300" w:lineRule="exact"/>
              <w:rPr>
                <w:rFonts w:eastAsia="方正仿宋_GBK"/>
                <w:szCs w:val="21"/>
                <w:highlight w:val="none"/>
              </w:rPr>
            </w:pPr>
            <w:r>
              <w:rPr>
                <w:rFonts w:eastAsia="方正仿宋_GBK"/>
                <w:szCs w:val="21"/>
                <w:highlight w:val="none"/>
              </w:rPr>
              <w:t>2. 施工垃圾必须采用相应容器或管道运输。</w:t>
            </w:r>
          </w:p>
        </w:tc>
      </w:tr>
      <w:tr w14:paraId="33F9C0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E89B0BA">
            <w:pPr>
              <w:pStyle w:val="256"/>
              <w:spacing w:line="300" w:lineRule="exact"/>
              <w:jc w:val="center"/>
              <w:rPr>
                <w:rFonts w:eastAsia="方正仿宋_GBK"/>
                <w:szCs w:val="21"/>
                <w:highlight w:val="none"/>
              </w:rPr>
            </w:pPr>
          </w:p>
        </w:tc>
        <w:tc>
          <w:tcPr>
            <w:tcW w:w="2070" w:type="dxa"/>
            <w:gridSpan w:val="2"/>
            <w:noWrap w:val="0"/>
            <w:vAlign w:val="center"/>
          </w:tcPr>
          <w:p w14:paraId="783B73AC">
            <w:pPr>
              <w:pStyle w:val="256"/>
              <w:spacing w:line="300" w:lineRule="exact"/>
              <w:rPr>
                <w:rFonts w:eastAsia="方正仿宋_GBK"/>
                <w:szCs w:val="21"/>
                <w:highlight w:val="none"/>
              </w:rPr>
            </w:pPr>
            <w:r>
              <w:rPr>
                <w:rFonts w:eastAsia="方正仿宋_GBK"/>
                <w:szCs w:val="21"/>
                <w:highlight w:val="none"/>
              </w:rPr>
              <w:t>宣传栏、环保及不扰民措施</w:t>
            </w:r>
          </w:p>
        </w:tc>
        <w:tc>
          <w:tcPr>
            <w:tcW w:w="6645" w:type="dxa"/>
            <w:noWrap w:val="0"/>
            <w:vAlign w:val="center"/>
          </w:tcPr>
          <w:p w14:paraId="0107E0B4">
            <w:pPr>
              <w:pStyle w:val="256"/>
              <w:spacing w:line="300" w:lineRule="exact"/>
              <w:rPr>
                <w:rFonts w:eastAsia="方正仿宋_GBK"/>
                <w:szCs w:val="21"/>
                <w:highlight w:val="none"/>
              </w:rPr>
            </w:pPr>
            <w:r>
              <w:rPr>
                <w:rFonts w:eastAsia="方正仿宋_GBK"/>
                <w:szCs w:val="21"/>
                <w:highlight w:val="none"/>
              </w:rPr>
              <w:t>宣传栏、安全宣传标语等，洗车（防止污染市区道路）、粉尘、噪声控制和排污（污水、废气）措施等。</w:t>
            </w:r>
          </w:p>
        </w:tc>
      </w:tr>
      <w:tr w14:paraId="671AB1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3F59CDA7">
            <w:pPr>
              <w:pStyle w:val="256"/>
              <w:spacing w:line="300" w:lineRule="exact"/>
              <w:jc w:val="center"/>
              <w:rPr>
                <w:rFonts w:eastAsia="方正仿宋_GBK"/>
                <w:szCs w:val="21"/>
                <w:highlight w:val="none"/>
              </w:rPr>
            </w:pPr>
            <w:r>
              <w:rPr>
                <w:rFonts w:eastAsia="方正仿宋_GBK"/>
                <w:szCs w:val="21"/>
                <w:highlight w:val="none"/>
              </w:rPr>
              <w:t>临时设施</w:t>
            </w:r>
          </w:p>
        </w:tc>
        <w:tc>
          <w:tcPr>
            <w:tcW w:w="2070" w:type="dxa"/>
            <w:gridSpan w:val="2"/>
            <w:noWrap w:val="0"/>
            <w:vAlign w:val="center"/>
          </w:tcPr>
          <w:p w14:paraId="1AA75ECB">
            <w:pPr>
              <w:pStyle w:val="256"/>
              <w:spacing w:line="300" w:lineRule="exact"/>
              <w:jc w:val="center"/>
              <w:rPr>
                <w:rFonts w:eastAsia="方正仿宋_GBK"/>
                <w:szCs w:val="21"/>
                <w:highlight w:val="none"/>
              </w:rPr>
            </w:pPr>
            <w:r>
              <w:rPr>
                <w:rFonts w:eastAsia="方正仿宋_GBK"/>
                <w:szCs w:val="21"/>
                <w:highlight w:val="none"/>
              </w:rPr>
              <w:t>现场办公</w:t>
            </w:r>
          </w:p>
          <w:p w14:paraId="6AB45396">
            <w:pPr>
              <w:pStyle w:val="256"/>
              <w:spacing w:line="300" w:lineRule="exact"/>
              <w:jc w:val="center"/>
              <w:rPr>
                <w:rFonts w:eastAsia="方正仿宋_GBK"/>
                <w:szCs w:val="21"/>
                <w:highlight w:val="none"/>
              </w:rPr>
            </w:pPr>
            <w:r>
              <w:rPr>
                <w:rFonts w:eastAsia="方正仿宋_GBK"/>
                <w:szCs w:val="21"/>
                <w:highlight w:val="none"/>
              </w:rPr>
              <w:t>生活设施</w:t>
            </w:r>
          </w:p>
        </w:tc>
        <w:tc>
          <w:tcPr>
            <w:tcW w:w="6645" w:type="dxa"/>
            <w:noWrap w:val="0"/>
            <w:vAlign w:val="center"/>
          </w:tcPr>
          <w:p w14:paraId="1B19748F">
            <w:pPr>
              <w:pStyle w:val="256"/>
              <w:spacing w:line="300" w:lineRule="exact"/>
              <w:rPr>
                <w:rFonts w:eastAsia="方正仿宋_GBK"/>
                <w:szCs w:val="21"/>
                <w:highlight w:val="none"/>
              </w:rPr>
            </w:pPr>
            <w:r>
              <w:rPr>
                <w:rFonts w:eastAsia="方正仿宋_GBK"/>
                <w:szCs w:val="21"/>
                <w:highlight w:val="none"/>
              </w:rPr>
              <w:t>1. 施工现场办公、生活区与作业区分开设置，保持安全距离。</w:t>
            </w:r>
          </w:p>
          <w:p w14:paraId="4DDFF447">
            <w:pPr>
              <w:pStyle w:val="256"/>
              <w:spacing w:line="300" w:lineRule="exact"/>
              <w:rPr>
                <w:rFonts w:eastAsia="方正仿宋_GBK"/>
                <w:szCs w:val="21"/>
                <w:highlight w:val="none"/>
              </w:rPr>
            </w:pPr>
            <w:r>
              <w:rPr>
                <w:rFonts w:eastAsia="方正仿宋_GBK"/>
                <w:szCs w:val="21"/>
                <w:highlight w:val="none"/>
              </w:rPr>
              <w:t>2. 工地办公室、现场宿舍、食堂、厕所、饮水、沐浴、休息场所等符合卫生、消防安全要求。</w:t>
            </w:r>
          </w:p>
        </w:tc>
      </w:tr>
      <w:tr w14:paraId="5C56A9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29F9B90C">
            <w:pPr>
              <w:pStyle w:val="256"/>
              <w:spacing w:line="300" w:lineRule="exact"/>
              <w:jc w:val="center"/>
              <w:rPr>
                <w:rFonts w:eastAsia="方正仿宋_GBK"/>
                <w:szCs w:val="21"/>
                <w:highlight w:val="none"/>
              </w:rPr>
            </w:pPr>
          </w:p>
        </w:tc>
        <w:tc>
          <w:tcPr>
            <w:tcW w:w="525" w:type="dxa"/>
            <w:vMerge w:val="restart"/>
            <w:noWrap w:val="0"/>
            <w:vAlign w:val="center"/>
          </w:tcPr>
          <w:p w14:paraId="002F959B">
            <w:pPr>
              <w:pStyle w:val="256"/>
              <w:spacing w:line="300" w:lineRule="exact"/>
              <w:jc w:val="center"/>
              <w:rPr>
                <w:rFonts w:eastAsia="方正仿宋_GBK"/>
                <w:szCs w:val="21"/>
                <w:highlight w:val="none"/>
              </w:rPr>
            </w:pPr>
            <w:r>
              <w:rPr>
                <w:rFonts w:eastAsia="方正仿宋_GBK"/>
                <w:szCs w:val="21"/>
                <w:highlight w:val="none"/>
              </w:rPr>
              <w:t>施工现场</w:t>
            </w:r>
          </w:p>
          <w:p w14:paraId="56D852EB">
            <w:pPr>
              <w:pStyle w:val="256"/>
              <w:spacing w:line="300" w:lineRule="exact"/>
              <w:jc w:val="center"/>
              <w:rPr>
                <w:rFonts w:eastAsia="方正仿宋_GBK"/>
                <w:szCs w:val="21"/>
                <w:highlight w:val="none"/>
              </w:rPr>
            </w:pPr>
            <w:r>
              <w:rPr>
                <w:rFonts w:eastAsia="方正仿宋_GBK"/>
                <w:szCs w:val="21"/>
                <w:highlight w:val="none"/>
              </w:rPr>
              <w:t>临时用电</w:t>
            </w:r>
          </w:p>
        </w:tc>
        <w:tc>
          <w:tcPr>
            <w:tcW w:w="1545" w:type="dxa"/>
            <w:noWrap w:val="0"/>
            <w:vAlign w:val="center"/>
          </w:tcPr>
          <w:p w14:paraId="7D4DA25C">
            <w:pPr>
              <w:pStyle w:val="256"/>
              <w:spacing w:line="300" w:lineRule="exact"/>
              <w:jc w:val="center"/>
              <w:rPr>
                <w:rFonts w:eastAsia="方正仿宋_GBK"/>
                <w:szCs w:val="21"/>
                <w:highlight w:val="none"/>
              </w:rPr>
            </w:pPr>
            <w:r>
              <w:rPr>
                <w:rFonts w:eastAsia="方正仿宋_GBK"/>
                <w:szCs w:val="21"/>
                <w:highlight w:val="none"/>
              </w:rPr>
              <w:t>配电线路</w:t>
            </w:r>
          </w:p>
        </w:tc>
        <w:tc>
          <w:tcPr>
            <w:tcW w:w="6645" w:type="dxa"/>
            <w:noWrap w:val="0"/>
            <w:vAlign w:val="center"/>
          </w:tcPr>
          <w:p w14:paraId="03E1B972">
            <w:pPr>
              <w:pStyle w:val="256"/>
              <w:spacing w:line="300" w:lineRule="exact"/>
              <w:rPr>
                <w:rFonts w:eastAsia="方正仿宋_GBK"/>
                <w:szCs w:val="21"/>
                <w:highlight w:val="none"/>
              </w:rPr>
            </w:pPr>
            <w:r>
              <w:rPr>
                <w:rFonts w:eastAsia="方正仿宋_GBK"/>
                <w:szCs w:val="21"/>
                <w:highlight w:val="none"/>
              </w:rPr>
              <w:t>1. 按照TN-S系统要求配备五芯电缆、四芯电缆和三芯电缆。</w:t>
            </w:r>
          </w:p>
          <w:p w14:paraId="5DD475BE">
            <w:pPr>
              <w:pStyle w:val="256"/>
              <w:spacing w:line="300" w:lineRule="exact"/>
              <w:rPr>
                <w:rFonts w:eastAsia="方正仿宋_GBK"/>
                <w:szCs w:val="21"/>
                <w:highlight w:val="none"/>
              </w:rPr>
            </w:pPr>
            <w:r>
              <w:rPr>
                <w:rFonts w:eastAsia="方正仿宋_GBK"/>
                <w:szCs w:val="21"/>
                <w:highlight w:val="none"/>
              </w:rPr>
              <w:t>2. 按要求架设临时用电线路的电杆、横担、瓷夹、瓷瓶等，或电缆埋地的地沟。</w:t>
            </w:r>
          </w:p>
          <w:p w14:paraId="25E324C7">
            <w:pPr>
              <w:pStyle w:val="256"/>
              <w:spacing w:line="300" w:lineRule="exact"/>
              <w:rPr>
                <w:rFonts w:eastAsia="方正仿宋_GBK"/>
                <w:szCs w:val="21"/>
                <w:highlight w:val="none"/>
              </w:rPr>
            </w:pPr>
            <w:r>
              <w:rPr>
                <w:rFonts w:eastAsia="方正仿宋_GBK"/>
                <w:szCs w:val="21"/>
                <w:highlight w:val="none"/>
              </w:rPr>
              <w:t>3. 对靠近施工现场的外电线路，设置木质、塑料等绝缘体的防护设施。</w:t>
            </w:r>
          </w:p>
        </w:tc>
      </w:tr>
      <w:tr w14:paraId="3379FD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31A57F90">
            <w:pPr>
              <w:pStyle w:val="256"/>
              <w:spacing w:line="300" w:lineRule="exact"/>
              <w:jc w:val="center"/>
              <w:rPr>
                <w:rFonts w:eastAsia="方正仿宋_GBK"/>
                <w:szCs w:val="21"/>
                <w:highlight w:val="none"/>
              </w:rPr>
            </w:pPr>
          </w:p>
        </w:tc>
        <w:tc>
          <w:tcPr>
            <w:tcW w:w="525" w:type="dxa"/>
            <w:vMerge w:val="continue"/>
            <w:noWrap w:val="0"/>
            <w:vAlign w:val="center"/>
          </w:tcPr>
          <w:p w14:paraId="7472D5B8">
            <w:pPr>
              <w:pStyle w:val="256"/>
              <w:spacing w:line="300" w:lineRule="exact"/>
              <w:jc w:val="center"/>
              <w:rPr>
                <w:rFonts w:eastAsia="方正仿宋_GBK"/>
                <w:szCs w:val="21"/>
                <w:highlight w:val="none"/>
              </w:rPr>
            </w:pPr>
          </w:p>
        </w:tc>
        <w:tc>
          <w:tcPr>
            <w:tcW w:w="1545" w:type="dxa"/>
            <w:noWrap w:val="0"/>
            <w:vAlign w:val="center"/>
          </w:tcPr>
          <w:p w14:paraId="36861DEE">
            <w:pPr>
              <w:pStyle w:val="256"/>
              <w:spacing w:line="300" w:lineRule="exact"/>
              <w:jc w:val="center"/>
              <w:rPr>
                <w:rFonts w:eastAsia="方正仿宋_GBK"/>
                <w:szCs w:val="21"/>
                <w:highlight w:val="none"/>
              </w:rPr>
            </w:pPr>
            <w:r>
              <w:rPr>
                <w:rFonts w:eastAsia="方正仿宋_GBK"/>
                <w:szCs w:val="21"/>
                <w:highlight w:val="none"/>
              </w:rPr>
              <w:t>配电箱</w:t>
            </w:r>
          </w:p>
          <w:p w14:paraId="1FF87AAE">
            <w:pPr>
              <w:pStyle w:val="256"/>
              <w:spacing w:line="300" w:lineRule="exact"/>
              <w:jc w:val="center"/>
              <w:rPr>
                <w:rFonts w:eastAsia="方正仿宋_GBK"/>
                <w:szCs w:val="21"/>
                <w:highlight w:val="none"/>
              </w:rPr>
            </w:pPr>
            <w:r>
              <w:rPr>
                <w:rFonts w:eastAsia="方正仿宋_GBK"/>
                <w:szCs w:val="21"/>
                <w:highlight w:val="none"/>
              </w:rPr>
              <w:t>开关箱</w:t>
            </w:r>
          </w:p>
        </w:tc>
        <w:tc>
          <w:tcPr>
            <w:tcW w:w="6645" w:type="dxa"/>
            <w:noWrap w:val="0"/>
            <w:vAlign w:val="center"/>
          </w:tcPr>
          <w:p w14:paraId="64E4C0F3">
            <w:pPr>
              <w:pStyle w:val="256"/>
              <w:spacing w:line="300" w:lineRule="exact"/>
              <w:rPr>
                <w:rFonts w:eastAsia="方正仿宋_GBK"/>
                <w:szCs w:val="21"/>
                <w:highlight w:val="none"/>
              </w:rPr>
            </w:pPr>
            <w:r>
              <w:rPr>
                <w:rFonts w:eastAsia="方正仿宋_GBK"/>
                <w:szCs w:val="21"/>
                <w:highlight w:val="none"/>
              </w:rPr>
              <w:t>1. 按三级配电要求，配备总配电箱、分配电箱、开关箱三类（铁质）标准电箱，开关箱应符合“一机、一箱、一闸、一漏”，三类电箱中的各类电器应是合格品。</w:t>
            </w:r>
          </w:p>
          <w:p w14:paraId="3EEB0B7A">
            <w:pPr>
              <w:pStyle w:val="256"/>
              <w:spacing w:line="300" w:lineRule="exact"/>
              <w:rPr>
                <w:rFonts w:eastAsia="方正仿宋_GBK"/>
                <w:szCs w:val="21"/>
                <w:highlight w:val="none"/>
              </w:rPr>
            </w:pPr>
            <w:r>
              <w:rPr>
                <w:rFonts w:eastAsia="方正仿宋_GBK"/>
                <w:szCs w:val="21"/>
                <w:highlight w:val="none"/>
              </w:rPr>
              <w:t>2. 按两级保护的要求，选取符合容量要求和质量合格的总配电箱和开关箱中的漏电保护器。</w:t>
            </w:r>
          </w:p>
          <w:p w14:paraId="6B16F220">
            <w:pPr>
              <w:pStyle w:val="256"/>
              <w:spacing w:line="300" w:lineRule="exact"/>
              <w:rPr>
                <w:rFonts w:eastAsia="方正仿宋_GBK"/>
                <w:szCs w:val="21"/>
                <w:highlight w:val="none"/>
              </w:rPr>
            </w:pPr>
            <w:r>
              <w:rPr>
                <w:rFonts w:eastAsia="方正仿宋_GBK"/>
                <w:szCs w:val="21"/>
                <w:highlight w:val="none"/>
              </w:rPr>
              <w:t>3. 对大型、落地式分配电箱、开关箱设置防护棚和通透式围挡。</w:t>
            </w:r>
          </w:p>
        </w:tc>
      </w:tr>
      <w:tr w14:paraId="22A7C5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738" w:type="dxa"/>
            <w:vMerge w:val="continue"/>
            <w:noWrap w:val="0"/>
            <w:vAlign w:val="center"/>
          </w:tcPr>
          <w:p w14:paraId="4B9820FF">
            <w:pPr>
              <w:pStyle w:val="256"/>
              <w:spacing w:line="300" w:lineRule="exact"/>
              <w:jc w:val="center"/>
              <w:rPr>
                <w:rFonts w:eastAsia="方正仿宋_GBK"/>
                <w:szCs w:val="21"/>
                <w:highlight w:val="none"/>
              </w:rPr>
            </w:pPr>
          </w:p>
        </w:tc>
        <w:tc>
          <w:tcPr>
            <w:tcW w:w="525" w:type="dxa"/>
            <w:vMerge w:val="continue"/>
            <w:noWrap w:val="0"/>
            <w:vAlign w:val="center"/>
          </w:tcPr>
          <w:p w14:paraId="612A3A6E">
            <w:pPr>
              <w:pStyle w:val="256"/>
              <w:spacing w:line="300" w:lineRule="exact"/>
              <w:jc w:val="center"/>
              <w:rPr>
                <w:rFonts w:eastAsia="方正仿宋_GBK"/>
                <w:szCs w:val="21"/>
                <w:highlight w:val="none"/>
              </w:rPr>
            </w:pPr>
          </w:p>
        </w:tc>
        <w:tc>
          <w:tcPr>
            <w:tcW w:w="1545" w:type="dxa"/>
            <w:noWrap w:val="0"/>
            <w:vAlign w:val="center"/>
          </w:tcPr>
          <w:p w14:paraId="68760A80">
            <w:pPr>
              <w:pStyle w:val="256"/>
              <w:spacing w:line="300" w:lineRule="exact"/>
              <w:jc w:val="center"/>
              <w:rPr>
                <w:rFonts w:eastAsia="方正仿宋_GBK"/>
                <w:szCs w:val="21"/>
                <w:highlight w:val="none"/>
              </w:rPr>
            </w:pPr>
            <w:r>
              <w:rPr>
                <w:rFonts w:eastAsia="方正仿宋_GBK"/>
                <w:szCs w:val="21"/>
                <w:highlight w:val="none"/>
              </w:rPr>
              <w:t>接地装置</w:t>
            </w:r>
          </w:p>
        </w:tc>
        <w:tc>
          <w:tcPr>
            <w:tcW w:w="6645" w:type="dxa"/>
            <w:noWrap w:val="0"/>
            <w:vAlign w:val="center"/>
          </w:tcPr>
          <w:p w14:paraId="3ED07686">
            <w:pPr>
              <w:pStyle w:val="256"/>
              <w:spacing w:line="300" w:lineRule="exact"/>
              <w:rPr>
                <w:rFonts w:eastAsia="方正仿宋_GBK"/>
                <w:szCs w:val="21"/>
                <w:highlight w:val="none"/>
              </w:rPr>
            </w:pPr>
            <w:r>
              <w:rPr>
                <w:rFonts w:eastAsia="方正仿宋_GBK"/>
                <w:szCs w:val="21"/>
                <w:highlight w:val="none"/>
              </w:rPr>
              <w:t>施工现场应设置不少于三处的重复接地装置。</w:t>
            </w:r>
          </w:p>
        </w:tc>
      </w:tr>
      <w:tr w14:paraId="1B2476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16" w:hRule="atLeast"/>
        </w:trPr>
        <w:tc>
          <w:tcPr>
            <w:tcW w:w="738" w:type="dxa"/>
            <w:vMerge w:val="continue"/>
            <w:noWrap w:val="0"/>
            <w:vAlign w:val="center"/>
          </w:tcPr>
          <w:p w14:paraId="70B387CD">
            <w:pPr>
              <w:pStyle w:val="256"/>
              <w:spacing w:line="300" w:lineRule="exact"/>
              <w:jc w:val="center"/>
              <w:rPr>
                <w:rFonts w:eastAsia="方正仿宋_GBK"/>
                <w:szCs w:val="21"/>
                <w:highlight w:val="none"/>
              </w:rPr>
            </w:pPr>
          </w:p>
        </w:tc>
        <w:tc>
          <w:tcPr>
            <w:tcW w:w="525" w:type="dxa"/>
            <w:vMerge w:val="continue"/>
            <w:noWrap w:val="0"/>
            <w:vAlign w:val="center"/>
          </w:tcPr>
          <w:p w14:paraId="72E71ACB">
            <w:pPr>
              <w:pStyle w:val="256"/>
              <w:spacing w:line="300" w:lineRule="exact"/>
              <w:jc w:val="center"/>
              <w:rPr>
                <w:rFonts w:eastAsia="方正仿宋_GBK"/>
                <w:szCs w:val="21"/>
                <w:highlight w:val="none"/>
              </w:rPr>
            </w:pPr>
          </w:p>
        </w:tc>
        <w:tc>
          <w:tcPr>
            <w:tcW w:w="1545" w:type="dxa"/>
            <w:noWrap w:val="0"/>
            <w:vAlign w:val="center"/>
          </w:tcPr>
          <w:p w14:paraId="437B705E">
            <w:pPr>
              <w:pStyle w:val="256"/>
              <w:spacing w:line="300" w:lineRule="exact"/>
              <w:jc w:val="center"/>
              <w:rPr>
                <w:rFonts w:eastAsia="方正仿宋_GBK"/>
                <w:szCs w:val="21"/>
                <w:highlight w:val="none"/>
              </w:rPr>
            </w:pPr>
            <w:r>
              <w:rPr>
                <w:rFonts w:eastAsia="方正仿宋_GBK"/>
                <w:szCs w:val="21"/>
                <w:highlight w:val="none"/>
              </w:rPr>
              <w:t>现场变配电装置</w:t>
            </w:r>
          </w:p>
        </w:tc>
        <w:tc>
          <w:tcPr>
            <w:tcW w:w="6645" w:type="dxa"/>
            <w:noWrap w:val="0"/>
            <w:vAlign w:val="center"/>
          </w:tcPr>
          <w:p w14:paraId="0D84B815">
            <w:pPr>
              <w:pStyle w:val="256"/>
              <w:spacing w:line="300" w:lineRule="exact"/>
              <w:rPr>
                <w:rFonts w:eastAsia="方正仿宋_GBK"/>
                <w:szCs w:val="21"/>
                <w:highlight w:val="none"/>
              </w:rPr>
            </w:pPr>
            <w:r>
              <w:rPr>
                <w:rFonts w:eastAsia="方正仿宋_GBK"/>
                <w:szCs w:val="21"/>
                <w:highlight w:val="none"/>
              </w:rPr>
              <w:t>总配电房建筑材料必须达到消防防火要求，室内做硬地坪、电缆沟。</w:t>
            </w:r>
          </w:p>
        </w:tc>
      </w:tr>
      <w:tr w14:paraId="0E8302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738" w:type="dxa"/>
            <w:noWrap w:val="0"/>
            <w:vAlign w:val="center"/>
          </w:tcPr>
          <w:p w14:paraId="49B2821B">
            <w:pPr>
              <w:pStyle w:val="256"/>
              <w:spacing w:line="300" w:lineRule="exact"/>
              <w:jc w:val="center"/>
              <w:rPr>
                <w:rFonts w:eastAsia="方正仿宋_GBK"/>
                <w:b/>
                <w:bCs/>
                <w:szCs w:val="21"/>
                <w:highlight w:val="none"/>
              </w:rPr>
            </w:pPr>
            <w:r>
              <w:rPr>
                <w:rFonts w:eastAsia="方正仿宋_GBK"/>
                <w:b/>
                <w:bCs/>
                <w:szCs w:val="21"/>
                <w:highlight w:val="none"/>
              </w:rPr>
              <w:t>类别</w:t>
            </w:r>
          </w:p>
        </w:tc>
        <w:tc>
          <w:tcPr>
            <w:tcW w:w="2070" w:type="dxa"/>
            <w:gridSpan w:val="2"/>
            <w:noWrap w:val="0"/>
            <w:vAlign w:val="center"/>
          </w:tcPr>
          <w:p w14:paraId="17392F5F">
            <w:pPr>
              <w:pStyle w:val="256"/>
              <w:spacing w:line="300" w:lineRule="exact"/>
              <w:jc w:val="center"/>
              <w:rPr>
                <w:rFonts w:eastAsia="方正仿宋_GBK"/>
                <w:b/>
                <w:bCs/>
                <w:szCs w:val="21"/>
                <w:highlight w:val="none"/>
              </w:rPr>
            </w:pPr>
            <w:r>
              <w:rPr>
                <w:rFonts w:eastAsia="方正仿宋_GBK"/>
                <w:b/>
                <w:bCs/>
                <w:szCs w:val="21"/>
                <w:highlight w:val="none"/>
              </w:rPr>
              <w:t>项目名称</w:t>
            </w:r>
          </w:p>
        </w:tc>
        <w:tc>
          <w:tcPr>
            <w:tcW w:w="6645" w:type="dxa"/>
            <w:noWrap w:val="0"/>
            <w:vAlign w:val="center"/>
          </w:tcPr>
          <w:p w14:paraId="46A092F1">
            <w:pPr>
              <w:pStyle w:val="256"/>
              <w:spacing w:line="300" w:lineRule="exact"/>
              <w:jc w:val="center"/>
              <w:rPr>
                <w:rFonts w:eastAsia="方正仿宋_GBK"/>
                <w:b/>
                <w:bCs/>
                <w:szCs w:val="21"/>
                <w:highlight w:val="none"/>
              </w:rPr>
            </w:pPr>
            <w:r>
              <w:rPr>
                <w:rFonts w:eastAsia="方正仿宋_GBK"/>
                <w:b/>
                <w:bCs/>
                <w:szCs w:val="21"/>
                <w:highlight w:val="none"/>
              </w:rPr>
              <w:t>主要内容和要求</w:t>
            </w:r>
          </w:p>
        </w:tc>
      </w:tr>
      <w:tr w14:paraId="6C9EBA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restart"/>
            <w:noWrap w:val="0"/>
            <w:vAlign w:val="center"/>
          </w:tcPr>
          <w:p w14:paraId="5E0EFD1F">
            <w:pPr>
              <w:pStyle w:val="256"/>
              <w:spacing w:line="300" w:lineRule="exact"/>
              <w:jc w:val="center"/>
              <w:rPr>
                <w:rFonts w:eastAsia="方正仿宋_GBK"/>
                <w:szCs w:val="21"/>
                <w:highlight w:val="none"/>
              </w:rPr>
            </w:pPr>
            <w:r>
              <w:rPr>
                <w:rFonts w:eastAsia="方正仿宋_GBK"/>
                <w:szCs w:val="21"/>
                <w:highlight w:val="none"/>
              </w:rPr>
              <w:t>安全施工</w:t>
            </w:r>
          </w:p>
        </w:tc>
        <w:tc>
          <w:tcPr>
            <w:tcW w:w="525" w:type="dxa"/>
            <w:vMerge w:val="restart"/>
            <w:noWrap w:val="0"/>
            <w:vAlign w:val="center"/>
          </w:tcPr>
          <w:p w14:paraId="02290D36">
            <w:pPr>
              <w:pStyle w:val="256"/>
              <w:spacing w:line="300" w:lineRule="exact"/>
              <w:jc w:val="center"/>
              <w:rPr>
                <w:rFonts w:eastAsia="方正仿宋_GBK"/>
                <w:szCs w:val="21"/>
                <w:highlight w:val="none"/>
              </w:rPr>
            </w:pPr>
            <w:r>
              <w:rPr>
                <w:rFonts w:eastAsia="方正仿宋_GBK"/>
                <w:szCs w:val="21"/>
                <w:highlight w:val="none"/>
              </w:rPr>
              <w:t>高处作业防护</w:t>
            </w:r>
          </w:p>
        </w:tc>
        <w:tc>
          <w:tcPr>
            <w:tcW w:w="1545" w:type="dxa"/>
            <w:noWrap w:val="0"/>
            <w:vAlign w:val="center"/>
          </w:tcPr>
          <w:p w14:paraId="0B247EAC">
            <w:pPr>
              <w:pStyle w:val="256"/>
              <w:spacing w:line="300" w:lineRule="exact"/>
              <w:rPr>
                <w:rFonts w:eastAsia="方正仿宋_GBK"/>
                <w:szCs w:val="21"/>
                <w:highlight w:val="none"/>
              </w:rPr>
            </w:pPr>
            <w:r>
              <w:rPr>
                <w:rFonts w:eastAsia="方正仿宋_GBK"/>
                <w:szCs w:val="21"/>
                <w:highlight w:val="none"/>
              </w:rPr>
              <w:t>楼层、屋面、阳台等临边</w:t>
            </w:r>
          </w:p>
        </w:tc>
        <w:tc>
          <w:tcPr>
            <w:tcW w:w="6645" w:type="dxa"/>
            <w:noWrap w:val="0"/>
            <w:vAlign w:val="center"/>
          </w:tcPr>
          <w:p w14:paraId="35065330">
            <w:pPr>
              <w:pStyle w:val="256"/>
              <w:spacing w:line="300" w:lineRule="exact"/>
              <w:rPr>
                <w:rFonts w:eastAsia="方正仿宋_GBK"/>
                <w:szCs w:val="21"/>
                <w:highlight w:val="none"/>
              </w:rPr>
            </w:pPr>
            <w:r>
              <w:rPr>
                <w:rFonts w:eastAsia="方正仿宋_GBK"/>
                <w:szCs w:val="21"/>
                <w:highlight w:val="none"/>
              </w:rPr>
              <w:t>设两道防护栏杆和18cm高的踢脚板，用密目式安全立网全封闭。</w:t>
            </w:r>
          </w:p>
        </w:tc>
      </w:tr>
      <w:tr w14:paraId="0832F8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13B180C4">
            <w:pPr>
              <w:pStyle w:val="256"/>
              <w:spacing w:line="300" w:lineRule="exact"/>
              <w:jc w:val="center"/>
              <w:rPr>
                <w:rFonts w:eastAsia="方正仿宋_GBK"/>
                <w:szCs w:val="21"/>
                <w:highlight w:val="none"/>
              </w:rPr>
            </w:pPr>
          </w:p>
        </w:tc>
        <w:tc>
          <w:tcPr>
            <w:tcW w:w="525" w:type="dxa"/>
            <w:vMerge w:val="continue"/>
            <w:noWrap w:val="0"/>
            <w:vAlign w:val="center"/>
          </w:tcPr>
          <w:p w14:paraId="34046691">
            <w:pPr>
              <w:pStyle w:val="256"/>
              <w:spacing w:line="300" w:lineRule="exact"/>
              <w:jc w:val="center"/>
              <w:rPr>
                <w:rFonts w:eastAsia="方正仿宋_GBK"/>
                <w:szCs w:val="21"/>
                <w:highlight w:val="none"/>
              </w:rPr>
            </w:pPr>
          </w:p>
        </w:tc>
        <w:tc>
          <w:tcPr>
            <w:tcW w:w="1545" w:type="dxa"/>
            <w:noWrap w:val="0"/>
            <w:vAlign w:val="center"/>
          </w:tcPr>
          <w:p w14:paraId="6AE4A270">
            <w:pPr>
              <w:pStyle w:val="256"/>
              <w:spacing w:line="300" w:lineRule="exact"/>
              <w:rPr>
                <w:rFonts w:eastAsia="方正仿宋_GBK"/>
                <w:szCs w:val="21"/>
                <w:highlight w:val="none"/>
              </w:rPr>
            </w:pPr>
            <w:r>
              <w:rPr>
                <w:rFonts w:eastAsia="方正仿宋_GBK"/>
                <w:szCs w:val="21"/>
                <w:highlight w:val="none"/>
              </w:rPr>
              <w:t>通道口</w:t>
            </w:r>
          </w:p>
        </w:tc>
        <w:tc>
          <w:tcPr>
            <w:tcW w:w="6645" w:type="dxa"/>
            <w:noWrap w:val="0"/>
            <w:vAlign w:val="center"/>
          </w:tcPr>
          <w:p w14:paraId="4D9D32F1">
            <w:pPr>
              <w:pStyle w:val="256"/>
              <w:spacing w:line="300" w:lineRule="exact"/>
              <w:rPr>
                <w:rFonts w:eastAsia="方正仿宋_GBK"/>
                <w:szCs w:val="21"/>
                <w:highlight w:val="none"/>
              </w:rPr>
            </w:pPr>
            <w:r>
              <w:rPr>
                <w:rFonts w:eastAsia="方正仿宋_GBK"/>
                <w:szCs w:val="21"/>
                <w:highlight w:val="none"/>
              </w:rPr>
              <w:t>设防护棚，防护棚应为不小于5cm厚的木板或两道相距50cm的竹笆。两侧应沿栏杆架用密目式安全网封闭。</w:t>
            </w:r>
          </w:p>
        </w:tc>
      </w:tr>
      <w:tr w14:paraId="388507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0022C269">
            <w:pPr>
              <w:pStyle w:val="256"/>
              <w:spacing w:line="300" w:lineRule="exact"/>
              <w:jc w:val="center"/>
              <w:rPr>
                <w:rFonts w:eastAsia="方正仿宋_GBK"/>
                <w:szCs w:val="21"/>
                <w:highlight w:val="none"/>
              </w:rPr>
            </w:pPr>
          </w:p>
        </w:tc>
        <w:tc>
          <w:tcPr>
            <w:tcW w:w="525" w:type="dxa"/>
            <w:vMerge w:val="continue"/>
            <w:noWrap w:val="0"/>
            <w:vAlign w:val="center"/>
          </w:tcPr>
          <w:p w14:paraId="1FBB2432">
            <w:pPr>
              <w:pStyle w:val="256"/>
              <w:spacing w:line="300" w:lineRule="exact"/>
              <w:jc w:val="center"/>
              <w:rPr>
                <w:rFonts w:eastAsia="方正仿宋_GBK"/>
                <w:szCs w:val="21"/>
                <w:highlight w:val="none"/>
              </w:rPr>
            </w:pPr>
          </w:p>
        </w:tc>
        <w:tc>
          <w:tcPr>
            <w:tcW w:w="1545" w:type="dxa"/>
            <w:noWrap w:val="0"/>
            <w:vAlign w:val="center"/>
          </w:tcPr>
          <w:p w14:paraId="33C8616D">
            <w:pPr>
              <w:pStyle w:val="256"/>
              <w:spacing w:line="300" w:lineRule="exact"/>
              <w:rPr>
                <w:rFonts w:eastAsia="方正仿宋_GBK"/>
                <w:szCs w:val="21"/>
                <w:highlight w:val="none"/>
              </w:rPr>
            </w:pPr>
            <w:r>
              <w:rPr>
                <w:rFonts w:eastAsia="方正仿宋_GBK"/>
                <w:szCs w:val="21"/>
                <w:highlight w:val="none"/>
              </w:rPr>
              <w:t>预留洞口</w:t>
            </w:r>
          </w:p>
        </w:tc>
        <w:tc>
          <w:tcPr>
            <w:tcW w:w="6645" w:type="dxa"/>
            <w:noWrap w:val="0"/>
            <w:vAlign w:val="center"/>
          </w:tcPr>
          <w:p w14:paraId="1576990F">
            <w:pPr>
              <w:pStyle w:val="256"/>
              <w:spacing w:line="300" w:lineRule="exact"/>
              <w:rPr>
                <w:rFonts w:eastAsia="方正仿宋_GBK"/>
                <w:szCs w:val="21"/>
                <w:highlight w:val="none"/>
              </w:rPr>
            </w:pPr>
            <w:r>
              <w:rPr>
                <w:rFonts w:eastAsia="方正仿宋_GBK"/>
                <w:szCs w:val="21"/>
                <w:highlight w:val="none"/>
              </w:rPr>
              <w:t>用硬质材料全封闭，短边超过1.5m长的洞口，除封闭外四周还应设有防护栏杆。</w:t>
            </w:r>
          </w:p>
        </w:tc>
      </w:tr>
      <w:tr w14:paraId="460DFE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05" w:hRule="atLeast"/>
        </w:trPr>
        <w:tc>
          <w:tcPr>
            <w:tcW w:w="738" w:type="dxa"/>
            <w:vMerge w:val="continue"/>
            <w:noWrap w:val="0"/>
            <w:vAlign w:val="center"/>
          </w:tcPr>
          <w:p w14:paraId="2342C059">
            <w:pPr>
              <w:pStyle w:val="256"/>
              <w:spacing w:line="300" w:lineRule="exact"/>
              <w:jc w:val="center"/>
              <w:rPr>
                <w:rFonts w:eastAsia="方正仿宋_GBK"/>
                <w:szCs w:val="21"/>
                <w:highlight w:val="none"/>
              </w:rPr>
            </w:pPr>
          </w:p>
        </w:tc>
        <w:tc>
          <w:tcPr>
            <w:tcW w:w="525" w:type="dxa"/>
            <w:vMerge w:val="continue"/>
            <w:noWrap w:val="0"/>
            <w:vAlign w:val="center"/>
          </w:tcPr>
          <w:p w14:paraId="24621532">
            <w:pPr>
              <w:pStyle w:val="256"/>
              <w:spacing w:line="300" w:lineRule="exact"/>
              <w:jc w:val="center"/>
              <w:rPr>
                <w:rFonts w:eastAsia="方正仿宋_GBK"/>
                <w:szCs w:val="21"/>
                <w:highlight w:val="none"/>
              </w:rPr>
            </w:pPr>
          </w:p>
        </w:tc>
        <w:tc>
          <w:tcPr>
            <w:tcW w:w="1545" w:type="dxa"/>
            <w:noWrap w:val="0"/>
            <w:vAlign w:val="center"/>
          </w:tcPr>
          <w:p w14:paraId="6D93634E">
            <w:pPr>
              <w:pStyle w:val="256"/>
              <w:spacing w:line="300" w:lineRule="exact"/>
              <w:rPr>
                <w:rFonts w:eastAsia="方正仿宋_GBK"/>
                <w:szCs w:val="21"/>
                <w:highlight w:val="none"/>
              </w:rPr>
            </w:pPr>
            <w:r>
              <w:rPr>
                <w:rFonts w:eastAsia="方正仿宋_GBK"/>
                <w:szCs w:val="21"/>
                <w:highlight w:val="none"/>
              </w:rPr>
              <w:t>电梯井口</w:t>
            </w:r>
          </w:p>
        </w:tc>
        <w:tc>
          <w:tcPr>
            <w:tcW w:w="6645" w:type="dxa"/>
            <w:noWrap w:val="0"/>
            <w:vAlign w:val="center"/>
          </w:tcPr>
          <w:p w14:paraId="6EF1973C">
            <w:pPr>
              <w:pStyle w:val="256"/>
              <w:spacing w:line="300" w:lineRule="exact"/>
              <w:rPr>
                <w:rFonts w:eastAsia="方正仿宋_GBK"/>
                <w:szCs w:val="21"/>
                <w:highlight w:val="none"/>
              </w:rPr>
            </w:pPr>
            <w:r>
              <w:rPr>
                <w:rFonts w:eastAsia="方正仿宋_GBK"/>
                <w:szCs w:val="21"/>
                <w:highlight w:val="none"/>
              </w:rPr>
              <w:t>设置定型化、工具化的防护门，在电梯井内每隔2层（不大于10m）设置一道水平防护。</w:t>
            </w:r>
          </w:p>
        </w:tc>
      </w:tr>
      <w:tr w14:paraId="2DB0FE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7077071">
            <w:pPr>
              <w:pStyle w:val="256"/>
              <w:spacing w:line="300" w:lineRule="exact"/>
              <w:jc w:val="center"/>
              <w:rPr>
                <w:rFonts w:eastAsia="方正仿宋_GBK"/>
                <w:szCs w:val="21"/>
                <w:highlight w:val="none"/>
              </w:rPr>
            </w:pPr>
          </w:p>
        </w:tc>
        <w:tc>
          <w:tcPr>
            <w:tcW w:w="525" w:type="dxa"/>
            <w:vMerge w:val="continue"/>
            <w:noWrap w:val="0"/>
            <w:vAlign w:val="center"/>
          </w:tcPr>
          <w:p w14:paraId="73D7DF69">
            <w:pPr>
              <w:pStyle w:val="256"/>
              <w:spacing w:line="300" w:lineRule="exact"/>
              <w:jc w:val="center"/>
              <w:rPr>
                <w:rFonts w:eastAsia="方正仿宋_GBK"/>
                <w:szCs w:val="21"/>
                <w:highlight w:val="none"/>
              </w:rPr>
            </w:pPr>
          </w:p>
        </w:tc>
        <w:tc>
          <w:tcPr>
            <w:tcW w:w="1545" w:type="dxa"/>
            <w:noWrap w:val="0"/>
            <w:vAlign w:val="center"/>
          </w:tcPr>
          <w:p w14:paraId="1D087C39">
            <w:pPr>
              <w:pStyle w:val="256"/>
              <w:spacing w:line="300" w:lineRule="exact"/>
              <w:rPr>
                <w:rFonts w:eastAsia="方正仿宋_GBK"/>
                <w:szCs w:val="21"/>
                <w:highlight w:val="none"/>
              </w:rPr>
            </w:pPr>
            <w:r>
              <w:rPr>
                <w:rFonts w:eastAsia="方正仿宋_GBK"/>
                <w:szCs w:val="21"/>
                <w:highlight w:val="none"/>
              </w:rPr>
              <w:t>楼梯边</w:t>
            </w:r>
          </w:p>
        </w:tc>
        <w:tc>
          <w:tcPr>
            <w:tcW w:w="6645" w:type="dxa"/>
            <w:noWrap w:val="0"/>
            <w:vAlign w:val="center"/>
          </w:tcPr>
          <w:p w14:paraId="59FB6A7B">
            <w:pPr>
              <w:pStyle w:val="256"/>
              <w:spacing w:line="300" w:lineRule="exact"/>
              <w:rPr>
                <w:rFonts w:eastAsia="方正仿宋_GBK"/>
                <w:szCs w:val="21"/>
                <w:highlight w:val="none"/>
              </w:rPr>
            </w:pPr>
            <w:r>
              <w:rPr>
                <w:rFonts w:eastAsia="方正仿宋_GBK"/>
                <w:szCs w:val="21"/>
                <w:highlight w:val="none"/>
              </w:rPr>
              <w:t>设1.2m高的定型化、工具化的防护栏，18cm高的踢脚板。</w:t>
            </w:r>
          </w:p>
        </w:tc>
      </w:tr>
      <w:tr w14:paraId="62BA45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8CB2A20">
            <w:pPr>
              <w:pStyle w:val="256"/>
              <w:spacing w:line="300" w:lineRule="exact"/>
              <w:jc w:val="center"/>
              <w:rPr>
                <w:rFonts w:eastAsia="方正仿宋_GBK"/>
                <w:szCs w:val="21"/>
                <w:highlight w:val="none"/>
              </w:rPr>
            </w:pPr>
          </w:p>
        </w:tc>
        <w:tc>
          <w:tcPr>
            <w:tcW w:w="525" w:type="dxa"/>
            <w:vMerge w:val="continue"/>
            <w:noWrap w:val="0"/>
            <w:vAlign w:val="center"/>
          </w:tcPr>
          <w:p w14:paraId="564586F9">
            <w:pPr>
              <w:pStyle w:val="256"/>
              <w:spacing w:line="300" w:lineRule="exact"/>
              <w:jc w:val="center"/>
              <w:rPr>
                <w:rFonts w:eastAsia="方正仿宋_GBK"/>
                <w:szCs w:val="21"/>
                <w:highlight w:val="none"/>
              </w:rPr>
            </w:pPr>
          </w:p>
        </w:tc>
        <w:tc>
          <w:tcPr>
            <w:tcW w:w="1545" w:type="dxa"/>
            <w:noWrap w:val="0"/>
            <w:vAlign w:val="center"/>
          </w:tcPr>
          <w:p w14:paraId="0746C19D">
            <w:pPr>
              <w:pStyle w:val="256"/>
              <w:spacing w:line="300" w:lineRule="exact"/>
              <w:rPr>
                <w:rFonts w:eastAsia="方正仿宋_GBK"/>
                <w:szCs w:val="21"/>
                <w:highlight w:val="none"/>
              </w:rPr>
            </w:pPr>
            <w:r>
              <w:rPr>
                <w:rFonts w:eastAsia="方正仿宋_GBK"/>
                <w:szCs w:val="21"/>
                <w:highlight w:val="none"/>
              </w:rPr>
              <w:t>垂直方向交叉作业</w:t>
            </w:r>
          </w:p>
        </w:tc>
        <w:tc>
          <w:tcPr>
            <w:tcW w:w="6645" w:type="dxa"/>
            <w:noWrap w:val="0"/>
            <w:vAlign w:val="center"/>
          </w:tcPr>
          <w:p w14:paraId="10C274A5">
            <w:pPr>
              <w:pStyle w:val="256"/>
              <w:spacing w:line="300" w:lineRule="exact"/>
              <w:rPr>
                <w:rFonts w:eastAsia="方正仿宋_GBK"/>
                <w:szCs w:val="21"/>
                <w:highlight w:val="none"/>
              </w:rPr>
            </w:pPr>
            <w:r>
              <w:rPr>
                <w:rFonts w:eastAsia="方正仿宋_GBK"/>
                <w:szCs w:val="21"/>
                <w:highlight w:val="none"/>
              </w:rPr>
              <w:t>设置防护隔离棚或其它设施。</w:t>
            </w:r>
          </w:p>
        </w:tc>
      </w:tr>
      <w:tr w14:paraId="58FB47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A600E8B">
            <w:pPr>
              <w:pStyle w:val="256"/>
              <w:spacing w:line="300" w:lineRule="exact"/>
              <w:jc w:val="center"/>
              <w:rPr>
                <w:rFonts w:eastAsia="方正仿宋_GBK"/>
                <w:szCs w:val="21"/>
                <w:highlight w:val="none"/>
              </w:rPr>
            </w:pPr>
          </w:p>
        </w:tc>
        <w:tc>
          <w:tcPr>
            <w:tcW w:w="525" w:type="dxa"/>
            <w:vMerge w:val="continue"/>
            <w:noWrap w:val="0"/>
            <w:vAlign w:val="center"/>
          </w:tcPr>
          <w:p w14:paraId="789F1142">
            <w:pPr>
              <w:pStyle w:val="256"/>
              <w:spacing w:line="300" w:lineRule="exact"/>
              <w:jc w:val="center"/>
              <w:rPr>
                <w:rFonts w:eastAsia="方正仿宋_GBK"/>
                <w:szCs w:val="21"/>
                <w:highlight w:val="none"/>
              </w:rPr>
            </w:pPr>
          </w:p>
        </w:tc>
        <w:tc>
          <w:tcPr>
            <w:tcW w:w="1545" w:type="dxa"/>
            <w:noWrap w:val="0"/>
            <w:vAlign w:val="center"/>
          </w:tcPr>
          <w:p w14:paraId="49260881">
            <w:pPr>
              <w:pStyle w:val="256"/>
              <w:spacing w:line="300" w:lineRule="exact"/>
              <w:rPr>
                <w:rFonts w:eastAsia="方正仿宋_GBK"/>
                <w:szCs w:val="21"/>
                <w:highlight w:val="none"/>
              </w:rPr>
            </w:pPr>
            <w:r>
              <w:rPr>
                <w:rFonts w:eastAsia="方正仿宋_GBK"/>
                <w:szCs w:val="21"/>
                <w:highlight w:val="none"/>
              </w:rPr>
              <w:t>高处作业</w:t>
            </w:r>
          </w:p>
        </w:tc>
        <w:tc>
          <w:tcPr>
            <w:tcW w:w="6645" w:type="dxa"/>
            <w:noWrap w:val="0"/>
            <w:vAlign w:val="center"/>
          </w:tcPr>
          <w:p w14:paraId="1864FC82">
            <w:pPr>
              <w:pStyle w:val="256"/>
              <w:spacing w:line="300" w:lineRule="exact"/>
              <w:rPr>
                <w:rFonts w:eastAsia="方正仿宋_GBK"/>
                <w:szCs w:val="21"/>
                <w:highlight w:val="none"/>
              </w:rPr>
            </w:pPr>
            <w:r>
              <w:rPr>
                <w:rFonts w:eastAsia="方正仿宋_GBK"/>
                <w:szCs w:val="21"/>
                <w:highlight w:val="none"/>
              </w:rPr>
              <w:t>有悬挂安全带的悬索或其它设施，有操作平台，有上下的梯子或其它形式的通道。</w:t>
            </w:r>
          </w:p>
        </w:tc>
      </w:tr>
      <w:tr w14:paraId="41DD31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947B05E">
            <w:pPr>
              <w:pStyle w:val="256"/>
              <w:spacing w:line="300" w:lineRule="exact"/>
              <w:jc w:val="center"/>
              <w:rPr>
                <w:rFonts w:eastAsia="方正仿宋_GBK"/>
                <w:szCs w:val="21"/>
                <w:highlight w:val="none"/>
              </w:rPr>
            </w:pPr>
          </w:p>
        </w:tc>
        <w:tc>
          <w:tcPr>
            <w:tcW w:w="525" w:type="dxa"/>
            <w:vMerge w:val="continue"/>
            <w:noWrap w:val="0"/>
            <w:vAlign w:val="center"/>
          </w:tcPr>
          <w:p w14:paraId="04307811">
            <w:pPr>
              <w:pStyle w:val="256"/>
              <w:spacing w:line="300" w:lineRule="exact"/>
              <w:jc w:val="center"/>
              <w:rPr>
                <w:rFonts w:eastAsia="方正仿宋_GBK"/>
                <w:szCs w:val="21"/>
                <w:highlight w:val="none"/>
              </w:rPr>
            </w:pPr>
          </w:p>
        </w:tc>
        <w:tc>
          <w:tcPr>
            <w:tcW w:w="1545" w:type="dxa"/>
            <w:noWrap w:val="0"/>
            <w:vAlign w:val="center"/>
          </w:tcPr>
          <w:p w14:paraId="4E239797">
            <w:pPr>
              <w:pStyle w:val="256"/>
              <w:spacing w:line="300" w:lineRule="exact"/>
              <w:rPr>
                <w:rFonts w:eastAsia="方正仿宋_GBK"/>
                <w:szCs w:val="21"/>
                <w:highlight w:val="none"/>
              </w:rPr>
            </w:pPr>
            <w:r>
              <w:rPr>
                <w:rFonts w:eastAsia="方正仿宋_GBK"/>
                <w:szCs w:val="21"/>
                <w:highlight w:val="none"/>
              </w:rPr>
              <w:t>基坑、物料平台</w:t>
            </w:r>
          </w:p>
        </w:tc>
        <w:tc>
          <w:tcPr>
            <w:tcW w:w="6645" w:type="dxa"/>
            <w:noWrap w:val="0"/>
            <w:vAlign w:val="center"/>
          </w:tcPr>
          <w:p w14:paraId="01C9F316">
            <w:pPr>
              <w:pStyle w:val="256"/>
              <w:spacing w:line="300" w:lineRule="exact"/>
              <w:rPr>
                <w:rFonts w:eastAsia="方正仿宋_GBK"/>
                <w:szCs w:val="21"/>
                <w:highlight w:val="none"/>
              </w:rPr>
            </w:pPr>
            <w:r>
              <w:rPr>
                <w:rFonts w:eastAsia="方正仿宋_GBK"/>
                <w:szCs w:val="21"/>
                <w:highlight w:val="none"/>
              </w:rPr>
              <w:t>设1.2m高标准化的防护栏，用密目式安全立网封闭，悬挂标识。</w:t>
            </w:r>
          </w:p>
        </w:tc>
      </w:tr>
      <w:tr w14:paraId="07ABE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5311698E">
            <w:pPr>
              <w:pStyle w:val="256"/>
              <w:spacing w:line="300" w:lineRule="exact"/>
              <w:jc w:val="center"/>
              <w:rPr>
                <w:rFonts w:eastAsia="方正仿宋_GBK"/>
                <w:szCs w:val="21"/>
                <w:highlight w:val="none"/>
              </w:rPr>
            </w:pPr>
          </w:p>
        </w:tc>
        <w:tc>
          <w:tcPr>
            <w:tcW w:w="2070" w:type="dxa"/>
            <w:gridSpan w:val="2"/>
            <w:noWrap w:val="0"/>
            <w:vAlign w:val="center"/>
          </w:tcPr>
          <w:p w14:paraId="530371A3">
            <w:pPr>
              <w:pStyle w:val="256"/>
              <w:spacing w:line="300" w:lineRule="exact"/>
              <w:jc w:val="center"/>
              <w:rPr>
                <w:rFonts w:eastAsia="方正仿宋_GBK"/>
                <w:szCs w:val="21"/>
                <w:highlight w:val="none"/>
              </w:rPr>
            </w:pPr>
            <w:r>
              <w:rPr>
                <w:rFonts w:eastAsia="方正仿宋_GBK"/>
                <w:szCs w:val="21"/>
                <w:highlight w:val="none"/>
              </w:rPr>
              <w:t>安全防护用品</w:t>
            </w:r>
          </w:p>
        </w:tc>
        <w:tc>
          <w:tcPr>
            <w:tcW w:w="6645" w:type="dxa"/>
            <w:noWrap w:val="0"/>
            <w:vAlign w:val="center"/>
          </w:tcPr>
          <w:p w14:paraId="30A60CBD">
            <w:pPr>
              <w:pStyle w:val="256"/>
              <w:spacing w:line="300" w:lineRule="exact"/>
              <w:rPr>
                <w:rFonts w:eastAsia="方正仿宋_GBK"/>
                <w:szCs w:val="21"/>
                <w:highlight w:val="none"/>
              </w:rPr>
            </w:pPr>
            <w:r>
              <w:rPr>
                <w:rFonts w:eastAsia="方正仿宋_GBK"/>
                <w:szCs w:val="21"/>
                <w:highlight w:val="none"/>
              </w:rPr>
              <w:t>安全帽、安全带、特种作业人员（电工、焊工、架子工等）防护服装、用品等。</w:t>
            </w:r>
          </w:p>
        </w:tc>
      </w:tr>
      <w:tr w14:paraId="3CFCD4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738" w:type="dxa"/>
            <w:vMerge w:val="restart"/>
            <w:noWrap w:val="0"/>
            <w:vAlign w:val="center"/>
          </w:tcPr>
          <w:p w14:paraId="24BF7945">
            <w:pPr>
              <w:pStyle w:val="256"/>
              <w:spacing w:line="300" w:lineRule="exact"/>
              <w:jc w:val="center"/>
              <w:rPr>
                <w:rFonts w:eastAsia="方正仿宋_GBK"/>
                <w:szCs w:val="21"/>
                <w:highlight w:val="none"/>
              </w:rPr>
            </w:pPr>
            <w:r>
              <w:rPr>
                <w:rFonts w:eastAsia="方正仿宋_GBK"/>
                <w:szCs w:val="21"/>
                <w:highlight w:val="none"/>
              </w:rPr>
              <w:t>其它</w:t>
            </w:r>
          </w:p>
        </w:tc>
        <w:tc>
          <w:tcPr>
            <w:tcW w:w="525" w:type="dxa"/>
            <w:vMerge w:val="restart"/>
            <w:noWrap w:val="0"/>
            <w:vAlign w:val="center"/>
          </w:tcPr>
          <w:p w14:paraId="6FB01FF2">
            <w:pPr>
              <w:pStyle w:val="256"/>
              <w:spacing w:line="300" w:lineRule="exact"/>
              <w:jc w:val="center"/>
              <w:rPr>
                <w:rFonts w:eastAsia="方正仿宋_GBK"/>
                <w:szCs w:val="21"/>
                <w:highlight w:val="none"/>
              </w:rPr>
            </w:pPr>
            <w:r>
              <w:rPr>
                <w:rFonts w:eastAsia="方正仿宋_GBK"/>
                <w:szCs w:val="21"/>
                <w:highlight w:val="none"/>
              </w:rPr>
              <w:t>机械设备防护</w:t>
            </w:r>
          </w:p>
        </w:tc>
        <w:tc>
          <w:tcPr>
            <w:tcW w:w="1545" w:type="dxa"/>
            <w:noWrap w:val="0"/>
            <w:vAlign w:val="center"/>
          </w:tcPr>
          <w:p w14:paraId="09C818DF">
            <w:pPr>
              <w:pStyle w:val="256"/>
              <w:spacing w:line="300" w:lineRule="exact"/>
              <w:jc w:val="center"/>
              <w:rPr>
                <w:rFonts w:eastAsia="方正仿宋_GBK"/>
                <w:szCs w:val="21"/>
                <w:highlight w:val="none"/>
              </w:rPr>
            </w:pPr>
            <w:r>
              <w:rPr>
                <w:rFonts w:eastAsia="方正仿宋_GBK"/>
                <w:szCs w:val="21"/>
                <w:highlight w:val="none"/>
              </w:rPr>
              <w:t>中小型机械</w:t>
            </w:r>
          </w:p>
        </w:tc>
        <w:tc>
          <w:tcPr>
            <w:tcW w:w="6645" w:type="dxa"/>
            <w:noWrap w:val="0"/>
            <w:vAlign w:val="center"/>
          </w:tcPr>
          <w:p w14:paraId="0A7A78CD">
            <w:pPr>
              <w:pStyle w:val="256"/>
              <w:spacing w:line="300" w:lineRule="exact"/>
              <w:rPr>
                <w:rFonts w:eastAsia="方正仿宋_GBK"/>
                <w:szCs w:val="21"/>
                <w:highlight w:val="none"/>
              </w:rPr>
            </w:pPr>
            <w:r>
              <w:rPr>
                <w:rFonts w:eastAsia="方正仿宋_GBK"/>
                <w:szCs w:val="21"/>
                <w:highlight w:val="none"/>
              </w:rPr>
              <w:t>设防护棚（同通道口防护并有防雨措施）。</w:t>
            </w:r>
          </w:p>
        </w:tc>
      </w:tr>
      <w:tr w14:paraId="0D870B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77C26DF6">
            <w:pPr>
              <w:pStyle w:val="256"/>
              <w:spacing w:line="300" w:lineRule="exact"/>
              <w:jc w:val="center"/>
              <w:rPr>
                <w:rFonts w:eastAsia="方正仿宋_GBK"/>
                <w:szCs w:val="21"/>
                <w:highlight w:val="none"/>
              </w:rPr>
            </w:pPr>
          </w:p>
        </w:tc>
        <w:tc>
          <w:tcPr>
            <w:tcW w:w="525" w:type="dxa"/>
            <w:vMerge w:val="continue"/>
            <w:noWrap w:val="0"/>
            <w:vAlign w:val="center"/>
          </w:tcPr>
          <w:p w14:paraId="3EED8848">
            <w:pPr>
              <w:pStyle w:val="256"/>
              <w:spacing w:line="300" w:lineRule="exact"/>
              <w:jc w:val="center"/>
              <w:rPr>
                <w:rFonts w:eastAsia="方正仿宋_GBK"/>
                <w:szCs w:val="21"/>
                <w:highlight w:val="none"/>
              </w:rPr>
            </w:pPr>
          </w:p>
        </w:tc>
        <w:tc>
          <w:tcPr>
            <w:tcW w:w="1545" w:type="dxa"/>
            <w:noWrap w:val="0"/>
            <w:vAlign w:val="center"/>
          </w:tcPr>
          <w:p w14:paraId="6DD7F8F8">
            <w:pPr>
              <w:pStyle w:val="256"/>
              <w:spacing w:line="300" w:lineRule="exact"/>
              <w:jc w:val="center"/>
              <w:rPr>
                <w:rFonts w:eastAsia="方正仿宋_GBK"/>
                <w:szCs w:val="21"/>
                <w:highlight w:val="none"/>
              </w:rPr>
            </w:pPr>
            <w:r>
              <w:rPr>
                <w:rFonts w:eastAsia="方正仿宋_GBK"/>
                <w:szCs w:val="21"/>
                <w:highlight w:val="none"/>
              </w:rPr>
              <w:t>垂直运输设备</w:t>
            </w:r>
          </w:p>
        </w:tc>
        <w:tc>
          <w:tcPr>
            <w:tcW w:w="6645" w:type="dxa"/>
            <w:noWrap w:val="0"/>
            <w:vAlign w:val="center"/>
          </w:tcPr>
          <w:p w14:paraId="60C6F8A0">
            <w:pPr>
              <w:pStyle w:val="256"/>
              <w:spacing w:line="300" w:lineRule="exact"/>
              <w:rPr>
                <w:rFonts w:eastAsia="方正仿宋_GBK"/>
                <w:szCs w:val="21"/>
                <w:highlight w:val="none"/>
              </w:rPr>
            </w:pPr>
            <w:r>
              <w:rPr>
                <w:rFonts w:eastAsia="方正仿宋_GBK"/>
                <w:szCs w:val="21"/>
                <w:highlight w:val="none"/>
              </w:rPr>
              <w:t>1. 垂直运输设备检测、检验、日常维护、保养等。</w:t>
            </w:r>
          </w:p>
          <w:p w14:paraId="56FC2C92">
            <w:pPr>
              <w:pStyle w:val="256"/>
              <w:spacing w:line="300" w:lineRule="exact"/>
              <w:rPr>
                <w:rFonts w:eastAsia="方正仿宋_GBK"/>
                <w:szCs w:val="21"/>
                <w:highlight w:val="none"/>
              </w:rPr>
            </w:pPr>
            <w:r>
              <w:rPr>
                <w:rFonts w:eastAsia="方正仿宋_GBK"/>
                <w:szCs w:val="21"/>
                <w:highlight w:val="none"/>
              </w:rPr>
              <w:t>2. 物料提升机、施工电梯等物料平台搭设、外侧用密目式安全立网全封闭，有安全通道、安全防护门、防护棚等。</w:t>
            </w:r>
          </w:p>
        </w:tc>
      </w:tr>
      <w:tr w14:paraId="13BD9B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678A56C6">
            <w:pPr>
              <w:pStyle w:val="256"/>
              <w:spacing w:line="300" w:lineRule="exact"/>
              <w:jc w:val="center"/>
              <w:rPr>
                <w:rFonts w:eastAsia="方正仿宋_GBK"/>
                <w:szCs w:val="21"/>
                <w:highlight w:val="none"/>
              </w:rPr>
            </w:pPr>
          </w:p>
        </w:tc>
        <w:tc>
          <w:tcPr>
            <w:tcW w:w="2070" w:type="dxa"/>
            <w:gridSpan w:val="2"/>
            <w:noWrap w:val="0"/>
            <w:vAlign w:val="center"/>
          </w:tcPr>
          <w:p w14:paraId="712A132B">
            <w:pPr>
              <w:pStyle w:val="256"/>
              <w:spacing w:line="300" w:lineRule="exact"/>
              <w:jc w:val="center"/>
              <w:rPr>
                <w:rFonts w:eastAsia="方正仿宋_GBK"/>
                <w:szCs w:val="21"/>
                <w:highlight w:val="none"/>
              </w:rPr>
            </w:pPr>
            <w:r>
              <w:rPr>
                <w:rFonts w:eastAsia="方正仿宋_GBK"/>
                <w:szCs w:val="21"/>
                <w:highlight w:val="none"/>
              </w:rPr>
              <w:t>专家论证审查</w:t>
            </w:r>
          </w:p>
        </w:tc>
        <w:tc>
          <w:tcPr>
            <w:tcW w:w="6645" w:type="dxa"/>
            <w:noWrap w:val="0"/>
            <w:vAlign w:val="center"/>
          </w:tcPr>
          <w:p w14:paraId="29DCD4D3">
            <w:pPr>
              <w:pStyle w:val="256"/>
              <w:spacing w:line="300" w:lineRule="exact"/>
              <w:rPr>
                <w:rFonts w:eastAsia="方正仿宋_GBK"/>
                <w:szCs w:val="21"/>
                <w:highlight w:val="none"/>
              </w:rPr>
            </w:pPr>
            <w:r>
              <w:rPr>
                <w:rFonts w:eastAsia="方正仿宋_GBK"/>
                <w:szCs w:val="21"/>
                <w:highlight w:val="none"/>
              </w:rPr>
              <w:t>超过一定规模的危险性较大分部分项工程专家论证审查。</w:t>
            </w:r>
          </w:p>
        </w:tc>
      </w:tr>
      <w:tr w14:paraId="08C8AE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0" w:hRule="exact"/>
        </w:trPr>
        <w:tc>
          <w:tcPr>
            <w:tcW w:w="738" w:type="dxa"/>
            <w:vMerge w:val="continue"/>
            <w:noWrap w:val="0"/>
            <w:vAlign w:val="center"/>
          </w:tcPr>
          <w:p w14:paraId="4112A127">
            <w:pPr>
              <w:pStyle w:val="256"/>
              <w:spacing w:line="300" w:lineRule="exact"/>
              <w:jc w:val="center"/>
              <w:rPr>
                <w:rFonts w:eastAsia="方正仿宋_GBK"/>
                <w:szCs w:val="21"/>
                <w:highlight w:val="none"/>
              </w:rPr>
            </w:pPr>
          </w:p>
        </w:tc>
        <w:tc>
          <w:tcPr>
            <w:tcW w:w="2070" w:type="dxa"/>
            <w:gridSpan w:val="2"/>
            <w:noWrap w:val="0"/>
            <w:vAlign w:val="center"/>
          </w:tcPr>
          <w:p w14:paraId="69A10DDD">
            <w:pPr>
              <w:pStyle w:val="256"/>
              <w:spacing w:line="300" w:lineRule="exact"/>
              <w:jc w:val="center"/>
              <w:rPr>
                <w:rFonts w:eastAsia="方正仿宋_GBK"/>
                <w:szCs w:val="21"/>
                <w:highlight w:val="none"/>
              </w:rPr>
            </w:pPr>
            <w:r>
              <w:rPr>
                <w:rFonts w:eastAsia="方正仿宋_GBK"/>
                <w:szCs w:val="21"/>
                <w:highlight w:val="none"/>
              </w:rPr>
              <w:t>应急救援预案</w:t>
            </w:r>
          </w:p>
        </w:tc>
        <w:tc>
          <w:tcPr>
            <w:tcW w:w="6645" w:type="dxa"/>
            <w:noWrap w:val="0"/>
            <w:vAlign w:val="center"/>
          </w:tcPr>
          <w:p w14:paraId="74A90AF6">
            <w:pPr>
              <w:pStyle w:val="256"/>
              <w:spacing w:line="300" w:lineRule="exact"/>
              <w:rPr>
                <w:rFonts w:eastAsia="方正仿宋_GBK"/>
                <w:szCs w:val="21"/>
                <w:highlight w:val="none"/>
              </w:rPr>
            </w:pPr>
            <w:r>
              <w:rPr>
                <w:rFonts w:eastAsia="方正仿宋_GBK"/>
                <w:szCs w:val="21"/>
                <w:highlight w:val="none"/>
              </w:rPr>
              <w:t>救援器材准备及演练等。</w:t>
            </w:r>
          </w:p>
        </w:tc>
      </w:tr>
      <w:tr w14:paraId="381773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Pr>
        <w:tc>
          <w:tcPr>
            <w:tcW w:w="738" w:type="dxa"/>
            <w:vMerge w:val="continue"/>
            <w:noWrap w:val="0"/>
            <w:vAlign w:val="center"/>
          </w:tcPr>
          <w:p w14:paraId="6F83B025">
            <w:pPr>
              <w:pStyle w:val="256"/>
              <w:spacing w:line="300" w:lineRule="exact"/>
              <w:jc w:val="center"/>
              <w:rPr>
                <w:rFonts w:eastAsia="方正仿宋_GBK"/>
                <w:szCs w:val="21"/>
                <w:highlight w:val="none"/>
              </w:rPr>
            </w:pPr>
          </w:p>
        </w:tc>
        <w:tc>
          <w:tcPr>
            <w:tcW w:w="2070" w:type="dxa"/>
            <w:gridSpan w:val="2"/>
            <w:noWrap w:val="0"/>
            <w:vAlign w:val="center"/>
          </w:tcPr>
          <w:p w14:paraId="62134DD3">
            <w:pPr>
              <w:pStyle w:val="256"/>
              <w:spacing w:line="300" w:lineRule="exact"/>
              <w:jc w:val="center"/>
              <w:rPr>
                <w:rFonts w:eastAsia="方正仿宋_GBK"/>
                <w:szCs w:val="21"/>
                <w:highlight w:val="none"/>
              </w:rPr>
            </w:pPr>
            <w:r>
              <w:rPr>
                <w:rFonts w:eastAsia="方正仿宋_GBK"/>
                <w:szCs w:val="21"/>
                <w:highlight w:val="none"/>
              </w:rPr>
              <w:t>非正常情况施工</w:t>
            </w:r>
          </w:p>
        </w:tc>
        <w:tc>
          <w:tcPr>
            <w:tcW w:w="6645" w:type="dxa"/>
            <w:noWrap w:val="0"/>
            <w:vAlign w:val="center"/>
          </w:tcPr>
          <w:p w14:paraId="4DCE8EDD">
            <w:pPr>
              <w:pStyle w:val="256"/>
              <w:spacing w:line="300" w:lineRule="exact"/>
              <w:rPr>
                <w:rFonts w:eastAsia="方正仿宋_GBK"/>
                <w:szCs w:val="21"/>
                <w:highlight w:val="none"/>
              </w:rPr>
            </w:pPr>
            <w:r>
              <w:rPr>
                <w:rFonts w:eastAsia="方正仿宋_GBK"/>
                <w:szCs w:val="21"/>
                <w:highlight w:val="none"/>
              </w:rPr>
              <w:t>其它特殊情况下的防护费用，如：城市主干道、人流密集、河边等处施工及文物、古建筑、古树保护等。</w:t>
            </w:r>
          </w:p>
        </w:tc>
      </w:tr>
    </w:tbl>
    <w:p w14:paraId="10157F4D">
      <w:pPr>
        <w:pStyle w:val="27"/>
        <w:tabs>
          <w:tab w:val="left" w:pos="2127"/>
        </w:tabs>
        <w:spacing w:line="340" w:lineRule="exact"/>
        <w:rPr>
          <w:rFonts w:ascii="Times New Roman" w:hAnsi="Times New Roman" w:cs="Times New Roman"/>
          <w:highlight w:val="none"/>
        </w:rPr>
      </w:pPr>
      <w:r>
        <w:rPr>
          <w:rFonts w:ascii="Times New Roman" w:hAnsi="Times New Roman" w:eastAsia="方正仿宋_GBK" w:cs="Times New Roman"/>
          <w:highlight w:val="none"/>
        </w:rPr>
        <w:t>注：本表所列建设工程安全文明施工费，是依据现行法律法规及标准、规范确定的。如法律法规和标准、规范修订，本表所列项目应按照修订后的法律法规和标准规范进行调整。</w:t>
      </w:r>
    </w:p>
    <w:p w14:paraId="21275C09">
      <w:pPr>
        <w:snapToGrid w:val="0"/>
        <w:spacing w:before="50" w:after="120" w:afterLines="50"/>
        <w:jc w:val="left"/>
        <w:rPr>
          <w:rFonts w:hint="eastAsia"/>
          <w:szCs w:val="21"/>
          <w:highlight w:val="none"/>
        </w:rPr>
      </w:pPr>
      <w:r>
        <w:rPr>
          <w:highlight w:val="none"/>
        </w:rPr>
        <w:br w:type="page"/>
      </w:r>
    </w:p>
    <w:p w14:paraId="2DB08917">
      <w:pPr>
        <w:snapToGrid w:val="0"/>
        <w:spacing w:before="50" w:after="120" w:afterLines="50"/>
        <w:jc w:val="left"/>
        <w:rPr>
          <w:szCs w:val="21"/>
          <w:highlight w:val="none"/>
        </w:rPr>
      </w:pPr>
      <w:r>
        <w:rPr>
          <w:rFonts w:hint="eastAsia"/>
          <w:szCs w:val="21"/>
          <w:highlight w:val="none"/>
          <w:lang w:val="en-US" w:eastAsia="zh-CN"/>
        </w:rPr>
        <w:t>9</w:t>
      </w:r>
      <w:r>
        <w:rPr>
          <w:szCs w:val="21"/>
          <w:highlight w:val="none"/>
        </w:rPr>
        <w:t>.本工程拟投入列入</w:t>
      </w:r>
      <w:r>
        <w:rPr>
          <w:rFonts w:hint="eastAsia"/>
          <w:szCs w:val="21"/>
          <w:highlight w:val="none"/>
        </w:rPr>
        <w:t>节能产品政府采购品目清单及环境标志产品政府采购品目清单的货物清单</w:t>
      </w:r>
      <w:r>
        <w:rPr>
          <w:szCs w:val="21"/>
          <w:highlight w:val="none"/>
        </w:rPr>
        <w:t>。</w:t>
      </w:r>
      <w:r>
        <w:rPr>
          <w:rFonts w:hint="eastAsia"/>
          <w:b/>
          <w:szCs w:val="21"/>
          <w:highlight w:val="none"/>
        </w:rPr>
        <w:t>（如有，须提供）</w:t>
      </w:r>
    </w:p>
    <w:p w14:paraId="4C88CBB7">
      <w:pPr>
        <w:snapToGrid w:val="0"/>
        <w:spacing w:before="50" w:after="120" w:afterLines="50"/>
        <w:jc w:val="left"/>
        <w:rPr>
          <w:rFonts w:hint="eastAsia"/>
          <w:szCs w:val="21"/>
          <w:highlight w:val="none"/>
        </w:rPr>
      </w:pPr>
      <w:bookmarkStart w:id="485" w:name="_Hlk89190963"/>
      <w:r>
        <w:rPr>
          <w:rFonts w:hint="eastAsia"/>
          <w:szCs w:val="21"/>
          <w:highlight w:val="none"/>
          <w:lang w:val="en-US" w:eastAsia="zh-CN"/>
        </w:rPr>
        <w:t>9</w:t>
      </w:r>
      <w:r>
        <w:rPr>
          <w:szCs w:val="21"/>
          <w:highlight w:val="none"/>
        </w:rPr>
        <w:t>.1</w:t>
      </w:r>
      <w:r>
        <w:rPr>
          <w:rFonts w:hint="eastAsia"/>
          <w:szCs w:val="21"/>
          <w:highlight w:val="none"/>
        </w:rPr>
        <w:t>建筑材料和设备节能环保要求承诺书</w:t>
      </w:r>
    </w:p>
    <w:p w14:paraId="561FB85B">
      <w:pPr>
        <w:spacing w:line="520" w:lineRule="exact"/>
        <w:ind w:left="-10" w:firstLine="455" w:firstLineChars="217"/>
        <w:jc w:val="left"/>
        <w:rPr>
          <w:rFonts w:hint="eastAsia"/>
          <w:highlight w:val="none"/>
        </w:rPr>
      </w:pPr>
      <w:r>
        <w:rPr>
          <w:rFonts w:hint="eastAsia"/>
          <w:highlight w:val="none"/>
        </w:rPr>
        <w:t>我方承诺，一旦</w:t>
      </w:r>
      <w:r>
        <w:rPr>
          <w:rFonts w:hint="eastAsia"/>
          <w:highlight w:val="none"/>
          <w:lang w:val="en-US" w:eastAsia="zh-CN"/>
        </w:rPr>
        <w:t>成交</w:t>
      </w:r>
      <w:r>
        <w:rPr>
          <w:rFonts w:hint="eastAsia"/>
          <w:highlight w:val="none"/>
        </w:rPr>
        <w:t>，我方保证严格执行</w:t>
      </w:r>
      <w:r>
        <w:rPr>
          <w:rFonts w:hint="eastAsia" w:cs="宋体"/>
          <w:highlight w:val="none"/>
        </w:rPr>
        <w:t>《</w:t>
      </w:r>
      <w:r>
        <w:rPr>
          <w:rFonts w:hint="eastAsia" w:ascii="宋体" w:hAnsi="宋体"/>
          <w:highlight w:val="none"/>
        </w:rPr>
        <w:t>财政部 国家发展改革委关于印发《节能产品政府采购实施意见》的通知</w:t>
      </w:r>
      <w:r>
        <w:rPr>
          <w:rFonts w:hint="eastAsia" w:cs="宋体"/>
          <w:highlight w:val="none"/>
        </w:rPr>
        <w:t>》</w:t>
      </w:r>
      <w:r>
        <w:rPr>
          <w:rFonts w:hint="eastAsia" w:ascii="宋体" w:hAnsi="宋体"/>
          <w:highlight w:val="none"/>
        </w:rPr>
        <w:t>（财库〔2004〕185号）、</w:t>
      </w:r>
      <w:r>
        <w:rPr>
          <w:rFonts w:hint="eastAsia" w:cs="宋体"/>
          <w:highlight w:val="none"/>
        </w:rPr>
        <w:t>《财政部 发展改革委 生态环境部 市场监管总局关于调整优化节能产品、环境标志产品政府采购执行机制的通知》（财库〔2019〕9号）和《关于印发节能产品政府采购品目清单的通知》（财库〔2019〕19号）的规定，所有工程中涉及的建筑材料和设备如属于财库〔2019〕19号文中《节能产品政府采购品目清单》内标注“★”的产品，都使用政府强制采购的节能产品。</w:t>
      </w:r>
      <w:r>
        <w:rPr>
          <w:highlight w:val="none"/>
        </w:rPr>
        <w:t>如我方在该项目的承包中出现未按规定执行的情形，我方愿意按照相关规定接受建设单位及有关主管部门的处罚。</w:t>
      </w:r>
    </w:p>
    <w:p w14:paraId="457A67D9">
      <w:pPr>
        <w:spacing w:line="520" w:lineRule="exact"/>
        <w:ind w:left="-10" w:firstLine="455" w:firstLineChars="217"/>
        <w:jc w:val="left"/>
        <w:rPr>
          <w:rFonts w:hint="eastAsia"/>
          <w:highlight w:val="none"/>
        </w:rPr>
      </w:pPr>
    </w:p>
    <w:p w14:paraId="335ABA24">
      <w:pPr>
        <w:tabs>
          <w:tab w:val="left" w:pos="4860"/>
        </w:tabs>
        <w:spacing w:line="360" w:lineRule="auto"/>
        <w:ind w:right="1560" w:firstLine="444" w:firstLineChars="200"/>
        <w:contextualSpacing/>
        <w:jc w:val="right"/>
        <w:rPr>
          <w:rFonts w:hint="eastAsia" w:ascii="宋体" w:hAnsi="宋体"/>
          <w:spacing w:val="6"/>
          <w:highlight w:val="none"/>
        </w:rPr>
      </w:pPr>
      <w:r>
        <w:rPr>
          <w:rFonts w:hint="eastAsia" w:ascii="宋体" w:hAnsi="宋体"/>
          <w:spacing w:val="6"/>
          <w:highlight w:val="none"/>
        </w:rPr>
        <w:t xml:space="preserve">                        单位名称（盖法人单位电子印章）：</w:t>
      </w:r>
    </w:p>
    <w:p w14:paraId="2C958981">
      <w:pPr>
        <w:wordWrap w:val="0"/>
        <w:ind w:firstLine="444" w:firstLineChars="200"/>
        <w:jc w:val="right"/>
        <w:rPr>
          <w:rFonts w:hint="eastAsia" w:ascii="宋体" w:hAnsi="宋体"/>
          <w:spacing w:val="6"/>
          <w:highlight w:val="none"/>
        </w:rPr>
      </w:pPr>
      <w:r>
        <w:rPr>
          <w:rFonts w:hint="eastAsia" w:ascii="宋体" w:hAnsi="宋体"/>
          <w:spacing w:val="6"/>
          <w:highlight w:val="none"/>
        </w:rPr>
        <w:t xml:space="preserve">                                     日  期： </w:t>
      </w:r>
      <w:r>
        <w:rPr>
          <w:rFonts w:ascii="宋体" w:hAnsi="宋体"/>
          <w:spacing w:val="6"/>
          <w:highlight w:val="none"/>
        </w:rPr>
        <w:t xml:space="preserve">            </w:t>
      </w:r>
    </w:p>
    <w:p w14:paraId="21EFBC62">
      <w:pPr>
        <w:snapToGrid w:val="0"/>
        <w:spacing w:before="50" w:after="120" w:afterLines="50"/>
        <w:jc w:val="left"/>
        <w:rPr>
          <w:szCs w:val="21"/>
          <w:highlight w:val="none"/>
        </w:rPr>
      </w:pPr>
    </w:p>
    <w:p w14:paraId="65982E19">
      <w:pPr>
        <w:snapToGrid w:val="0"/>
        <w:spacing w:before="50" w:after="120" w:afterLines="50"/>
        <w:jc w:val="left"/>
        <w:rPr>
          <w:rFonts w:hint="eastAsia" w:eastAsia="宋体"/>
          <w:szCs w:val="21"/>
          <w:highlight w:val="none"/>
          <w:lang w:eastAsia="zh-CN"/>
        </w:rPr>
      </w:pPr>
      <w:r>
        <w:rPr>
          <w:rFonts w:hint="eastAsia"/>
          <w:szCs w:val="21"/>
          <w:highlight w:val="none"/>
          <w:lang w:val="en-US" w:eastAsia="zh-CN"/>
        </w:rPr>
        <w:t>9</w:t>
      </w:r>
      <w:r>
        <w:rPr>
          <w:szCs w:val="21"/>
          <w:highlight w:val="none"/>
        </w:rPr>
        <w:t>.2</w:t>
      </w:r>
      <w:r>
        <w:rPr>
          <w:rFonts w:hint="eastAsia"/>
          <w:szCs w:val="21"/>
          <w:highlight w:val="none"/>
        </w:rPr>
        <w:t>响应产品中如有列入节能产品政府采购品目清单及环境标志产品政府采购品目清单的货物，应按下表提供清单。</w:t>
      </w:r>
      <w:r>
        <w:rPr>
          <w:rFonts w:hint="eastAsia"/>
          <w:szCs w:val="21"/>
          <w:highlight w:val="none"/>
          <w:lang w:val="en-US" w:eastAsia="zh-CN"/>
        </w:rPr>
        <w:t>响应</w:t>
      </w:r>
      <w:r>
        <w:rPr>
          <w:rFonts w:hint="eastAsia"/>
          <w:szCs w:val="21"/>
          <w:highlight w:val="none"/>
        </w:rPr>
        <w:t>文件中</w:t>
      </w:r>
      <w:r>
        <w:rPr>
          <w:rFonts w:hint="eastAsia"/>
          <w:szCs w:val="21"/>
          <w:highlight w:val="none"/>
          <w:lang w:val="en-US" w:eastAsia="zh-CN"/>
        </w:rPr>
        <w:t>同时</w:t>
      </w:r>
      <w:r>
        <w:rPr>
          <w:rFonts w:hint="eastAsia"/>
          <w:szCs w:val="21"/>
          <w:highlight w:val="none"/>
        </w:rPr>
        <w:t>提供所</w:t>
      </w:r>
      <w:r>
        <w:rPr>
          <w:rFonts w:hint="eastAsia"/>
          <w:szCs w:val="21"/>
          <w:highlight w:val="none"/>
          <w:lang w:val="en-US" w:eastAsia="zh-CN"/>
        </w:rPr>
        <w:t>响应</w:t>
      </w:r>
      <w:r>
        <w:rPr>
          <w:rFonts w:hint="eastAsia"/>
          <w:szCs w:val="21"/>
          <w:highlight w:val="none"/>
        </w:rPr>
        <w:t>产品的节能产品及环境标志认证证书扫描件</w:t>
      </w:r>
      <w:r>
        <w:rPr>
          <w:rFonts w:hint="eastAsia"/>
          <w:highlight w:val="none"/>
          <w:lang w:eastAsia="zh-CN"/>
        </w:rPr>
        <w:t>。</w:t>
      </w:r>
    </w:p>
    <w:p w14:paraId="12231DE4">
      <w:pPr>
        <w:spacing w:line="360" w:lineRule="auto"/>
        <w:jc w:val="center"/>
        <w:rPr>
          <w:szCs w:val="21"/>
          <w:highlight w:val="none"/>
        </w:rPr>
      </w:pPr>
      <w:r>
        <w:rPr>
          <w:rFonts w:hint="eastAsia"/>
          <w:b/>
          <w:szCs w:val="21"/>
          <w:highlight w:val="none"/>
        </w:rPr>
        <w:t>节能产品及环境标志产品清单</w:t>
      </w:r>
    </w:p>
    <w:tbl>
      <w:tblPr>
        <w:tblStyle w:val="54"/>
        <w:tblW w:w="9328"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67"/>
        <w:gridCol w:w="1134"/>
        <w:gridCol w:w="897"/>
        <w:gridCol w:w="1088"/>
        <w:gridCol w:w="1409"/>
        <w:gridCol w:w="1851"/>
        <w:gridCol w:w="1412"/>
        <w:gridCol w:w="770"/>
      </w:tblGrid>
      <w:tr w14:paraId="2DE29A5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4" w:hRule="atLeast"/>
          <w:jc w:val="center"/>
        </w:trPr>
        <w:tc>
          <w:tcPr>
            <w:tcW w:w="767" w:type="dxa"/>
            <w:tcBorders>
              <w:top w:val="single" w:color="auto" w:sz="12" w:space="0"/>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7EA87A9A">
            <w:pPr>
              <w:widowControl/>
              <w:spacing w:before="100" w:beforeAutospacing="1" w:after="100" w:afterAutospacing="1" w:line="376" w:lineRule="atLeast"/>
              <w:jc w:val="center"/>
              <w:rPr>
                <w:kern w:val="0"/>
                <w:szCs w:val="21"/>
                <w:highlight w:val="none"/>
              </w:rPr>
            </w:pPr>
            <w:r>
              <w:rPr>
                <w:kern w:val="0"/>
                <w:szCs w:val="21"/>
                <w:highlight w:val="none"/>
              </w:rPr>
              <w:t>序号</w:t>
            </w:r>
          </w:p>
        </w:tc>
        <w:tc>
          <w:tcPr>
            <w:tcW w:w="1134"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607B4DF4">
            <w:pPr>
              <w:widowControl/>
              <w:spacing w:before="100" w:beforeAutospacing="1" w:after="100" w:afterAutospacing="1" w:line="376" w:lineRule="atLeast"/>
              <w:jc w:val="center"/>
              <w:rPr>
                <w:kern w:val="0"/>
                <w:szCs w:val="21"/>
                <w:highlight w:val="none"/>
              </w:rPr>
            </w:pPr>
            <w:r>
              <w:rPr>
                <w:rFonts w:hint="eastAsia"/>
                <w:kern w:val="0"/>
                <w:szCs w:val="21"/>
                <w:highlight w:val="none"/>
              </w:rPr>
              <w:t>类别</w:t>
            </w:r>
          </w:p>
        </w:tc>
        <w:tc>
          <w:tcPr>
            <w:tcW w:w="897" w:type="dxa"/>
            <w:tcBorders>
              <w:top w:val="single" w:color="auto" w:sz="12" w:space="0"/>
              <w:left w:val="single" w:color="auto" w:sz="4" w:space="0"/>
              <w:bottom w:val="single" w:color="auto" w:sz="8" w:space="0"/>
              <w:right w:val="single" w:color="auto" w:sz="8" w:space="0"/>
            </w:tcBorders>
            <w:noWrap w:val="0"/>
            <w:vAlign w:val="center"/>
          </w:tcPr>
          <w:p w14:paraId="6AE77D76">
            <w:pPr>
              <w:widowControl/>
              <w:spacing w:before="100" w:beforeAutospacing="1" w:after="100" w:afterAutospacing="1" w:line="376" w:lineRule="atLeast"/>
              <w:jc w:val="center"/>
              <w:rPr>
                <w:kern w:val="0"/>
                <w:szCs w:val="21"/>
                <w:highlight w:val="none"/>
              </w:rPr>
            </w:pPr>
            <w:r>
              <w:rPr>
                <w:rFonts w:hint="eastAsia"/>
                <w:kern w:val="0"/>
                <w:szCs w:val="21"/>
                <w:highlight w:val="none"/>
              </w:rPr>
              <w:t>品目</w:t>
            </w:r>
          </w:p>
        </w:tc>
        <w:tc>
          <w:tcPr>
            <w:tcW w:w="1088" w:type="dxa"/>
            <w:tcBorders>
              <w:top w:val="single" w:color="auto" w:sz="12" w:space="0"/>
              <w:left w:val="nil"/>
              <w:bottom w:val="single" w:color="auto" w:sz="8" w:space="0"/>
              <w:right w:val="single" w:color="auto" w:sz="4" w:space="0"/>
            </w:tcBorders>
            <w:noWrap w:val="0"/>
            <w:tcMar>
              <w:top w:w="0" w:type="dxa"/>
              <w:left w:w="57" w:type="dxa"/>
              <w:bottom w:w="0" w:type="dxa"/>
              <w:right w:w="57" w:type="dxa"/>
            </w:tcMar>
            <w:vAlign w:val="center"/>
          </w:tcPr>
          <w:p w14:paraId="53D32176">
            <w:pPr>
              <w:widowControl/>
              <w:spacing w:before="100" w:beforeAutospacing="1" w:after="100" w:afterAutospacing="1" w:line="376" w:lineRule="atLeast"/>
              <w:jc w:val="center"/>
              <w:rPr>
                <w:kern w:val="0"/>
                <w:szCs w:val="21"/>
                <w:highlight w:val="none"/>
              </w:rPr>
            </w:pPr>
            <w:r>
              <w:rPr>
                <w:rFonts w:hint="eastAsia"/>
                <w:kern w:val="0"/>
                <w:szCs w:val="21"/>
                <w:highlight w:val="none"/>
              </w:rPr>
              <w:t>品牌</w:t>
            </w:r>
          </w:p>
        </w:tc>
        <w:tc>
          <w:tcPr>
            <w:tcW w:w="1409" w:type="dxa"/>
            <w:tcBorders>
              <w:top w:val="single" w:color="auto" w:sz="12" w:space="0"/>
              <w:left w:val="single" w:color="auto" w:sz="4" w:space="0"/>
              <w:bottom w:val="single" w:color="auto" w:sz="8" w:space="0"/>
              <w:right w:val="single" w:color="auto" w:sz="8" w:space="0"/>
            </w:tcBorders>
            <w:noWrap w:val="0"/>
            <w:vAlign w:val="center"/>
          </w:tcPr>
          <w:p w14:paraId="7927E1CB">
            <w:pPr>
              <w:widowControl/>
              <w:spacing w:before="100" w:beforeAutospacing="1" w:after="100" w:afterAutospacing="1" w:line="376" w:lineRule="atLeast"/>
              <w:jc w:val="center"/>
              <w:rPr>
                <w:kern w:val="0"/>
                <w:szCs w:val="21"/>
                <w:highlight w:val="none"/>
              </w:rPr>
            </w:pPr>
            <w:r>
              <w:rPr>
                <w:kern w:val="0"/>
                <w:szCs w:val="21"/>
                <w:highlight w:val="none"/>
              </w:rPr>
              <w:t>规格型号</w:t>
            </w:r>
          </w:p>
        </w:tc>
        <w:tc>
          <w:tcPr>
            <w:tcW w:w="1851"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5BA90000">
            <w:pPr>
              <w:widowControl/>
              <w:spacing w:before="100" w:beforeAutospacing="1" w:after="100" w:afterAutospacing="1" w:line="376" w:lineRule="atLeast"/>
              <w:jc w:val="center"/>
              <w:rPr>
                <w:kern w:val="0"/>
                <w:szCs w:val="21"/>
                <w:highlight w:val="none"/>
              </w:rPr>
            </w:pPr>
            <w:r>
              <w:rPr>
                <w:rFonts w:ascii="Helvetica" w:hAnsi="Helvetica" w:cs="Helvetica"/>
                <w:color w:val="333333"/>
                <w:szCs w:val="21"/>
                <w:highlight w:val="none"/>
                <w:shd w:val="clear" w:color="auto" w:fill="FFFFFF"/>
              </w:rPr>
              <w:t>生产者（制造商）</w:t>
            </w:r>
          </w:p>
        </w:tc>
        <w:tc>
          <w:tcPr>
            <w:tcW w:w="1412" w:type="dxa"/>
            <w:tcBorders>
              <w:top w:val="single" w:color="auto" w:sz="12" w:space="0"/>
              <w:left w:val="nil"/>
              <w:bottom w:val="single" w:color="auto" w:sz="8" w:space="0"/>
              <w:right w:val="single" w:color="auto" w:sz="8" w:space="0"/>
            </w:tcBorders>
            <w:noWrap w:val="0"/>
            <w:tcMar>
              <w:top w:w="0" w:type="dxa"/>
              <w:left w:w="57" w:type="dxa"/>
              <w:bottom w:w="0" w:type="dxa"/>
              <w:right w:w="57" w:type="dxa"/>
            </w:tcMar>
            <w:vAlign w:val="center"/>
          </w:tcPr>
          <w:p w14:paraId="1F59BAB6">
            <w:pPr>
              <w:widowControl/>
              <w:spacing w:before="100" w:beforeAutospacing="1" w:after="100" w:afterAutospacing="1" w:line="376" w:lineRule="atLeast"/>
              <w:jc w:val="center"/>
              <w:rPr>
                <w:rFonts w:hint="eastAsia"/>
                <w:kern w:val="0"/>
                <w:szCs w:val="21"/>
                <w:highlight w:val="none"/>
              </w:rPr>
            </w:pPr>
            <w:r>
              <w:rPr>
                <w:rFonts w:hint="eastAsia"/>
                <w:kern w:val="0"/>
                <w:szCs w:val="21"/>
                <w:highlight w:val="none"/>
              </w:rPr>
              <w:t>证书编号及证书到期日期</w:t>
            </w:r>
          </w:p>
        </w:tc>
        <w:tc>
          <w:tcPr>
            <w:tcW w:w="770" w:type="dxa"/>
            <w:tcBorders>
              <w:top w:val="single" w:color="auto" w:sz="12" w:space="0"/>
              <w:left w:val="nil"/>
              <w:bottom w:val="single" w:color="auto" w:sz="8" w:space="0"/>
              <w:right w:val="single" w:color="auto" w:sz="12" w:space="0"/>
            </w:tcBorders>
            <w:noWrap w:val="0"/>
            <w:tcMar>
              <w:top w:w="0" w:type="dxa"/>
              <w:left w:w="57" w:type="dxa"/>
              <w:bottom w:w="0" w:type="dxa"/>
              <w:right w:w="57" w:type="dxa"/>
            </w:tcMar>
            <w:vAlign w:val="center"/>
          </w:tcPr>
          <w:p w14:paraId="752C61D5">
            <w:pPr>
              <w:widowControl/>
              <w:spacing w:before="100" w:beforeAutospacing="1" w:after="100" w:afterAutospacing="1" w:line="376" w:lineRule="atLeast"/>
              <w:jc w:val="center"/>
              <w:rPr>
                <w:kern w:val="0"/>
                <w:szCs w:val="21"/>
                <w:highlight w:val="none"/>
              </w:rPr>
            </w:pPr>
            <w:r>
              <w:rPr>
                <w:kern w:val="0"/>
                <w:szCs w:val="21"/>
                <w:highlight w:val="none"/>
              </w:rPr>
              <w:t>备注</w:t>
            </w:r>
          </w:p>
        </w:tc>
      </w:tr>
      <w:tr w14:paraId="0B90711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33"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7A0CE236">
            <w:pPr>
              <w:widowControl/>
              <w:spacing w:before="100" w:beforeAutospacing="1" w:after="100" w:afterAutospacing="1" w:line="376" w:lineRule="atLeast"/>
              <w:jc w:val="center"/>
              <w:rPr>
                <w:kern w:val="0"/>
                <w:szCs w:val="21"/>
                <w:highlight w:val="none"/>
              </w:rPr>
            </w:pPr>
            <w:r>
              <w:rPr>
                <w:kern w:val="0"/>
                <w:szCs w:val="21"/>
                <w:highlight w:val="none"/>
              </w:rPr>
              <w:t>1</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26DE2B21">
            <w:pPr>
              <w:widowControl/>
              <w:spacing w:before="100" w:beforeAutospacing="1" w:after="100" w:afterAutospacing="1" w:line="376" w:lineRule="atLeast"/>
              <w:jc w:val="center"/>
              <w:rPr>
                <w:rFonts w:hint="eastAsia"/>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3FDE97A2">
            <w:pPr>
              <w:widowControl/>
              <w:spacing w:before="100" w:beforeAutospacing="1" w:after="100" w:afterAutospacing="1" w:line="376" w:lineRule="atLeast"/>
              <w:jc w:val="center"/>
              <w:rPr>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4AA71CD7">
            <w:pPr>
              <w:widowControl/>
              <w:spacing w:before="100" w:beforeAutospacing="1" w:after="100" w:afterAutospacing="1" w:line="376" w:lineRule="atLeast"/>
              <w:jc w:val="center"/>
              <w:rPr>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52FF2EDE">
            <w:pPr>
              <w:widowControl/>
              <w:spacing w:before="100" w:beforeAutospacing="1" w:after="100" w:afterAutospacing="1" w:line="376" w:lineRule="atLeast"/>
              <w:jc w:val="center"/>
              <w:rPr>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6431145">
            <w:pPr>
              <w:widowControl/>
              <w:spacing w:before="100" w:beforeAutospacing="1" w:after="100" w:afterAutospacing="1" w:line="376" w:lineRule="atLeast"/>
              <w:jc w:val="center"/>
              <w:rPr>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495679C">
            <w:pPr>
              <w:widowControl/>
              <w:spacing w:before="100" w:beforeAutospacing="1" w:after="100" w:afterAutospacing="1" w:line="376" w:lineRule="atLeast"/>
              <w:jc w:val="center"/>
              <w:rPr>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69D403C0">
            <w:pPr>
              <w:widowControl/>
              <w:spacing w:before="100" w:beforeAutospacing="1" w:after="100" w:afterAutospacing="1" w:line="376" w:lineRule="atLeast"/>
              <w:jc w:val="center"/>
              <w:rPr>
                <w:kern w:val="0"/>
                <w:szCs w:val="21"/>
                <w:highlight w:val="none"/>
              </w:rPr>
            </w:pPr>
          </w:p>
        </w:tc>
      </w:tr>
      <w:tr w14:paraId="62BB1AB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81"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2AE97C8F">
            <w:pPr>
              <w:widowControl/>
              <w:spacing w:before="100" w:beforeAutospacing="1" w:after="100" w:afterAutospacing="1" w:line="376" w:lineRule="atLeast"/>
              <w:jc w:val="center"/>
              <w:rPr>
                <w:kern w:val="0"/>
                <w:szCs w:val="21"/>
                <w:highlight w:val="none"/>
              </w:rPr>
            </w:pPr>
            <w:r>
              <w:rPr>
                <w:kern w:val="0"/>
                <w:szCs w:val="21"/>
                <w:highlight w:val="none"/>
              </w:rPr>
              <w:t>2</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07BD9FE1">
            <w:pPr>
              <w:widowControl/>
              <w:spacing w:before="100" w:beforeAutospacing="1" w:after="100" w:afterAutospacing="1" w:line="376" w:lineRule="atLeast"/>
              <w:jc w:val="center"/>
              <w:rPr>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4A13C719">
            <w:pPr>
              <w:widowControl/>
              <w:spacing w:before="100" w:beforeAutospacing="1" w:after="100" w:afterAutospacing="1" w:line="376" w:lineRule="atLeast"/>
              <w:jc w:val="center"/>
              <w:rPr>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2D03C0D6">
            <w:pPr>
              <w:widowControl/>
              <w:spacing w:before="100" w:beforeAutospacing="1" w:after="100" w:afterAutospacing="1" w:line="376" w:lineRule="atLeast"/>
              <w:jc w:val="center"/>
              <w:rPr>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3B9094AF">
            <w:pPr>
              <w:widowControl/>
              <w:spacing w:before="100" w:beforeAutospacing="1" w:after="100" w:afterAutospacing="1" w:line="376" w:lineRule="atLeast"/>
              <w:jc w:val="center"/>
              <w:rPr>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47C70E3">
            <w:pPr>
              <w:widowControl/>
              <w:spacing w:before="100" w:beforeAutospacing="1" w:after="100" w:afterAutospacing="1" w:line="376" w:lineRule="atLeast"/>
              <w:jc w:val="center"/>
              <w:rPr>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6C09249">
            <w:pPr>
              <w:widowControl/>
              <w:spacing w:before="100" w:beforeAutospacing="1" w:after="100" w:afterAutospacing="1" w:line="376" w:lineRule="atLeast"/>
              <w:jc w:val="center"/>
              <w:rPr>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0623ED6B">
            <w:pPr>
              <w:widowControl/>
              <w:spacing w:before="100" w:beforeAutospacing="1" w:after="100" w:afterAutospacing="1" w:line="376" w:lineRule="atLeast"/>
              <w:jc w:val="center"/>
              <w:rPr>
                <w:kern w:val="0"/>
                <w:szCs w:val="21"/>
                <w:highlight w:val="none"/>
              </w:rPr>
            </w:pPr>
          </w:p>
        </w:tc>
      </w:tr>
      <w:tr w14:paraId="7B26973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767" w:type="dxa"/>
            <w:tcBorders>
              <w:top w:val="nil"/>
              <w:left w:val="single" w:color="auto" w:sz="12" w:space="0"/>
              <w:bottom w:val="single" w:color="auto" w:sz="8" w:space="0"/>
              <w:right w:val="single" w:color="auto" w:sz="8" w:space="0"/>
            </w:tcBorders>
            <w:noWrap w:val="0"/>
            <w:tcMar>
              <w:top w:w="0" w:type="dxa"/>
              <w:left w:w="57" w:type="dxa"/>
              <w:bottom w:w="0" w:type="dxa"/>
              <w:right w:w="57" w:type="dxa"/>
            </w:tcMar>
            <w:vAlign w:val="center"/>
          </w:tcPr>
          <w:p w14:paraId="3713DFBB">
            <w:pPr>
              <w:widowControl/>
              <w:spacing w:before="100" w:beforeAutospacing="1" w:after="100" w:afterAutospacing="1" w:line="376" w:lineRule="atLeast"/>
              <w:jc w:val="center"/>
              <w:rPr>
                <w:kern w:val="0"/>
                <w:szCs w:val="21"/>
                <w:highlight w:val="none"/>
              </w:rPr>
            </w:pPr>
            <w:r>
              <w:rPr>
                <w:kern w:val="0"/>
                <w:szCs w:val="21"/>
                <w:highlight w:val="none"/>
              </w:rPr>
              <w:t>……</w:t>
            </w:r>
          </w:p>
        </w:tc>
        <w:tc>
          <w:tcPr>
            <w:tcW w:w="1134"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62B32BA5">
            <w:pPr>
              <w:widowControl/>
              <w:spacing w:before="100" w:beforeAutospacing="1" w:after="100" w:afterAutospacing="1" w:line="376" w:lineRule="atLeast"/>
              <w:jc w:val="center"/>
              <w:rPr>
                <w:kern w:val="0"/>
                <w:szCs w:val="21"/>
                <w:highlight w:val="none"/>
              </w:rPr>
            </w:pPr>
          </w:p>
        </w:tc>
        <w:tc>
          <w:tcPr>
            <w:tcW w:w="897" w:type="dxa"/>
            <w:tcBorders>
              <w:top w:val="nil"/>
              <w:left w:val="single" w:color="auto" w:sz="4" w:space="0"/>
              <w:bottom w:val="single" w:color="auto" w:sz="8" w:space="0"/>
              <w:right w:val="single" w:color="auto" w:sz="8" w:space="0"/>
            </w:tcBorders>
            <w:noWrap w:val="0"/>
            <w:vAlign w:val="center"/>
          </w:tcPr>
          <w:p w14:paraId="7023724E">
            <w:pPr>
              <w:widowControl/>
              <w:spacing w:before="100" w:beforeAutospacing="1" w:after="100" w:afterAutospacing="1" w:line="376" w:lineRule="atLeast"/>
              <w:jc w:val="center"/>
              <w:rPr>
                <w:kern w:val="0"/>
                <w:szCs w:val="21"/>
                <w:highlight w:val="none"/>
              </w:rPr>
            </w:pPr>
          </w:p>
        </w:tc>
        <w:tc>
          <w:tcPr>
            <w:tcW w:w="1088" w:type="dxa"/>
            <w:tcBorders>
              <w:top w:val="nil"/>
              <w:left w:val="nil"/>
              <w:bottom w:val="single" w:color="auto" w:sz="8" w:space="0"/>
              <w:right w:val="single" w:color="auto" w:sz="4" w:space="0"/>
            </w:tcBorders>
            <w:noWrap w:val="0"/>
            <w:tcMar>
              <w:top w:w="0" w:type="dxa"/>
              <w:left w:w="57" w:type="dxa"/>
              <w:bottom w:w="0" w:type="dxa"/>
              <w:right w:w="57" w:type="dxa"/>
            </w:tcMar>
            <w:vAlign w:val="center"/>
          </w:tcPr>
          <w:p w14:paraId="698A9635">
            <w:pPr>
              <w:widowControl/>
              <w:spacing w:before="100" w:beforeAutospacing="1" w:after="100" w:afterAutospacing="1" w:line="376" w:lineRule="atLeast"/>
              <w:jc w:val="center"/>
              <w:rPr>
                <w:kern w:val="0"/>
                <w:szCs w:val="21"/>
                <w:highlight w:val="none"/>
              </w:rPr>
            </w:pPr>
          </w:p>
        </w:tc>
        <w:tc>
          <w:tcPr>
            <w:tcW w:w="1409" w:type="dxa"/>
            <w:tcBorders>
              <w:top w:val="nil"/>
              <w:left w:val="single" w:color="auto" w:sz="4" w:space="0"/>
              <w:bottom w:val="single" w:color="auto" w:sz="8" w:space="0"/>
              <w:right w:val="single" w:color="auto" w:sz="8" w:space="0"/>
            </w:tcBorders>
            <w:noWrap w:val="0"/>
            <w:vAlign w:val="center"/>
          </w:tcPr>
          <w:p w14:paraId="36A52076">
            <w:pPr>
              <w:widowControl/>
              <w:spacing w:before="100" w:beforeAutospacing="1" w:after="100" w:afterAutospacing="1" w:line="376" w:lineRule="atLeast"/>
              <w:jc w:val="center"/>
              <w:rPr>
                <w:kern w:val="0"/>
                <w:szCs w:val="21"/>
                <w:highlight w:val="none"/>
              </w:rPr>
            </w:pPr>
          </w:p>
        </w:tc>
        <w:tc>
          <w:tcPr>
            <w:tcW w:w="1851"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123FE44">
            <w:pPr>
              <w:widowControl/>
              <w:spacing w:before="100" w:beforeAutospacing="1" w:after="100" w:afterAutospacing="1" w:line="376" w:lineRule="atLeast"/>
              <w:jc w:val="center"/>
              <w:rPr>
                <w:kern w:val="0"/>
                <w:szCs w:val="21"/>
                <w:highlight w:val="none"/>
              </w:rPr>
            </w:pPr>
          </w:p>
        </w:tc>
        <w:tc>
          <w:tcPr>
            <w:tcW w:w="1412"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BBFA955">
            <w:pPr>
              <w:widowControl/>
              <w:spacing w:before="100" w:beforeAutospacing="1" w:after="100" w:afterAutospacing="1" w:line="376" w:lineRule="atLeast"/>
              <w:jc w:val="center"/>
              <w:rPr>
                <w:kern w:val="0"/>
                <w:szCs w:val="21"/>
                <w:highlight w:val="none"/>
              </w:rPr>
            </w:pPr>
          </w:p>
        </w:tc>
        <w:tc>
          <w:tcPr>
            <w:tcW w:w="770" w:type="dxa"/>
            <w:tcBorders>
              <w:top w:val="nil"/>
              <w:left w:val="nil"/>
              <w:bottom w:val="single" w:color="auto" w:sz="8" w:space="0"/>
              <w:right w:val="single" w:color="auto" w:sz="12" w:space="0"/>
            </w:tcBorders>
            <w:noWrap w:val="0"/>
            <w:tcMar>
              <w:top w:w="0" w:type="dxa"/>
              <w:left w:w="57" w:type="dxa"/>
              <w:bottom w:w="0" w:type="dxa"/>
              <w:right w:w="57" w:type="dxa"/>
            </w:tcMar>
            <w:vAlign w:val="center"/>
          </w:tcPr>
          <w:p w14:paraId="0B7DE8B4">
            <w:pPr>
              <w:widowControl/>
              <w:spacing w:before="100" w:beforeAutospacing="1" w:after="100" w:afterAutospacing="1" w:line="376" w:lineRule="atLeast"/>
              <w:jc w:val="center"/>
              <w:rPr>
                <w:kern w:val="0"/>
                <w:szCs w:val="21"/>
                <w:highlight w:val="none"/>
              </w:rPr>
            </w:pPr>
          </w:p>
        </w:tc>
      </w:tr>
    </w:tbl>
    <w:p w14:paraId="14E22880">
      <w:pPr>
        <w:snapToGrid w:val="0"/>
        <w:spacing w:before="50" w:after="120" w:afterLines="50"/>
        <w:jc w:val="left"/>
        <w:rPr>
          <w:rFonts w:hint="eastAsia"/>
          <w:szCs w:val="21"/>
          <w:highlight w:val="none"/>
        </w:rPr>
      </w:pPr>
      <w:r>
        <w:rPr>
          <w:rFonts w:hint="eastAsia"/>
          <w:szCs w:val="21"/>
          <w:highlight w:val="none"/>
        </w:rPr>
        <w:t>注：类别填写节能或环境标志，品目填写编号及产品名称如A</w:t>
      </w:r>
      <w:r>
        <w:rPr>
          <w:szCs w:val="21"/>
          <w:highlight w:val="none"/>
        </w:rPr>
        <w:t>02010104</w:t>
      </w:r>
      <w:r>
        <w:rPr>
          <w:rFonts w:hint="eastAsia"/>
          <w:szCs w:val="21"/>
          <w:highlight w:val="none"/>
        </w:rPr>
        <w:t>台式计算机。</w:t>
      </w:r>
    </w:p>
    <w:bookmarkEnd w:id="485"/>
    <w:p w14:paraId="02A264EB">
      <w:pPr>
        <w:snapToGrid w:val="0"/>
        <w:spacing w:before="50" w:after="120" w:afterLines="50"/>
        <w:jc w:val="left"/>
        <w:rPr>
          <w:szCs w:val="21"/>
          <w:highlight w:val="none"/>
        </w:rPr>
      </w:pPr>
    </w:p>
    <w:p w14:paraId="428278EC">
      <w:pPr>
        <w:snapToGrid w:val="0"/>
        <w:spacing w:before="50" w:after="120" w:afterLines="50"/>
        <w:jc w:val="left"/>
        <w:rPr>
          <w:szCs w:val="21"/>
          <w:highlight w:val="none"/>
        </w:rPr>
      </w:pPr>
    </w:p>
    <w:p w14:paraId="16820979">
      <w:pPr>
        <w:snapToGrid w:val="0"/>
        <w:spacing w:before="50" w:after="120" w:afterLines="50"/>
        <w:jc w:val="left"/>
        <w:rPr>
          <w:rFonts w:hint="eastAsia"/>
          <w:szCs w:val="21"/>
          <w:highlight w:val="none"/>
        </w:rPr>
      </w:pPr>
    </w:p>
    <w:p w14:paraId="59BF846A">
      <w:pPr>
        <w:snapToGrid w:val="0"/>
        <w:spacing w:before="50" w:after="120" w:afterLines="50" w:line="400" w:lineRule="exact"/>
        <w:jc w:val="left"/>
        <w:rPr>
          <w:bCs/>
          <w:sz w:val="24"/>
          <w:highlight w:val="none"/>
        </w:rPr>
      </w:pPr>
      <w:r>
        <w:rPr>
          <w:highlight w:val="none"/>
        </w:rPr>
        <w:br w:type="page"/>
      </w:r>
      <w:r>
        <w:rPr>
          <w:rFonts w:hint="eastAsia"/>
          <w:szCs w:val="21"/>
          <w:highlight w:val="none"/>
        </w:rPr>
        <w:t>1</w:t>
      </w:r>
      <w:r>
        <w:rPr>
          <w:rFonts w:hint="eastAsia"/>
          <w:szCs w:val="21"/>
          <w:highlight w:val="none"/>
          <w:lang w:val="en-US" w:eastAsia="zh-CN"/>
        </w:rPr>
        <w:t>0</w:t>
      </w:r>
      <w:r>
        <w:rPr>
          <w:szCs w:val="21"/>
          <w:highlight w:val="none"/>
        </w:rPr>
        <w:t>．供应商认为应当要提交的</w:t>
      </w:r>
      <w:r>
        <w:rPr>
          <w:rFonts w:hint="eastAsia"/>
          <w:szCs w:val="21"/>
          <w:highlight w:val="none"/>
        </w:rPr>
        <w:t>其他</w:t>
      </w:r>
      <w:r>
        <w:rPr>
          <w:szCs w:val="21"/>
          <w:highlight w:val="none"/>
        </w:rPr>
        <w:t>资格证明材料。</w:t>
      </w:r>
      <w:r>
        <w:rPr>
          <w:bCs/>
          <w:sz w:val="24"/>
          <w:highlight w:val="none"/>
        </w:rPr>
        <w:t xml:space="preserve"> </w:t>
      </w:r>
    </w:p>
    <w:p w14:paraId="32CFF32B">
      <w:pPr>
        <w:snapToGrid w:val="0"/>
        <w:spacing w:before="120" w:beforeLines="50" w:after="50" w:line="440" w:lineRule="exact"/>
        <w:jc w:val="center"/>
        <w:outlineLvl w:val="1"/>
        <w:rPr>
          <w:bCs/>
          <w:sz w:val="24"/>
          <w:highlight w:val="none"/>
        </w:rPr>
      </w:pPr>
      <w:r>
        <w:rPr>
          <w:szCs w:val="21"/>
          <w:highlight w:val="none"/>
        </w:rPr>
        <w:br w:type="page"/>
      </w:r>
      <w:r>
        <w:rPr>
          <w:bCs/>
          <w:sz w:val="24"/>
          <w:highlight w:val="none"/>
        </w:rPr>
        <w:t xml:space="preserve">第二部分 </w:t>
      </w:r>
      <w:r>
        <w:rPr>
          <w:rFonts w:hint="eastAsia"/>
          <w:bCs/>
          <w:sz w:val="24"/>
          <w:highlight w:val="none"/>
        </w:rPr>
        <w:t>商务</w:t>
      </w:r>
      <w:r>
        <w:rPr>
          <w:bCs/>
          <w:sz w:val="24"/>
          <w:highlight w:val="none"/>
        </w:rPr>
        <w:t>技术文件</w:t>
      </w:r>
    </w:p>
    <w:p w14:paraId="630A625B">
      <w:pPr>
        <w:snapToGrid w:val="0"/>
        <w:spacing w:before="120" w:beforeLines="50" w:after="50" w:line="360" w:lineRule="exact"/>
        <w:rPr>
          <w:rFonts w:ascii="Times New Roman" w:hAnsi="Times New Roman" w:eastAsia="宋体" w:cs="Times New Roman"/>
          <w:b/>
          <w:szCs w:val="21"/>
          <w:highlight w:val="none"/>
        </w:rPr>
      </w:pPr>
      <w:bookmarkStart w:id="486" w:name="_Toc462320613"/>
      <w:bookmarkStart w:id="487" w:name="_Toc455309222"/>
      <w:bookmarkStart w:id="488" w:name="_Toc462223472"/>
      <w:r>
        <w:rPr>
          <w:rFonts w:hint="eastAsia" w:ascii="Times New Roman" w:hAnsi="Times New Roman" w:eastAsia="宋体" w:cs="Times New Roman"/>
          <w:b/>
          <w:szCs w:val="21"/>
          <w:highlight w:val="none"/>
          <w:lang w:val="en-US" w:eastAsia="zh-CN"/>
        </w:rPr>
        <w:t>1</w:t>
      </w:r>
      <w:r>
        <w:rPr>
          <w:rFonts w:ascii="Times New Roman" w:hAnsi="Times New Roman" w:eastAsia="宋体" w:cs="Times New Roman"/>
          <w:b/>
          <w:szCs w:val="21"/>
          <w:highlight w:val="none"/>
        </w:rPr>
        <w:t>．法定代表人身份证明</w:t>
      </w:r>
      <w:r>
        <w:rPr>
          <w:rFonts w:hint="eastAsia" w:ascii="Times New Roman" w:hAnsi="Times New Roman" w:eastAsia="宋体" w:cs="Times New Roman"/>
          <w:b/>
          <w:szCs w:val="21"/>
          <w:highlight w:val="none"/>
        </w:rPr>
        <w:t>（无授权</w:t>
      </w:r>
      <w:r>
        <w:rPr>
          <w:rFonts w:ascii="Times New Roman" w:hAnsi="Times New Roman" w:eastAsia="宋体" w:cs="Times New Roman"/>
          <w:b/>
          <w:szCs w:val="21"/>
          <w:highlight w:val="none"/>
        </w:rPr>
        <w:t>代表</w:t>
      </w:r>
      <w:r>
        <w:rPr>
          <w:rFonts w:hint="eastAsia" w:ascii="Times New Roman" w:hAnsi="Times New Roman" w:eastAsia="宋体" w:cs="Times New Roman"/>
          <w:b/>
          <w:szCs w:val="21"/>
          <w:highlight w:val="none"/>
        </w:rPr>
        <w:t>时提供）</w:t>
      </w:r>
      <w:r>
        <w:rPr>
          <w:rFonts w:ascii="Times New Roman" w:hAnsi="Times New Roman" w:eastAsia="宋体" w:cs="Times New Roman"/>
          <w:b/>
          <w:szCs w:val="21"/>
          <w:highlight w:val="none"/>
        </w:rPr>
        <w:t>：</w:t>
      </w:r>
    </w:p>
    <w:p w14:paraId="340BA649">
      <w:pPr>
        <w:pStyle w:val="197"/>
        <w:jc w:val="left"/>
        <w:rPr>
          <w:rFonts w:eastAsia="宋体" w:cs="Times New Roman"/>
          <w:highlight w:val="none"/>
        </w:rPr>
      </w:pPr>
    </w:p>
    <w:p w14:paraId="52D4CECA">
      <w:pPr>
        <w:snapToGrid w:val="0"/>
        <w:spacing w:before="120" w:beforeLines="50" w:after="50" w:line="440" w:lineRule="exact"/>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法定代表人身份证明</w:t>
      </w:r>
      <w:bookmarkEnd w:id="486"/>
      <w:bookmarkEnd w:id="487"/>
      <w:bookmarkEnd w:id="488"/>
    </w:p>
    <w:p w14:paraId="5616B8EC">
      <w:pPr>
        <w:spacing w:line="360" w:lineRule="auto"/>
        <w:rPr>
          <w:rFonts w:ascii="Times New Roman" w:hAnsi="Times New Roman" w:eastAsia="宋体" w:cs="Times New Roman"/>
          <w:highlight w:val="none"/>
        </w:rPr>
      </w:pPr>
    </w:p>
    <w:p w14:paraId="3CB94BF3">
      <w:pPr>
        <w:spacing w:line="360" w:lineRule="auto"/>
        <w:rPr>
          <w:rFonts w:ascii="Times New Roman" w:hAnsi="Times New Roman" w:eastAsia="宋体" w:cs="Times New Roman"/>
          <w:highlight w:val="none"/>
        </w:rPr>
      </w:pPr>
    </w:p>
    <w:p w14:paraId="182A105B">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供应商名称：</w:t>
      </w:r>
      <w:r>
        <w:rPr>
          <w:rFonts w:ascii="Times New Roman" w:hAnsi="Times New Roman" w:eastAsia="宋体" w:cs="Times New Roman"/>
          <w:szCs w:val="21"/>
          <w:highlight w:val="none"/>
          <w:u w:val="single"/>
        </w:rPr>
        <w:t xml:space="preserve">                                         </w:t>
      </w:r>
    </w:p>
    <w:p w14:paraId="5EB8CB05">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单位性质：</w:t>
      </w:r>
      <w:r>
        <w:rPr>
          <w:rFonts w:ascii="Times New Roman" w:hAnsi="Times New Roman" w:eastAsia="宋体" w:cs="Times New Roman"/>
          <w:szCs w:val="21"/>
          <w:highlight w:val="none"/>
          <w:u w:val="single"/>
        </w:rPr>
        <w:t xml:space="preserve">                                           </w:t>
      </w:r>
    </w:p>
    <w:p w14:paraId="3110E0AB">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地址：</w:t>
      </w:r>
      <w:r>
        <w:rPr>
          <w:rFonts w:ascii="Times New Roman" w:hAnsi="Times New Roman" w:eastAsia="宋体" w:cs="Times New Roman"/>
          <w:szCs w:val="21"/>
          <w:highlight w:val="none"/>
          <w:u w:val="single"/>
        </w:rPr>
        <w:t xml:space="preserve">                                               </w:t>
      </w:r>
    </w:p>
    <w:p w14:paraId="6A9A6E13">
      <w:pPr>
        <w:spacing w:line="54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成立时间：</w:t>
      </w:r>
      <w:r>
        <w:rPr>
          <w:rFonts w:ascii="Times New Roman" w:hAnsi="Times New Roman" w:eastAsia="宋体" w:cs="Times New Roman"/>
          <w:szCs w:val="21"/>
          <w:highlight w:val="none"/>
          <w:u w:val="single"/>
        </w:rPr>
        <w:t xml:space="preserve">          年        月        日</w:t>
      </w:r>
    </w:p>
    <w:p w14:paraId="6412FA4D">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经营期限：</w:t>
      </w:r>
      <w:r>
        <w:rPr>
          <w:rFonts w:ascii="Times New Roman" w:hAnsi="Times New Roman" w:eastAsia="宋体" w:cs="Times New Roman"/>
          <w:szCs w:val="21"/>
          <w:highlight w:val="none"/>
          <w:u w:val="single"/>
        </w:rPr>
        <w:t xml:space="preserve">                                           </w:t>
      </w:r>
    </w:p>
    <w:p w14:paraId="5019CE04">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姓名：</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；性别：</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w:t>
      </w:r>
    </w:p>
    <w:p w14:paraId="4E512A9C">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年龄：</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；职务：</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；身份证号码：</w:t>
      </w:r>
      <w:r>
        <w:rPr>
          <w:rFonts w:ascii="Times New Roman" w:hAnsi="Times New Roman" w:eastAsia="宋体" w:cs="Times New Roman"/>
          <w:szCs w:val="21"/>
          <w:highlight w:val="none"/>
          <w:u w:val="single"/>
        </w:rPr>
        <w:t xml:space="preserve">                                      </w:t>
      </w:r>
    </w:p>
    <w:p w14:paraId="3F31FBEA">
      <w:pPr>
        <w:spacing w:line="5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系</w:t>
      </w:r>
      <w:r>
        <w:rPr>
          <w:rFonts w:ascii="Times New Roman" w:hAnsi="Times New Roman" w:eastAsia="宋体" w:cs="Times New Roman"/>
          <w:szCs w:val="21"/>
          <w:highlight w:val="none"/>
          <w:u w:val="single"/>
        </w:rPr>
        <w:t xml:space="preserve">                                      （ 供应商名称）</w:t>
      </w:r>
      <w:r>
        <w:rPr>
          <w:rFonts w:ascii="Times New Roman" w:hAnsi="Times New Roman" w:eastAsia="宋体" w:cs="Times New Roman"/>
          <w:szCs w:val="21"/>
          <w:highlight w:val="none"/>
        </w:rPr>
        <w:t>的法定代表人。</w:t>
      </w:r>
    </w:p>
    <w:p w14:paraId="5E47FE54">
      <w:pPr>
        <w:spacing w:line="540" w:lineRule="exact"/>
        <w:rPr>
          <w:rFonts w:ascii="Times New Roman" w:hAnsi="Times New Roman" w:eastAsia="宋体" w:cs="Times New Roman"/>
          <w:szCs w:val="21"/>
          <w:highlight w:val="none"/>
        </w:rPr>
      </w:pPr>
    </w:p>
    <w:p w14:paraId="15C0E5FD">
      <w:pPr>
        <w:spacing w:line="540" w:lineRule="exact"/>
        <w:ind w:firstLine="420" w:firstLineChars="200"/>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特此证明。</w:t>
      </w:r>
    </w:p>
    <w:p w14:paraId="6A90AC7C">
      <w:pPr>
        <w:spacing w:line="360" w:lineRule="auto"/>
        <w:ind w:firstLine="420" w:firstLineChars="200"/>
        <w:rPr>
          <w:rFonts w:hint="eastAsia" w:ascii="Times New Roman" w:hAnsi="Times New Roman" w:eastAsia="宋体" w:cs="Times New Roman"/>
          <w:szCs w:val="21"/>
          <w:highlight w:val="none"/>
        </w:rPr>
      </w:pPr>
    </w:p>
    <w:p w14:paraId="6EA0A6CD">
      <w:pPr>
        <w:spacing w:line="360" w:lineRule="auto"/>
        <w:ind w:firstLine="4830" w:firstLineChars="2300"/>
        <w:rPr>
          <w:rFonts w:ascii="Times New Roman" w:hAnsi="Times New Roman" w:eastAsia="宋体" w:cs="Times New Roman"/>
          <w:color w:val="000000"/>
          <w:szCs w:val="21"/>
          <w:highlight w:val="none"/>
        </w:rPr>
      </w:pPr>
      <w:r>
        <w:rPr>
          <w:rFonts w:ascii="Times New Roman" w:hAnsi="Times New Roman" w:eastAsia="宋体" w:cs="Times New Roman"/>
          <w:szCs w:val="21"/>
          <w:highlight w:val="none"/>
        </w:rPr>
        <w:t>供应商</w:t>
      </w:r>
      <w:r>
        <w:rPr>
          <w:rFonts w:hint="eastAsia" w:ascii="Times New Roman" w:hAnsi="Times New Roman" w:eastAsia="宋体" w:cs="Times New Roman"/>
          <w:szCs w:val="21"/>
          <w:highlight w:val="none"/>
        </w:rPr>
        <w:t>名称（电子签章）</w:t>
      </w:r>
      <w:r>
        <w:rPr>
          <w:rFonts w:ascii="Times New Roman" w:hAnsi="Times New Roman" w:eastAsia="宋体" w:cs="Times New Roman"/>
          <w:szCs w:val="21"/>
          <w:highlight w:val="none"/>
        </w:rPr>
        <w:t>：</w:t>
      </w:r>
      <w:r>
        <w:rPr>
          <w:rFonts w:ascii="Times New Roman" w:hAnsi="Times New Roman" w:eastAsia="宋体" w:cs="Times New Roman"/>
          <w:szCs w:val="21"/>
          <w:highlight w:val="none"/>
          <w:u w:val="single"/>
        </w:rPr>
        <w:t xml:space="preserve">                </w:t>
      </w:r>
    </w:p>
    <w:p w14:paraId="01B243C4">
      <w:pPr>
        <w:spacing w:line="360" w:lineRule="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年       月       日 </w:t>
      </w:r>
    </w:p>
    <w:p w14:paraId="73DCA6CE">
      <w:pPr>
        <w:spacing w:line="360" w:lineRule="auto"/>
        <w:ind w:firstLine="420" w:firstLineChars="200"/>
        <w:rPr>
          <w:rFonts w:ascii="Times New Roman" w:hAnsi="Times New Roman" w:eastAsia="宋体" w:cs="Times New Roman"/>
          <w:szCs w:val="21"/>
          <w:highlight w:val="none"/>
        </w:rPr>
      </w:pPr>
    </w:p>
    <w:p w14:paraId="5B039AC1">
      <w:pP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t>附件：法定代表人身份证</w:t>
      </w:r>
      <w:r>
        <w:rPr>
          <w:rFonts w:hint="eastAsia" w:ascii="Times New Roman" w:hAnsi="Times New Roman" w:eastAsia="宋体" w:cs="Times New Roman"/>
          <w:szCs w:val="21"/>
          <w:highlight w:val="none"/>
        </w:rPr>
        <w:t>扫描件</w:t>
      </w:r>
    </w:p>
    <w:p w14:paraId="36EFA92A">
      <w:pPr>
        <w:spacing w:line="360" w:lineRule="auto"/>
        <w:rPr>
          <w:rFonts w:ascii="Times New Roman" w:hAnsi="Times New Roman" w:eastAsia="宋体" w:cs="Times New Roman"/>
          <w:color w:val="000000"/>
          <w:szCs w:val="21"/>
          <w:highlight w:val="none"/>
        </w:rPr>
      </w:pPr>
    </w:p>
    <w:p w14:paraId="193DF0B6">
      <w:pPr>
        <w:snapToGrid w:val="0"/>
        <w:spacing w:before="120" w:beforeLines="50" w:after="50" w:line="360" w:lineRule="exact"/>
        <w:rPr>
          <w:rFonts w:ascii="Times New Roman" w:hAnsi="Times New Roman" w:eastAsia="宋体" w:cs="Times New Roman"/>
          <w:b/>
          <w:szCs w:val="21"/>
          <w:highlight w:val="none"/>
        </w:rPr>
      </w:pPr>
      <w:r>
        <w:rPr>
          <w:rFonts w:ascii="Times New Roman" w:hAnsi="Times New Roman" w:eastAsia="宋体" w:cs="Times New Roman"/>
          <w:b/>
          <w:szCs w:val="21"/>
          <w:highlight w:val="none"/>
        </w:rPr>
        <w:br w:type="page"/>
      </w:r>
      <w:r>
        <w:rPr>
          <w:rFonts w:hint="eastAsia" w:ascii="Times New Roman" w:hAnsi="Times New Roman" w:eastAsia="宋体" w:cs="Times New Roman"/>
          <w:b/>
          <w:szCs w:val="21"/>
          <w:highlight w:val="none"/>
          <w:lang w:val="en-US" w:eastAsia="zh-CN"/>
        </w:rPr>
        <w:t>1</w:t>
      </w:r>
      <w:r>
        <w:rPr>
          <w:rFonts w:ascii="Times New Roman" w:hAnsi="Times New Roman" w:eastAsia="宋体" w:cs="Times New Roman"/>
          <w:b/>
          <w:szCs w:val="21"/>
          <w:highlight w:val="none"/>
        </w:rPr>
        <w:t>．</w:t>
      </w:r>
      <w:r>
        <w:rPr>
          <w:rFonts w:hint="eastAsia" w:ascii="Times New Roman" w:hAnsi="Times New Roman" w:eastAsia="宋体" w:cs="Times New Roman"/>
          <w:b/>
          <w:szCs w:val="21"/>
          <w:highlight w:val="none"/>
        </w:rPr>
        <w:t>授权</w:t>
      </w:r>
      <w:r>
        <w:rPr>
          <w:rFonts w:ascii="Times New Roman" w:hAnsi="Times New Roman" w:eastAsia="宋体" w:cs="Times New Roman"/>
          <w:b/>
          <w:szCs w:val="21"/>
          <w:highlight w:val="none"/>
        </w:rPr>
        <w:t>委托书</w:t>
      </w:r>
      <w:r>
        <w:rPr>
          <w:rFonts w:hint="eastAsia" w:ascii="Times New Roman" w:hAnsi="Times New Roman" w:eastAsia="宋体" w:cs="Times New Roman"/>
          <w:b/>
          <w:szCs w:val="21"/>
          <w:highlight w:val="none"/>
        </w:rPr>
        <w:t>（有授权</w:t>
      </w:r>
      <w:r>
        <w:rPr>
          <w:rFonts w:ascii="Times New Roman" w:hAnsi="Times New Roman" w:eastAsia="宋体" w:cs="Times New Roman"/>
          <w:b/>
          <w:szCs w:val="21"/>
          <w:highlight w:val="none"/>
        </w:rPr>
        <w:t>代表</w:t>
      </w:r>
      <w:r>
        <w:rPr>
          <w:rFonts w:hint="eastAsia" w:ascii="Times New Roman" w:hAnsi="Times New Roman" w:eastAsia="宋体" w:cs="Times New Roman"/>
          <w:b/>
          <w:szCs w:val="21"/>
          <w:highlight w:val="none"/>
        </w:rPr>
        <w:t>时提供）</w:t>
      </w:r>
      <w:r>
        <w:rPr>
          <w:rFonts w:ascii="Times New Roman" w:hAnsi="Times New Roman" w:eastAsia="宋体" w:cs="Times New Roman"/>
          <w:b/>
          <w:szCs w:val="21"/>
          <w:highlight w:val="none"/>
        </w:rPr>
        <w:t>：</w:t>
      </w:r>
    </w:p>
    <w:p w14:paraId="04EE697C">
      <w:pPr>
        <w:snapToGrid w:val="0"/>
        <w:spacing w:before="120" w:beforeLines="50" w:after="50" w:line="360" w:lineRule="exact"/>
        <w:rPr>
          <w:rFonts w:ascii="Times New Roman" w:hAnsi="Times New Roman" w:eastAsia="宋体" w:cs="Times New Roman"/>
          <w:b/>
          <w:szCs w:val="21"/>
          <w:highlight w:val="none"/>
        </w:rPr>
      </w:pPr>
    </w:p>
    <w:p w14:paraId="533FB60C">
      <w:pPr>
        <w:snapToGrid w:val="0"/>
        <w:spacing w:before="120" w:beforeLines="50" w:after="50" w:line="440" w:lineRule="exact"/>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法定代表人授权委托书</w:t>
      </w:r>
    </w:p>
    <w:p w14:paraId="1C643E6A">
      <w:pPr>
        <w:snapToGrid w:val="0"/>
        <w:spacing w:before="120" w:beforeLines="50" w:after="50" w:line="440" w:lineRule="exact"/>
        <w:rPr>
          <w:rFonts w:ascii="Times New Roman" w:hAnsi="Times New Roman" w:eastAsia="宋体" w:cs="Times New Roman"/>
          <w:b/>
          <w:bCs/>
          <w:szCs w:val="21"/>
          <w:highlight w:val="none"/>
        </w:rPr>
      </w:pPr>
      <w:r>
        <w:rPr>
          <w:rFonts w:ascii="Times New Roman" w:hAnsi="Times New Roman" w:eastAsia="宋体" w:cs="Times New Roman"/>
          <w:bCs/>
          <w:szCs w:val="21"/>
          <w:highlight w:val="none"/>
        </w:rPr>
        <w:t>致：</w:t>
      </w:r>
      <w:r>
        <w:rPr>
          <w:rFonts w:ascii="Times New Roman" w:hAnsi="Times New Roman" w:eastAsia="宋体" w:cs="Times New Roman"/>
          <w:i/>
          <w:iCs/>
          <w:szCs w:val="21"/>
          <w:highlight w:val="none"/>
          <w:u w:val="single"/>
        </w:rPr>
        <w:t>（采购</w:t>
      </w:r>
      <w:r>
        <w:rPr>
          <w:rFonts w:hint="eastAsia" w:ascii="Times New Roman" w:hAnsi="Times New Roman" w:eastAsia="宋体" w:cs="Times New Roman"/>
          <w:i/>
          <w:iCs/>
          <w:szCs w:val="21"/>
          <w:highlight w:val="none"/>
          <w:u w:val="single"/>
        </w:rPr>
        <w:t>人</w:t>
      </w:r>
      <w:r>
        <w:rPr>
          <w:rFonts w:ascii="Times New Roman" w:hAnsi="Times New Roman" w:eastAsia="宋体" w:cs="Times New Roman"/>
          <w:i/>
          <w:iCs/>
          <w:szCs w:val="21"/>
          <w:highlight w:val="none"/>
          <w:u w:val="single"/>
        </w:rPr>
        <w:t>名称）</w:t>
      </w:r>
      <w:r>
        <w:rPr>
          <w:rFonts w:ascii="Times New Roman" w:hAnsi="Times New Roman" w:eastAsia="宋体" w:cs="Times New Roman"/>
          <w:szCs w:val="21"/>
          <w:highlight w:val="none"/>
        </w:rPr>
        <w:t>：</w:t>
      </w:r>
    </w:p>
    <w:p w14:paraId="398B28A4">
      <w:pPr>
        <w:snapToGrid w:val="0"/>
        <w:spacing w:before="120" w:beforeLines="50" w:after="50" w:line="440" w:lineRule="exact"/>
        <w:ind w:firstLine="420" w:firstLineChars="200"/>
        <w:rPr>
          <w:rFonts w:ascii="Times New Roman" w:hAnsi="Times New Roman" w:eastAsia="宋体" w:cs="Times New Roman"/>
          <w:szCs w:val="21"/>
          <w:highlight w:val="none"/>
        </w:rPr>
      </w:pPr>
      <w:r>
        <w:rPr>
          <w:rFonts w:ascii="Times New Roman" w:hAnsi="Times New Roman" w:eastAsia="宋体" w:cs="Times New Roman"/>
          <w:szCs w:val="21"/>
          <w:highlight w:val="none"/>
        </w:rPr>
        <w:t>我</w:t>
      </w:r>
      <w:r>
        <w:rPr>
          <w:rFonts w:ascii="Times New Roman" w:hAnsi="Times New Roman" w:eastAsia="宋体" w:cs="Times New Roman"/>
          <w:i/>
          <w:iCs/>
          <w:szCs w:val="21"/>
          <w:highlight w:val="none"/>
          <w:u w:val="single"/>
        </w:rPr>
        <w:t>（</w:t>
      </w:r>
      <w:r>
        <w:rPr>
          <w:rFonts w:hint="eastAsia" w:ascii="Times New Roman" w:hAnsi="Times New Roman" w:eastAsia="宋体" w:cs="Times New Roman"/>
          <w:i/>
          <w:iCs/>
          <w:szCs w:val="21"/>
          <w:highlight w:val="none"/>
          <w:u w:val="single"/>
        </w:rPr>
        <w:t>姓名</w:t>
      </w:r>
      <w:r>
        <w:rPr>
          <w:rFonts w:ascii="Times New Roman" w:hAnsi="Times New Roman" w:eastAsia="宋体" w:cs="Times New Roman"/>
          <w:i/>
          <w:iCs/>
          <w:szCs w:val="21"/>
          <w:highlight w:val="none"/>
          <w:u w:val="single"/>
        </w:rPr>
        <w:t>）</w:t>
      </w:r>
      <w:r>
        <w:rPr>
          <w:rFonts w:ascii="Times New Roman" w:hAnsi="Times New Roman" w:eastAsia="宋体" w:cs="Times New Roman"/>
          <w:szCs w:val="21"/>
          <w:highlight w:val="none"/>
        </w:rPr>
        <w:t>系</w:t>
      </w:r>
      <w:r>
        <w:rPr>
          <w:rFonts w:ascii="Times New Roman" w:hAnsi="Times New Roman" w:eastAsia="宋体" w:cs="Times New Roman"/>
          <w:i/>
          <w:iCs/>
          <w:szCs w:val="21"/>
          <w:highlight w:val="none"/>
          <w:u w:val="single"/>
        </w:rPr>
        <w:t>（供应商名称）</w:t>
      </w:r>
      <w:r>
        <w:rPr>
          <w:rFonts w:ascii="Times New Roman" w:hAnsi="Times New Roman" w:eastAsia="宋体" w:cs="Times New Roman"/>
          <w:szCs w:val="21"/>
          <w:highlight w:val="none"/>
        </w:rPr>
        <w:t>的法定代表人，现授权委托本单位在职职工</w:t>
      </w:r>
      <w:r>
        <w:rPr>
          <w:rFonts w:ascii="Times New Roman" w:hAnsi="Times New Roman" w:eastAsia="宋体" w:cs="Times New Roman"/>
          <w:i/>
          <w:szCs w:val="21"/>
          <w:highlight w:val="none"/>
          <w:u w:val="single"/>
        </w:rPr>
        <w:t>（姓名）</w:t>
      </w:r>
      <w:r>
        <w:rPr>
          <w:rFonts w:ascii="Times New Roman" w:hAnsi="Times New Roman" w:eastAsia="宋体" w:cs="Times New Roman"/>
          <w:szCs w:val="21"/>
          <w:highlight w:val="none"/>
        </w:rPr>
        <w:t>以我方的名义参加</w:t>
      </w:r>
      <w:r>
        <w:rPr>
          <w:rFonts w:ascii="Times New Roman" w:hAnsi="Times New Roman" w:eastAsia="宋体" w:cs="Times New Roman"/>
          <w:szCs w:val="21"/>
          <w:highlight w:val="none"/>
          <w:u w:val="single"/>
        </w:rPr>
        <w:t xml:space="preserve"> </w:t>
      </w:r>
      <w:r>
        <w:rPr>
          <w:rFonts w:hint="eastAsia" w:ascii="Times New Roman" w:hAnsi="Times New Roman" w:eastAsia="宋体" w:cs="Times New Roman"/>
          <w:i/>
          <w:iCs/>
          <w:szCs w:val="21"/>
          <w:highlight w:val="none"/>
          <w:u w:val="single"/>
        </w:rPr>
        <w:t>（项目名称）</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项目的磋商活动，并代表我方全权办理针对上述项目的磋商、截标、评审、签约等具体事务和签署相关文件。</w:t>
      </w:r>
    </w:p>
    <w:p w14:paraId="49188FE6">
      <w:pPr>
        <w:snapToGrid w:val="0"/>
        <w:spacing w:before="120" w:beforeLines="50" w:after="50"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我方对被授权人的签名事项负全部责任。</w:t>
      </w:r>
    </w:p>
    <w:p w14:paraId="1F12396F">
      <w:pPr>
        <w:snapToGrid w:val="0"/>
        <w:spacing w:before="120" w:beforeLines="50" w:after="50" w:line="440" w:lineRule="exact"/>
        <w:ind w:firstLine="480"/>
        <w:rPr>
          <w:rFonts w:ascii="Times New Roman" w:hAnsi="Times New Roman" w:eastAsia="宋体" w:cs="Times New Roman"/>
          <w:szCs w:val="21"/>
          <w:highlight w:val="none"/>
        </w:rPr>
      </w:pPr>
      <w:r>
        <w:rPr>
          <w:rFonts w:ascii="Times New Roman" w:hAnsi="Times New Roman" w:eastAsia="宋体" w:cs="Times New Roman"/>
          <w:szCs w:val="21"/>
          <w:highlight w:val="none"/>
        </w:rPr>
        <w:t>在撤销授权的书面通知以前，本授权书一直有效。被授权人在授权书有效期内签署的所有文件不因授权的撤销而失效。</w:t>
      </w:r>
    </w:p>
    <w:p w14:paraId="27A63DB1">
      <w:pPr>
        <w:snapToGrid w:val="0"/>
        <w:spacing w:before="120" w:beforeLines="50" w:after="50" w:line="440" w:lineRule="exact"/>
        <w:ind w:firstLine="480"/>
        <w:rPr>
          <w:rFonts w:ascii="Times New Roman" w:hAnsi="Times New Roman" w:eastAsia="宋体" w:cs="Times New Roman"/>
          <w:szCs w:val="21"/>
          <w:highlight w:val="none"/>
        </w:rPr>
      </w:pPr>
      <w:r>
        <w:rPr>
          <w:rFonts w:ascii="Times New Roman" w:hAnsi="Times New Roman" w:eastAsia="宋体" w:cs="Times New Roman"/>
          <w:szCs w:val="21"/>
          <w:highlight w:val="none"/>
        </w:rPr>
        <w:t>被授权人无转委托权，特此委托。</w:t>
      </w:r>
    </w:p>
    <w:p w14:paraId="56150CAA">
      <w:pPr>
        <w:snapToGrid w:val="0"/>
        <w:spacing w:before="120" w:beforeLines="50" w:after="50" w:line="44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被授权人</w:t>
      </w:r>
      <w:bookmarkStart w:id="489" w:name="_Hlk89190805"/>
      <w:r>
        <w:rPr>
          <w:rFonts w:ascii="Times New Roman" w:hAnsi="Times New Roman" w:eastAsia="宋体" w:cs="Times New Roman"/>
          <w:szCs w:val="21"/>
          <w:highlight w:val="none"/>
        </w:rPr>
        <w:t>签名或</w:t>
      </w:r>
      <w:r>
        <w:rPr>
          <w:rFonts w:hint="eastAsia" w:ascii="Times New Roman" w:hAnsi="Times New Roman" w:eastAsia="宋体" w:cs="Times New Roman"/>
          <w:szCs w:val="21"/>
          <w:highlight w:val="none"/>
        </w:rPr>
        <w:t>签章</w:t>
      </w:r>
      <w:bookmarkEnd w:id="489"/>
      <w:r>
        <w:rPr>
          <w:rFonts w:ascii="Times New Roman" w:hAnsi="Times New Roman" w:eastAsia="宋体" w:cs="Times New Roman"/>
          <w:szCs w:val="21"/>
          <w:highlight w:val="none"/>
        </w:rPr>
        <w:t>：</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法定代表人签名或</w:t>
      </w:r>
      <w:r>
        <w:rPr>
          <w:rFonts w:hint="eastAsia" w:ascii="Times New Roman" w:hAnsi="Times New Roman" w:eastAsia="宋体" w:cs="Times New Roman"/>
          <w:szCs w:val="21"/>
          <w:highlight w:val="none"/>
        </w:rPr>
        <w:t>签章</w:t>
      </w:r>
      <w:r>
        <w:rPr>
          <w:rFonts w:ascii="Times New Roman" w:hAnsi="Times New Roman" w:eastAsia="宋体" w:cs="Times New Roman"/>
          <w:szCs w:val="21"/>
          <w:highlight w:val="none"/>
        </w:rPr>
        <w:t>：</w:t>
      </w:r>
      <w:r>
        <w:rPr>
          <w:rFonts w:ascii="Times New Roman" w:hAnsi="Times New Roman" w:eastAsia="宋体" w:cs="Times New Roman"/>
          <w:szCs w:val="21"/>
          <w:highlight w:val="none"/>
          <w:u w:val="single"/>
        </w:rPr>
        <w:t xml:space="preserve">          </w:t>
      </w:r>
    </w:p>
    <w:p w14:paraId="524CDD09">
      <w:pPr>
        <w:snapToGrid w:val="0"/>
        <w:spacing w:before="120" w:beforeLines="50" w:after="50"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职务：</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职务：</w:t>
      </w:r>
      <w:r>
        <w:rPr>
          <w:rFonts w:ascii="Times New Roman" w:hAnsi="Times New Roman" w:eastAsia="宋体" w:cs="Times New Roman"/>
          <w:szCs w:val="21"/>
          <w:highlight w:val="none"/>
          <w:u w:val="single"/>
        </w:rPr>
        <w:t xml:space="preserve">           </w:t>
      </w:r>
    </w:p>
    <w:p w14:paraId="5A8233CE">
      <w:pPr>
        <w:snapToGrid w:val="0"/>
        <w:spacing w:before="120" w:beforeLines="50" w:after="50" w:line="440" w:lineRule="exact"/>
        <w:rPr>
          <w:rFonts w:ascii="Times New Roman" w:hAnsi="Times New Roman" w:eastAsia="宋体" w:cs="Times New Roman"/>
          <w:szCs w:val="21"/>
          <w:highlight w:val="none"/>
          <w:u w:val="single"/>
        </w:rPr>
      </w:pPr>
      <w:r>
        <w:rPr>
          <w:rFonts w:ascii="Times New Roman" w:hAnsi="Times New Roman" w:eastAsia="宋体" w:cs="Times New Roman"/>
          <w:szCs w:val="21"/>
          <w:highlight w:val="none"/>
        </w:rPr>
        <w:t>被授权人身份证号码：</w:t>
      </w:r>
      <w:r>
        <w:rPr>
          <w:rFonts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rPr>
        <w:t xml:space="preserve">            授权人身份证号码：</w:t>
      </w:r>
      <w:r>
        <w:rPr>
          <w:rFonts w:ascii="Times New Roman" w:hAnsi="Times New Roman" w:eastAsia="宋体" w:cs="Times New Roman"/>
          <w:szCs w:val="21"/>
          <w:highlight w:val="none"/>
          <w:u w:val="single"/>
        </w:rPr>
        <w:t xml:space="preserve">                 </w:t>
      </w:r>
    </w:p>
    <w:p w14:paraId="3D9C3AD5">
      <w:pPr>
        <w:snapToGrid w:val="0"/>
        <w:spacing w:before="120" w:beforeLines="50" w:after="50" w:line="440" w:lineRule="exact"/>
        <w:rPr>
          <w:rFonts w:ascii="Times New Roman" w:hAnsi="Times New Roman" w:eastAsia="宋体" w:cs="Times New Roman"/>
          <w:szCs w:val="21"/>
          <w:highlight w:val="none"/>
          <w:u w:val="single"/>
        </w:rPr>
      </w:pPr>
      <w:bookmarkStart w:id="490" w:name="_Hlk133576837"/>
      <w:r>
        <w:rPr>
          <w:rFonts w:hint="eastAsia" w:ascii="Times New Roman" w:hAnsi="Times New Roman" w:eastAsia="宋体" w:cs="Times New Roman"/>
          <w:szCs w:val="21"/>
          <w:highlight w:val="none"/>
        </w:rPr>
        <w:t>被授权人</w:t>
      </w:r>
      <w:bookmarkStart w:id="491" w:name="_Hlk132793041"/>
      <w:r>
        <w:rPr>
          <w:rFonts w:hint="eastAsia" w:ascii="Times New Roman" w:hAnsi="Times New Roman" w:eastAsia="宋体" w:cs="Times New Roman"/>
          <w:szCs w:val="21"/>
          <w:highlight w:val="none"/>
        </w:rPr>
        <w:t>手机号码及邮箱：</w:t>
      </w:r>
      <w:bookmarkEnd w:id="491"/>
      <w:r>
        <w:rPr>
          <w:rFonts w:hint="eastAsia" w:ascii="Times New Roman" w:hAnsi="Times New Roman" w:eastAsia="宋体" w:cs="Times New Roman"/>
          <w:szCs w:val="21"/>
          <w:highlight w:val="none"/>
          <w:u w:val="single"/>
        </w:rPr>
        <w:t xml:space="preserve"> </w:t>
      </w:r>
      <w:r>
        <w:rPr>
          <w:rFonts w:ascii="Times New Roman" w:hAnsi="Times New Roman" w:eastAsia="宋体" w:cs="Times New Roman"/>
          <w:szCs w:val="21"/>
          <w:highlight w:val="none"/>
          <w:u w:val="single"/>
        </w:rPr>
        <w:t xml:space="preserve">        </w:t>
      </w:r>
    </w:p>
    <w:bookmarkEnd w:id="490"/>
    <w:p w14:paraId="6EA2760F">
      <w:pPr>
        <w:snapToGrid w:val="0"/>
        <w:spacing w:before="120" w:beforeLines="50" w:after="50" w:line="440" w:lineRule="exact"/>
        <w:rPr>
          <w:rFonts w:ascii="Times New Roman" w:hAnsi="Times New Roman" w:eastAsia="宋体" w:cs="Times New Roman"/>
          <w:szCs w:val="21"/>
          <w:highlight w:val="none"/>
        </w:rPr>
      </w:pPr>
    </w:p>
    <w:p w14:paraId="69D7B6C9">
      <w:pPr>
        <w:snapToGrid w:val="0"/>
        <w:spacing w:before="120" w:beforeLines="50" w:after="50" w:line="440" w:lineRule="exact"/>
        <w:rPr>
          <w:rFonts w:hint="eastAsia" w:ascii="Times New Roman" w:hAnsi="Times New Roman" w:eastAsia="宋体" w:cs="Times New Roman"/>
          <w:szCs w:val="21"/>
          <w:highlight w:val="none"/>
        </w:rPr>
      </w:pPr>
    </w:p>
    <w:p w14:paraId="1E66C829">
      <w:pPr>
        <w:snapToGrid w:val="0"/>
        <w:spacing w:before="120" w:beforeLines="50" w:after="50" w:line="440" w:lineRule="exact"/>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w:t>
      </w:r>
    </w:p>
    <w:p w14:paraId="71307438">
      <w:pPr>
        <w:snapToGrid w:val="0"/>
        <w:spacing w:before="120" w:beforeLines="50" w:after="50" w:line="440" w:lineRule="exact"/>
        <w:ind w:firstLine="5670" w:firstLineChars="2700"/>
        <w:rPr>
          <w:rFonts w:ascii="Times New Roman" w:hAnsi="Times New Roman" w:eastAsia="宋体" w:cs="Times New Roman"/>
          <w:szCs w:val="21"/>
          <w:highlight w:val="none"/>
        </w:rPr>
      </w:pPr>
      <w:r>
        <w:rPr>
          <w:rFonts w:ascii="Times New Roman" w:hAnsi="Times New Roman" w:eastAsia="宋体" w:cs="Times New Roman"/>
          <w:szCs w:val="21"/>
          <w:highlight w:val="none"/>
        </w:rPr>
        <w:t>供应商</w:t>
      </w:r>
      <w:r>
        <w:rPr>
          <w:rFonts w:hint="eastAsia" w:ascii="Times New Roman" w:hAnsi="Times New Roman" w:eastAsia="宋体" w:cs="Times New Roman"/>
          <w:szCs w:val="21"/>
          <w:highlight w:val="none"/>
        </w:rPr>
        <w:t>名称（电子签章）</w:t>
      </w:r>
      <w:r>
        <w:rPr>
          <w:rFonts w:ascii="Times New Roman" w:hAnsi="Times New Roman" w:eastAsia="宋体" w:cs="Times New Roman"/>
          <w:szCs w:val="21"/>
          <w:highlight w:val="none"/>
        </w:rPr>
        <w:t>：</w:t>
      </w:r>
      <w:r>
        <w:rPr>
          <w:rFonts w:ascii="Times New Roman" w:hAnsi="Times New Roman" w:eastAsia="宋体" w:cs="Times New Roman"/>
          <w:szCs w:val="21"/>
          <w:highlight w:val="none"/>
          <w:u w:val="single"/>
        </w:rPr>
        <w:t xml:space="preserve">                </w:t>
      </w:r>
    </w:p>
    <w:p w14:paraId="4279E8E9">
      <w:pPr>
        <w:snapToGrid w:val="0"/>
        <w:spacing w:before="120" w:beforeLines="50" w:after="50" w:line="440" w:lineRule="exact"/>
        <w:jc w:val="center"/>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                                        年    月    日</w:t>
      </w:r>
    </w:p>
    <w:p w14:paraId="7A1FC5D1">
      <w:pPr>
        <w:spacing w:line="360" w:lineRule="auto"/>
        <w:rPr>
          <w:rFonts w:ascii="Times New Roman" w:hAnsi="Times New Roman" w:eastAsia="宋体" w:cs="Times New Roman"/>
          <w:szCs w:val="21"/>
          <w:highlight w:val="none"/>
        </w:rPr>
      </w:pPr>
      <w:r>
        <w:rPr>
          <w:rFonts w:ascii="Times New Roman" w:hAnsi="Times New Roman" w:eastAsia="宋体" w:cs="Times New Roman"/>
          <w:szCs w:val="21"/>
          <w:highlight w:val="none"/>
        </w:rPr>
        <w:t>附件：法定代表人身份证</w:t>
      </w:r>
      <w:r>
        <w:rPr>
          <w:rFonts w:hint="eastAsia" w:ascii="Times New Roman" w:hAnsi="Times New Roman" w:eastAsia="宋体" w:cs="Times New Roman"/>
          <w:szCs w:val="21"/>
          <w:highlight w:val="none"/>
        </w:rPr>
        <w:t>扫描件</w:t>
      </w:r>
      <w:r>
        <w:rPr>
          <w:rFonts w:ascii="Times New Roman" w:hAnsi="Times New Roman" w:eastAsia="宋体" w:cs="Times New Roman"/>
          <w:szCs w:val="21"/>
          <w:highlight w:val="none"/>
        </w:rPr>
        <w:t>及授权代表身份证</w:t>
      </w:r>
      <w:r>
        <w:rPr>
          <w:rFonts w:hint="eastAsia" w:ascii="Times New Roman" w:hAnsi="Times New Roman" w:eastAsia="宋体" w:cs="Times New Roman"/>
          <w:szCs w:val="21"/>
          <w:highlight w:val="none"/>
        </w:rPr>
        <w:t>扫描件</w:t>
      </w:r>
    </w:p>
    <w:p w14:paraId="736D0A2A">
      <w:pPr>
        <w:snapToGrid w:val="0"/>
        <w:spacing w:before="120" w:beforeLines="50" w:after="50" w:line="440" w:lineRule="exact"/>
        <w:jc w:val="center"/>
        <w:outlineLvl w:val="1"/>
        <w:rPr>
          <w:bCs/>
          <w:sz w:val="24"/>
          <w:highlight w:val="none"/>
        </w:rPr>
      </w:pPr>
    </w:p>
    <w:p w14:paraId="68515D1C">
      <w:pPr>
        <w:snapToGrid w:val="0"/>
        <w:spacing w:before="50" w:after="120" w:afterLines="50"/>
        <w:jc w:val="left"/>
        <w:rPr>
          <w:color w:val="auto"/>
          <w:szCs w:val="21"/>
          <w:highlight w:val="none"/>
        </w:rPr>
      </w:pPr>
      <w:r>
        <w:rPr>
          <w:rFonts w:hint="eastAsia"/>
          <w:color w:val="4472C4"/>
          <w:szCs w:val="21"/>
          <w:highlight w:val="none"/>
        </w:rPr>
        <w:br w:type="page"/>
      </w:r>
      <w:r>
        <w:rPr>
          <w:rFonts w:hint="eastAsia"/>
          <w:color w:val="auto"/>
          <w:szCs w:val="21"/>
          <w:highlight w:val="none"/>
          <w:lang w:val="en-US" w:eastAsia="zh-CN"/>
        </w:rPr>
        <w:t>2</w:t>
      </w:r>
      <w:r>
        <w:rPr>
          <w:color w:val="auto"/>
          <w:szCs w:val="21"/>
          <w:highlight w:val="none"/>
        </w:rPr>
        <w:t>.供应商可根据采购文件、图纸及对现场的勘察情况，编制施工组织设计，可参考以下提纲，也可自行编制</w:t>
      </w:r>
    </w:p>
    <w:p w14:paraId="2FF86DDD">
      <w:pPr>
        <w:snapToGrid w:val="0"/>
        <w:spacing w:before="50" w:after="120" w:afterLines="50"/>
        <w:jc w:val="left"/>
        <w:rPr>
          <w:rFonts w:hint="eastAsia"/>
          <w:color w:val="auto"/>
          <w:szCs w:val="21"/>
          <w:highlight w:val="none"/>
        </w:rPr>
      </w:pPr>
      <w:r>
        <w:rPr>
          <w:color w:val="auto"/>
          <w:szCs w:val="21"/>
          <w:highlight w:val="none"/>
        </w:rPr>
        <w:t>施工组织设计编制大纲：</w:t>
      </w:r>
    </w:p>
    <w:p w14:paraId="0B278600">
      <w:pPr>
        <w:spacing w:line="360" w:lineRule="auto"/>
        <w:ind w:firstLine="420" w:firstLineChars="200"/>
        <w:rPr>
          <w:rFonts w:hint="eastAsia"/>
          <w:color w:val="auto"/>
          <w:highlight w:val="none"/>
        </w:rPr>
      </w:pPr>
      <w:r>
        <w:rPr>
          <w:rFonts w:hint="eastAsia"/>
          <w:color w:val="auto"/>
          <w:highlight w:val="none"/>
        </w:rPr>
        <w:t>（1）概述</w:t>
      </w:r>
    </w:p>
    <w:p w14:paraId="32D12B2C">
      <w:pPr>
        <w:spacing w:line="360" w:lineRule="auto"/>
        <w:ind w:firstLine="420" w:firstLineChars="200"/>
        <w:rPr>
          <w:rFonts w:hint="eastAsia"/>
          <w:color w:val="auto"/>
          <w:highlight w:val="none"/>
        </w:rPr>
      </w:pPr>
      <w:r>
        <w:rPr>
          <w:rFonts w:hint="eastAsia"/>
          <w:color w:val="auto"/>
          <w:highlight w:val="none"/>
        </w:rPr>
        <w:t>（2）主要施工方法；</w:t>
      </w:r>
    </w:p>
    <w:p w14:paraId="48054EE3">
      <w:pPr>
        <w:spacing w:line="360" w:lineRule="auto"/>
        <w:ind w:firstLine="420" w:firstLineChars="200"/>
        <w:rPr>
          <w:color w:val="auto"/>
          <w:highlight w:val="none"/>
        </w:rPr>
      </w:pPr>
      <w:r>
        <w:rPr>
          <w:rFonts w:hint="eastAsia"/>
          <w:color w:val="auto"/>
          <w:highlight w:val="none"/>
        </w:rPr>
        <w:t>（3）拟投入的主要物资计划</w:t>
      </w:r>
    </w:p>
    <w:p w14:paraId="6DBF8871">
      <w:pPr>
        <w:spacing w:line="360" w:lineRule="auto"/>
        <w:ind w:firstLine="420" w:firstLineChars="200"/>
        <w:rPr>
          <w:rFonts w:hint="eastAsia"/>
          <w:color w:val="auto"/>
          <w:highlight w:val="none"/>
        </w:rPr>
      </w:pPr>
      <w:r>
        <w:rPr>
          <w:rFonts w:hint="eastAsia"/>
          <w:color w:val="auto"/>
          <w:highlight w:val="none"/>
        </w:rPr>
        <w:t>（4）</w:t>
      </w:r>
      <w:r>
        <w:rPr>
          <w:rFonts w:hint="eastAsia" w:cs="宋体"/>
          <w:color w:val="auto"/>
          <w:kern w:val="0"/>
          <w:highlight w:val="none"/>
        </w:rPr>
        <w:t>拟投入的主要施工机械、设备计划</w:t>
      </w:r>
    </w:p>
    <w:p w14:paraId="06C9A62B">
      <w:pPr>
        <w:spacing w:line="360" w:lineRule="auto"/>
        <w:ind w:firstLine="420" w:firstLineChars="200"/>
        <w:rPr>
          <w:rFonts w:hint="eastAsia"/>
          <w:color w:val="auto"/>
          <w:highlight w:val="none"/>
        </w:rPr>
      </w:pPr>
      <w:r>
        <w:rPr>
          <w:rFonts w:hint="eastAsia"/>
          <w:color w:val="auto"/>
          <w:highlight w:val="none"/>
        </w:rPr>
        <w:t>（5）劳动力安排计划；</w:t>
      </w:r>
    </w:p>
    <w:p w14:paraId="4C1FBDED">
      <w:pPr>
        <w:spacing w:line="360" w:lineRule="auto"/>
        <w:ind w:firstLine="420" w:firstLineChars="200"/>
        <w:rPr>
          <w:rFonts w:hint="eastAsia"/>
          <w:color w:val="auto"/>
          <w:highlight w:val="none"/>
        </w:rPr>
      </w:pPr>
      <w:r>
        <w:rPr>
          <w:rFonts w:hint="eastAsia"/>
          <w:color w:val="auto"/>
          <w:highlight w:val="none"/>
        </w:rPr>
        <w:t>（6）确保工程质量的技术组织措施；</w:t>
      </w:r>
    </w:p>
    <w:p w14:paraId="20C0F3DB">
      <w:pPr>
        <w:spacing w:line="360" w:lineRule="auto"/>
        <w:ind w:firstLine="420" w:firstLineChars="200"/>
        <w:rPr>
          <w:rFonts w:hint="eastAsia"/>
          <w:color w:val="auto"/>
          <w:highlight w:val="none"/>
        </w:rPr>
      </w:pPr>
      <w:r>
        <w:rPr>
          <w:rFonts w:hint="eastAsia"/>
          <w:color w:val="auto"/>
          <w:highlight w:val="none"/>
        </w:rPr>
        <w:t>（7）确保安全生产的技术组织措施；</w:t>
      </w:r>
    </w:p>
    <w:p w14:paraId="222CFC1E">
      <w:pPr>
        <w:spacing w:line="360" w:lineRule="auto"/>
        <w:ind w:firstLine="420" w:firstLineChars="200"/>
        <w:rPr>
          <w:rFonts w:hint="eastAsia"/>
          <w:color w:val="auto"/>
          <w:highlight w:val="none"/>
        </w:rPr>
      </w:pPr>
      <w:r>
        <w:rPr>
          <w:rFonts w:hint="eastAsia"/>
          <w:color w:val="auto"/>
          <w:highlight w:val="none"/>
        </w:rPr>
        <w:t>（8）确保工期的技术组织措施；</w:t>
      </w:r>
    </w:p>
    <w:p w14:paraId="1CE60170">
      <w:pPr>
        <w:spacing w:line="360" w:lineRule="auto"/>
        <w:ind w:firstLine="420" w:firstLineChars="200"/>
        <w:rPr>
          <w:rFonts w:hint="eastAsia"/>
          <w:color w:val="auto"/>
          <w:highlight w:val="none"/>
        </w:rPr>
      </w:pPr>
      <w:r>
        <w:rPr>
          <w:rFonts w:hint="eastAsia"/>
          <w:color w:val="auto"/>
          <w:highlight w:val="none"/>
        </w:rPr>
        <w:t>（9）确保文明施工的技术组织措施；</w:t>
      </w:r>
    </w:p>
    <w:p w14:paraId="7F2ED293">
      <w:pPr>
        <w:spacing w:line="360" w:lineRule="auto"/>
        <w:ind w:firstLine="420" w:firstLineChars="200"/>
        <w:rPr>
          <w:rFonts w:hint="eastAsia"/>
          <w:color w:val="auto"/>
          <w:highlight w:val="none"/>
        </w:rPr>
      </w:pPr>
      <w:r>
        <w:rPr>
          <w:rFonts w:hint="eastAsia"/>
          <w:color w:val="auto"/>
          <w:highlight w:val="none"/>
        </w:rPr>
        <w:t>（10）工程施工的重点和难点及保证措施；</w:t>
      </w:r>
    </w:p>
    <w:p w14:paraId="12A10EC0">
      <w:pPr>
        <w:spacing w:line="360" w:lineRule="auto"/>
        <w:ind w:firstLine="420" w:firstLineChars="200"/>
        <w:rPr>
          <w:color w:val="auto"/>
          <w:highlight w:val="none"/>
        </w:rPr>
      </w:pPr>
      <w:r>
        <w:rPr>
          <w:rFonts w:hint="eastAsia"/>
          <w:color w:val="auto"/>
          <w:highlight w:val="none"/>
        </w:rPr>
        <w:t>（1</w:t>
      </w:r>
      <w:r>
        <w:rPr>
          <w:color w:val="auto"/>
          <w:highlight w:val="none"/>
        </w:rPr>
        <w:t>1</w:t>
      </w:r>
      <w:r>
        <w:rPr>
          <w:rFonts w:hint="eastAsia"/>
          <w:color w:val="auto"/>
          <w:highlight w:val="none"/>
        </w:rPr>
        <w:t>）施工总平面布置图；</w:t>
      </w:r>
    </w:p>
    <w:p w14:paraId="52EC6877">
      <w:pPr>
        <w:snapToGrid w:val="0"/>
        <w:spacing w:before="50" w:after="120" w:afterLines="50"/>
        <w:ind w:firstLine="420" w:firstLineChars="200"/>
        <w:jc w:val="left"/>
        <w:rPr>
          <w:color w:val="auto"/>
          <w:szCs w:val="21"/>
          <w:highlight w:val="none"/>
        </w:rPr>
      </w:pPr>
      <w:r>
        <w:rPr>
          <w:rFonts w:hint="eastAsia"/>
          <w:color w:val="auto"/>
          <w:highlight w:val="none"/>
        </w:rPr>
        <w:t>（1</w:t>
      </w:r>
      <w:r>
        <w:rPr>
          <w:color w:val="auto"/>
          <w:highlight w:val="none"/>
        </w:rPr>
        <w:t>2</w:t>
      </w:r>
      <w:r>
        <w:rPr>
          <w:rFonts w:hint="eastAsia"/>
          <w:color w:val="auto"/>
          <w:highlight w:val="none"/>
        </w:rPr>
        <w:t>）其他（</w:t>
      </w:r>
      <w:r>
        <w:rPr>
          <w:color w:val="auto"/>
          <w:highlight w:val="none"/>
        </w:rPr>
        <w:t>如有）</w:t>
      </w:r>
    </w:p>
    <w:p w14:paraId="7C4D8A1D">
      <w:pPr>
        <w:snapToGrid w:val="0"/>
        <w:spacing w:before="50" w:after="120" w:afterLines="50"/>
        <w:jc w:val="left"/>
        <w:rPr>
          <w:rFonts w:hint="eastAsia"/>
          <w:color w:val="auto"/>
          <w:szCs w:val="21"/>
          <w:highlight w:val="none"/>
        </w:rPr>
      </w:pPr>
      <w:r>
        <w:rPr>
          <w:rFonts w:hint="eastAsia"/>
          <w:color w:val="auto"/>
          <w:szCs w:val="21"/>
          <w:highlight w:val="none"/>
          <w:lang w:val="en-US" w:eastAsia="zh-CN"/>
        </w:rPr>
        <w:t>2</w:t>
      </w:r>
      <w:r>
        <w:rPr>
          <w:color w:val="auto"/>
          <w:szCs w:val="21"/>
          <w:highlight w:val="none"/>
        </w:rPr>
        <w:t>.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1C34FF15">
      <w:pPr>
        <w:snapToGrid w:val="0"/>
        <w:spacing w:before="50" w:after="120" w:afterLines="50"/>
        <w:jc w:val="left"/>
        <w:rPr>
          <w:color w:val="auto"/>
          <w:szCs w:val="21"/>
          <w:highlight w:val="none"/>
        </w:rPr>
      </w:pPr>
    </w:p>
    <w:p w14:paraId="129D7257">
      <w:pPr>
        <w:snapToGrid w:val="0"/>
        <w:spacing w:before="50" w:after="120" w:afterLines="50"/>
        <w:jc w:val="left"/>
        <w:rPr>
          <w:color w:val="auto"/>
          <w:szCs w:val="21"/>
          <w:highlight w:val="none"/>
        </w:rPr>
      </w:pPr>
      <w:r>
        <w:rPr>
          <w:rFonts w:hint="eastAsia"/>
          <w:color w:val="auto"/>
          <w:szCs w:val="21"/>
          <w:highlight w:val="none"/>
          <w:lang w:val="en-US" w:eastAsia="zh-CN"/>
        </w:rPr>
        <w:t>2</w:t>
      </w:r>
      <w:r>
        <w:rPr>
          <w:color w:val="auto"/>
          <w:szCs w:val="21"/>
          <w:highlight w:val="none"/>
        </w:rPr>
        <w:t>.2施工组织设计除采用文字表述外可附下列图表，图表及格式要求附后。</w:t>
      </w:r>
    </w:p>
    <w:p w14:paraId="33D4A9AA">
      <w:pPr>
        <w:snapToGrid w:val="0"/>
        <w:spacing w:before="50" w:after="120" w:afterLines="50"/>
        <w:jc w:val="left"/>
        <w:rPr>
          <w:color w:val="auto"/>
          <w:szCs w:val="21"/>
          <w:highlight w:val="none"/>
        </w:rPr>
      </w:pPr>
      <w:r>
        <w:rPr>
          <w:color w:val="auto"/>
          <w:szCs w:val="21"/>
          <w:highlight w:val="none"/>
        </w:rPr>
        <w:t>附表一  拟投入本工程的主要施工设备表</w:t>
      </w:r>
    </w:p>
    <w:p w14:paraId="01B982D9">
      <w:pPr>
        <w:snapToGrid w:val="0"/>
        <w:spacing w:before="50" w:after="120" w:afterLines="50"/>
        <w:jc w:val="left"/>
        <w:rPr>
          <w:color w:val="auto"/>
          <w:szCs w:val="21"/>
          <w:highlight w:val="none"/>
        </w:rPr>
      </w:pPr>
      <w:r>
        <w:rPr>
          <w:color w:val="auto"/>
          <w:szCs w:val="21"/>
          <w:highlight w:val="none"/>
        </w:rPr>
        <w:t>附表二  拟配备本工程的试验和检测仪器设备表</w:t>
      </w:r>
    </w:p>
    <w:p w14:paraId="08A534F9">
      <w:pPr>
        <w:snapToGrid w:val="0"/>
        <w:spacing w:before="50" w:after="120" w:afterLines="50"/>
        <w:jc w:val="left"/>
        <w:rPr>
          <w:color w:val="auto"/>
          <w:szCs w:val="21"/>
          <w:highlight w:val="none"/>
        </w:rPr>
      </w:pPr>
      <w:r>
        <w:rPr>
          <w:color w:val="auto"/>
          <w:szCs w:val="21"/>
          <w:highlight w:val="none"/>
        </w:rPr>
        <w:t>附表三  劳动力计划表</w:t>
      </w:r>
    </w:p>
    <w:p w14:paraId="1522A713">
      <w:pPr>
        <w:snapToGrid w:val="0"/>
        <w:spacing w:before="50" w:after="120" w:afterLines="50"/>
        <w:jc w:val="left"/>
        <w:rPr>
          <w:color w:val="auto"/>
          <w:szCs w:val="21"/>
          <w:highlight w:val="none"/>
        </w:rPr>
      </w:pPr>
      <w:r>
        <w:rPr>
          <w:color w:val="auto"/>
          <w:szCs w:val="21"/>
          <w:highlight w:val="none"/>
        </w:rPr>
        <w:t>附表四  计划开、竣工日期和施工进度网络图</w:t>
      </w:r>
    </w:p>
    <w:p w14:paraId="60EDF689">
      <w:pPr>
        <w:snapToGrid w:val="0"/>
        <w:spacing w:before="50" w:after="120" w:afterLines="50"/>
        <w:jc w:val="left"/>
        <w:rPr>
          <w:color w:val="auto"/>
          <w:szCs w:val="21"/>
          <w:highlight w:val="none"/>
        </w:rPr>
      </w:pPr>
      <w:r>
        <w:rPr>
          <w:color w:val="auto"/>
          <w:szCs w:val="21"/>
          <w:highlight w:val="none"/>
        </w:rPr>
        <w:t>附表五  施工总平面图</w:t>
      </w:r>
    </w:p>
    <w:p w14:paraId="0399C581">
      <w:pPr>
        <w:snapToGrid w:val="0"/>
        <w:spacing w:before="50" w:after="120" w:afterLines="50"/>
        <w:jc w:val="left"/>
        <w:rPr>
          <w:color w:val="auto"/>
          <w:szCs w:val="21"/>
          <w:highlight w:val="none"/>
        </w:rPr>
      </w:pPr>
      <w:r>
        <w:rPr>
          <w:color w:val="auto"/>
          <w:szCs w:val="21"/>
          <w:highlight w:val="none"/>
        </w:rPr>
        <w:t>附表六  临时用地表</w:t>
      </w:r>
    </w:p>
    <w:p w14:paraId="331A5A42">
      <w:pPr>
        <w:snapToGrid w:val="0"/>
        <w:spacing w:before="50" w:after="120" w:afterLines="50"/>
        <w:jc w:val="left"/>
        <w:rPr>
          <w:color w:val="auto"/>
          <w:szCs w:val="21"/>
          <w:highlight w:val="none"/>
        </w:rPr>
      </w:pPr>
      <w:r>
        <w:rPr>
          <w:color w:val="auto"/>
          <w:szCs w:val="21"/>
          <w:highlight w:val="none"/>
        </w:rPr>
        <w:t>附表七  拟分包计划表</w:t>
      </w:r>
    </w:p>
    <w:p w14:paraId="6D8F9B48">
      <w:pPr>
        <w:spacing w:line="460" w:lineRule="exact"/>
        <w:ind w:firstLine="420" w:firstLineChars="200"/>
        <w:rPr>
          <w:color w:val="auto"/>
          <w:szCs w:val="21"/>
          <w:highlight w:val="none"/>
        </w:rPr>
      </w:pPr>
    </w:p>
    <w:p w14:paraId="7C200E34">
      <w:pPr>
        <w:rPr>
          <w:color w:val="auto"/>
          <w:szCs w:val="21"/>
          <w:highlight w:val="none"/>
        </w:rPr>
      </w:pPr>
      <w:r>
        <w:rPr>
          <w:color w:val="auto"/>
          <w:highlight w:val="none"/>
        </w:rPr>
        <w:t>附表一：拟投入本</w:t>
      </w:r>
      <w:r>
        <w:rPr>
          <w:color w:val="auto"/>
          <w:szCs w:val="21"/>
          <w:highlight w:val="none"/>
        </w:rPr>
        <w:t>工程</w:t>
      </w:r>
      <w:r>
        <w:rPr>
          <w:color w:val="auto"/>
          <w:highlight w:val="none"/>
        </w:rPr>
        <w:t>的主要施工设备表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851"/>
        <w:gridCol w:w="1134"/>
        <w:gridCol w:w="992"/>
        <w:gridCol w:w="1134"/>
        <w:gridCol w:w="992"/>
      </w:tblGrid>
      <w:tr w14:paraId="4BF9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758" w:type="dxa"/>
            <w:noWrap w:val="0"/>
            <w:vAlign w:val="center"/>
          </w:tcPr>
          <w:p w14:paraId="24411E56">
            <w:pPr>
              <w:jc w:val="center"/>
              <w:rPr>
                <w:color w:val="auto"/>
                <w:szCs w:val="21"/>
                <w:highlight w:val="none"/>
              </w:rPr>
            </w:pPr>
            <w:r>
              <w:rPr>
                <w:color w:val="auto"/>
                <w:szCs w:val="21"/>
                <w:highlight w:val="none"/>
              </w:rPr>
              <w:t>序号</w:t>
            </w:r>
          </w:p>
        </w:tc>
        <w:tc>
          <w:tcPr>
            <w:tcW w:w="1226" w:type="dxa"/>
            <w:noWrap w:val="0"/>
            <w:vAlign w:val="center"/>
          </w:tcPr>
          <w:p w14:paraId="1357DAE1">
            <w:pPr>
              <w:jc w:val="center"/>
              <w:rPr>
                <w:color w:val="auto"/>
                <w:szCs w:val="21"/>
                <w:highlight w:val="none"/>
              </w:rPr>
            </w:pPr>
            <w:r>
              <w:rPr>
                <w:color w:val="auto"/>
                <w:szCs w:val="21"/>
                <w:highlight w:val="none"/>
              </w:rPr>
              <w:t>设备名称</w:t>
            </w:r>
          </w:p>
        </w:tc>
        <w:tc>
          <w:tcPr>
            <w:tcW w:w="851" w:type="dxa"/>
            <w:noWrap w:val="0"/>
            <w:vAlign w:val="center"/>
          </w:tcPr>
          <w:p w14:paraId="1E41E976">
            <w:pPr>
              <w:jc w:val="center"/>
              <w:rPr>
                <w:color w:val="auto"/>
                <w:szCs w:val="21"/>
                <w:highlight w:val="none"/>
              </w:rPr>
            </w:pPr>
            <w:r>
              <w:rPr>
                <w:color w:val="auto"/>
                <w:szCs w:val="21"/>
                <w:highlight w:val="none"/>
              </w:rPr>
              <w:t>型号</w:t>
            </w:r>
          </w:p>
          <w:p w14:paraId="513471FD">
            <w:pPr>
              <w:jc w:val="center"/>
              <w:rPr>
                <w:color w:val="auto"/>
                <w:szCs w:val="21"/>
                <w:highlight w:val="none"/>
              </w:rPr>
            </w:pPr>
            <w:r>
              <w:rPr>
                <w:color w:val="auto"/>
                <w:szCs w:val="21"/>
                <w:highlight w:val="none"/>
              </w:rPr>
              <w:t>规格</w:t>
            </w:r>
          </w:p>
        </w:tc>
        <w:tc>
          <w:tcPr>
            <w:tcW w:w="708" w:type="dxa"/>
            <w:noWrap w:val="0"/>
            <w:vAlign w:val="center"/>
          </w:tcPr>
          <w:p w14:paraId="64420BE0">
            <w:pPr>
              <w:jc w:val="center"/>
              <w:rPr>
                <w:color w:val="auto"/>
                <w:szCs w:val="21"/>
                <w:highlight w:val="none"/>
              </w:rPr>
            </w:pPr>
            <w:r>
              <w:rPr>
                <w:color w:val="auto"/>
                <w:szCs w:val="21"/>
                <w:highlight w:val="none"/>
              </w:rPr>
              <w:t>数量</w:t>
            </w:r>
          </w:p>
        </w:tc>
        <w:tc>
          <w:tcPr>
            <w:tcW w:w="709" w:type="dxa"/>
            <w:noWrap w:val="0"/>
            <w:vAlign w:val="center"/>
          </w:tcPr>
          <w:p w14:paraId="11FC3533">
            <w:pPr>
              <w:jc w:val="center"/>
              <w:rPr>
                <w:color w:val="auto"/>
                <w:szCs w:val="21"/>
                <w:highlight w:val="none"/>
              </w:rPr>
            </w:pPr>
            <w:r>
              <w:rPr>
                <w:color w:val="auto"/>
                <w:szCs w:val="21"/>
                <w:highlight w:val="none"/>
              </w:rPr>
              <w:t>国别</w:t>
            </w:r>
          </w:p>
          <w:p w14:paraId="0DDD56D9">
            <w:pPr>
              <w:jc w:val="center"/>
              <w:rPr>
                <w:color w:val="auto"/>
                <w:szCs w:val="21"/>
                <w:highlight w:val="none"/>
              </w:rPr>
            </w:pPr>
            <w:r>
              <w:rPr>
                <w:color w:val="auto"/>
                <w:szCs w:val="21"/>
                <w:highlight w:val="none"/>
              </w:rPr>
              <w:t>产地</w:t>
            </w:r>
          </w:p>
        </w:tc>
        <w:tc>
          <w:tcPr>
            <w:tcW w:w="851" w:type="dxa"/>
            <w:noWrap w:val="0"/>
            <w:vAlign w:val="center"/>
          </w:tcPr>
          <w:p w14:paraId="58486433">
            <w:pPr>
              <w:jc w:val="center"/>
              <w:rPr>
                <w:color w:val="auto"/>
                <w:szCs w:val="21"/>
                <w:highlight w:val="none"/>
              </w:rPr>
            </w:pPr>
            <w:r>
              <w:rPr>
                <w:color w:val="auto"/>
                <w:szCs w:val="21"/>
                <w:highlight w:val="none"/>
              </w:rPr>
              <w:t>制造</w:t>
            </w:r>
          </w:p>
          <w:p w14:paraId="3757ED0A">
            <w:pPr>
              <w:jc w:val="center"/>
              <w:rPr>
                <w:color w:val="auto"/>
                <w:szCs w:val="21"/>
                <w:highlight w:val="none"/>
              </w:rPr>
            </w:pPr>
            <w:r>
              <w:rPr>
                <w:color w:val="auto"/>
                <w:szCs w:val="21"/>
                <w:highlight w:val="none"/>
              </w:rPr>
              <w:t>年份</w:t>
            </w:r>
          </w:p>
        </w:tc>
        <w:tc>
          <w:tcPr>
            <w:tcW w:w="1134" w:type="dxa"/>
            <w:noWrap w:val="0"/>
            <w:vAlign w:val="center"/>
          </w:tcPr>
          <w:p w14:paraId="6D6D58FA">
            <w:pPr>
              <w:jc w:val="center"/>
              <w:rPr>
                <w:color w:val="auto"/>
                <w:szCs w:val="21"/>
                <w:highlight w:val="none"/>
              </w:rPr>
            </w:pPr>
            <w:r>
              <w:rPr>
                <w:color w:val="auto"/>
                <w:szCs w:val="21"/>
                <w:highlight w:val="none"/>
              </w:rPr>
              <w:t>额定功率</w:t>
            </w:r>
          </w:p>
          <w:p w14:paraId="57D7ABE3">
            <w:pPr>
              <w:jc w:val="center"/>
              <w:rPr>
                <w:color w:val="auto"/>
                <w:szCs w:val="21"/>
                <w:highlight w:val="none"/>
              </w:rPr>
            </w:pPr>
            <w:r>
              <w:rPr>
                <w:color w:val="auto"/>
                <w:szCs w:val="21"/>
                <w:highlight w:val="none"/>
              </w:rPr>
              <w:t>（kW）</w:t>
            </w:r>
          </w:p>
        </w:tc>
        <w:tc>
          <w:tcPr>
            <w:tcW w:w="992" w:type="dxa"/>
            <w:noWrap w:val="0"/>
            <w:vAlign w:val="center"/>
          </w:tcPr>
          <w:p w14:paraId="2B4FE1E7">
            <w:pPr>
              <w:jc w:val="center"/>
              <w:rPr>
                <w:color w:val="auto"/>
                <w:szCs w:val="21"/>
                <w:highlight w:val="none"/>
              </w:rPr>
            </w:pPr>
            <w:r>
              <w:rPr>
                <w:color w:val="auto"/>
                <w:szCs w:val="21"/>
                <w:highlight w:val="none"/>
              </w:rPr>
              <w:t>生产</w:t>
            </w:r>
          </w:p>
          <w:p w14:paraId="19503AEF">
            <w:pPr>
              <w:jc w:val="center"/>
              <w:rPr>
                <w:color w:val="auto"/>
                <w:szCs w:val="21"/>
                <w:highlight w:val="none"/>
              </w:rPr>
            </w:pPr>
            <w:r>
              <w:rPr>
                <w:color w:val="auto"/>
                <w:szCs w:val="21"/>
                <w:highlight w:val="none"/>
              </w:rPr>
              <w:t>能力</w:t>
            </w:r>
          </w:p>
        </w:tc>
        <w:tc>
          <w:tcPr>
            <w:tcW w:w="1134" w:type="dxa"/>
            <w:noWrap w:val="0"/>
            <w:vAlign w:val="center"/>
          </w:tcPr>
          <w:p w14:paraId="377C796C">
            <w:pPr>
              <w:jc w:val="center"/>
              <w:rPr>
                <w:color w:val="auto"/>
                <w:szCs w:val="21"/>
                <w:highlight w:val="none"/>
              </w:rPr>
            </w:pPr>
            <w:r>
              <w:rPr>
                <w:color w:val="auto"/>
                <w:szCs w:val="21"/>
                <w:highlight w:val="none"/>
              </w:rPr>
              <w:t>用于施</w:t>
            </w:r>
          </w:p>
          <w:p w14:paraId="03E5D927">
            <w:pPr>
              <w:jc w:val="center"/>
              <w:rPr>
                <w:color w:val="auto"/>
                <w:szCs w:val="21"/>
                <w:highlight w:val="none"/>
              </w:rPr>
            </w:pPr>
            <w:r>
              <w:rPr>
                <w:color w:val="auto"/>
                <w:szCs w:val="21"/>
                <w:highlight w:val="none"/>
              </w:rPr>
              <w:t>工部位</w:t>
            </w:r>
          </w:p>
        </w:tc>
        <w:tc>
          <w:tcPr>
            <w:tcW w:w="992" w:type="dxa"/>
            <w:noWrap w:val="0"/>
            <w:vAlign w:val="center"/>
          </w:tcPr>
          <w:p w14:paraId="6227E97B">
            <w:pPr>
              <w:jc w:val="center"/>
              <w:rPr>
                <w:color w:val="auto"/>
                <w:szCs w:val="21"/>
                <w:highlight w:val="none"/>
              </w:rPr>
            </w:pPr>
            <w:r>
              <w:rPr>
                <w:color w:val="auto"/>
                <w:szCs w:val="21"/>
                <w:highlight w:val="none"/>
              </w:rPr>
              <w:t>备注</w:t>
            </w:r>
          </w:p>
        </w:tc>
      </w:tr>
      <w:tr w14:paraId="7D30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6A07D39D">
            <w:pPr>
              <w:spacing w:line="360" w:lineRule="auto"/>
              <w:rPr>
                <w:color w:val="auto"/>
                <w:szCs w:val="21"/>
                <w:highlight w:val="none"/>
              </w:rPr>
            </w:pPr>
          </w:p>
        </w:tc>
        <w:tc>
          <w:tcPr>
            <w:tcW w:w="1226" w:type="dxa"/>
            <w:noWrap w:val="0"/>
            <w:vAlign w:val="top"/>
          </w:tcPr>
          <w:p w14:paraId="497E57E6">
            <w:pPr>
              <w:spacing w:line="360" w:lineRule="auto"/>
              <w:ind w:firstLine="420" w:firstLineChars="200"/>
              <w:rPr>
                <w:color w:val="auto"/>
                <w:szCs w:val="21"/>
                <w:highlight w:val="none"/>
              </w:rPr>
            </w:pPr>
          </w:p>
        </w:tc>
        <w:tc>
          <w:tcPr>
            <w:tcW w:w="851" w:type="dxa"/>
            <w:noWrap w:val="0"/>
            <w:vAlign w:val="top"/>
          </w:tcPr>
          <w:p w14:paraId="3BAF8AA8">
            <w:pPr>
              <w:spacing w:line="360" w:lineRule="auto"/>
              <w:rPr>
                <w:color w:val="auto"/>
                <w:szCs w:val="21"/>
                <w:highlight w:val="none"/>
              </w:rPr>
            </w:pPr>
          </w:p>
        </w:tc>
        <w:tc>
          <w:tcPr>
            <w:tcW w:w="708" w:type="dxa"/>
            <w:noWrap w:val="0"/>
            <w:vAlign w:val="top"/>
          </w:tcPr>
          <w:p w14:paraId="682B3B42">
            <w:pPr>
              <w:spacing w:line="360" w:lineRule="auto"/>
              <w:rPr>
                <w:color w:val="auto"/>
                <w:szCs w:val="21"/>
                <w:highlight w:val="none"/>
              </w:rPr>
            </w:pPr>
          </w:p>
        </w:tc>
        <w:tc>
          <w:tcPr>
            <w:tcW w:w="709" w:type="dxa"/>
            <w:noWrap w:val="0"/>
            <w:vAlign w:val="top"/>
          </w:tcPr>
          <w:p w14:paraId="3AEC7662">
            <w:pPr>
              <w:spacing w:line="360" w:lineRule="auto"/>
              <w:rPr>
                <w:color w:val="auto"/>
                <w:szCs w:val="21"/>
                <w:highlight w:val="none"/>
              </w:rPr>
            </w:pPr>
          </w:p>
        </w:tc>
        <w:tc>
          <w:tcPr>
            <w:tcW w:w="851" w:type="dxa"/>
            <w:noWrap w:val="0"/>
            <w:vAlign w:val="top"/>
          </w:tcPr>
          <w:p w14:paraId="7BB449EA">
            <w:pPr>
              <w:spacing w:line="360" w:lineRule="auto"/>
              <w:rPr>
                <w:color w:val="auto"/>
                <w:szCs w:val="21"/>
                <w:highlight w:val="none"/>
              </w:rPr>
            </w:pPr>
          </w:p>
        </w:tc>
        <w:tc>
          <w:tcPr>
            <w:tcW w:w="1134" w:type="dxa"/>
            <w:noWrap w:val="0"/>
            <w:vAlign w:val="top"/>
          </w:tcPr>
          <w:p w14:paraId="1098CAF2">
            <w:pPr>
              <w:spacing w:line="360" w:lineRule="auto"/>
              <w:rPr>
                <w:color w:val="auto"/>
                <w:szCs w:val="21"/>
                <w:highlight w:val="none"/>
              </w:rPr>
            </w:pPr>
          </w:p>
        </w:tc>
        <w:tc>
          <w:tcPr>
            <w:tcW w:w="992" w:type="dxa"/>
            <w:noWrap w:val="0"/>
            <w:vAlign w:val="top"/>
          </w:tcPr>
          <w:p w14:paraId="09162988">
            <w:pPr>
              <w:spacing w:line="360" w:lineRule="auto"/>
              <w:rPr>
                <w:color w:val="auto"/>
                <w:szCs w:val="21"/>
                <w:highlight w:val="none"/>
              </w:rPr>
            </w:pPr>
          </w:p>
        </w:tc>
        <w:tc>
          <w:tcPr>
            <w:tcW w:w="1134" w:type="dxa"/>
            <w:noWrap w:val="0"/>
            <w:vAlign w:val="top"/>
          </w:tcPr>
          <w:p w14:paraId="3B43248C">
            <w:pPr>
              <w:spacing w:line="360" w:lineRule="auto"/>
              <w:rPr>
                <w:color w:val="auto"/>
                <w:szCs w:val="21"/>
                <w:highlight w:val="none"/>
              </w:rPr>
            </w:pPr>
          </w:p>
        </w:tc>
        <w:tc>
          <w:tcPr>
            <w:tcW w:w="992" w:type="dxa"/>
            <w:noWrap w:val="0"/>
            <w:vAlign w:val="top"/>
          </w:tcPr>
          <w:p w14:paraId="57D99DF2">
            <w:pPr>
              <w:spacing w:line="360" w:lineRule="auto"/>
              <w:rPr>
                <w:color w:val="auto"/>
                <w:szCs w:val="21"/>
                <w:highlight w:val="none"/>
              </w:rPr>
            </w:pPr>
          </w:p>
        </w:tc>
      </w:tr>
      <w:tr w14:paraId="654F1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134339E2">
            <w:pPr>
              <w:spacing w:line="360" w:lineRule="auto"/>
              <w:rPr>
                <w:color w:val="auto"/>
                <w:szCs w:val="21"/>
                <w:highlight w:val="none"/>
              </w:rPr>
            </w:pPr>
          </w:p>
        </w:tc>
        <w:tc>
          <w:tcPr>
            <w:tcW w:w="1226" w:type="dxa"/>
            <w:noWrap w:val="0"/>
            <w:vAlign w:val="top"/>
          </w:tcPr>
          <w:p w14:paraId="1229B31B">
            <w:pPr>
              <w:spacing w:line="360" w:lineRule="auto"/>
              <w:rPr>
                <w:color w:val="auto"/>
                <w:szCs w:val="21"/>
                <w:highlight w:val="none"/>
              </w:rPr>
            </w:pPr>
          </w:p>
        </w:tc>
        <w:tc>
          <w:tcPr>
            <w:tcW w:w="851" w:type="dxa"/>
            <w:noWrap w:val="0"/>
            <w:vAlign w:val="top"/>
          </w:tcPr>
          <w:p w14:paraId="7FA4FA78">
            <w:pPr>
              <w:spacing w:line="360" w:lineRule="auto"/>
              <w:rPr>
                <w:color w:val="auto"/>
                <w:szCs w:val="21"/>
                <w:highlight w:val="none"/>
              </w:rPr>
            </w:pPr>
          </w:p>
        </w:tc>
        <w:tc>
          <w:tcPr>
            <w:tcW w:w="708" w:type="dxa"/>
            <w:noWrap w:val="0"/>
            <w:vAlign w:val="top"/>
          </w:tcPr>
          <w:p w14:paraId="6FE6EC97">
            <w:pPr>
              <w:spacing w:line="360" w:lineRule="auto"/>
              <w:rPr>
                <w:color w:val="auto"/>
                <w:szCs w:val="21"/>
                <w:highlight w:val="none"/>
              </w:rPr>
            </w:pPr>
          </w:p>
        </w:tc>
        <w:tc>
          <w:tcPr>
            <w:tcW w:w="709" w:type="dxa"/>
            <w:noWrap w:val="0"/>
            <w:vAlign w:val="top"/>
          </w:tcPr>
          <w:p w14:paraId="21A7ADCE">
            <w:pPr>
              <w:spacing w:line="360" w:lineRule="auto"/>
              <w:rPr>
                <w:color w:val="auto"/>
                <w:szCs w:val="21"/>
                <w:highlight w:val="none"/>
              </w:rPr>
            </w:pPr>
          </w:p>
        </w:tc>
        <w:tc>
          <w:tcPr>
            <w:tcW w:w="851" w:type="dxa"/>
            <w:noWrap w:val="0"/>
            <w:vAlign w:val="top"/>
          </w:tcPr>
          <w:p w14:paraId="0E795F8C">
            <w:pPr>
              <w:spacing w:line="360" w:lineRule="auto"/>
              <w:rPr>
                <w:color w:val="auto"/>
                <w:szCs w:val="21"/>
                <w:highlight w:val="none"/>
              </w:rPr>
            </w:pPr>
          </w:p>
        </w:tc>
        <w:tc>
          <w:tcPr>
            <w:tcW w:w="1134" w:type="dxa"/>
            <w:noWrap w:val="0"/>
            <w:vAlign w:val="top"/>
          </w:tcPr>
          <w:p w14:paraId="1BE1F1AF">
            <w:pPr>
              <w:spacing w:line="360" w:lineRule="auto"/>
              <w:rPr>
                <w:color w:val="auto"/>
                <w:szCs w:val="21"/>
                <w:highlight w:val="none"/>
              </w:rPr>
            </w:pPr>
          </w:p>
        </w:tc>
        <w:tc>
          <w:tcPr>
            <w:tcW w:w="992" w:type="dxa"/>
            <w:noWrap w:val="0"/>
            <w:vAlign w:val="top"/>
          </w:tcPr>
          <w:p w14:paraId="435E4472">
            <w:pPr>
              <w:spacing w:line="360" w:lineRule="auto"/>
              <w:rPr>
                <w:color w:val="auto"/>
                <w:szCs w:val="21"/>
                <w:highlight w:val="none"/>
              </w:rPr>
            </w:pPr>
          </w:p>
        </w:tc>
        <w:tc>
          <w:tcPr>
            <w:tcW w:w="1134" w:type="dxa"/>
            <w:noWrap w:val="0"/>
            <w:vAlign w:val="top"/>
          </w:tcPr>
          <w:p w14:paraId="527E8810">
            <w:pPr>
              <w:spacing w:line="360" w:lineRule="auto"/>
              <w:rPr>
                <w:color w:val="auto"/>
                <w:szCs w:val="21"/>
                <w:highlight w:val="none"/>
              </w:rPr>
            </w:pPr>
          </w:p>
        </w:tc>
        <w:tc>
          <w:tcPr>
            <w:tcW w:w="992" w:type="dxa"/>
            <w:noWrap w:val="0"/>
            <w:vAlign w:val="top"/>
          </w:tcPr>
          <w:p w14:paraId="50ECE0FE">
            <w:pPr>
              <w:spacing w:line="360" w:lineRule="auto"/>
              <w:rPr>
                <w:color w:val="auto"/>
                <w:szCs w:val="21"/>
                <w:highlight w:val="none"/>
              </w:rPr>
            </w:pPr>
          </w:p>
        </w:tc>
      </w:tr>
      <w:tr w14:paraId="7249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491B420E">
            <w:pPr>
              <w:spacing w:line="360" w:lineRule="auto"/>
              <w:rPr>
                <w:color w:val="auto"/>
                <w:szCs w:val="21"/>
                <w:highlight w:val="none"/>
              </w:rPr>
            </w:pPr>
          </w:p>
        </w:tc>
        <w:tc>
          <w:tcPr>
            <w:tcW w:w="1226" w:type="dxa"/>
            <w:noWrap w:val="0"/>
            <w:vAlign w:val="top"/>
          </w:tcPr>
          <w:p w14:paraId="58144248">
            <w:pPr>
              <w:spacing w:line="360" w:lineRule="auto"/>
              <w:rPr>
                <w:color w:val="auto"/>
                <w:szCs w:val="21"/>
                <w:highlight w:val="none"/>
              </w:rPr>
            </w:pPr>
          </w:p>
        </w:tc>
        <w:tc>
          <w:tcPr>
            <w:tcW w:w="851" w:type="dxa"/>
            <w:noWrap w:val="0"/>
            <w:vAlign w:val="top"/>
          </w:tcPr>
          <w:p w14:paraId="699A07EF">
            <w:pPr>
              <w:spacing w:line="360" w:lineRule="auto"/>
              <w:rPr>
                <w:color w:val="auto"/>
                <w:szCs w:val="21"/>
                <w:highlight w:val="none"/>
              </w:rPr>
            </w:pPr>
          </w:p>
        </w:tc>
        <w:tc>
          <w:tcPr>
            <w:tcW w:w="708" w:type="dxa"/>
            <w:noWrap w:val="0"/>
            <w:vAlign w:val="top"/>
          </w:tcPr>
          <w:p w14:paraId="6ACE35BE">
            <w:pPr>
              <w:spacing w:line="360" w:lineRule="auto"/>
              <w:rPr>
                <w:color w:val="auto"/>
                <w:szCs w:val="21"/>
                <w:highlight w:val="none"/>
              </w:rPr>
            </w:pPr>
          </w:p>
        </w:tc>
        <w:tc>
          <w:tcPr>
            <w:tcW w:w="709" w:type="dxa"/>
            <w:noWrap w:val="0"/>
            <w:vAlign w:val="top"/>
          </w:tcPr>
          <w:p w14:paraId="1AAFBEBE">
            <w:pPr>
              <w:spacing w:line="360" w:lineRule="auto"/>
              <w:rPr>
                <w:color w:val="auto"/>
                <w:szCs w:val="21"/>
                <w:highlight w:val="none"/>
              </w:rPr>
            </w:pPr>
          </w:p>
        </w:tc>
        <w:tc>
          <w:tcPr>
            <w:tcW w:w="851" w:type="dxa"/>
            <w:noWrap w:val="0"/>
            <w:vAlign w:val="top"/>
          </w:tcPr>
          <w:p w14:paraId="4E769738">
            <w:pPr>
              <w:spacing w:line="360" w:lineRule="auto"/>
              <w:rPr>
                <w:color w:val="auto"/>
                <w:szCs w:val="21"/>
                <w:highlight w:val="none"/>
              </w:rPr>
            </w:pPr>
          </w:p>
        </w:tc>
        <w:tc>
          <w:tcPr>
            <w:tcW w:w="1134" w:type="dxa"/>
            <w:noWrap w:val="0"/>
            <w:vAlign w:val="top"/>
          </w:tcPr>
          <w:p w14:paraId="157E3C9E">
            <w:pPr>
              <w:spacing w:line="360" w:lineRule="auto"/>
              <w:rPr>
                <w:color w:val="auto"/>
                <w:szCs w:val="21"/>
                <w:highlight w:val="none"/>
              </w:rPr>
            </w:pPr>
          </w:p>
        </w:tc>
        <w:tc>
          <w:tcPr>
            <w:tcW w:w="992" w:type="dxa"/>
            <w:noWrap w:val="0"/>
            <w:vAlign w:val="top"/>
          </w:tcPr>
          <w:p w14:paraId="27935E49">
            <w:pPr>
              <w:spacing w:line="360" w:lineRule="auto"/>
              <w:rPr>
                <w:color w:val="auto"/>
                <w:szCs w:val="21"/>
                <w:highlight w:val="none"/>
              </w:rPr>
            </w:pPr>
          </w:p>
        </w:tc>
        <w:tc>
          <w:tcPr>
            <w:tcW w:w="1134" w:type="dxa"/>
            <w:noWrap w:val="0"/>
            <w:vAlign w:val="top"/>
          </w:tcPr>
          <w:p w14:paraId="67C9AA3D">
            <w:pPr>
              <w:spacing w:line="360" w:lineRule="auto"/>
              <w:rPr>
                <w:color w:val="auto"/>
                <w:szCs w:val="21"/>
                <w:highlight w:val="none"/>
              </w:rPr>
            </w:pPr>
          </w:p>
        </w:tc>
        <w:tc>
          <w:tcPr>
            <w:tcW w:w="992" w:type="dxa"/>
            <w:noWrap w:val="0"/>
            <w:vAlign w:val="top"/>
          </w:tcPr>
          <w:p w14:paraId="773176F6">
            <w:pPr>
              <w:spacing w:line="360" w:lineRule="auto"/>
              <w:rPr>
                <w:color w:val="auto"/>
                <w:szCs w:val="21"/>
                <w:highlight w:val="none"/>
              </w:rPr>
            </w:pPr>
          </w:p>
        </w:tc>
      </w:tr>
      <w:tr w14:paraId="42A0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5A6C0E5C">
            <w:pPr>
              <w:spacing w:line="360" w:lineRule="auto"/>
              <w:rPr>
                <w:color w:val="auto"/>
                <w:szCs w:val="21"/>
                <w:highlight w:val="none"/>
              </w:rPr>
            </w:pPr>
          </w:p>
        </w:tc>
        <w:tc>
          <w:tcPr>
            <w:tcW w:w="1226" w:type="dxa"/>
            <w:noWrap w:val="0"/>
            <w:vAlign w:val="top"/>
          </w:tcPr>
          <w:p w14:paraId="34206513">
            <w:pPr>
              <w:spacing w:line="360" w:lineRule="auto"/>
              <w:rPr>
                <w:color w:val="auto"/>
                <w:szCs w:val="21"/>
                <w:highlight w:val="none"/>
              </w:rPr>
            </w:pPr>
          </w:p>
        </w:tc>
        <w:tc>
          <w:tcPr>
            <w:tcW w:w="851" w:type="dxa"/>
            <w:noWrap w:val="0"/>
            <w:vAlign w:val="top"/>
          </w:tcPr>
          <w:p w14:paraId="1B4C8855">
            <w:pPr>
              <w:spacing w:line="360" w:lineRule="auto"/>
              <w:rPr>
                <w:color w:val="auto"/>
                <w:szCs w:val="21"/>
                <w:highlight w:val="none"/>
              </w:rPr>
            </w:pPr>
          </w:p>
        </w:tc>
        <w:tc>
          <w:tcPr>
            <w:tcW w:w="708" w:type="dxa"/>
            <w:noWrap w:val="0"/>
            <w:vAlign w:val="top"/>
          </w:tcPr>
          <w:p w14:paraId="7AFF5FD3">
            <w:pPr>
              <w:spacing w:line="360" w:lineRule="auto"/>
              <w:rPr>
                <w:color w:val="auto"/>
                <w:szCs w:val="21"/>
                <w:highlight w:val="none"/>
              </w:rPr>
            </w:pPr>
          </w:p>
        </w:tc>
        <w:tc>
          <w:tcPr>
            <w:tcW w:w="709" w:type="dxa"/>
            <w:noWrap w:val="0"/>
            <w:vAlign w:val="top"/>
          </w:tcPr>
          <w:p w14:paraId="62470A10">
            <w:pPr>
              <w:spacing w:line="360" w:lineRule="auto"/>
              <w:rPr>
                <w:color w:val="auto"/>
                <w:szCs w:val="21"/>
                <w:highlight w:val="none"/>
              </w:rPr>
            </w:pPr>
          </w:p>
        </w:tc>
        <w:tc>
          <w:tcPr>
            <w:tcW w:w="851" w:type="dxa"/>
            <w:noWrap w:val="0"/>
            <w:vAlign w:val="top"/>
          </w:tcPr>
          <w:p w14:paraId="2346302F">
            <w:pPr>
              <w:spacing w:line="360" w:lineRule="auto"/>
              <w:rPr>
                <w:color w:val="auto"/>
                <w:szCs w:val="21"/>
                <w:highlight w:val="none"/>
              </w:rPr>
            </w:pPr>
          </w:p>
        </w:tc>
        <w:tc>
          <w:tcPr>
            <w:tcW w:w="1134" w:type="dxa"/>
            <w:noWrap w:val="0"/>
            <w:vAlign w:val="top"/>
          </w:tcPr>
          <w:p w14:paraId="44F0B6B9">
            <w:pPr>
              <w:spacing w:line="360" w:lineRule="auto"/>
              <w:rPr>
                <w:color w:val="auto"/>
                <w:szCs w:val="21"/>
                <w:highlight w:val="none"/>
              </w:rPr>
            </w:pPr>
          </w:p>
        </w:tc>
        <w:tc>
          <w:tcPr>
            <w:tcW w:w="992" w:type="dxa"/>
            <w:noWrap w:val="0"/>
            <w:vAlign w:val="top"/>
          </w:tcPr>
          <w:p w14:paraId="72E46C02">
            <w:pPr>
              <w:spacing w:line="360" w:lineRule="auto"/>
              <w:rPr>
                <w:color w:val="auto"/>
                <w:szCs w:val="21"/>
                <w:highlight w:val="none"/>
              </w:rPr>
            </w:pPr>
          </w:p>
        </w:tc>
        <w:tc>
          <w:tcPr>
            <w:tcW w:w="1134" w:type="dxa"/>
            <w:noWrap w:val="0"/>
            <w:vAlign w:val="top"/>
          </w:tcPr>
          <w:p w14:paraId="24DE38D4">
            <w:pPr>
              <w:spacing w:line="360" w:lineRule="auto"/>
              <w:rPr>
                <w:color w:val="auto"/>
                <w:szCs w:val="21"/>
                <w:highlight w:val="none"/>
              </w:rPr>
            </w:pPr>
          </w:p>
        </w:tc>
        <w:tc>
          <w:tcPr>
            <w:tcW w:w="992" w:type="dxa"/>
            <w:noWrap w:val="0"/>
            <w:vAlign w:val="top"/>
          </w:tcPr>
          <w:p w14:paraId="4E47DE9D">
            <w:pPr>
              <w:spacing w:line="360" w:lineRule="auto"/>
              <w:rPr>
                <w:color w:val="auto"/>
                <w:szCs w:val="21"/>
                <w:highlight w:val="none"/>
              </w:rPr>
            </w:pPr>
          </w:p>
        </w:tc>
      </w:tr>
      <w:tr w14:paraId="52B2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noWrap w:val="0"/>
            <w:vAlign w:val="top"/>
          </w:tcPr>
          <w:p w14:paraId="48B8BC77">
            <w:pPr>
              <w:spacing w:line="360" w:lineRule="auto"/>
              <w:rPr>
                <w:color w:val="auto"/>
                <w:szCs w:val="21"/>
                <w:highlight w:val="none"/>
              </w:rPr>
            </w:pPr>
          </w:p>
        </w:tc>
        <w:tc>
          <w:tcPr>
            <w:tcW w:w="1226" w:type="dxa"/>
            <w:noWrap w:val="0"/>
            <w:vAlign w:val="top"/>
          </w:tcPr>
          <w:p w14:paraId="6927D63B">
            <w:pPr>
              <w:spacing w:line="360" w:lineRule="auto"/>
              <w:rPr>
                <w:color w:val="auto"/>
                <w:szCs w:val="21"/>
                <w:highlight w:val="none"/>
              </w:rPr>
            </w:pPr>
          </w:p>
        </w:tc>
        <w:tc>
          <w:tcPr>
            <w:tcW w:w="851" w:type="dxa"/>
            <w:noWrap w:val="0"/>
            <w:vAlign w:val="top"/>
          </w:tcPr>
          <w:p w14:paraId="38AB3422">
            <w:pPr>
              <w:spacing w:line="360" w:lineRule="auto"/>
              <w:rPr>
                <w:color w:val="auto"/>
                <w:szCs w:val="21"/>
                <w:highlight w:val="none"/>
              </w:rPr>
            </w:pPr>
          </w:p>
        </w:tc>
        <w:tc>
          <w:tcPr>
            <w:tcW w:w="708" w:type="dxa"/>
            <w:noWrap w:val="0"/>
            <w:vAlign w:val="top"/>
          </w:tcPr>
          <w:p w14:paraId="355F23F8">
            <w:pPr>
              <w:spacing w:line="360" w:lineRule="auto"/>
              <w:rPr>
                <w:color w:val="auto"/>
                <w:szCs w:val="21"/>
                <w:highlight w:val="none"/>
              </w:rPr>
            </w:pPr>
          </w:p>
        </w:tc>
        <w:tc>
          <w:tcPr>
            <w:tcW w:w="709" w:type="dxa"/>
            <w:noWrap w:val="0"/>
            <w:vAlign w:val="top"/>
          </w:tcPr>
          <w:p w14:paraId="596E3F18">
            <w:pPr>
              <w:spacing w:line="360" w:lineRule="auto"/>
              <w:rPr>
                <w:color w:val="auto"/>
                <w:szCs w:val="21"/>
                <w:highlight w:val="none"/>
              </w:rPr>
            </w:pPr>
          </w:p>
        </w:tc>
        <w:tc>
          <w:tcPr>
            <w:tcW w:w="851" w:type="dxa"/>
            <w:noWrap w:val="0"/>
            <w:vAlign w:val="top"/>
          </w:tcPr>
          <w:p w14:paraId="587D3D3E">
            <w:pPr>
              <w:spacing w:line="360" w:lineRule="auto"/>
              <w:rPr>
                <w:color w:val="auto"/>
                <w:szCs w:val="21"/>
                <w:highlight w:val="none"/>
              </w:rPr>
            </w:pPr>
          </w:p>
        </w:tc>
        <w:tc>
          <w:tcPr>
            <w:tcW w:w="1134" w:type="dxa"/>
            <w:noWrap w:val="0"/>
            <w:vAlign w:val="top"/>
          </w:tcPr>
          <w:p w14:paraId="0F7F16F7">
            <w:pPr>
              <w:spacing w:line="360" w:lineRule="auto"/>
              <w:rPr>
                <w:color w:val="auto"/>
                <w:szCs w:val="21"/>
                <w:highlight w:val="none"/>
              </w:rPr>
            </w:pPr>
          </w:p>
        </w:tc>
        <w:tc>
          <w:tcPr>
            <w:tcW w:w="992" w:type="dxa"/>
            <w:noWrap w:val="0"/>
            <w:vAlign w:val="top"/>
          </w:tcPr>
          <w:p w14:paraId="38768AE1">
            <w:pPr>
              <w:spacing w:line="360" w:lineRule="auto"/>
              <w:rPr>
                <w:color w:val="auto"/>
                <w:szCs w:val="21"/>
                <w:highlight w:val="none"/>
              </w:rPr>
            </w:pPr>
          </w:p>
        </w:tc>
        <w:tc>
          <w:tcPr>
            <w:tcW w:w="1134" w:type="dxa"/>
            <w:noWrap w:val="0"/>
            <w:vAlign w:val="top"/>
          </w:tcPr>
          <w:p w14:paraId="0F291839">
            <w:pPr>
              <w:spacing w:line="360" w:lineRule="auto"/>
              <w:rPr>
                <w:color w:val="auto"/>
                <w:szCs w:val="21"/>
                <w:highlight w:val="none"/>
              </w:rPr>
            </w:pPr>
          </w:p>
        </w:tc>
        <w:tc>
          <w:tcPr>
            <w:tcW w:w="992" w:type="dxa"/>
            <w:noWrap w:val="0"/>
            <w:vAlign w:val="top"/>
          </w:tcPr>
          <w:p w14:paraId="4A980536">
            <w:pPr>
              <w:spacing w:line="360" w:lineRule="auto"/>
              <w:rPr>
                <w:color w:val="auto"/>
                <w:szCs w:val="21"/>
                <w:highlight w:val="none"/>
              </w:rPr>
            </w:pPr>
          </w:p>
        </w:tc>
      </w:tr>
    </w:tbl>
    <w:p w14:paraId="63EE505F">
      <w:pPr>
        <w:rPr>
          <w:color w:val="auto"/>
          <w:highlight w:val="none"/>
        </w:rPr>
      </w:pPr>
    </w:p>
    <w:p w14:paraId="2EEF0298">
      <w:pPr>
        <w:rPr>
          <w:color w:val="auto"/>
          <w:highlight w:val="none"/>
        </w:rPr>
      </w:pPr>
    </w:p>
    <w:p w14:paraId="4BA8A300">
      <w:pPr>
        <w:rPr>
          <w:color w:val="auto"/>
          <w:highlight w:val="none"/>
        </w:rPr>
      </w:pPr>
      <w:r>
        <w:rPr>
          <w:color w:val="auto"/>
          <w:highlight w:val="none"/>
        </w:rPr>
        <w:t>附表二：拟配备本工程的试验和检测仪器设备表</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226"/>
        <w:gridCol w:w="851"/>
        <w:gridCol w:w="708"/>
        <w:gridCol w:w="709"/>
        <w:gridCol w:w="1134"/>
        <w:gridCol w:w="1276"/>
        <w:gridCol w:w="1134"/>
        <w:gridCol w:w="1559"/>
      </w:tblGrid>
      <w:tr w14:paraId="4A81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7ACA9708">
            <w:pPr>
              <w:jc w:val="center"/>
              <w:rPr>
                <w:color w:val="auto"/>
                <w:szCs w:val="21"/>
                <w:highlight w:val="none"/>
              </w:rPr>
            </w:pPr>
            <w:r>
              <w:rPr>
                <w:color w:val="auto"/>
                <w:szCs w:val="21"/>
                <w:highlight w:val="none"/>
              </w:rPr>
              <w:t>序号</w:t>
            </w:r>
          </w:p>
        </w:tc>
        <w:tc>
          <w:tcPr>
            <w:tcW w:w="1226" w:type="dxa"/>
            <w:noWrap w:val="0"/>
            <w:vAlign w:val="center"/>
          </w:tcPr>
          <w:p w14:paraId="4F188A0A">
            <w:pPr>
              <w:jc w:val="center"/>
              <w:rPr>
                <w:color w:val="auto"/>
                <w:szCs w:val="21"/>
                <w:highlight w:val="none"/>
              </w:rPr>
            </w:pPr>
            <w:r>
              <w:rPr>
                <w:color w:val="auto"/>
                <w:szCs w:val="21"/>
                <w:highlight w:val="none"/>
              </w:rPr>
              <w:t>仪器设备名称</w:t>
            </w:r>
          </w:p>
        </w:tc>
        <w:tc>
          <w:tcPr>
            <w:tcW w:w="851" w:type="dxa"/>
            <w:noWrap w:val="0"/>
            <w:vAlign w:val="center"/>
          </w:tcPr>
          <w:p w14:paraId="381089B8">
            <w:pPr>
              <w:jc w:val="center"/>
              <w:rPr>
                <w:color w:val="auto"/>
                <w:szCs w:val="21"/>
                <w:highlight w:val="none"/>
              </w:rPr>
            </w:pPr>
            <w:r>
              <w:rPr>
                <w:color w:val="auto"/>
                <w:szCs w:val="21"/>
                <w:highlight w:val="none"/>
              </w:rPr>
              <w:t>型号</w:t>
            </w:r>
          </w:p>
          <w:p w14:paraId="0679529C">
            <w:pPr>
              <w:jc w:val="center"/>
              <w:rPr>
                <w:color w:val="auto"/>
                <w:szCs w:val="21"/>
                <w:highlight w:val="none"/>
              </w:rPr>
            </w:pPr>
            <w:r>
              <w:rPr>
                <w:color w:val="auto"/>
                <w:szCs w:val="21"/>
                <w:highlight w:val="none"/>
              </w:rPr>
              <w:t>规格</w:t>
            </w:r>
          </w:p>
        </w:tc>
        <w:tc>
          <w:tcPr>
            <w:tcW w:w="708" w:type="dxa"/>
            <w:noWrap w:val="0"/>
            <w:vAlign w:val="center"/>
          </w:tcPr>
          <w:p w14:paraId="3D0F9917">
            <w:pPr>
              <w:jc w:val="center"/>
              <w:rPr>
                <w:color w:val="auto"/>
                <w:szCs w:val="21"/>
                <w:highlight w:val="none"/>
              </w:rPr>
            </w:pPr>
            <w:r>
              <w:rPr>
                <w:color w:val="auto"/>
                <w:szCs w:val="21"/>
                <w:highlight w:val="none"/>
              </w:rPr>
              <w:t>数量</w:t>
            </w:r>
          </w:p>
        </w:tc>
        <w:tc>
          <w:tcPr>
            <w:tcW w:w="709" w:type="dxa"/>
            <w:noWrap w:val="0"/>
            <w:vAlign w:val="center"/>
          </w:tcPr>
          <w:p w14:paraId="6C3AAB80">
            <w:pPr>
              <w:jc w:val="center"/>
              <w:rPr>
                <w:color w:val="auto"/>
                <w:szCs w:val="21"/>
                <w:highlight w:val="none"/>
              </w:rPr>
            </w:pPr>
            <w:r>
              <w:rPr>
                <w:color w:val="auto"/>
                <w:szCs w:val="21"/>
                <w:highlight w:val="none"/>
              </w:rPr>
              <w:t>国别</w:t>
            </w:r>
          </w:p>
          <w:p w14:paraId="771A90D8">
            <w:pPr>
              <w:jc w:val="center"/>
              <w:rPr>
                <w:color w:val="auto"/>
                <w:szCs w:val="21"/>
                <w:highlight w:val="none"/>
              </w:rPr>
            </w:pPr>
            <w:r>
              <w:rPr>
                <w:color w:val="auto"/>
                <w:szCs w:val="21"/>
                <w:highlight w:val="none"/>
              </w:rPr>
              <w:t>产地</w:t>
            </w:r>
          </w:p>
        </w:tc>
        <w:tc>
          <w:tcPr>
            <w:tcW w:w="1134" w:type="dxa"/>
            <w:noWrap w:val="0"/>
            <w:vAlign w:val="center"/>
          </w:tcPr>
          <w:p w14:paraId="5C3C48EF">
            <w:pPr>
              <w:jc w:val="center"/>
              <w:rPr>
                <w:color w:val="auto"/>
                <w:szCs w:val="21"/>
                <w:highlight w:val="none"/>
              </w:rPr>
            </w:pPr>
            <w:r>
              <w:rPr>
                <w:color w:val="auto"/>
                <w:szCs w:val="21"/>
                <w:highlight w:val="none"/>
              </w:rPr>
              <w:t>制造年份</w:t>
            </w:r>
          </w:p>
        </w:tc>
        <w:tc>
          <w:tcPr>
            <w:tcW w:w="1276" w:type="dxa"/>
            <w:noWrap w:val="0"/>
            <w:vAlign w:val="center"/>
          </w:tcPr>
          <w:p w14:paraId="0F6FBC36">
            <w:pPr>
              <w:jc w:val="center"/>
              <w:rPr>
                <w:color w:val="auto"/>
                <w:szCs w:val="21"/>
                <w:highlight w:val="none"/>
              </w:rPr>
            </w:pPr>
            <w:r>
              <w:rPr>
                <w:color w:val="auto"/>
                <w:szCs w:val="21"/>
                <w:highlight w:val="none"/>
              </w:rPr>
              <w:t>已使用</w:t>
            </w:r>
          </w:p>
          <w:p w14:paraId="5F130BF1">
            <w:pPr>
              <w:jc w:val="center"/>
              <w:rPr>
                <w:color w:val="auto"/>
                <w:szCs w:val="21"/>
                <w:highlight w:val="none"/>
              </w:rPr>
            </w:pPr>
            <w:r>
              <w:rPr>
                <w:color w:val="auto"/>
                <w:szCs w:val="21"/>
                <w:highlight w:val="none"/>
              </w:rPr>
              <w:t>台时数</w:t>
            </w:r>
          </w:p>
        </w:tc>
        <w:tc>
          <w:tcPr>
            <w:tcW w:w="1134" w:type="dxa"/>
            <w:noWrap w:val="0"/>
            <w:vAlign w:val="center"/>
          </w:tcPr>
          <w:p w14:paraId="451043AA">
            <w:pPr>
              <w:jc w:val="center"/>
              <w:rPr>
                <w:color w:val="auto"/>
                <w:szCs w:val="21"/>
                <w:highlight w:val="none"/>
              </w:rPr>
            </w:pPr>
            <w:r>
              <w:rPr>
                <w:color w:val="auto"/>
                <w:szCs w:val="21"/>
                <w:highlight w:val="none"/>
              </w:rPr>
              <w:t>用途</w:t>
            </w:r>
          </w:p>
        </w:tc>
        <w:tc>
          <w:tcPr>
            <w:tcW w:w="1559" w:type="dxa"/>
            <w:noWrap w:val="0"/>
            <w:vAlign w:val="center"/>
          </w:tcPr>
          <w:p w14:paraId="48ED28F8">
            <w:pPr>
              <w:jc w:val="center"/>
              <w:rPr>
                <w:color w:val="auto"/>
                <w:szCs w:val="21"/>
                <w:highlight w:val="none"/>
              </w:rPr>
            </w:pPr>
            <w:r>
              <w:rPr>
                <w:color w:val="auto"/>
                <w:szCs w:val="21"/>
                <w:highlight w:val="none"/>
              </w:rPr>
              <w:t>备注</w:t>
            </w:r>
          </w:p>
        </w:tc>
      </w:tr>
      <w:tr w14:paraId="5F0A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0A56A4BF">
            <w:pPr>
              <w:spacing w:line="360" w:lineRule="auto"/>
              <w:ind w:firstLine="420" w:firstLineChars="200"/>
              <w:rPr>
                <w:color w:val="auto"/>
                <w:szCs w:val="21"/>
                <w:highlight w:val="none"/>
              </w:rPr>
            </w:pPr>
          </w:p>
        </w:tc>
        <w:tc>
          <w:tcPr>
            <w:tcW w:w="1226" w:type="dxa"/>
            <w:noWrap w:val="0"/>
            <w:vAlign w:val="center"/>
          </w:tcPr>
          <w:p w14:paraId="5F5CF961">
            <w:pPr>
              <w:spacing w:line="360" w:lineRule="auto"/>
              <w:ind w:firstLine="420" w:firstLineChars="200"/>
              <w:rPr>
                <w:color w:val="auto"/>
                <w:szCs w:val="21"/>
                <w:highlight w:val="none"/>
              </w:rPr>
            </w:pPr>
          </w:p>
        </w:tc>
        <w:tc>
          <w:tcPr>
            <w:tcW w:w="851" w:type="dxa"/>
            <w:noWrap w:val="0"/>
            <w:vAlign w:val="center"/>
          </w:tcPr>
          <w:p w14:paraId="28D31B0A">
            <w:pPr>
              <w:spacing w:line="360" w:lineRule="auto"/>
              <w:ind w:firstLine="420" w:firstLineChars="200"/>
              <w:rPr>
                <w:color w:val="auto"/>
                <w:szCs w:val="21"/>
                <w:highlight w:val="none"/>
              </w:rPr>
            </w:pPr>
          </w:p>
        </w:tc>
        <w:tc>
          <w:tcPr>
            <w:tcW w:w="708" w:type="dxa"/>
            <w:noWrap w:val="0"/>
            <w:vAlign w:val="center"/>
          </w:tcPr>
          <w:p w14:paraId="24DF68D8">
            <w:pPr>
              <w:spacing w:line="360" w:lineRule="auto"/>
              <w:ind w:firstLine="420" w:firstLineChars="200"/>
              <w:rPr>
                <w:color w:val="auto"/>
                <w:szCs w:val="21"/>
                <w:highlight w:val="none"/>
              </w:rPr>
            </w:pPr>
          </w:p>
        </w:tc>
        <w:tc>
          <w:tcPr>
            <w:tcW w:w="709" w:type="dxa"/>
            <w:noWrap w:val="0"/>
            <w:vAlign w:val="center"/>
          </w:tcPr>
          <w:p w14:paraId="7B34FB9C">
            <w:pPr>
              <w:spacing w:line="360" w:lineRule="auto"/>
              <w:ind w:firstLine="420" w:firstLineChars="200"/>
              <w:rPr>
                <w:color w:val="auto"/>
                <w:szCs w:val="21"/>
                <w:highlight w:val="none"/>
              </w:rPr>
            </w:pPr>
          </w:p>
        </w:tc>
        <w:tc>
          <w:tcPr>
            <w:tcW w:w="1134" w:type="dxa"/>
            <w:noWrap w:val="0"/>
            <w:vAlign w:val="center"/>
          </w:tcPr>
          <w:p w14:paraId="3B219879">
            <w:pPr>
              <w:spacing w:line="360" w:lineRule="auto"/>
              <w:ind w:firstLine="420" w:firstLineChars="200"/>
              <w:rPr>
                <w:color w:val="auto"/>
                <w:szCs w:val="21"/>
                <w:highlight w:val="none"/>
              </w:rPr>
            </w:pPr>
          </w:p>
        </w:tc>
        <w:tc>
          <w:tcPr>
            <w:tcW w:w="1276" w:type="dxa"/>
            <w:noWrap w:val="0"/>
            <w:vAlign w:val="center"/>
          </w:tcPr>
          <w:p w14:paraId="565183FE">
            <w:pPr>
              <w:spacing w:line="360" w:lineRule="auto"/>
              <w:ind w:firstLine="420" w:firstLineChars="200"/>
              <w:rPr>
                <w:color w:val="auto"/>
                <w:szCs w:val="21"/>
                <w:highlight w:val="none"/>
              </w:rPr>
            </w:pPr>
          </w:p>
        </w:tc>
        <w:tc>
          <w:tcPr>
            <w:tcW w:w="1134" w:type="dxa"/>
            <w:noWrap w:val="0"/>
            <w:vAlign w:val="center"/>
          </w:tcPr>
          <w:p w14:paraId="18A0F00B">
            <w:pPr>
              <w:spacing w:line="360" w:lineRule="auto"/>
              <w:ind w:firstLine="420" w:firstLineChars="200"/>
              <w:rPr>
                <w:color w:val="auto"/>
                <w:szCs w:val="21"/>
                <w:highlight w:val="none"/>
              </w:rPr>
            </w:pPr>
          </w:p>
        </w:tc>
        <w:tc>
          <w:tcPr>
            <w:tcW w:w="1559" w:type="dxa"/>
            <w:noWrap w:val="0"/>
            <w:vAlign w:val="center"/>
          </w:tcPr>
          <w:p w14:paraId="74BC6BC4">
            <w:pPr>
              <w:spacing w:line="360" w:lineRule="auto"/>
              <w:ind w:firstLine="420" w:firstLineChars="200"/>
              <w:rPr>
                <w:color w:val="auto"/>
                <w:szCs w:val="21"/>
                <w:highlight w:val="none"/>
              </w:rPr>
            </w:pPr>
          </w:p>
        </w:tc>
      </w:tr>
      <w:tr w14:paraId="2B98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5506E6AA">
            <w:pPr>
              <w:spacing w:line="360" w:lineRule="auto"/>
              <w:ind w:firstLine="420" w:firstLineChars="200"/>
              <w:rPr>
                <w:color w:val="auto"/>
                <w:szCs w:val="21"/>
                <w:highlight w:val="none"/>
              </w:rPr>
            </w:pPr>
          </w:p>
        </w:tc>
        <w:tc>
          <w:tcPr>
            <w:tcW w:w="1226" w:type="dxa"/>
            <w:noWrap w:val="0"/>
            <w:vAlign w:val="center"/>
          </w:tcPr>
          <w:p w14:paraId="577A45FE">
            <w:pPr>
              <w:spacing w:line="360" w:lineRule="auto"/>
              <w:ind w:firstLine="420" w:firstLineChars="200"/>
              <w:rPr>
                <w:color w:val="auto"/>
                <w:szCs w:val="21"/>
                <w:highlight w:val="none"/>
              </w:rPr>
            </w:pPr>
          </w:p>
        </w:tc>
        <w:tc>
          <w:tcPr>
            <w:tcW w:w="851" w:type="dxa"/>
            <w:noWrap w:val="0"/>
            <w:vAlign w:val="center"/>
          </w:tcPr>
          <w:p w14:paraId="61A4A89A">
            <w:pPr>
              <w:spacing w:line="360" w:lineRule="auto"/>
              <w:ind w:firstLine="420" w:firstLineChars="200"/>
              <w:rPr>
                <w:color w:val="auto"/>
                <w:szCs w:val="21"/>
                <w:highlight w:val="none"/>
              </w:rPr>
            </w:pPr>
          </w:p>
        </w:tc>
        <w:tc>
          <w:tcPr>
            <w:tcW w:w="708" w:type="dxa"/>
            <w:noWrap w:val="0"/>
            <w:vAlign w:val="center"/>
          </w:tcPr>
          <w:p w14:paraId="77BAF63F">
            <w:pPr>
              <w:spacing w:line="360" w:lineRule="auto"/>
              <w:ind w:firstLine="420" w:firstLineChars="200"/>
              <w:rPr>
                <w:color w:val="auto"/>
                <w:szCs w:val="21"/>
                <w:highlight w:val="none"/>
              </w:rPr>
            </w:pPr>
          </w:p>
        </w:tc>
        <w:tc>
          <w:tcPr>
            <w:tcW w:w="709" w:type="dxa"/>
            <w:noWrap w:val="0"/>
            <w:vAlign w:val="center"/>
          </w:tcPr>
          <w:p w14:paraId="1B6CA086">
            <w:pPr>
              <w:spacing w:line="360" w:lineRule="auto"/>
              <w:ind w:firstLine="420" w:firstLineChars="200"/>
              <w:rPr>
                <w:color w:val="auto"/>
                <w:szCs w:val="21"/>
                <w:highlight w:val="none"/>
              </w:rPr>
            </w:pPr>
          </w:p>
        </w:tc>
        <w:tc>
          <w:tcPr>
            <w:tcW w:w="1134" w:type="dxa"/>
            <w:noWrap w:val="0"/>
            <w:vAlign w:val="center"/>
          </w:tcPr>
          <w:p w14:paraId="25489D22">
            <w:pPr>
              <w:spacing w:line="360" w:lineRule="auto"/>
              <w:ind w:firstLine="420" w:firstLineChars="200"/>
              <w:rPr>
                <w:color w:val="auto"/>
                <w:szCs w:val="21"/>
                <w:highlight w:val="none"/>
              </w:rPr>
            </w:pPr>
          </w:p>
        </w:tc>
        <w:tc>
          <w:tcPr>
            <w:tcW w:w="1276" w:type="dxa"/>
            <w:noWrap w:val="0"/>
            <w:vAlign w:val="center"/>
          </w:tcPr>
          <w:p w14:paraId="57AA9170">
            <w:pPr>
              <w:spacing w:line="360" w:lineRule="auto"/>
              <w:ind w:firstLine="420" w:firstLineChars="200"/>
              <w:rPr>
                <w:color w:val="auto"/>
                <w:szCs w:val="21"/>
                <w:highlight w:val="none"/>
              </w:rPr>
            </w:pPr>
          </w:p>
        </w:tc>
        <w:tc>
          <w:tcPr>
            <w:tcW w:w="1134" w:type="dxa"/>
            <w:noWrap w:val="0"/>
            <w:vAlign w:val="center"/>
          </w:tcPr>
          <w:p w14:paraId="2E8491E7">
            <w:pPr>
              <w:spacing w:line="360" w:lineRule="auto"/>
              <w:ind w:firstLine="420" w:firstLineChars="200"/>
              <w:rPr>
                <w:color w:val="auto"/>
                <w:szCs w:val="21"/>
                <w:highlight w:val="none"/>
              </w:rPr>
            </w:pPr>
          </w:p>
        </w:tc>
        <w:tc>
          <w:tcPr>
            <w:tcW w:w="1559" w:type="dxa"/>
            <w:noWrap w:val="0"/>
            <w:vAlign w:val="center"/>
          </w:tcPr>
          <w:p w14:paraId="773DB171">
            <w:pPr>
              <w:spacing w:line="360" w:lineRule="auto"/>
              <w:ind w:firstLine="420" w:firstLineChars="200"/>
              <w:rPr>
                <w:color w:val="auto"/>
                <w:szCs w:val="21"/>
                <w:highlight w:val="none"/>
              </w:rPr>
            </w:pPr>
          </w:p>
        </w:tc>
      </w:tr>
      <w:tr w14:paraId="18ED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23729BB0">
            <w:pPr>
              <w:spacing w:line="360" w:lineRule="auto"/>
              <w:ind w:firstLine="420" w:firstLineChars="200"/>
              <w:rPr>
                <w:color w:val="auto"/>
                <w:szCs w:val="21"/>
                <w:highlight w:val="none"/>
              </w:rPr>
            </w:pPr>
          </w:p>
        </w:tc>
        <w:tc>
          <w:tcPr>
            <w:tcW w:w="1226" w:type="dxa"/>
            <w:noWrap w:val="0"/>
            <w:vAlign w:val="center"/>
          </w:tcPr>
          <w:p w14:paraId="0AD5DC4B">
            <w:pPr>
              <w:spacing w:line="360" w:lineRule="auto"/>
              <w:ind w:firstLine="420" w:firstLineChars="200"/>
              <w:rPr>
                <w:color w:val="auto"/>
                <w:szCs w:val="21"/>
                <w:highlight w:val="none"/>
              </w:rPr>
            </w:pPr>
          </w:p>
        </w:tc>
        <w:tc>
          <w:tcPr>
            <w:tcW w:w="851" w:type="dxa"/>
            <w:noWrap w:val="0"/>
            <w:vAlign w:val="center"/>
          </w:tcPr>
          <w:p w14:paraId="7CDBAA55">
            <w:pPr>
              <w:spacing w:line="360" w:lineRule="auto"/>
              <w:ind w:firstLine="420" w:firstLineChars="200"/>
              <w:rPr>
                <w:color w:val="auto"/>
                <w:szCs w:val="21"/>
                <w:highlight w:val="none"/>
              </w:rPr>
            </w:pPr>
          </w:p>
        </w:tc>
        <w:tc>
          <w:tcPr>
            <w:tcW w:w="708" w:type="dxa"/>
            <w:noWrap w:val="0"/>
            <w:vAlign w:val="center"/>
          </w:tcPr>
          <w:p w14:paraId="6E90AC3B">
            <w:pPr>
              <w:spacing w:line="360" w:lineRule="auto"/>
              <w:ind w:firstLine="420" w:firstLineChars="200"/>
              <w:rPr>
                <w:color w:val="auto"/>
                <w:szCs w:val="21"/>
                <w:highlight w:val="none"/>
              </w:rPr>
            </w:pPr>
          </w:p>
        </w:tc>
        <w:tc>
          <w:tcPr>
            <w:tcW w:w="709" w:type="dxa"/>
            <w:noWrap w:val="0"/>
            <w:vAlign w:val="center"/>
          </w:tcPr>
          <w:p w14:paraId="4E07602C">
            <w:pPr>
              <w:spacing w:line="360" w:lineRule="auto"/>
              <w:ind w:firstLine="420" w:firstLineChars="200"/>
              <w:rPr>
                <w:color w:val="auto"/>
                <w:szCs w:val="21"/>
                <w:highlight w:val="none"/>
              </w:rPr>
            </w:pPr>
          </w:p>
        </w:tc>
        <w:tc>
          <w:tcPr>
            <w:tcW w:w="1134" w:type="dxa"/>
            <w:noWrap w:val="0"/>
            <w:vAlign w:val="center"/>
          </w:tcPr>
          <w:p w14:paraId="004CE932">
            <w:pPr>
              <w:spacing w:line="360" w:lineRule="auto"/>
              <w:ind w:firstLine="420" w:firstLineChars="200"/>
              <w:rPr>
                <w:color w:val="auto"/>
                <w:szCs w:val="21"/>
                <w:highlight w:val="none"/>
              </w:rPr>
            </w:pPr>
          </w:p>
        </w:tc>
        <w:tc>
          <w:tcPr>
            <w:tcW w:w="1276" w:type="dxa"/>
            <w:noWrap w:val="0"/>
            <w:vAlign w:val="center"/>
          </w:tcPr>
          <w:p w14:paraId="7CC37873">
            <w:pPr>
              <w:spacing w:line="360" w:lineRule="auto"/>
              <w:ind w:firstLine="420" w:firstLineChars="200"/>
              <w:rPr>
                <w:color w:val="auto"/>
                <w:szCs w:val="21"/>
                <w:highlight w:val="none"/>
              </w:rPr>
            </w:pPr>
          </w:p>
        </w:tc>
        <w:tc>
          <w:tcPr>
            <w:tcW w:w="1134" w:type="dxa"/>
            <w:noWrap w:val="0"/>
            <w:vAlign w:val="center"/>
          </w:tcPr>
          <w:p w14:paraId="156703E5">
            <w:pPr>
              <w:spacing w:line="360" w:lineRule="auto"/>
              <w:ind w:firstLine="420" w:firstLineChars="200"/>
              <w:rPr>
                <w:color w:val="auto"/>
                <w:szCs w:val="21"/>
                <w:highlight w:val="none"/>
              </w:rPr>
            </w:pPr>
          </w:p>
        </w:tc>
        <w:tc>
          <w:tcPr>
            <w:tcW w:w="1559" w:type="dxa"/>
            <w:noWrap w:val="0"/>
            <w:vAlign w:val="center"/>
          </w:tcPr>
          <w:p w14:paraId="4F4FBC56">
            <w:pPr>
              <w:spacing w:line="360" w:lineRule="auto"/>
              <w:ind w:firstLine="420" w:firstLineChars="200"/>
              <w:rPr>
                <w:color w:val="auto"/>
                <w:szCs w:val="21"/>
                <w:highlight w:val="none"/>
              </w:rPr>
            </w:pPr>
          </w:p>
        </w:tc>
      </w:tr>
      <w:tr w14:paraId="55DB9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6634EB51">
            <w:pPr>
              <w:spacing w:line="360" w:lineRule="auto"/>
              <w:ind w:firstLine="420" w:firstLineChars="200"/>
              <w:rPr>
                <w:color w:val="auto"/>
                <w:szCs w:val="21"/>
                <w:highlight w:val="none"/>
              </w:rPr>
            </w:pPr>
          </w:p>
        </w:tc>
        <w:tc>
          <w:tcPr>
            <w:tcW w:w="1226" w:type="dxa"/>
            <w:noWrap w:val="0"/>
            <w:vAlign w:val="center"/>
          </w:tcPr>
          <w:p w14:paraId="125BFD32">
            <w:pPr>
              <w:spacing w:line="360" w:lineRule="auto"/>
              <w:ind w:firstLine="420" w:firstLineChars="200"/>
              <w:rPr>
                <w:color w:val="auto"/>
                <w:szCs w:val="21"/>
                <w:highlight w:val="none"/>
              </w:rPr>
            </w:pPr>
          </w:p>
        </w:tc>
        <w:tc>
          <w:tcPr>
            <w:tcW w:w="851" w:type="dxa"/>
            <w:noWrap w:val="0"/>
            <w:vAlign w:val="center"/>
          </w:tcPr>
          <w:p w14:paraId="4E4F17F8">
            <w:pPr>
              <w:spacing w:line="360" w:lineRule="auto"/>
              <w:ind w:firstLine="420" w:firstLineChars="200"/>
              <w:rPr>
                <w:color w:val="auto"/>
                <w:szCs w:val="21"/>
                <w:highlight w:val="none"/>
              </w:rPr>
            </w:pPr>
          </w:p>
        </w:tc>
        <w:tc>
          <w:tcPr>
            <w:tcW w:w="708" w:type="dxa"/>
            <w:noWrap w:val="0"/>
            <w:vAlign w:val="center"/>
          </w:tcPr>
          <w:p w14:paraId="5A8B0EAE">
            <w:pPr>
              <w:spacing w:line="360" w:lineRule="auto"/>
              <w:ind w:firstLine="420" w:firstLineChars="200"/>
              <w:rPr>
                <w:color w:val="auto"/>
                <w:szCs w:val="21"/>
                <w:highlight w:val="none"/>
              </w:rPr>
            </w:pPr>
          </w:p>
        </w:tc>
        <w:tc>
          <w:tcPr>
            <w:tcW w:w="709" w:type="dxa"/>
            <w:noWrap w:val="0"/>
            <w:vAlign w:val="center"/>
          </w:tcPr>
          <w:p w14:paraId="770854EF">
            <w:pPr>
              <w:spacing w:line="360" w:lineRule="auto"/>
              <w:ind w:firstLine="420" w:firstLineChars="200"/>
              <w:rPr>
                <w:color w:val="auto"/>
                <w:szCs w:val="21"/>
                <w:highlight w:val="none"/>
              </w:rPr>
            </w:pPr>
          </w:p>
        </w:tc>
        <w:tc>
          <w:tcPr>
            <w:tcW w:w="1134" w:type="dxa"/>
            <w:noWrap w:val="0"/>
            <w:vAlign w:val="center"/>
          </w:tcPr>
          <w:p w14:paraId="0E862B25">
            <w:pPr>
              <w:spacing w:line="360" w:lineRule="auto"/>
              <w:ind w:firstLine="420" w:firstLineChars="200"/>
              <w:rPr>
                <w:color w:val="auto"/>
                <w:szCs w:val="21"/>
                <w:highlight w:val="none"/>
              </w:rPr>
            </w:pPr>
          </w:p>
        </w:tc>
        <w:tc>
          <w:tcPr>
            <w:tcW w:w="1276" w:type="dxa"/>
            <w:noWrap w:val="0"/>
            <w:vAlign w:val="center"/>
          </w:tcPr>
          <w:p w14:paraId="14E3177D">
            <w:pPr>
              <w:spacing w:line="360" w:lineRule="auto"/>
              <w:ind w:firstLine="420" w:firstLineChars="200"/>
              <w:rPr>
                <w:color w:val="auto"/>
                <w:szCs w:val="21"/>
                <w:highlight w:val="none"/>
              </w:rPr>
            </w:pPr>
          </w:p>
        </w:tc>
        <w:tc>
          <w:tcPr>
            <w:tcW w:w="1134" w:type="dxa"/>
            <w:noWrap w:val="0"/>
            <w:vAlign w:val="center"/>
          </w:tcPr>
          <w:p w14:paraId="05039A14">
            <w:pPr>
              <w:spacing w:line="360" w:lineRule="auto"/>
              <w:ind w:firstLine="420" w:firstLineChars="200"/>
              <w:rPr>
                <w:color w:val="auto"/>
                <w:szCs w:val="21"/>
                <w:highlight w:val="none"/>
              </w:rPr>
            </w:pPr>
          </w:p>
        </w:tc>
        <w:tc>
          <w:tcPr>
            <w:tcW w:w="1559" w:type="dxa"/>
            <w:noWrap w:val="0"/>
            <w:vAlign w:val="center"/>
          </w:tcPr>
          <w:p w14:paraId="32CFC808">
            <w:pPr>
              <w:spacing w:line="360" w:lineRule="auto"/>
              <w:ind w:firstLine="420" w:firstLineChars="200"/>
              <w:rPr>
                <w:color w:val="auto"/>
                <w:szCs w:val="21"/>
                <w:highlight w:val="none"/>
              </w:rPr>
            </w:pPr>
          </w:p>
        </w:tc>
      </w:tr>
      <w:tr w14:paraId="2AAB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8" w:type="dxa"/>
            <w:noWrap w:val="0"/>
            <w:vAlign w:val="center"/>
          </w:tcPr>
          <w:p w14:paraId="3C0A8B76">
            <w:pPr>
              <w:spacing w:line="360" w:lineRule="auto"/>
              <w:ind w:firstLine="420" w:firstLineChars="200"/>
              <w:rPr>
                <w:color w:val="auto"/>
                <w:szCs w:val="21"/>
                <w:highlight w:val="none"/>
              </w:rPr>
            </w:pPr>
          </w:p>
        </w:tc>
        <w:tc>
          <w:tcPr>
            <w:tcW w:w="1226" w:type="dxa"/>
            <w:noWrap w:val="0"/>
            <w:vAlign w:val="center"/>
          </w:tcPr>
          <w:p w14:paraId="75044231">
            <w:pPr>
              <w:spacing w:line="360" w:lineRule="auto"/>
              <w:ind w:firstLine="420" w:firstLineChars="200"/>
              <w:rPr>
                <w:color w:val="auto"/>
                <w:szCs w:val="21"/>
                <w:highlight w:val="none"/>
              </w:rPr>
            </w:pPr>
          </w:p>
        </w:tc>
        <w:tc>
          <w:tcPr>
            <w:tcW w:w="851" w:type="dxa"/>
            <w:noWrap w:val="0"/>
            <w:vAlign w:val="center"/>
          </w:tcPr>
          <w:p w14:paraId="436B00B3">
            <w:pPr>
              <w:spacing w:line="360" w:lineRule="auto"/>
              <w:ind w:firstLine="420" w:firstLineChars="200"/>
              <w:rPr>
                <w:color w:val="auto"/>
                <w:szCs w:val="21"/>
                <w:highlight w:val="none"/>
              </w:rPr>
            </w:pPr>
          </w:p>
        </w:tc>
        <w:tc>
          <w:tcPr>
            <w:tcW w:w="708" w:type="dxa"/>
            <w:noWrap w:val="0"/>
            <w:vAlign w:val="center"/>
          </w:tcPr>
          <w:p w14:paraId="2ECF9F9D">
            <w:pPr>
              <w:spacing w:line="360" w:lineRule="auto"/>
              <w:ind w:firstLine="420" w:firstLineChars="200"/>
              <w:rPr>
                <w:color w:val="auto"/>
                <w:szCs w:val="21"/>
                <w:highlight w:val="none"/>
              </w:rPr>
            </w:pPr>
          </w:p>
        </w:tc>
        <w:tc>
          <w:tcPr>
            <w:tcW w:w="709" w:type="dxa"/>
            <w:noWrap w:val="0"/>
            <w:vAlign w:val="center"/>
          </w:tcPr>
          <w:p w14:paraId="5BEFFFBB">
            <w:pPr>
              <w:spacing w:line="360" w:lineRule="auto"/>
              <w:ind w:firstLine="420" w:firstLineChars="200"/>
              <w:rPr>
                <w:color w:val="auto"/>
                <w:szCs w:val="21"/>
                <w:highlight w:val="none"/>
              </w:rPr>
            </w:pPr>
          </w:p>
        </w:tc>
        <w:tc>
          <w:tcPr>
            <w:tcW w:w="1134" w:type="dxa"/>
            <w:noWrap w:val="0"/>
            <w:vAlign w:val="center"/>
          </w:tcPr>
          <w:p w14:paraId="7F242921">
            <w:pPr>
              <w:spacing w:line="360" w:lineRule="auto"/>
              <w:ind w:firstLine="420" w:firstLineChars="200"/>
              <w:rPr>
                <w:color w:val="auto"/>
                <w:szCs w:val="21"/>
                <w:highlight w:val="none"/>
              </w:rPr>
            </w:pPr>
          </w:p>
        </w:tc>
        <w:tc>
          <w:tcPr>
            <w:tcW w:w="1276" w:type="dxa"/>
            <w:noWrap w:val="0"/>
            <w:vAlign w:val="center"/>
          </w:tcPr>
          <w:p w14:paraId="347E707A">
            <w:pPr>
              <w:spacing w:line="360" w:lineRule="auto"/>
              <w:ind w:firstLine="420" w:firstLineChars="200"/>
              <w:rPr>
                <w:color w:val="auto"/>
                <w:szCs w:val="21"/>
                <w:highlight w:val="none"/>
              </w:rPr>
            </w:pPr>
          </w:p>
        </w:tc>
        <w:tc>
          <w:tcPr>
            <w:tcW w:w="1134" w:type="dxa"/>
            <w:noWrap w:val="0"/>
            <w:vAlign w:val="center"/>
          </w:tcPr>
          <w:p w14:paraId="552616FC">
            <w:pPr>
              <w:spacing w:line="360" w:lineRule="auto"/>
              <w:ind w:firstLine="420" w:firstLineChars="200"/>
              <w:rPr>
                <w:color w:val="auto"/>
                <w:szCs w:val="21"/>
                <w:highlight w:val="none"/>
              </w:rPr>
            </w:pPr>
          </w:p>
        </w:tc>
        <w:tc>
          <w:tcPr>
            <w:tcW w:w="1559" w:type="dxa"/>
            <w:noWrap w:val="0"/>
            <w:vAlign w:val="center"/>
          </w:tcPr>
          <w:p w14:paraId="07285EAB">
            <w:pPr>
              <w:spacing w:line="360" w:lineRule="auto"/>
              <w:ind w:firstLine="420" w:firstLineChars="200"/>
              <w:rPr>
                <w:color w:val="auto"/>
                <w:szCs w:val="21"/>
                <w:highlight w:val="none"/>
              </w:rPr>
            </w:pPr>
          </w:p>
        </w:tc>
      </w:tr>
    </w:tbl>
    <w:p w14:paraId="354DC76F">
      <w:pPr>
        <w:rPr>
          <w:color w:val="auto"/>
          <w:highlight w:val="none"/>
        </w:rPr>
      </w:pPr>
    </w:p>
    <w:p w14:paraId="57CEB174">
      <w:pPr>
        <w:rPr>
          <w:color w:val="auto"/>
          <w:highlight w:val="none"/>
        </w:rPr>
      </w:pPr>
    </w:p>
    <w:p w14:paraId="27B45203">
      <w:pPr>
        <w:rPr>
          <w:color w:val="auto"/>
          <w:highlight w:val="none"/>
        </w:rPr>
      </w:pPr>
      <w:r>
        <w:rPr>
          <w:color w:val="auto"/>
          <w:highlight w:val="none"/>
        </w:rPr>
        <w:t>附表三：劳动力计划表</w:t>
      </w:r>
    </w:p>
    <w:p w14:paraId="3533CF24">
      <w:pPr>
        <w:ind w:firstLine="7245" w:firstLineChars="3450"/>
        <w:rPr>
          <w:color w:val="auto"/>
          <w:szCs w:val="21"/>
          <w:highlight w:val="none"/>
        </w:rPr>
      </w:pPr>
      <w:r>
        <w:rPr>
          <w:color w:val="auto"/>
          <w:szCs w:val="21"/>
          <w:highlight w:val="none"/>
        </w:rPr>
        <w:t xml:space="preserve">    单位：人</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961"/>
        <w:gridCol w:w="1257"/>
        <w:gridCol w:w="1258"/>
        <w:gridCol w:w="1257"/>
        <w:gridCol w:w="1258"/>
        <w:gridCol w:w="1257"/>
        <w:gridCol w:w="1258"/>
      </w:tblGrid>
      <w:tr w14:paraId="792F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503291BC">
            <w:pPr>
              <w:spacing w:line="360" w:lineRule="auto"/>
              <w:jc w:val="center"/>
              <w:rPr>
                <w:color w:val="auto"/>
                <w:szCs w:val="21"/>
                <w:highlight w:val="none"/>
              </w:rPr>
            </w:pPr>
            <w:r>
              <w:rPr>
                <w:color w:val="auto"/>
                <w:szCs w:val="21"/>
                <w:highlight w:val="none"/>
              </w:rPr>
              <w:t>工种</w:t>
            </w:r>
          </w:p>
        </w:tc>
        <w:tc>
          <w:tcPr>
            <w:tcW w:w="8506" w:type="dxa"/>
            <w:gridSpan w:val="7"/>
            <w:noWrap w:val="0"/>
            <w:vAlign w:val="center"/>
          </w:tcPr>
          <w:p w14:paraId="062CFE26">
            <w:pPr>
              <w:spacing w:line="360" w:lineRule="auto"/>
              <w:jc w:val="center"/>
              <w:rPr>
                <w:color w:val="auto"/>
                <w:szCs w:val="21"/>
                <w:highlight w:val="none"/>
              </w:rPr>
            </w:pPr>
            <w:r>
              <w:rPr>
                <w:color w:val="auto"/>
                <w:szCs w:val="21"/>
                <w:highlight w:val="none"/>
              </w:rPr>
              <w:t>按工程施工阶段投入劳动力情况</w:t>
            </w:r>
          </w:p>
        </w:tc>
      </w:tr>
      <w:tr w14:paraId="32C63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1843D1FB">
            <w:pPr>
              <w:spacing w:line="360" w:lineRule="auto"/>
              <w:jc w:val="center"/>
              <w:rPr>
                <w:color w:val="auto"/>
                <w:szCs w:val="21"/>
                <w:highlight w:val="none"/>
              </w:rPr>
            </w:pPr>
          </w:p>
        </w:tc>
        <w:tc>
          <w:tcPr>
            <w:tcW w:w="961" w:type="dxa"/>
            <w:noWrap w:val="0"/>
            <w:vAlign w:val="center"/>
          </w:tcPr>
          <w:p w14:paraId="3BCB41EB">
            <w:pPr>
              <w:spacing w:line="360" w:lineRule="auto"/>
              <w:jc w:val="center"/>
              <w:rPr>
                <w:color w:val="auto"/>
                <w:szCs w:val="21"/>
                <w:highlight w:val="none"/>
              </w:rPr>
            </w:pPr>
          </w:p>
        </w:tc>
        <w:tc>
          <w:tcPr>
            <w:tcW w:w="1257" w:type="dxa"/>
            <w:noWrap w:val="0"/>
            <w:vAlign w:val="center"/>
          </w:tcPr>
          <w:p w14:paraId="41C5A653">
            <w:pPr>
              <w:spacing w:line="360" w:lineRule="auto"/>
              <w:jc w:val="center"/>
              <w:rPr>
                <w:color w:val="auto"/>
                <w:szCs w:val="21"/>
                <w:highlight w:val="none"/>
              </w:rPr>
            </w:pPr>
          </w:p>
        </w:tc>
        <w:tc>
          <w:tcPr>
            <w:tcW w:w="1258" w:type="dxa"/>
            <w:noWrap w:val="0"/>
            <w:vAlign w:val="center"/>
          </w:tcPr>
          <w:p w14:paraId="347C314B">
            <w:pPr>
              <w:spacing w:line="360" w:lineRule="auto"/>
              <w:jc w:val="center"/>
              <w:rPr>
                <w:color w:val="auto"/>
                <w:szCs w:val="21"/>
                <w:highlight w:val="none"/>
              </w:rPr>
            </w:pPr>
          </w:p>
        </w:tc>
        <w:tc>
          <w:tcPr>
            <w:tcW w:w="1257" w:type="dxa"/>
            <w:noWrap w:val="0"/>
            <w:vAlign w:val="center"/>
          </w:tcPr>
          <w:p w14:paraId="1CF03A5E">
            <w:pPr>
              <w:spacing w:line="360" w:lineRule="auto"/>
              <w:jc w:val="center"/>
              <w:rPr>
                <w:color w:val="auto"/>
                <w:szCs w:val="21"/>
                <w:highlight w:val="none"/>
              </w:rPr>
            </w:pPr>
          </w:p>
        </w:tc>
        <w:tc>
          <w:tcPr>
            <w:tcW w:w="1258" w:type="dxa"/>
            <w:noWrap w:val="0"/>
            <w:vAlign w:val="center"/>
          </w:tcPr>
          <w:p w14:paraId="797A923B">
            <w:pPr>
              <w:spacing w:line="360" w:lineRule="auto"/>
              <w:jc w:val="center"/>
              <w:rPr>
                <w:color w:val="auto"/>
                <w:szCs w:val="21"/>
                <w:highlight w:val="none"/>
              </w:rPr>
            </w:pPr>
          </w:p>
        </w:tc>
        <w:tc>
          <w:tcPr>
            <w:tcW w:w="1257" w:type="dxa"/>
            <w:noWrap w:val="0"/>
            <w:vAlign w:val="center"/>
          </w:tcPr>
          <w:p w14:paraId="008EC8AC">
            <w:pPr>
              <w:spacing w:line="360" w:lineRule="auto"/>
              <w:jc w:val="center"/>
              <w:rPr>
                <w:color w:val="auto"/>
                <w:szCs w:val="21"/>
                <w:highlight w:val="none"/>
              </w:rPr>
            </w:pPr>
          </w:p>
        </w:tc>
        <w:tc>
          <w:tcPr>
            <w:tcW w:w="1258" w:type="dxa"/>
            <w:noWrap w:val="0"/>
            <w:vAlign w:val="center"/>
          </w:tcPr>
          <w:p w14:paraId="500F8433">
            <w:pPr>
              <w:spacing w:line="360" w:lineRule="auto"/>
              <w:jc w:val="center"/>
              <w:rPr>
                <w:color w:val="auto"/>
                <w:szCs w:val="21"/>
                <w:highlight w:val="none"/>
              </w:rPr>
            </w:pPr>
          </w:p>
        </w:tc>
      </w:tr>
      <w:tr w14:paraId="7309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3C2D6B70">
            <w:pPr>
              <w:spacing w:line="360" w:lineRule="auto"/>
              <w:jc w:val="center"/>
              <w:rPr>
                <w:color w:val="auto"/>
                <w:szCs w:val="21"/>
                <w:highlight w:val="none"/>
              </w:rPr>
            </w:pPr>
          </w:p>
        </w:tc>
        <w:tc>
          <w:tcPr>
            <w:tcW w:w="961" w:type="dxa"/>
            <w:noWrap w:val="0"/>
            <w:vAlign w:val="center"/>
          </w:tcPr>
          <w:p w14:paraId="73B37052">
            <w:pPr>
              <w:spacing w:line="360" w:lineRule="auto"/>
              <w:jc w:val="center"/>
              <w:rPr>
                <w:color w:val="auto"/>
                <w:szCs w:val="21"/>
                <w:highlight w:val="none"/>
              </w:rPr>
            </w:pPr>
          </w:p>
        </w:tc>
        <w:tc>
          <w:tcPr>
            <w:tcW w:w="1257" w:type="dxa"/>
            <w:noWrap w:val="0"/>
            <w:vAlign w:val="center"/>
          </w:tcPr>
          <w:p w14:paraId="12217EB6">
            <w:pPr>
              <w:spacing w:line="360" w:lineRule="auto"/>
              <w:jc w:val="center"/>
              <w:rPr>
                <w:color w:val="auto"/>
                <w:szCs w:val="21"/>
                <w:highlight w:val="none"/>
              </w:rPr>
            </w:pPr>
          </w:p>
        </w:tc>
        <w:tc>
          <w:tcPr>
            <w:tcW w:w="1258" w:type="dxa"/>
            <w:noWrap w:val="0"/>
            <w:vAlign w:val="center"/>
          </w:tcPr>
          <w:p w14:paraId="7DBE6670">
            <w:pPr>
              <w:spacing w:line="360" w:lineRule="auto"/>
              <w:jc w:val="center"/>
              <w:rPr>
                <w:color w:val="auto"/>
                <w:szCs w:val="21"/>
                <w:highlight w:val="none"/>
              </w:rPr>
            </w:pPr>
          </w:p>
        </w:tc>
        <w:tc>
          <w:tcPr>
            <w:tcW w:w="1257" w:type="dxa"/>
            <w:noWrap w:val="0"/>
            <w:vAlign w:val="center"/>
          </w:tcPr>
          <w:p w14:paraId="13F9616D">
            <w:pPr>
              <w:spacing w:line="360" w:lineRule="auto"/>
              <w:jc w:val="center"/>
              <w:rPr>
                <w:color w:val="auto"/>
                <w:szCs w:val="21"/>
                <w:highlight w:val="none"/>
              </w:rPr>
            </w:pPr>
          </w:p>
        </w:tc>
        <w:tc>
          <w:tcPr>
            <w:tcW w:w="1258" w:type="dxa"/>
            <w:noWrap w:val="0"/>
            <w:vAlign w:val="center"/>
          </w:tcPr>
          <w:p w14:paraId="14F9BD48">
            <w:pPr>
              <w:spacing w:line="360" w:lineRule="auto"/>
              <w:jc w:val="center"/>
              <w:rPr>
                <w:color w:val="auto"/>
                <w:szCs w:val="21"/>
                <w:highlight w:val="none"/>
              </w:rPr>
            </w:pPr>
          </w:p>
        </w:tc>
        <w:tc>
          <w:tcPr>
            <w:tcW w:w="1257" w:type="dxa"/>
            <w:noWrap w:val="0"/>
            <w:vAlign w:val="center"/>
          </w:tcPr>
          <w:p w14:paraId="6C2E9C43">
            <w:pPr>
              <w:spacing w:line="360" w:lineRule="auto"/>
              <w:jc w:val="center"/>
              <w:rPr>
                <w:color w:val="auto"/>
                <w:szCs w:val="21"/>
                <w:highlight w:val="none"/>
              </w:rPr>
            </w:pPr>
          </w:p>
        </w:tc>
        <w:tc>
          <w:tcPr>
            <w:tcW w:w="1258" w:type="dxa"/>
            <w:noWrap w:val="0"/>
            <w:vAlign w:val="center"/>
          </w:tcPr>
          <w:p w14:paraId="2BFF98B3">
            <w:pPr>
              <w:spacing w:line="360" w:lineRule="auto"/>
              <w:jc w:val="center"/>
              <w:rPr>
                <w:color w:val="auto"/>
                <w:szCs w:val="21"/>
                <w:highlight w:val="none"/>
              </w:rPr>
            </w:pPr>
          </w:p>
        </w:tc>
      </w:tr>
      <w:tr w14:paraId="7CF00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7B31B8E5">
            <w:pPr>
              <w:spacing w:line="360" w:lineRule="auto"/>
              <w:jc w:val="center"/>
              <w:rPr>
                <w:color w:val="auto"/>
                <w:szCs w:val="21"/>
                <w:highlight w:val="none"/>
              </w:rPr>
            </w:pPr>
          </w:p>
        </w:tc>
        <w:tc>
          <w:tcPr>
            <w:tcW w:w="961" w:type="dxa"/>
            <w:noWrap w:val="0"/>
            <w:vAlign w:val="center"/>
          </w:tcPr>
          <w:p w14:paraId="5FDFAF69">
            <w:pPr>
              <w:spacing w:line="360" w:lineRule="auto"/>
              <w:jc w:val="center"/>
              <w:rPr>
                <w:color w:val="auto"/>
                <w:szCs w:val="21"/>
                <w:highlight w:val="none"/>
              </w:rPr>
            </w:pPr>
          </w:p>
        </w:tc>
        <w:tc>
          <w:tcPr>
            <w:tcW w:w="1257" w:type="dxa"/>
            <w:noWrap w:val="0"/>
            <w:vAlign w:val="center"/>
          </w:tcPr>
          <w:p w14:paraId="224423B5">
            <w:pPr>
              <w:spacing w:line="360" w:lineRule="auto"/>
              <w:jc w:val="center"/>
              <w:rPr>
                <w:color w:val="auto"/>
                <w:szCs w:val="21"/>
                <w:highlight w:val="none"/>
              </w:rPr>
            </w:pPr>
          </w:p>
        </w:tc>
        <w:tc>
          <w:tcPr>
            <w:tcW w:w="1258" w:type="dxa"/>
            <w:noWrap w:val="0"/>
            <w:vAlign w:val="center"/>
          </w:tcPr>
          <w:p w14:paraId="43983ED9">
            <w:pPr>
              <w:spacing w:line="360" w:lineRule="auto"/>
              <w:jc w:val="center"/>
              <w:rPr>
                <w:color w:val="auto"/>
                <w:szCs w:val="21"/>
                <w:highlight w:val="none"/>
              </w:rPr>
            </w:pPr>
          </w:p>
        </w:tc>
        <w:tc>
          <w:tcPr>
            <w:tcW w:w="1257" w:type="dxa"/>
            <w:noWrap w:val="0"/>
            <w:vAlign w:val="center"/>
          </w:tcPr>
          <w:p w14:paraId="67749558">
            <w:pPr>
              <w:spacing w:line="360" w:lineRule="auto"/>
              <w:jc w:val="center"/>
              <w:rPr>
                <w:color w:val="auto"/>
                <w:szCs w:val="21"/>
                <w:highlight w:val="none"/>
              </w:rPr>
            </w:pPr>
          </w:p>
        </w:tc>
        <w:tc>
          <w:tcPr>
            <w:tcW w:w="1258" w:type="dxa"/>
            <w:noWrap w:val="0"/>
            <w:vAlign w:val="center"/>
          </w:tcPr>
          <w:p w14:paraId="5B56C2AA">
            <w:pPr>
              <w:spacing w:line="360" w:lineRule="auto"/>
              <w:jc w:val="center"/>
              <w:rPr>
                <w:color w:val="auto"/>
                <w:szCs w:val="21"/>
                <w:highlight w:val="none"/>
              </w:rPr>
            </w:pPr>
          </w:p>
        </w:tc>
        <w:tc>
          <w:tcPr>
            <w:tcW w:w="1257" w:type="dxa"/>
            <w:noWrap w:val="0"/>
            <w:vAlign w:val="center"/>
          </w:tcPr>
          <w:p w14:paraId="5EEC5BE9">
            <w:pPr>
              <w:spacing w:line="360" w:lineRule="auto"/>
              <w:jc w:val="center"/>
              <w:rPr>
                <w:color w:val="auto"/>
                <w:szCs w:val="21"/>
                <w:highlight w:val="none"/>
              </w:rPr>
            </w:pPr>
          </w:p>
        </w:tc>
        <w:tc>
          <w:tcPr>
            <w:tcW w:w="1258" w:type="dxa"/>
            <w:noWrap w:val="0"/>
            <w:vAlign w:val="center"/>
          </w:tcPr>
          <w:p w14:paraId="7370FBF0">
            <w:pPr>
              <w:spacing w:line="360" w:lineRule="auto"/>
              <w:jc w:val="center"/>
              <w:rPr>
                <w:color w:val="auto"/>
                <w:szCs w:val="21"/>
                <w:highlight w:val="none"/>
              </w:rPr>
            </w:pPr>
          </w:p>
        </w:tc>
      </w:tr>
      <w:tr w14:paraId="5B3EA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0DA25802">
            <w:pPr>
              <w:spacing w:line="360" w:lineRule="auto"/>
              <w:jc w:val="center"/>
              <w:rPr>
                <w:color w:val="auto"/>
                <w:szCs w:val="21"/>
                <w:highlight w:val="none"/>
              </w:rPr>
            </w:pPr>
          </w:p>
        </w:tc>
        <w:tc>
          <w:tcPr>
            <w:tcW w:w="961" w:type="dxa"/>
            <w:noWrap w:val="0"/>
            <w:vAlign w:val="center"/>
          </w:tcPr>
          <w:p w14:paraId="6D482FB2">
            <w:pPr>
              <w:spacing w:line="360" w:lineRule="auto"/>
              <w:jc w:val="center"/>
              <w:rPr>
                <w:color w:val="auto"/>
                <w:szCs w:val="21"/>
                <w:highlight w:val="none"/>
              </w:rPr>
            </w:pPr>
          </w:p>
        </w:tc>
        <w:tc>
          <w:tcPr>
            <w:tcW w:w="1257" w:type="dxa"/>
            <w:noWrap w:val="0"/>
            <w:vAlign w:val="center"/>
          </w:tcPr>
          <w:p w14:paraId="6DF4E222">
            <w:pPr>
              <w:spacing w:line="360" w:lineRule="auto"/>
              <w:jc w:val="center"/>
              <w:rPr>
                <w:color w:val="auto"/>
                <w:szCs w:val="21"/>
                <w:highlight w:val="none"/>
              </w:rPr>
            </w:pPr>
          </w:p>
        </w:tc>
        <w:tc>
          <w:tcPr>
            <w:tcW w:w="1258" w:type="dxa"/>
            <w:noWrap w:val="0"/>
            <w:vAlign w:val="center"/>
          </w:tcPr>
          <w:p w14:paraId="4B388EFE">
            <w:pPr>
              <w:spacing w:line="360" w:lineRule="auto"/>
              <w:jc w:val="center"/>
              <w:rPr>
                <w:color w:val="auto"/>
                <w:szCs w:val="21"/>
                <w:highlight w:val="none"/>
              </w:rPr>
            </w:pPr>
          </w:p>
        </w:tc>
        <w:tc>
          <w:tcPr>
            <w:tcW w:w="1257" w:type="dxa"/>
            <w:noWrap w:val="0"/>
            <w:vAlign w:val="center"/>
          </w:tcPr>
          <w:p w14:paraId="5AD25C65">
            <w:pPr>
              <w:spacing w:line="360" w:lineRule="auto"/>
              <w:jc w:val="center"/>
              <w:rPr>
                <w:color w:val="auto"/>
                <w:szCs w:val="21"/>
                <w:highlight w:val="none"/>
              </w:rPr>
            </w:pPr>
          </w:p>
        </w:tc>
        <w:tc>
          <w:tcPr>
            <w:tcW w:w="1258" w:type="dxa"/>
            <w:noWrap w:val="0"/>
            <w:vAlign w:val="center"/>
          </w:tcPr>
          <w:p w14:paraId="5D5A772A">
            <w:pPr>
              <w:spacing w:line="360" w:lineRule="auto"/>
              <w:jc w:val="center"/>
              <w:rPr>
                <w:color w:val="auto"/>
                <w:szCs w:val="21"/>
                <w:highlight w:val="none"/>
              </w:rPr>
            </w:pPr>
          </w:p>
        </w:tc>
        <w:tc>
          <w:tcPr>
            <w:tcW w:w="1257" w:type="dxa"/>
            <w:noWrap w:val="0"/>
            <w:vAlign w:val="center"/>
          </w:tcPr>
          <w:p w14:paraId="796C5F8F">
            <w:pPr>
              <w:spacing w:line="360" w:lineRule="auto"/>
              <w:jc w:val="center"/>
              <w:rPr>
                <w:color w:val="auto"/>
                <w:szCs w:val="21"/>
                <w:highlight w:val="none"/>
              </w:rPr>
            </w:pPr>
          </w:p>
        </w:tc>
        <w:tc>
          <w:tcPr>
            <w:tcW w:w="1258" w:type="dxa"/>
            <w:noWrap w:val="0"/>
            <w:vAlign w:val="center"/>
          </w:tcPr>
          <w:p w14:paraId="1D272924">
            <w:pPr>
              <w:spacing w:line="360" w:lineRule="auto"/>
              <w:jc w:val="center"/>
              <w:rPr>
                <w:color w:val="auto"/>
                <w:szCs w:val="21"/>
                <w:highlight w:val="none"/>
              </w:rPr>
            </w:pPr>
          </w:p>
        </w:tc>
      </w:tr>
      <w:tr w14:paraId="6D233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7D7875FD">
            <w:pPr>
              <w:spacing w:line="360" w:lineRule="auto"/>
              <w:jc w:val="center"/>
              <w:rPr>
                <w:color w:val="auto"/>
                <w:szCs w:val="21"/>
                <w:highlight w:val="none"/>
              </w:rPr>
            </w:pPr>
          </w:p>
        </w:tc>
        <w:tc>
          <w:tcPr>
            <w:tcW w:w="961" w:type="dxa"/>
            <w:noWrap w:val="0"/>
            <w:vAlign w:val="center"/>
          </w:tcPr>
          <w:p w14:paraId="3B6F2593">
            <w:pPr>
              <w:spacing w:line="360" w:lineRule="auto"/>
              <w:jc w:val="center"/>
              <w:rPr>
                <w:color w:val="auto"/>
                <w:szCs w:val="21"/>
                <w:highlight w:val="none"/>
              </w:rPr>
            </w:pPr>
          </w:p>
        </w:tc>
        <w:tc>
          <w:tcPr>
            <w:tcW w:w="1257" w:type="dxa"/>
            <w:noWrap w:val="0"/>
            <w:vAlign w:val="center"/>
          </w:tcPr>
          <w:p w14:paraId="5B2964FE">
            <w:pPr>
              <w:spacing w:line="360" w:lineRule="auto"/>
              <w:jc w:val="center"/>
              <w:rPr>
                <w:color w:val="auto"/>
                <w:szCs w:val="21"/>
                <w:highlight w:val="none"/>
              </w:rPr>
            </w:pPr>
          </w:p>
        </w:tc>
        <w:tc>
          <w:tcPr>
            <w:tcW w:w="1258" w:type="dxa"/>
            <w:noWrap w:val="0"/>
            <w:vAlign w:val="center"/>
          </w:tcPr>
          <w:p w14:paraId="6B68BE1A">
            <w:pPr>
              <w:spacing w:line="360" w:lineRule="auto"/>
              <w:jc w:val="center"/>
              <w:rPr>
                <w:color w:val="auto"/>
                <w:szCs w:val="21"/>
                <w:highlight w:val="none"/>
              </w:rPr>
            </w:pPr>
          </w:p>
        </w:tc>
        <w:tc>
          <w:tcPr>
            <w:tcW w:w="1257" w:type="dxa"/>
            <w:noWrap w:val="0"/>
            <w:vAlign w:val="center"/>
          </w:tcPr>
          <w:p w14:paraId="6755F998">
            <w:pPr>
              <w:spacing w:line="360" w:lineRule="auto"/>
              <w:jc w:val="center"/>
              <w:rPr>
                <w:color w:val="auto"/>
                <w:szCs w:val="21"/>
                <w:highlight w:val="none"/>
              </w:rPr>
            </w:pPr>
          </w:p>
        </w:tc>
        <w:tc>
          <w:tcPr>
            <w:tcW w:w="1258" w:type="dxa"/>
            <w:noWrap w:val="0"/>
            <w:vAlign w:val="center"/>
          </w:tcPr>
          <w:p w14:paraId="79EF6B66">
            <w:pPr>
              <w:spacing w:line="360" w:lineRule="auto"/>
              <w:jc w:val="center"/>
              <w:rPr>
                <w:color w:val="auto"/>
                <w:szCs w:val="21"/>
                <w:highlight w:val="none"/>
              </w:rPr>
            </w:pPr>
          </w:p>
        </w:tc>
        <w:tc>
          <w:tcPr>
            <w:tcW w:w="1257" w:type="dxa"/>
            <w:noWrap w:val="0"/>
            <w:vAlign w:val="center"/>
          </w:tcPr>
          <w:p w14:paraId="75F02F83">
            <w:pPr>
              <w:spacing w:line="360" w:lineRule="auto"/>
              <w:jc w:val="center"/>
              <w:rPr>
                <w:color w:val="auto"/>
                <w:szCs w:val="21"/>
                <w:highlight w:val="none"/>
              </w:rPr>
            </w:pPr>
          </w:p>
        </w:tc>
        <w:tc>
          <w:tcPr>
            <w:tcW w:w="1258" w:type="dxa"/>
            <w:noWrap w:val="0"/>
            <w:vAlign w:val="center"/>
          </w:tcPr>
          <w:p w14:paraId="01232A9D">
            <w:pPr>
              <w:spacing w:line="360" w:lineRule="auto"/>
              <w:jc w:val="center"/>
              <w:rPr>
                <w:color w:val="auto"/>
                <w:szCs w:val="21"/>
                <w:highlight w:val="none"/>
              </w:rPr>
            </w:pPr>
          </w:p>
        </w:tc>
      </w:tr>
      <w:tr w14:paraId="5F3E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48A0DBF4">
            <w:pPr>
              <w:spacing w:line="360" w:lineRule="auto"/>
              <w:jc w:val="center"/>
              <w:rPr>
                <w:color w:val="auto"/>
                <w:szCs w:val="21"/>
                <w:highlight w:val="none"/>
              </w:rPr>
            </w:pPr>
          </w:p>
        </w:tc>
        <w:tc>
          <w:tcPr>
            <w:tcW w:w="961" w:type="dxa"/>
            <w:noWrap w:val="0"/>
            <w:vAlign w:val="center"/>
          </w:tcPr>
          <w:p w14:paraId="1415CE14">
            <w:pPr>
              <w:spacing w:line="360" w:lineRule="auto"/>
              <w:jc w:val="center"/>
              <w:rPr>
                <w:color w:val="auto"/>
                <w:szCs w:val="21"/>
                <w:highlight w:val="none"/>
              </w:rPr>
            </w:pPr>
          </w:p>
        </w:tc>
        <w:tc>
          <w:tcPr>
            <w:tcW w:w="1257" w:type="dxa"/>
            <w:noWrap w:val="0"/>
            <w:vAlign w:val="center"/>
          </w:tcPr>
          <w:p w14:paraId="7AB399C6">
            <w:pPr>
              <w:spacing w:line="360" w:lineRule="auto"/>
              <w:jc w:val="center"/>
              <w:rPr>
                <w:color w:val="auto"/>
                <w:szCs w:val="21"/>
                <w:highlight w:val="none"/>
              </w:rPr>
            </w:pPr>
          </w:p>
        </w:tc>
        <w:tc>
          <w:tcPr>
            <w:tcW w:w="1258" w:type="dxa"/>
            <w:noWrap w:val="0"/>
            <w:vAlign w:val="center"/>
          </w:tcPr>
          <w:p w14:paraId="6E88E119">
            <w:pPr>
              <w:spacing w:line="360" w:lineRule="auto"/>
              <w:jc w:val="center"/>
              <w:rPr>
                <w:color w:val="auto"/>
                <w:szCs w:val="21"/>
                <w:highlight w:val="none"/>
              </w:rPr>
            </w:pPr>
          </w:p>
        </w:tc>
        <w:tc>
          <w:tcPr>
            <w:tcW w:w="1257" w:type="dxa"/>
            <w:noWrap w:val="0"/>
            <w:vAlign w:val="center"/>
          </w:tcPr>
          <w:p w14:paraId="7B318795">
            <w:pPr>
              <w:spacing w:line="360" w:lineRule="auto"/>
              <w:jc w:val="center"/>
              <w:rPr>
                <w:color w:val="auto"/>
                <w:szCs w:val="21"/>
                <w:highlight w:val="none"/>
              </w:rPr>
            </w:pPr>
          </w:p>
        </w:tc>
        <w:tc>
          <w:tcPr>
            <w:tcW w:w="1258" w:type="dxa"/>
            <w:noWrap w:val="0"/>
            <w:vAlign w:val="center"/>
          </w:tcPr>
          <w:p w14:paraId="25361DD1">
            <w:pPr>
              <w:spacing w:line="360" w:lineRule="auto"/>
              <w:jc w:val="center"/>
              <w:rPr>
                <w:color w:val="auto"/>
                <w:szCs w:val="21"/>
                <w:highlight w:val="none"/>
              </w:rPr>
            </w:pPr>
          </w:p>
        </w:tc>
        <w:tc>
          <w:tcPr>
            <w:tcW w:w="1257" w:type="dxa"/>
            <w:noWrap w:val="0"/>
            <w:vAlign w:val="center"/>
          </w:tcPr>
          <w:p w14:paraId="2FCE6599">
            <w:pPr>
              <w:spacing w:line="360" w:lineRule="auto"/>
              <w:jc w:val="center"/>
              <w:rPr>
                <w:color w:val="auto"/>
                <w:szCs w:val="21"/>
                <w:highlight w:val="none"/>
              </w:rPr>
            </w:pPr>
          </w:p>
        </w:tc>
        <w:tc>
          <w:tcPr>
            <w:tcW w:w="1258" w:type="dxa"/>
            <w:noWrap w:val="0"/>
            <w:vAlign w:val="center"/>
          </w:tcPr>
          <w:p w14:paraId="5A08FB74">
            <w:pPr>
              <w:spacing w:line="360" w:lineRule="auto"/>
              <w:jc w:val="center"/>
              <w:rPr>
                <w:color w:val="auto"/>
                <w:szCs w:val="21"/>
                <w:highlight w:val="none"/>
              </w:rPr>
            </w:pPr>
          </w:p>
        </w:tc>
      </w:tr>
      <w:tr w14:paraId="13872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noWrap w:val="0"/>
            <w:vAlign w:val="center"/>
          </w:tcPr>
          <w:p w14:paraId="29DA56EE">
            <w:pPr>
              <w:spacing w:line="360" w:lineRule="auto"/>
              <w:jc w:val="center"/>
              <w:rPr>
                <w:color w:val="auto"/>
                <w:szCs w:val="21"/>
                <w:highlight w:val="none"/>
              </w:rPr>
            </w:pPr>
          </w:p>
        </w:tc>
        <w:tc>
          <w:tcPr>
            <w:tcW w:w="961" w:type="dxa"/>
            <w:noWrap w:val="0"/>
            <w:vAlign w:val="center"/>
          </w:tcPr>
          <w:p w14:paraId="442EC6DE">
            <w:pPr>
              <w:spacing w:line="360" w:lineRule="auto"/>
              <w:jc w:val="center"/>
              <w:rPr>
                <w:color w:val="auto"/>
                <w:szCs w:val="21"/>
                <w:highlight w:val="none"/>
              </w:rPr>
            </w:pPr>
          </w:p>
        </w:tc>
        <w:tc>
          <w:tcPr>
            <w:tcW w:w="1257" w:type="dxa"/>
            <w:noWrap w:val="0"/>
            <w:vAlign w:val="center"/>
          </w:tcPr>
          <w:p w14:paraId="7472EA83">
            <w:pPr>
              <w:spacing w:line="360" w:lineRule="auto"/>
              <w:jc w:val="center"/>
              <w:rPr>
                <w:color w:val="auto"/>
                <w:szCs w:val="21"/>
                <w:highlight w:val="none"/>
              </w:rPr>
            </w:pPr>
          </w:p>
        </w:tc>
        <w:tc>
          <w:tcPr>
            <w:tcW w:w="1258" w:type="dxa"/>
            <w:noWrap w:val="0"/>
            <w:vAlign w:val="center"/>
          </w:tcPr>
          <w:p w14:paraId="6ACAC5C3">
            <w:pPr>
              <w:spacing w:line="360" w:lineRule="auto"/>
              <w:jc w:val="center"/>
              <w:rPr>
                <w:color w:val="auto"/>
                <w:szCs w:val="21"/>
                <w:highlight w:val="none"/>
              </w:rPr>
            </w:pPr>
          </w:p>
        </w:tc>
        <w:tc>
          <w:tcPr>
            <w:tcW w:w="1257" w:type="dxa"/>
            <w:noWrap w:val="0"/>
            <w:vAlign w:val="center"/>
          </w:tcPr>
          <w:p w14:paraId="4FF71D6C">
            <w:pPr>
              <w:spacing w:line="360" w:lineRule="auto"/>
              <w:jc w:val="center"/>
              <w:rPr>
                <w:color w:val="auto"/>
                <w:szCs w:val="21"/>
                <w:highlight w:val="none"/>
              </w:rPr>
            </w:pPr>
          </w:p>
        </w:tc>
        <w:tc>
          <w:tcPr>
            <w:tcW w:w="1258" w:type="dxa"/>
            <w:noWrap w:val="0"/>
            <w:vAlign w:val="center"/>
          </w:tcPr>
          <w:p w14:paraId="601FD05C">
            <w:pPr>
              <w:spacing w:line="360" w:lineRule="auto"/>
              <w:jc w:val="center"/>
              <w:rPr>
                <w:color w:val="auto"/>
                <w:szCs w:val="21"/>
                <w:highlight w:val="none"/>
              </w:rPr>
            </w:pPr>
          </w:p>
        </w:tc>
        <w:tc>
          <w:tcPr>
            <w:tcW w:w="1257" w:type="dxa"/>
            <w:noWrap w:val="0"/>
            <w:vAlign w:val="center"/>
          </w:tcPr>
          <w:p w14:paraId="69CAD598">
            <w:pPr>
              <w:spacing w:line="360" w:lineRule="auto"/>
              <w:jc w:val="center"/>
              <w:rPr>
                <w:color w:val="auto"/>
                <w:szCs w:val="21"/>
                <w:highlight w:val="none"/>
              </w:rPr>
            </w:pPr>
          </w:p>
        </w:tc>
        <w:tc>
          <w:tcPr>
            <w:tcW w:w="1258" w:type="dxa"/>
            <w:noWrap w:val="0"/>
            <w:vAlign w:val="center"/>
          </w:tcPr>
          <w:p w14:paraId="42D3A933">
            <w:pPr>
              <w:spacing w:line="360" w:lineRule="auto"/>
              <w:jc w:val="center"/>
              <w:rPr>
                <w:color w:val="auto"/>
                <w:szCs w:val="21"/>
                <w:highlight w:val="none"/>
              </w:rPr>
            </w:pPr>
          </w:p>
        </w:tc>
      </w:tr>
    </w:tbl>
    <w:p w14:paraId="0852DB50">
      <w:pPr>
        <w:rPr>
          <w:color w:val="auto"/>
          <w:highlight w:val="none"/>
        </w:rPr>
      </w:pPr>
    </w:p>
    <w:p w14:paraId="4B738F0D">
      <w:pPr>
        <w:rPr>
          <w:b/>
          <w:color w:val="auto"/>
          <w:highlight w:val="none"/>
        </w:rPr>
      </w:pPr>
    </w:p>
    <w:p w14:paraId="7834DD6B">
      <w:pPr>
        <w:rPr>
          <w:color w:val="auto"/>
          <w:highlight w:val="none"/>
        </w:rPr>
      </w:pPr>
      <w:r>
        <w:rPr>
          <w:color w:val="auto"/>
          <w:highlight w:val="none"/>
        </w:rPr>
        <w:t>附表四：计划开、竣工日期和施工进度计划（网络图或横道图）</w:t>
      </w:r>
    </w:p>
    <w:p w14:paraId="457E5C47">
      <w:pPr>
        <w:spacing w:line="460" w:lineRule="exact"/>
        <w:ind w:left="-6" w:firstLine="420"/>
        <w:rPr>
          <w:color w:val="auto"/>
          <w:highlight w:val="none"/>
        </w:rPr>
      </w:pPr>
      <w:r>
        <w:rPr>
          <w:rFonts w:hint="eastAsia"/>
          <w:color w:val="auto"/>
          <w:highlight w:val="none"/>
        </w:rPr>
        <w:t>（1）</w:t>
      </w:r>
      <w:r>
        <w:rPr>
          <w:color w:val="auto"/>
          <w:highlight w:val="none"/>
        </w:rPr>
        <w:t>供应商应提交施工进度计划，说明按采购文件要求的工期进行施工的各个关键日期。成交的供应商还应按合同条件有关条款的要求提交详细的施工进度计划。</w:t>
      </w:r>
    </w:p>
    <w:p w14:paraId="315C5FBC">
      <w:pPr>
        <w:spacing w:line="460" w:lineRule="exact"/>
        <w:ind w:left="-6" w:firstLine="420"/>
        <w:rPr>
          <w:color w:val="auto"/>
          <w:highlight w:val="none"/>
        </w:rPr>
      </w:pPr>
      <w:r>
        <w:rPr>
          <w:rFonts w:hint="eastAsia"/>
          <w:color w:val="auto"/>
          <w:highlight w:val="none"/>
        </w:rPr>
        <w:t>（2）</w:t>
      </w:r>
      <w:r>
        <w:rPr>
          <w:color w:val="auto"/>
          <w:highlight w:val="none"/>
        </w:rPr>
        <w:t>施工进度计划可采用网络图（或横道图）表示，说明计划开工日期和各分项工程各阶段的完工日期和分包合同签订的日期。</w:t>
      </w:r>
    </w:p>
    <w:p w14:paraId="5A4ED05F">
      <w:pPr>
        <w:spacing w:line="460" w:lineRule="exact"/>
        <w:ind w:left="-6" w:firstLine="420"/>
        <w:rPr>
          <w:color w:val="auto"/>
          <w:highlight w:val="none"/>
        </w:rPr>
      </w:pPr>
      <w:r>
        <w:rPr>
          <w:rFonts w:hint="eastAsia"/>
          <w:color w:val="auto"/>
          <w:highlight w:val="none"/>
        </w:rPr>
        <w:t>（</w:t>
      </w:r>
      <w:r>
        <w:rPr>
          <w:color w:val="auto"/>
          <w:highlight w:val="none"/>
        </w:rPr>
        <w:t>3</w:t>
      </w:r>
      <w:r>
        <w:rPr>
          <w:rFonts w:hint="eastAsia"/>
          <w:color w:val="auto"/>
          <w:highlight w:val="none"/>
        </w:rPr>
        <w:t>）</w:t>
      </w:r>
      <w:r>
        <w:rPr>
          <w:color w:val="auto"/>
          <w:highlight w:val="none"/>
        </w:rPr>
        <w:t>施工进度计划应与施工组织设计相适应。</w:t>
      </w:r>
    </w:p>
    <w:p w14:paraId="39BEA36B">
      <w:pPr>
        <w:rPr>
          <w:color w:val="auto"/>
          <w:highlight w:val="none"/>
        </w:rPr>
      </w:pPr>
    </w:p>
    <w:p w14:paraId="2131BD66">
      <w:pPr>
        <w:rPr>
          <w:color w:val="auto"/>
          <w:highlight w:val="none"/>
        </w:rPr>
      </w:pPr>
      <w:r>
        <w:rPr>
          <w:color w:val="auto"/>
          <w:highlight w:val="none"/>
        </w:rPr>
        <w:t>附表五：施工总平面图</w:t>
      </w:r>
    </w:p>
    <w:p w14:paraId="672CBA22">
      <w:pPr>
        <w:spacing w:line="460" w:lineRule="exact"/>
        <w:ind w:firstLine="420" w:firstLineChars="200"/>
        <w:rPr>
          <w:color w:val="auto"/>
          <w:szCs w:val="21"/>
          <w:highlight w:val="none"/>
        </w:rPr>
      </w:pPr>
      <w:r>
        <w:rPr>
          <w:color w:val="auto"/>
          <w:szCs w:val="21"/>
          <w:highlight w:val="none"/>
        </w:rPr>
        <w:t>供应商应递交一份施工总平面图，绘出现场临时设施布置图表并附文字说明，说明临时设施、加工车间、现场办公、设备及仓储、供电、供水、卫生、生活、道路、消防等设施的情况和布置。</w:t>
      </w:r>
    </w:p>
    <w:p w14:paraId="1447B97C">
      <w:pPr>
        <w:rPr>
          <w:color w:val="auto"/>
          <w:highlight w:val="none"/>
        </w:rPr>
      </w:pPr>
    </w:p>
    <w:p w14:paraId="66C319BC">
      <w:pPr>
        <w:rPr>
          <w:color w:val="auto"/>
          <w:highlight w:val="none"/>
        </w:rPr>
      </w:pPr>
    </w:p>
    <w:p w14:paraId="2D91903D">
      <w:pPr>
        <w:rPr>
          <w:color w:val="auto"/>
          <w:highlight w:val="none"/>
        </w:rPr>
      </w:pPr>
      <w:r>
        <w:rPr>
          <w:color w:val="auto"/>
          <w:highlight w:val="none"/>
        </w:rPr>
        <w:t>附表六：临时用地表</w:t>
      </w:r>
    </w:p>
    <w:p w14:paraId="17056440">
      <w:pPr>
        <w:rPr>
          <w:color w:val="auto"/>
          <w:highlight w:val="none"/>
        </w:rPr>
      </w:pP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2091"/>
        <w:gridCol w:w="2090"/>
        <w:gridCol w:w="2091"/>
      </w:tblGrid>
      <w:tr w14:paraId="6BCF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090" w:type="dxa"/>
            <w:noWrap w:val="0"/>
            <w:vAlign w:val="center"/>
          </w:tcPr>
          <w:p w14:paraId="486EDF46">
            <w:pPr>
              <w:jc w:val="center"/>
              <w:rPr>
                <w:color w:val="auto"/>
                <w:highlight w:val="none"/>
              </w:rPr>
            </w:pPr>
            <w:r>
              <w:rPr>
                <w:color w:val="auto"/>
                <w:szCs w:val="21"/>
                <w:highlight w:val="none"/>
              </w:rPr>
              <w:t>用途</w:t>
            </w:r>
          </w:p>
        </w:tc>
        <w:tc>
          <w:tcPr>
            <w:tcW w:w="2091" w:type="dxa"/>
            <w:noWrap w:val="0"/>
            <w:vAlign w:val="center"/>
          </w:tcPr>
          <w:p w14:paraId="3B7FD0A8">
            <w:pPr>
              <w:jc w:val="center"/>
              <w:rPr>
                <w:color w:val="auto"/>
                <w:highlight w:val="none"/>
              </w:rPr>
            </w:pPr>
            <w:r>
              <w:rPr>
                <w:color w:val="auto"/>
                <w:szCs w:val="21"/>
                <w:highlight w:val="none"/>
              </w:rPr>
              <w:t>面积（平方米）</w:t>
            </w:r>
          </w:p>
        </w:tc>
        <w:tc>
          <w:tcPr>
            <w:tcW w:w="2090" w:type="dxa"/>
            <w:noWrap w:val="0"/>
            <w:vAlign w:val="center"/>
          </w:tcPr>
          <w:p w14:paraId="28A980C5">
            <w:pPr>
              <w:jc w:val="center"/>
              <w:rPr>
                <w:color w:val="auto"/>
                <w:highlight w:val="none"/>
              </w:rPr>
            </w:pPr>
            <w:r>
              <w:rPr>
                <w:color w:val="auto"/>
                <w:szCs w:val="21"/>
                <w:highlight w:val="none"/>
              </w:rPr>
              <w:t>位置</w:t>
            </w:r>
          </w:p>
        </w:tc>
        <w:tc>
          <w:tcPr>
            <w:tcW w:w="2091" w:type="dxa"/>
            <w:noWrap w:val="0"/>
            <w:vAlign w:val="center"/>
          </w:tcPr>
          <w:p w14:paraId="5148CA77">
            <w:pPr>
              <w:jc w:val="center"/>
              <w:rPr>
                <w:color w:val="auto"/>
                <w:highlight w:val="none"/>
              </w:rPr>
            </w:pPr>
            <w:r>
              <w:rPr>
                <w:color w:val="auto"/>
                <w:szCs w:val="21"/>
                <w:highlight w:val="none"/>
              </w:rPr>
              <w:t>需用时间</w:t>
            </w:r>
          </w:p>
        </w:tc>
      </w:tr>
      <w:tr w14:paraId="2588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1FA86540">
            <w:pPr>
              <w:rPr>
                <w:color w:val="auto"/>
                <w:highlight w:val="none"/>
              </w:rPr>
            </w:pPr>
          </w:p>
        </w:tc>
        <w:tc>
          <w:tcPr>
            <w:tcW w:w="2091" w:type="dxa"/>
            <w:noWrap w:val="0"/>
            <w:vAlign w:val="top"/>
          </w:tcPr>
          <w:p w14:paraId="4732E90D">
            <w:pPr>
              <w:rPr>
                <w:color w:val="auto"/>
                <w:highlight w:val="none"/>
              </w:rPr>
            </w:pPr>
          </w:p>
        </w:tc>
        <w:tc>
          <w:tcPr>
            <w:tcW w:w="2090" w:type="dxa"/>
            <w:noWrap w:val="0"/>
            <w:vAlign w:val="top"/>
          </w:tcPr>
          <w:p w14:paraId="7C00AA48">
            <w:pPr>
              <w:rPr>
                <w:color w:val="auto"/>
                <w:highlight w:val="none"/>
              </w:rPr>
            </w:pPr>
          </w:p>
        </w:tc>
        <w:tc>
          <w:tcPr>
            <w:tcW w:w="2091" w:type="dxa"/>
            <w:noWrap w:val="0"/>
            <w:vAlign w:val="top"/>
          </w:tcPr>
          <w:p w14:paraId="7E966F1E">
            <w:pPr>
              <w:rPr>
                <w:color w:val="auto"/>
                <w:highlight w:val="none"/>
              </w:rPr>
            </w:pPr>
          </w:p>
        </w:tc>
      </w:tr>
      <w:tr w14:paraId="06FC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41FB450F">
            <w:pPr>
              <w:rPr>
                <w:color w:val="auto"/>
                <w:highlight w:val="none"/>
              </w:rPr>
            </w:pPr>
          </w:p>
        </w:tc>
        <w:tc>
          <w:tcPr>
            <w:tcW w:w="2091" w:type="dxa"/>
            <w:noWrap w:val="0"/>
            <w:vAlign w:val="top"/>
          </w:tcPr>
          <w:p w14:paraId="401007A8">
            <w:pPr>
              <w:rPr>
                <w:color w:val="auto"/>
                <w:highlight w:val="none"/>
              </w:rPr>
            </w:pPr>
          </w:p>
        </w:tc>
        <w:tc>
          <w:tcPr>
            <w:tcW w:w="2090" w:type="dxa"/>
            <w:noWrap w:val="0"/>
            <w:vAlign w:val="top"/>
          </w:tcPr>
          <w:p w14:paraId="53F00372">
            <w:pPr>
              <w:rPr>
                <w:color w:val="auto"/>
                <w:highlight w:val="none"/>
              </w:rPr>
            </w:pPr>
          </w:p>
        </w:tc>
        <w:tc>
          <w:tcPr>
            <w:tcW w:w="2091" w:type="dxa"/>
            <w:noWrap w:val="0"/>
            <w:vAlign w:val="top"/>
          </w:tcPr>
          <w:p w14:paraId="11FFA24D">
            <w:pPr>
              <w:rPr>
                <w:color w:val="auto"/>
                <w:highlight w:val="none"/>
              </w:rPr>
            </w:pPr>
          </w:p>
        </w:tc>
      </w:tr>
      <w:tr w14:paraId="4934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090" w:type="dxa"/>
            <w:noWrap w:val="0"/>
            <w:vAlign w:val="top"/>
          </w:tcPr>
          <w:p w14:paraId="1601CA0A">
            <w:pPr>
              <w:rPr>
                <w:color w:val="auto"/>
                <w:highlight w:val="none"/>
              </w:rPr>
            </w:pPr>
          </w:p>
        </w:tc>
        <w:tc>
          <w:tcPr>
            <w:tcW w:w="2091" w:type="dxa"/>
            <w:noWrap w:val="0"/>
            <w:vAlign w:val="top"/>
          </w:tcPr>
          <w:p w14:paraId="45D57512">
            <w:pPr>
              <w:rPr>
                <w:color w:val="auto"/>
                <w:highlight w:val="none"/>
              </w:rPr>
            </w:pPr>
          </w:p>
        </w:tc>
        <w:tc>
          <w:tcPr>
            <w:tcW w:w="2090" w:type="dxa"/>
            <w:noWrap w:val="0"/>
            <w:vAlign w:val="top"/>
          </w:tcPr>
          <w:p w14:paraId="703646BC">
            <w:pPr>
              <w:rPr>
                <w:color w:val="auto"/>
                <w:highlight w:val="none"/>
              </w:rPr>
            </w:pPr>
          </w:p>
        </w:tc>
        <w:tc>
          <w:tcPr>
            <w:tcW w:w="2091" w:type="dxa"/>
            <w:noWrap w:val="0"/>
            <w:vAlign w:val="top"/>
          </w:tcPr>
          <w:p w14:paraId="71ED20D7">
            <w:pPr>
              <w:rPr>
                <w:color w:val="auto"/>
                <w:highlight w:val="none"/>
              </w:rPr>
            </w:pPr>
          </w:p>
        </w:tc>
      </w:tr>
      <w:tr w14:paraId="1A6D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4EAE6518">
            <w:pPr>
              <w:rPr>
                <w:color w:val="auto"/>
                <w:highlight w:val="none"/>
              </w:rPr>
            </w:pPr>
          </w:p>
        </w:tc>
        <w:tc>
          <w:tcPr>
            <w:tcW w:w="2091" w:type="dxa"/>
            <w:noWrap w:val="0"/>
            <w:vAlign w:val="top"/>
          </w:tcPr>
          <w:p w14:paraId="71C38811">
            <w:pPr>
              <w:rPr>
                <w:color w:val="auto"/>
                <w:highlight w:val="none"/>
              </w:rPr>
            </w:pPr>
          </w:p>
        </w:tc>
        <w:tc>
          <w:tcPr>
            <w:tcW w:w="2090" w:type="dxa"/>
            <w:noWrap w:val="0"/>
            <w:vAlign w:val="top"/>
          </w:tcPr>
          <w:p w14:paraId="5A59AEA7">
            <w:pPr>
              <w:rPr>
                <w:color w:val="auto"/>
                <w:highlight w:val="none"/>
              </w:rPr>
            </w:pPr>
          </w:p>
        </w:tc>
        <w:tc>
          <w:tcPr>
            <w:tcW w:w="2091" w:type="dxa"/>
            <w:noWrap w:val="0"/>
            <w:vAlign w:val="top"/>
          </w:tcPr>
          <w:p w14:paraId="587D75D6">
            <w:pPr>
              <w:rPr>
                <w:color w:val="auto"/>
                <w:highlight w:val="none"/>
              </w:rPr>
            </w:pPr>
          </w:p>
        </w:tc>
      </w:tr>
      <w:tr w14:paraId="2AF7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090" w:type="dxa"/>
            <w:noWrap w:val="0"/>
            <w:vAlign w:val="top"/>
          </w:tcPr>
          <w:p w14:paraId="5B1112DD">
            <w:pPr>
              <w:rPr>
                <w:color w:val="auto"/>
                <w:highlight w:val="none"/>
              </w:rPr>
            </w:pPr>
          </w:p>
        </w:tc>
        <w:tc>
          <w:tcPr>
            <w:tcW w:w="2091" w:type="dxa"/>
            <w:noWrap w:val="0"/>
            <w:vAlign w:val="top"/>
          </w:tcPr>
          <w:p w14:paraId="7256EA6C">
            <w:pPr>
              <w:rPr>
                <w:color w:val="auto"/>
                <w:highlight w:val="none"/>
              </w:rPr>
            </w:pPr>
          </w:p>
        </w:tc>
        <w:tc>
          <w:tcPr>
            <w:tcW w:w="2090" w:type="dxa"/>
            <w:noWrap w:val="0"/>
            <w:vAlign w:val="top"/>
          </w:tcPr>
          <w:p w14:paraId="1E8C5D10">
            <w:pPr>
              <w:rPr>
                <w:color w:val="auto"/>
                <w:highlight w:val="none"/>
              </w:rPr>
            </w:pPr>
          </w:p>
        </w:tc>
        <w:tc>
          <w:tcPr>
            <w:tcW w:w="2091" w:type="dxa"/>
            <w:noWrap w:val="0"/>
            <w:vAlign w:val="top"/>
          </w:tcPr>
          <w:p w14:paraId="544454B5">
            <w:pPr>
              <w:rPr>
                <w:color w:val="auto"/>
                <w:highlight w:val="none"/>
              </w:rPr>
            </w:pPr>
          </w:p>
        </w:tc>
      </w:tr>
    </w:tbl>
    <w:p w14:paraId="1B9A5319">
      <w:pPr>
        <w:rPr>
          <w:color w:val="auto"/>
          <w:highlight w:val="none"/>
        </w:rPr>
      </w:pPr>
    </w:p>
    <w:p w14:paraId="49850F63">
      <w:pPr>
        <w:rPr>
          <w:rFonts w:hint="eastAsia"/>
          <w:color w:val="auto"/>
          <w:highlight w:val="none"/>
        </w:rPr>
      </w:pPr>
    </w:p>
    <w:p w14:paraId="7AF15B8E">
      <w:pPr>
        <w:rPr>
          <w:rFonts w:hint="eastAsia"/>
          <w:color w:val="auto"/>
          <w:highlight w:val="none"/>
        </w:rPr>
      </w:pPr>
    </w:p>
    <w:p w14:paraId="2C4E1D43">
      <w:pPr>
        <w:rPr>
          <w:color w:val="auto"/>
          <w:highlight w:val="none"/>
        </w:rPr>
      </w:pPr>
      <w:r>
        <w:rPr>
          <w:color w:val="auto"/>
          <w:highlight w:val="none"/>
        </w:rPr>
        <w:t>附表七：拟分包计划表</w:t>
      </w:r>
    </w:p>
    <w:p w14:paraId="0D26ED06">
      <w:pPr>
        <w:jc w:val="left"/>
        <w:rPr>
          <w:color w:val="auto"/>
          <w:szCs w:val="21"/>
          <w:highlight w:val="none"/>
        </w:rPr>
      </w:pPr>
    </w:p>
    <w:p w14:paraId="25264251">
      <w:pPr>
        <w:rPr>
          <w:color w:val="auto"/>
          <w:szCs w:val="21"/>
          <w:highlight w:val="none"/>
        </w:rPr>
      </w:pPr>
      <w:r>
        <w:rPr>
          <w:color w:val="auto"/>
          <w:szCs w:val="21"/>
          <w:highlight w:val="none"/>
        </w:rPr>
        <w:t>如供应商须知注明不允许分包，则本表无须提供，反之须提供。</w:t>
      </w:r>
    </w:p>
    <w:p w14:paraId="5A60C04B">
      <w:pPr>
        <w:pStyle w:val="197"/>
        <w:jc w:val="center"/>
        <w:rPr>
          <w:rFonts w:ascii="Times New Roman" w:hAnsi="Times New Roman"/>
          <w:b/>
          <w:color w:val="auto"/>
          <w:sz w:val="28"/>
          <w:szCs w:val="28"/>
          <w:highlight w:val="none"/>
        </w:rPr>
      </w:pP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843"/>
        <w:gridCol w:w="751"/>
        <w:gridCol w:w="950"/>
        <w:gridCol w:w="1123"/>
        <w:gridCol w:w="1090"/>
        <w:gridCol w:w="1197"/>
        <w:gridCol w:w="1268"/>
      </w:tblGrid>
      <w:tr w14:paraId="591E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5703D0E2">
            <w:pPr>
              <w:jc w:val="center"/>
              <w:rPr>
                <w:color w:val="auto"/>
                <w:szCs w:val="21"/>
                <w:highlight w:val="none"/>
              </w:rPr>
            </w:pPr>
            <w:r>
              <w:rPr>
                <w:color w:val="auto"/>
                <w:szCs w:val="21"/>
                <w:highlight w:val="none"/>
              </w:rPr>
              <w:t>序</w:t>
            </w:r>
          </w:p>
          <w:p w14:paraId="57CDEACE">
            <w:pPr>
              <w:jc w:val="center"/>
              <w:rPr>
                <w:color w:val="auto"/>
                <w:szCs w:val="21"/>
                <w:highlight w:val="none"/>
              </w:rPr>
            </w:pPr>
            <w:r>
              <w:rPr>
                <w:color w:val="auto"/>
                <w:szCs w:val="21"/>
                <w:highlight w:val="none"/>
              </w:rPr>
              <w:t>号</w:t>
            </w:r>
          </w:p>
        </w:tc>
        <w:tc>
          <w:tcPr>
            <w:tcW w:w="1843" w:type="dxa"/>
            <w:vMerge w:val="restart"/>
            <w:noWrap w:val="0"/>
            <w:tcMar>
              <w:left w:w="108" w:type="dxa"/>
              <w:right w:w="108" w:type="dxa"/>
            </w:tcMar>
            <w:vAlign w:val="center"/>
          </w:tcPr>
          <w:p w14:paraId="678244F3">
            <w:pPr>
              <w:jc w:val="center"/>
              <w:rPr>
                <w:color w:val="auto"/>
                <w:szCs w:val="21"/>
                <w:highlight w:val="none"/>
              </w:rPr>
            </w:pPr>
            <w:r>
              <w:rPr>
                <w:color w:val="auto"/>
                <w:szCs w:val="21"/>
                <w:highlight w:val="none"/>
              </w:rPr>
              <w:t>拟分包项目名称、范围及理由</w:t>
            </w:r>
          </w:p>
        </w:tc>
        <w:tc>
          <w:tcPr>
            <w:tcW w:w="5111" w:type="dxa"/>
            <w:gridSpan w:val="5"/>
            <w:noWrap w:val="0"/>
            <w:tcMar>
              <w:left w:w="108" w:type="dxa"/>
              <w:right w:w="108" w:type="dxa"/>
            </w:tcMar>
            <w:vAlign w:val="center"/>
          </w:tcPr>
          <w:p w14:paraId="71DC3F3D">
            <w:pPr>
              <w:jc w:val="center"/>
              <w:rPr>
                <w:color w:val="auto"/>
                <w:szCs w:val="21"/>
                <w:highlight w:val="none"/>
              </w:rPr>
            </w:pPr>
            <w:r>
              <w:rPr>
                <w:color w:val="auto"/>
                <w:szCs w:val="21"/>
                <w:highlight w:val="none"/>
              </w:rPr>
              <w:t>拟选分包人</w:t>
            </w:r>
          </w:p>
        </w:tc>
        <w:tc>
          <w:tcPr>
            <w:tcW w:w="1268" w:type="dxa"/>
            <w:vMerge w:val="restart"/>
            <w:noWrap w:val="0"/>
            <w:tcMar>
              <w:left w:w="108" w:type="dxa"/>
              <w:right w:w="108" w:type="dxa"/>
            </w:tcMar>
            <w:vAlign w:val="center"/>
          </w:tcPr>
          <w:p w14:paraId="6829E19A">
            <w:pPr>
              <w:jc w:val="center"/>
              <w:rPr>
                <w:color w:val="auto"/>
                <w:szCs w:val="21"/>
                <w:highlight w:val="none"/>
              </w:rPr>
            </w:pPr>
            <w:r>
              <w:rPr>
                <w:color w:val="auto"/>
                <w:szCs w:val="21"/>
                <w:highlight w:val="none"/>
              </w:rPr>
              <w:t>备注</w:t>
            </w:r>
          </w:p>
        </w:tc>
      </w:tr>
      <w:tr w14:paraId="5370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6C3E9BD8">
            <w:pPr>
              <w:jc w:val="center"/>
              <w:rPr>
                <w:color w:val="auto"/>
                <w:szCs w:val="21"/>
                <w:highlight w:val="none"/>
              </w:rPr>
            </w:pPr>
          </w:p>
        </w:tc>
        <w:tc>
          <w:tcPr>
            <w:tcW w:w="1843" w:type="dxa"/>
            <w:vMerge w:val="continue"/>
            <w:noWrap w:val="0"/>
            <w:tcMar>
              <w:left w:w="108" w:type="dxa"/>
              <w:right w:w="108" w:type="dxa"/>
            </w:tcMar>
            <w:vAlign w:val="center"/>
          </w:tcPr>
          <w:p w14:paraId="2911F01B">
            <w:pPr>
              <w:jc w:val="center"/>
              <w:rPr>
                <w:color w:val="auto"/>
                <w:szCs w:val="21"/>
                <w:highlight w:val="none"/>
              </w:rPr>
            </w:pPr>
          </w:p>
        </w:tc>
        <w:tc>
          <w:tcPr>
            <w:tcW w:w="1701" w:type="dxa"/>
            <w:gridSpan w:val="2"/>
            <w:noWrap w:val="0"/>
            <w:tcMar>
              <w:left w:w="108" w:type="dxa"/>
              <w:right w:w="108" w:type="dxa"/>
            </w:tcMar>
            <w:vAlign w:val="center"/>
          </w:tcPr>
          <w:p w14:paraId="5FE9A1A7">
            <w:pPr>
              <w:jc w:val="center"/>
              <w:rPr>
                <w:color w:val="auto"/>
                <w:szCs w:val="21"/>
                <w:highlight w:val="none"/>
              </w:rPr>
            </w:pPr>
            <w:r>
              <w:rPr>
                <w:color w:val="auto"/>
                <w:szCs w:val="21"/>
                <w:highlight w:val="none"/>
              </w:rPr>
              <w:t>拟选分包人名称</w:t>
            </w:r>
          </w:p>
        </w:tc>
        <w:tc>
          <w:tcPr>
            <w:tcW w:w="1123" w:type="dxa"/>
            <w:noWrap w:val="0"/>
            <w:tcMar>
              <w:left w:w="108" w:type="dxa"/>
              <w:right w:w="108" w:type="dxa"/>
            </w:tcMar>
            <w:vAlign w:val="center"/>
          </w:tcPr>
          <w:p w14:paraId="09CF2248">
            <w:pPr>
              <w:jc w:val="center"/>
              <w:rPr>
                <w:color w:val="auto"/>
                <w:szCs w:val="21"/>
                <w:highlight w:val="none"/>
              </w:rPr>
            </w:pPr>
            <w:r>
              <w:rPr>
                <w:color w:val="auto"/>
                <w:szCs w:val="21"/>
                <w:highlight w:val="none"/>
              </w:rPr>
              <w:t>注册地点</w:t>
            </w:r>
          </w:p>
        </w:tc>
        <w:tc>
          <w:tcPr>
            <w:tcW w:w="1090" w:type="dxa"/>
            <w:noWrap w:val="0"/>
            <w:tcMar>
              <w:left w:w="108" w:type="dxa"/>
              <w:right w:w="108" w:type="dxa"/>
            </w:tcMar>
            <w:vAlign w:val="center"/>
          </w:tcPr>
          <w:p w14:paraId="35BB79B7">
            <w:pPr>
              <w:jc w:val="center"/>
              <w:rPr>
                <w:color w:val="auto"/>
                <w:szCs w:val="21"/>
                <w:highlight w:val="none"/>
              </w:rPr>
            </w:pPr>
            <w:r>
              <w:rPr>
                <w:color w:val="auto"/>
                <w:szCs w:val="21"/>
                <w:highlight w:val="none"/>
              </w:rPr>
              <w:t>企业资质</w:t>
            </w:r>
          </w:p>
        </w:tc>
        <w:tc>
          <w:tcPr>
            <w:tcW w:w="1197" w:type="dxa"/>
            <w:noWrap w:val="0"/>
            <w:tcMar>
              <w:left w:w="108" w:type="dxa"/>
              <w:right w:w="108" w:type="dxa"/>
            </w:tcMar>
            <w:vAlign w:val="center"/>
          </w:tcPr>
          <w:p w14:paraId="2356E0E8">
            <w:pPr>
              <w:jc w:val="center"/>
              <w:rPr>
                <w:color w:val="auto"/>
                <w:szCs w:val="21"/>
                <w:highlight w:val="none"/>
              </w:rPr>
            </w:pPr>
            <w:r>
              <w:rPr>
                <w:color w:val="auto"/>
                <w:szCs w:val="21"/>
                <w:highlight w:val="none"/>
              </w:rPr>
              <w:t>有关业绩</w:t>
            </w:r>
          </w:p>
        </w:tc>
        <w:tc>
          <w:tcPr>
            <w:tcW w:w="1268" w:type="dxa"/>
            <w:vMerge w:val="continue"/>
            <w:noWrap w:val="0"/>
            <w:tcMar>
              <w:left w:w="108" w:type="dxa"/>
              <w:right w:w="108" w:type="dxa"/>
            </w:tcMar>
            <w:vAlign w:val="center"/>
          </w:tcPr>
          <w:p w14:paraId="21819AE3">
            <w:pPr>
              <w:jc w:val="center"/>
              <w:rPr>
                <w:color w:val="auto"/>
                <w:szCs w:val="21"/>
                <w:highlight w:val="none"/>
              </w:rPr>
            </w:pPr>
          </w:p>
        </w:tc>
      </w:tr>
      <w:tr w14:paraId="6679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389A5C94">
            <w:pPr>
              <w:jc w:val="center"/>
              <w:rPr>
                <w:color w:val="auto"/>
                <w:szCs w:val="21"/>
                <w:highlight w:val="none"/>
              </w:rPr>
            </w:pPr>
          </w:p>
        </w:tc>
        <w:tc>
          <w:tcPr>
            <w:tcW w:w="1843" w:type="dxa"/>
            <w:vMerge w:val="restart"/>
            <w:noWrap w:val="0"/>
            <w:tcMar>
              <w:left w:w="108" w:type="dxa"/>
              <w:right w:w="108" w:type="dxa"/>
            </w:tcMar>
            <w:vAlign w:val="center"/>
          </w:tcPr>
          <w:p w14:paraId="2C543FB8">
            <w:pPr>
              <w:jc w:val="center"/>
              <w:rPr>
                <w:color w:val="auto"/>
                <w:szCs w:val="21"/>
                <w:highlight w:val="none"/>
              </w:rPr>
            </w:pPr>
          </w:p>
        </w:tc>
        <w:tc>
          <w:tcPr>
            <w:tcW w:w="751" w:type="dxa"/>
            <w:noWrap w:val="0"/>
            <w:tcMar>
              <w:left w:w="108" w:type="dxa"/>
              <w:right w:w="108" w:type="dxa"/>
            </w:tcMar>
            <w:vAlign w:val="center"/>
          </w:tcPr>
          <w:p w14:paraId="47FF13B9">
            <w:pPr>
              <w:jc w:val="center"/>
              <w:rPr>
                <w:color w:val="auto"/>
                <w:szCs w:val="21"/>
                <w:highlight w:val="none"/>
              </w:rPr>
            </w:pPr>
            <w:r>
              <w:rPr>
                <w:color w:val="auto"/>
                <w:szCs w:val="21"/>
                <w:highlight w:val="none"/>
              </w:rPr>
              <w:t>1</w:t>
            </w:r>
          </w:p>
        </w:tc>
        <w:tc>
          <w:tcPr>
            <w:tcW w:w="950" w:type="dxa"/>
            <w:noWrap w:val="0"/>
            <w:tcMar>
              <w:left w:w="108" w:type="dxa"/>
              <w:right w:w="108" w:type="dxa"/>
            </w:tcMar>
            <w:vAlign w:val="center"/>
          </w:tcPr>
          <w:p w14:paraId="20830C4D">
            <w:pPr>
              <w:jc w:val="center"/>
              <w:rPr>
                <w:color w:val="auto"/>
                <w:szCs w:val="21"/>
                <w:highlight w:val="none"/>
              </w:rPr>
            </w:pPr>
          </w:p>
        </w:tc>
        <w:tc>
          <w:tcPr>
            <w:tcW w:w="1123" w:type="dxa"/>
            <w:noWrap w:val="0"/>
            <w:tcMar>
              <w:left w:w="108" w:type="dxa"/>
              <w:right w:w="108" w:type="dxa"/>
            </w:tcMar>
            <w:vAlign w:val="center"/>
          </w:tcPr>
          <w:p w14:paraId="61932B04">
            <w:pPr>
              <w:jc w:val="center"/>
              <w:rPr>
                <w:color w:val="auto"/>
                <w:szCs w:val="21"/>
                <w:highlight w:val="none"/>
              </w:rPr>
            </w:pPr>
          </w:p>
        </w:tc>
        <w:tc>
          <w:tcPr>
            <w:tcW w:w="1090" w:type="dxa"/>
            <w:noWrap w:val="0"/>
            <w:tcMar>
              <w:left w:w="108" w:type="dxa"/>
              <w:right w:w="108" w:type="dxa"/>
            </w:tcMar>
            <w:vAlign w:val="center"/>
          </w:tcPr>
          <w:p w14:paraId="1C99DC92">
            <w:pPr>
              <w:jc w:val="center"/>
              <w:rPr>
                <w:color w:val="auto"/>
                <w:szCs w:val="21"/>
                <w:highlight w:val="none"/>
              </w:rPr>
            </w:pPr>
          </w:p>
        </w:tc>
        <w:tc>
          <w:tcPr>
            <w:tcW w:w="1197" w:type="dxa"/>
            <w:noWrap w:val="0"/>
            <w:tcMar>
              <w:left w:w="108" w:type="dxa"/>
              <w:right w:w="108" w:type="dxa"/>
            </w:tcMar>
            <w:vAlign w:val="center"/>
          </w:tcPr>
          <w:p w14:paraId="7572C59F">
            <w:pPr>
              <w:jc w:val="center"/>
              <w:rPr>
                <w:color w:val="auto"/>
                <w:szCs w:val="21"/>
                <w:highlight w:val="none"/>
              </w:rPr>
            </w:pPr>
          </w:p>
        </w:tc>
        <w:tc>
          <w:tcPr>
            <w:tcW w:w="1268" w:type="dxa"/>
            <w:noWrap w:val="0"/>
            <w:tcMar>
              <w:left w:w="108" w:type="dxa"/>
              <w:right w:w="108" w:type="dxa"/>
            </w:tcMar>
            <w:vAlign w:val="center"/>
          </w:tcPr>
          <w:p w14:paraId="692EAF94">
            <w:pPr>
              <w:jc w:val="center"/>
              <w:rPr>
                <w:color w:val="auto"/>
                <w:szCs w:val="21"/>
                <w:highlight w:val="none"/>
              </w:rPr>
            </w:pPr>
          </w:p>
        </w:tc>
      </w:tr>
      <w:tr w14:paraId="77A12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4232AA4">
            <w:pPr>
              <w:jc w:val="center"/>
              <w:rPr>
                <w:color w:val="auto"/>
                <w:szCs w:val="21"/>
                <w:highlight w:val="none"/>
              </w:rPr>
            </w:pPr>
          </w:p>
        </w:tc>
        <w:tc>
          <w:tcPr>
            <w:tcW w:w="1843" w:type="dxa"/>
            <w:vMerge w:val="continue"/>
            <w:noWrap w:val="0"/>
            <w:tcMar>
              <w:left w:w="108" w:type="dxa"/>
              <w:right w:w="108" w:type="dxa"/>
            </w:tcMar>
            <w:vAlign w:val="center"/>
          </w:tcPr>
          <w:p w14:paraId="6665EB70">
            <w:pPr>
              <w:jc w:val="center"/>
              <w:rPr>
                <w:color w:val="auto"/>
                <w:szCs w:val="21"/>
                <w:highlight w:val="none"/>
              </w:rPr>
            </w:pPr>
          </w:p>
        </w:tc>
        <w:tc>
          <w:tcPr>
            <w:tcW w:w="751" w:type="dxa"/>
            <w:noWrap w:val="0"/>
            <w:tcMar>
              <w:left w:w="108" w:type="dxa"/>
              <w:right w:w="108" w:type="dxa"/>
            </w:tcMar>
            <w:vAlign w:val="center"/>
          </w:tcPr>
          <w:p w14:paraId="593D6CFE">
            <w:pPr>
              <w:jc w:val="center"/>
              <w:rPr>
                <w:color w:val="auto"/>
                <w:szCs w:val="21"/>
                <w:highlight w:val="none"/>
              </w:rPr>
            </w:pPr>
            <w:r>
              <w:rPr>
                <w:color w:val="auto"/>
                <w:szCs w:val="21"/>
                <w:highlight w:val="none"/>
              </w:rPr>
              <w:t>2</w:t>
            </w:r>
          </w:p>
        </w:tc>
        <w:tc>
          <w:tcPr>
            <w:tcW w:w="950" w:type="dxa"/>
            <w:noWrap w:val="0"/>
            <w:tcMar>
              <w:left w:w="108" w:type="dxa"/>
              <w:right w:w="108" w:type="dxa"/>
            </w:tcMar>
            <w:vAlign w:val="center"/>
          </w:tcPr>
          <w:p w14:paraId="39854E2F">
            <w:pPr>
              <w:jc w:val="center"/>
              <w:rPr>
                <w:color w:val="auto"/>
                <w:szCs w:val="21"/>
                <w:highlight w:val="none"/>
              </w:rPr>
            </w:pPr>
          </w:p>
        </w:tc>
        <w:tc>
          <w:tcPr>
            <w:tcW w:w="1123" w:type="dxa"/>
            <w:noWrap w:val="0"/>
            <w:tcMar>
              <w:left w:w="108" w:type="dxa"/>
              <w:right w:w="108" w:type="dxa"/>
            </w:tcMar>
            <w:vAlign w:val="center"/>
          </w:tcPr>
          <w:p w14:paraId="0B0E9ACB">
            <w:pPr>
              <w:jc w:val="center"/>
              <w:rPr>
                <w:color w:val="auto"/>
                <w:szCs w:val="21"/>
                <w:highlight w:val="none"/>
              </w:rPr>
            </w:pPr>
          </w:p>
        </w:tc>
        <w:tc>
          <w:tcPr>
            <w:tcW w:w="1090" w:type="dxa"/>
            <w:noWrap w:val="0"/>
            <w:tcMar>
              <w:left w:w="108" w:type="dxa"/>
              <w:right w:w="108" w:type="dxa"/>
            </w:tcMar>
            <w:vAlign w:val="center"/>
          </w:tcPr>
          <w:p w14:paraId="35F20F95">
            <w:pPr>
              <w:jc w:val="center"/>
              <w:rPr>
                <w:color w:val="auto"/>
                <w:szCs w:val="21"/>
                <w:highlight w:val="none"/>
              </w:rPr>
            </w:pPr>
          </w:p>
        </w:tc>
        <w:tc>
          <w:tcPr>
            <w:tcW w:w="1197" w:type="dxa"/>
            <w:noWrap w:val="0"/>
            <w:tcMar>
              <w:left w:w="108" w:type="dxa"/>
              <w:right w:w="108" w:type="dxa"/>
            </w:tcMar>
            <w:vAlign w:val="center"/>
          </w:tcPr>
          <w:p w14:paraId="1FE30919">
            <w:pPr>
              <w:jc w:val="center"/>
              <w:rPr>
                <w:color w:val="auto"/>
                <w:szCs w:val="21"/>
                <w:highlight w:val="none"/>
              </w:rPr>
            </w:pPr>
          </w:p>
        </w:tc>
        <w:tc>
          <w:tcPr>
            <w:tcW w:w="1268" w:type="dxa"/>
            <w:noWrap w:val="0"/>
            <w:tcMar>
              <w:left w:w="108" w:type="dxa"/>
              <w:right w:w="108" w:type="dxa"/>
            </w:tcMar>
            <w:vAlign w:val="center"/>
          </w:tcPr>
          <w:p w14:paraId="31C6B2CF">
            <w:pPr>
              <w:jc w:val="center"/>
              <w:rPr>
                <w:color w:val="auto"/>
                <w:szCs w:val="21"/>
                <w:highlight w:val="none"/>
              </w:rPr>
            </w:pPr>
          </w:p>
        </w:tc>
      </w:tr>
      <w:tr w14:paraId="4721A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0282D716">
            <w:pPr>
              <w:jc w:val="center"/>
              <w:rPr>
                <w:color w:val="auto"/>
                <w:szCs w:val="21"/>
                <w:highlight w:val="none"/>
              </w:rPr>
            </w:pPr>
          </w:p>
        </w:tc>
        <w:tc>
          <w:tcPr>
            <w:tcW w:w="1843" w:type="dxa"/>
            <w:vMerge w:val="continue"/>
            <w:noWrap w:val="0"/>
            <w:tcMar>
              <w:left w:w="108" w:type="dxa"/>
              <w:right w:w="108" w:type="dxa"/>
            </w:tcMar>
            <w:vAlign w:val="center"/>
          </w:tcPr>
          <w:p w14:paraId="7887C598">
            <w:pPr>
              <w:jc w:val="center"/>
              <w:rPr>
                <w:color w:val="auto"/>
                <w:szCs w:val="21"/>
                <w:highlight w:val="none"/>
              </w:rPr>
            </w:pPr>
          </w:p>
        </w:tc>
        <w:tc>
          <w:tcPr>
            <w:tcW w:w="751" w:type="dxa"/>
            <w:noWrap w:val="0"/>
            <w:tcMar>
              <w:left w:w="108" w:type="dxa"/>
              <w:right w:w="108" w:type="dxa"/>
            </w:tcMar>
            <w:vAlign w:val="center"/>
          </w:tcPr>
          <w:p w14:paraId="18A7D79C">
            <w:pPr>
              <w:jc w:val="center"/>
              <w:rPr>
                <w:color w:val="auto"/>
                <w:szCs w:val="21"/>
                <w:highlight w:val="none"/>
              </w:rPr>
            </w:pPr>
            <w:r>
              <w:rPr>
                <w:color w:val="auto"/>
                <w:szCs w:val="21"/>
                <w:highlight w:val="none"/>
              </w:rPr>
              <w:t>3</w:t>
            </w:r>
          </w:p>
        </w:tc>
        <w:tc>
          <w:tcPr>
            <w:tcW w:w="950" w:type="dxa"/>
            <w:noWrap w:val="0"/>
            <w:tcMar>
              <w:left w:w="108" w:type="dxa"/>
              <w:right w:w="108" w:type="dxa"/>
            </w:tcMar>
            <w:vAlign w:val="center"/>
          </w:tcPr>
          <w:p w14:paraId="394AAF48">
            <w:pPr>
              <w:jc w:val="center"/>
              <w:rPr>
                <w:color w:val="auto"/>
                <w:szCs w:val="21"/>
                <w:highlight w:val="none"/>
              </w:rPr>
            </w:pPr>
          </w:p>
        </w:tc>
        <w:tc>
          <w:tcPr>
            <w:tcW w:w="1123" w:type="dxa"/>
            <w:noWrap w:val="0"/>
            <w:tcMar>
              <w:left w:w="108" w:type="dxa"/>
              <w:right w:w="108" w:type="dxa"/>
            </w:tcMar>
            <w:vAlign w:val="center"/>
          </w:tcPr>
          <w:p w14:paraId="030BF589">
            <w:pPr>
              <w:jc w:val="center"/>
              <w:rPr>
                <w:color w:val="auto"/>
                <w:szCs w:val="21"/>
                <w:highlight w:val="none"/>
              </w:rPr>
            </w:pPr>
          </w:p>
        </w:tc>
        <w:tc>
          <w:tcPr>
            <w:tcW w:w="1090" w:type="dxa"/>
            <w:noWrap w:val="0"/>
            <w:tcMar>
              <w:left w:w="108" w:type="dxa"/>
              <w:right w:w="108" w:type="dxa"/>
            </w:tcMar>
            <w:vAlign w:val="center"/>
          </w:tcPr>
          <w:p w14:paraId="53E89EB2">
            <w:pPr>
              <w:jc w:val="center"/>
              <w:rPr>
                <w:color w:val="auto"/>
                <w:szCs w:val="21"/>
                <w:highlight w:val="none"/>
              </w:rPr>
            </w:pPr>
          </w:p>
        </w:tc>
        <w:tc>
          <w:tcPr>
            <w:tcW w:w="1197" w:type="dxa"/>
            <w:noWrap w:val="0"/>
            <w:tcMar>
              <w:left w:w="108" w:type="dxa"/>
              <w:right w:w="108" w:type="dxa"/>
            </w:tcMar>
            <w:vAlign w:val="center"/>
          </w:tcPr>
          <w:p w14:paraId="2A532A04">
            <w:pPr>
              <w:jc w:val="center"/>
              <w:rPr>
                <w:color w:val="auto"/>
                <w:szCs w:val="21"/>
                <w:highlight w:val="none"/>
              </w:rPr>
            </w:pPr>
          </w:p>
        </w:tc>
        <w:tc>
          <w:tcPr>
            <w:tcW w:w="1268" w:type="dxa"/>
            <w:noWrap w:val="0"/>
            <w:tcMar>
              <w:left w:w="108" w:type="dxa"/>
              <w:right w:w="108" w:type="dxa"/>
            </w:tcMar>
            <w:vAlign w:val="center"/>
          </w:tcPr>
          <w:p w14:paraId="506051EE">
            <w:pPr>
              <w:jc w:val="center"/>
              <w:rPr>
                <w:color w:val="auto"/>
                <w:szCs w:val="21"/>
                <w:highlight w:val="none"/>
              </w:rPr>
            </w:pPr>
          </w:p>
        </w:tc>
      </w:tr>
      <w:tr w14:paraId="3D72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tcMar>
              <w:left w:w="108" w:type="dxa"/>
              <w:right w:w="108" w:type="dxa"/>
            </w:tcMar>
            <w:vAlign w:val="center"/>
          </w:tcPr>
          <w:p w14:paraId="01E7D4E5">
            <w:pPr>
              <w:jc w:val="center"/>
              <w:rPr>
                <w:color w:val="auto"/>
                <w:szCs w:val="21"/>
                <w:highlight w:val="none"/>
              </w:rPr>
            </w:pPr>
          </w:p>
        </w:tc>
        <w:tc>
          <w:tcPr>
            <w:tcW w:w="1843" w:type="dxa"/>
            <w:vMerge w:val="restart"/>
            <w:noWrap w:val="0"/>
            <w:tcMar>
              <w:left w:w="108" w:type="dxa"/>
              <w:right w:w="108" w:type="dxa"/>
            </w:tcMar>
            <w:vAlign w:val="center"/>
          </w:tcPr>
          <w:p w14:paraId="1E84F371">
            <w:pPr>
              <w:jc w:val="center"/>
              <w:rPr>
                <w:color w:val="auto"/>
                <w:szCs w:val="21"/>
                <w:highlight w:val="none"/>
              </w:rPr>
            </w:pPr>
          </w:p>
        </w:tc>
        <w:tc>
          <w:tcPr>
            <w:tcW w:w="751" w:type="dxa"/>
            <w:noWrap w:val="0"/>
            <w:tcMar>
              <w:left w:w="108" w:type="dxa"/>
              <w:right w:w="108" w:type="dxa"/>
            </w:tcMar>
            <w:vAlign w:val="center"/>
          </w:tcPr>
          <w:p w14:paraId="46F29BDB">
            <w:pPr>
              <w:jc w:val="center"/>
              <w:rPr>
                <w:color w:val="auto"/>
                <w:szCs w:val="21"/>
                <w:highlight w:val="none"/>
              </w:rPr>
            </w:pPr>
            <w:r>
              <w:rPr>
                <w:color w:val="auto"/>
                <w:szCs w:val="21"/>
                <w:highlight w:val="none"/>
              </w:rPr>
              <w:t>1</w:t>
            </w:r>
          </w:p>
        </w:tc>
        <w:tc>
          <w:tcPr>
            <w:tcW w:w="950" w:type="dxa"/>
            <w:noWrap w:val="0"/>
            <w:tcMar>
              <w:left w:w="108" w:type="dxa"/>
              <w:right w:w="108" w:type="dxa"/>
            </w:tcMar>
            <w:vAlign w:val="center"/>
          </w:tcPr>
          <w:p w14:paraId="3D37E754">
            <w:pPr>
              <w:jc w:val="center"/>
              <w:rPr>
                <w:color w:val="auto"/>
                <w:szCs w:val="21"/>
                <w:highlight w:val="none"/>
              </w:rPr>
            </w:pPr>
          </w:p>
        </w:tc>
        <w:tc>
          <w:tcPr>
            <w:tcW w:w="1123" w:type="dxa"/>
            <w:noWrap w:val="0"/>
            <w:tcMar>
              <w:left w:w="108" w:type="dxa"/>
              <w:right w:w="108" w:type="dxa"/>
            </w:tcMar>
            <w:vAlign w:val="center"/>
          </w:tcPr>
          <w:p w14:paraId="4E22A9AF">
            <w:pPr>
              <w:jc w:val="center"/>
              <w:rPr>
                <w:color w:val="auto"/>
                <w:szCs w:val="21"/>
                <w:highlight w:val="none"/>
              </w:rPr>
            </w:pPr>
          </w:p>
        </w:tc>
        <w:tc>
          <w:tcPr>
            <w:tcW w:w="1090" w:type="dxa"/>
            <w:noWrap w:val="0"/>
            <w:tcMar>
              <w:left w:w="108" w:type="dxa"/>
              <w:right w:w="108" w:type="dxa"/>
            </w:tcMar>
            <w:vAlign w:val="center"/>
          </w:tcPr>
          <w:p w14:paraId="787E5C7C">
            <w:pPr>
              <w:jc w:val="center"/>
              <w:rPr>
                <w:color w:val="auto"/>
                <w:szCs w:val="21"/>
                <w:highlight w:val="none"/>
              </w:rPr>
            </w:pPr>
          </w:p>
        </w:tc>
        <w:tc>
          <w:tcPr>
            <w:tcW w:w="1197" w:type="dxa"/>
            <w:noWrap w:val="0"/>
            <w:tcMar>
              <w:left w:w="108" w:type="dxa"/>
              <w:right w:w="108" w:type="dxa"/>
            </w:tcMar>
            <w:vAlign w:val="center"/>
          </w:tcPr>
          <w:p w14:paraId="0FB2651E">
            <w:pPr>
              <w:jc w:val="center"/>
              <w:rPr>
                <w:color w:val="auto"/>
                <w:szCs w:val="21"/>
                <w:highlight w:val="none"/>
              </w:rPr>
            </w:pPr>
          </w:p>
        </w:tc>
        <w:tc>
          <w:tcPr>
            <w:tcW w:w="1268" w:type="dxa"/>
            <w:noWrap w:val="0"/>
            <w:tcMar>
              <w:left w:w="108" w:type="dxa"/>
              <w:right w:w="108" w:type="dxa"/>
            </w:tcMar>
            <w:vAlign w:val="center"/>
          </w:tcPr>
          <w:p w14:paraId="01EBB0B3">
            <w:pPr>
              <w:jc w:val="center"/>
              <w:rPr>
                <w:color w:val="auto"/>
                <w:szCs w:val="21"/>
                <w:highlight w:val="none"/>
              </w:rPr>
            </w:pPr>
          </w:p>
        </w:tc>
      </w:tr>
      <w:tr w14:paraId="24016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2EF232F0">
            <w:pPr>
              <w:jc w:val="center"/>
              <w:rPr>
                <w:color w:val="auto"/>
                <w:szCs w:val="21"/>
                <w:highlight w:val="none"/>
              </w:rPr>
            </w:pPr>
          </w:p>
        </w:tc>
        <w:tc>
          <w:tcPr>
            <w:tcW w:w="1843" w:type="dxa"/>
            <w:vMerge w:val="continue"/>
            <w:noWrap w:val="0"/>
            <w:tcMar>
              <w:left w:w="108" w:type="dxa"/>
              <w:right w:w="108" w:type="dxa"/>
            </w:tcMar>
            <w:vAlign w:val="center"/>
          </w:tcPr>
          <w:p w14:paraId="6CFBA18B">
            <w:pPr>
              <w:jc w:val="center"/>
              <w:rPr>
                <w:color w:val="auto"/>
                <w:szCs w:val="21"/>
                <w:highlight w:val="none"/>
              </w:rPr>
            </w:pPr>
          </w:p>
        </w:tc>
        <w:tc>
          <w:tcPr>
            <w:tcW w:w="751" w:type="dxa"/>
            <w:noWrap w:val="0"/>
            <w:tcMar>
              <w:left w:w="108" w:type="dxa"/>
              <w:right w:w="108" w:type="dxa"/>
            </w:tcMar>
            <w:vAlign w:val="center"/>
          </w:tcPr>
          <w:p w14:paraId="05078CA9">
            <w:pPr>
              <w:jc w:val="center"/>
              <w:rPr>
                <w:color w:val="auto"/>
                <w:szCs w:val="21"/>
                <w:highlight w:val="none"/>
              </w:rPr>
            </w:pPr>
            <w:r>
              <w:rPr>
                <w:color w:val="auto"/>
                <w:szCs w:val="21"/>
                <w:highlight w:val="none"/>
              </w:rPr>
              <w:t>2</w:t>
            </w:r>
          </w:p>
        </w:tc>
        <w:tc>
          <w:tcPr>
            <w:tcW w:w="950" w:type="dxa"/>
            <w:noWrap w:val="0"/>
            <w:tcMar>
              <w:left w:w="108" w:type="dxa"/>
              <w:right w:w="108" w:type="dxa"/>
            </w:tcMar>
            <w:vAlign w:val="center"/>
          </w:tcPr>
          <w:p w14:paraId="11A75A06">
            <w:pPr>
              <w:jc w:val="center"/>
              <w:rPr>
                <w:color w:val="auto"/>
                <w:szCs w:val="21"/>
                <w:highlight w:val="none"/>
              </w:rPr>
            </w:pPr>
          </w:p>
        </w:tc>
        <w:tc>
          <w:tcPr>
            <w:tcW w:w="1123" w:type="dxa"/>
            <w:noWrap w:val="0"/>
            <w:tcMar>
              <w:left w:w="108" w:type="dxa"/>
              <w:right w:w="108" w:type="dxa"/>
            </w:tcMar>
            <w:vAlign w:val="center"/>
          </w:tcPr>
          <w:p w14:paraId="5FC31B2B">
            <w:pPr>
              <w:jc w:val="center"/>
              <w:rPr>
                <w:color w:val="auto"/>
                <w:szCs w:val="21"/>
                <w:highlight w:val="none"/>
              </w:rPr>
            </w:pPr>
          </w:p>
        </w:tc>
        <w:tc>
          <w:tcPr>
            <w:tcW w:w="1090" w:type="dxa"/>
            <w:noWrap w:val="0"/>
            <w:tcMar>
              <w:left w:w="108" w:type="dxa"/>
              <w:right w:w="108" w:type="dxa"/>
            </w:tcMar>
            <w:vAlign w:val="center"/>
          </w:tcPr>
          <w:p w14:paraId="62264C3F">
            <w:pPr>
              <w:jc w:val="center"/>
              <w:rPr>
                <w:color w:val="auto"/>
                <w:szCs w:val="21"/>
                <w:highlight w:val="none"/>
              </w:rPr>
            </w:pPr>
          </w:p>
        </w:tc>
        <w:tc>
          <w:tcPr>
            <w:tcW w:w="1197" w:type="dxa"/>
            <w:noWrap w:val="0"/>
            <w:tcMar>
              <w:left w:w="108" w:type="dxa"/>
              <w:right w:w="108" w:type="dxa"/>
            </w:tcMar>
            <w:vAlign w:val="center"/>
          </w:tcPr>
          <w:p w14:paraId="46637D8B">
            <w:pPr>
              <w:jc w:val="center"/>
              <w:rPr>
                <w:color w:val="auto"/>
                <w:szCs w:val="21"/>
                <w:highlight w:val="none"/>
              </w:rPr>
            </w:pPr>
          </w:p>
        </w:tc>
        <w:tc>
          <w:tcPr>
            <w:tcW w:w="1268" w:type="dxa"/>
            <w:noWrap w:val="0"/>
            <w:tcMar>
              <w:left w:w="108" w:type="dxa"/>
              <w:right w:w="108" w:type="dxa"/>
            </w:tcMar>
            <w:vAlign w:val="center"/>
          </w:tcPr>
          <w:p w14:paraId="765F809F">
            <w:pPr>
              <w:jc w:val="center"/>
              <w:rPr>
                <w:color w:val="auto"/>
                <w:szCs w:val="21"/>
                <w:highlight w:val="none"/>
              </w:rPr>
            </w:pPr>
          </w:p>
        </w:tc>
      </w:tr>
      <w:tr w14:paraId="425E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tcMar>
              <w:left w:w="108" w:type="dxa"/>
              <w:right w:w="108" w:type="dxa"/>
            </w:tcMar>
            <w:vAlign w:val="center"/>
          </w:tcPr>
          <w:p w14:paraId="79B805FD">
            <w:pPr>
              <w:jc w:val="center"/>
              <w:rPr>
                <w:color w:val="auto"/>
                <w:szCs w:val="21"/>
                <w:highlight w:val="none"/>
              </w:rPr>
            </w:pPr>
          </w:p>
        </w:tc>
        <w:tc>
          <w:tcPr>
            <w:tcW w:w="1843" w:type="dxa"/>
            <w:vMerge w:val="continue"/>
            <w:noWrap w:val="0"/>
            <w:tcMar>
              <w:left w:w="108" w:type="dxa"/>
              <w:right w:w="108" w:type="dxa"/>
            </w:tcMar>
            <w:vAlign w:val="center"/>
          </w:tcPr>
          <w:p w14:paraId="3E3A446B">
            <w:pPr>
              <w:jc w:val="center"/>
              <w:rPr>
                <w:color w:val="auto"/>
                <w:szCs w:val="21"/>
                <w:highlight w:val="none"/>
              </w:rPr>
            </w:pPr>
          </w:p>
        </w:tc>
        <w:tc>
          <w:tcPr>
            <w:tcW w:w="751" w:type="dxa"/>
            <w:noWrap w:val="0"/>
            <w:tcMar>
              <w:left w:w="108" w:type="dxa"/>
              <w:right w:w="108" w:type="dxa"/>
            </w:tcMar>
            <w:vAlign w:val="center"/>
          </w:tcPr>
          <w:p w14:paraId="014E2EB6">
            <w:pPr>
              <w:jc w:val="center"/>
              <w:rPr>
                <w:color w:val="auto"/>
                <w:szCs w:val="21"/>
                <w:highlight w:val="none"/>
              </w:rPr>
            </w:pPr>
            <w:r>
              <w:rPr>
                <w:color w:val="auto"/>
                <w:szCs w:val="21"/>
                <w:highlight w:val="none"/>
              </w:rPr>
              <w:t>3</w:t>
            </w:r>
          </w:p>
        </w:tc>
        <w:tc>
          <w:tcPr>
            <w:tcW w:w="950" w:type="dxa"/>
            <w:noWrap w:val="0"/>
            <w:tcMar>
              <w:left w:w="108" w:type="dxa"/>
              <w:right w:w="108" w:type="dxa"/>
            </w:tcMar>
            <w:vAlign w:val="center"/>
          </w:tcPr>
          <w:p w14:paraId="63A0FCFA">
            <w:pPr>
              <w:jc w:val="center"/>
              <w:rPr>
                <w:color w:val="auto"/>
                <w:szCs w:val="21"/>
                <w:highlight w:val="none"/>
              </w:rPr>
            </w:pPr>
          </w:p>
        </w:tc>
        <w:tc>
          <w:tcPr>
            <w:tcW w:w="1123" w:type="dxa"/>
            <w:noWrap w:val="0"/>
            <w:tcMar>
              <w:left w:w="108" w:type="dxa"/>
              <w:right w:w="108" w:type="dxa"/>
            </w:tcMar>
            <w:vAlign w:val="center"/>
          </w:tcPr>
          <w:p w14:paraId="469AC5BC">
            <w:pPr>
              <w:jc w:val="center"/>
              <w:rPr>
                <w:color w:val="auto"/>
                <w:szCs w:val="21"/>
                <w:highlight w:val="none"/>
              </w:rPr>
            </w:pPr>
          </w:p>
        </w:tc>
        <w:tc>
          <w:tcPr>
            <w:tcW w:w="1090" w:type="dxa"/>
            <w:noWrap w:val="0"/>
            <w:tcMar>
              <w:left w:w="108" w:type="dxa"/>
              <w:right w:w="108" w:type="dxa"/>
            </w:tcMar>
            <w:vAlign w:val="center"/>
          </w:tcPr>
          <w:p w14:paraId="47E1DD75">
            <w:pPr>
              <w:jc w:val="center"/>
              <w:rPr>
                <w:color w:val="auto"/>
                <w:szCs w:val="21"/>
                <w:highlight w:val="none"/>
              </w:rPr>
            </w:pPr>
          </w:p>
        </w:tc>
        <w:tc>
          <w:tcPr>
            <w:tcW w:w="1197" w:type="dxa"/>
            <w:noWrap w:val="0"/>
            <w:tcMar>
              <w:left w:w="108" w:type="dxa"/>
              <w:right w:w="108" w:type="dxa"/>
            </w:tcMar>
            <w:vAlign w:val="center"/>
          </w:tcPr>
          <w:p w14:paraId="2279DDE6">
            <w:pPr>
              <w:jc w:val="center"/>
              <w:rPr>
                <w:color w:val="auto"/>
                <w:szCs w:val="21"/>
                <w:highlight w:val="none"/>
              </w:rPr>
            </w:pPr>
          </w:p>
        </w:tc>
        <w:tc>
          <w:tcPr>
            <w:tcW w:w="1268" w:type="dxa"/>
            <w:noWrap w:val="0"/>
            <w:tcMar>
              <w:left w:w="108" w:type="dxa"/>
              <w:right w:w="108" w:type="dxa"/>
            </w:tcMar>
            <w:vAlign w:val="center"/>
          </w:tcPr>
          <w:p w14:paraId="29E7C8E4">
            <w:pPr>
              <w:jc w:val="center"/>
              <w:rPr>
                <w:color w:val="auto"/>
                <w:szCs w:val="21"/>
                <w:highlight w:val="none"/>
              </w:rPr>
            </w:pPr>
          </w:p>
        </w:tc>
      </w:tr>
    </w:tbl>
    <w:p w14:paraId="52DAC971">
      <w:pPr>
        <w:spacing w:line="440" w:lineRule="exact"/>
        <w:ind w:right="420" w:firstLine="420" w:firstLineChars="200"/>
        <w:rPr>
          <w:color w:val="auto"/>
          <w:szCs w:val="21"/>
          <w:highlight w:val="none"/>
        </w:rPr>
      </w:pPr>
      <w:r>
        <w:rPr>
          <w:color w:val="auto"/>
          <w:szCs w:val="21"/>
          <w:highlight w:val="none"/>
        </w:rPr>
        <w:t>备注：本表所列分包仅限于承包人自行施工范围内的非主体、非关键工程。</w:t>
      </w:r>
    </w:p>
    <w:p w14:paraId="07AACA26">
      <w:pPr>
        <w:wordWrap w:val="0"/>
        <w:spacing w:line="440" w:lineRule="exact"/>
        <w:ind w:right="420"/>
        <w:jc w:val="right"/>
        <w:rPr>
          <w:color w:val="auto"/>
          <w:highlight w:val="none"/>
        </w:rPr>
      </w:pPr>
      <w:r>
        <w:rPr>
          <w:color w:val="auto"/>
          <w:highlight w:val="none"/>
        </w:rPr>
        <w:t>日期：       年     月     日</w:t>
      </w:r>
    </w:p>
    <w:p w14:paraId="72ADA1BE">
      <w:pPr>
        <w:pStyle w:val="27"/>
        <w:tabs>
          <w:tab w:val="left" w:pos="2127"/>
        </w:tabs>
        <w:spacing w:line="340" w:lineRule="exact"/>
        <w:rPr>
          <w:rFonts w:ascii="Times New Roman" w:hAnsi="Times New Roman" w:cs="Times New Roman"/>
          <w:highlight w:val="none"/>
        </w:rPr>
      </w:pPr>
      <w:r>
        <w:rPr>
          <w:highlight w:val="none"/>
        </w:rPr>
        <w:br w:type="page"/>
      </w:r>
      <w:r>
        <w:rPr>
          <w:rFonts w:hint="eastAsia"/>
          <w:highlight w:val="none"/>
          <w:lang w:val="en-US" w:eastAsia="zh-CN"/>
        </w:rPr>
        <w:t>3</w:t>
      </w:r>
      <w:r>
        <w:rPr>
          <w:highlight w:val="none"/>
        </w:rPr>
        <w:t>.</w:t>
      </w:r>
      <w:r>
        <w:rPr>
          <w:rFonts w:ascii="Times New Roman" w:hAnsi="Times New Roman" w:cs="Times New Roman"/>
          <w:highlight w:val="none"/>
        </w:rPr>
        <w:t>近年已完成类似工程一览表</w:t>
      </w:r>
    </w:p>
    <w:tbl>
      <w:tblPr>
        <w:tblStyle w:val="54"/>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1417"/>
        <w:gridCol w:w="851"/>
        <w:gridCol w:w="992"/>
        <w:gridCol w:w="1134"/>
        <w:gridCol w:w="1276"/>
        <w:gridCol w:w="1134"/>
      </w:tblGrid>
      <w:tr w14:paraId="1DEC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49FC5215">
            <w:pPr>
              <w:jc w:val="center"/>
              <w:rPr>
                <w:highlight w:val="none"/>
              </w:rPr>
            </w:pPr>
            <w:r>
              <w:rPr>
                <w:highlight w:val="none"/>
              </w:rPr>
              <w:t>序号</w:t>
            </w:r>
          </w:p>
        </w:tc>
        <w:tc>
          <w:tcPr>
            <w:tcW w:w="1701" w:type="dxa"/>
            <w:noWrap w:val="0"/>
            <w:vAlign w:val="center"/>
          </w:tcPr>
          <w:p w14:paraId="7B29A860">
            <w:pPr>
              <w:jc w:val="center"/>
              <w:rPr>
                <w:highlight w:val="none"/>
              </w:rPr>
            </w:pPr>
            <w:r>
              <w:rPr>
                <w:highlight w:val="none"/>
              </w:rPr>
              <w:t>发包人名称</w:t>
            </w:r>
          </w:p>
        </w:tc>
        <w:tc>
          <w:tcPr>
            <w:tcW w:w="1417" w:type="dxa"/>
            <w:noWrap w:val="0"/>
            <w:vAlign w:val="center"/>
          </w:tcPr>
          <w:p w14:paraId="64339DEF">
            <w:pPr>
              <w:jc w:val="center"/>
              <w:rPr>
                <w:highlight w:val="none"/>
              </w:rPr>
            </w:pPr>
            <w:r>
              <w:rPr>
                <w:highlight w:val="none"/>
              </w:rPr>
              <w:t>工程名称</w:t>
            </w:r>
          </w:p>
          <w:p w14:paraId="1BF0688A">
            <w:pPr>
              <w:jc w:val="center"/>
              <w:rPr>
                <w:highlight w:val="none"/>
              </w:rPr>
            </w:pPr>
            <w:r>
              <w:rPr>
                <w:highlight w:val="none"/>
              </w:rPr>
              <w:t>及建设地点</w:t>
            </w:r>
          </w:p>
        </w:tc>
        <w:tc>
          <w:tcPr>
            <w:tcW w:w="851" w:type="dxa"/>
            <w:noWrap w:val="0"/>
            <w:vAlign w:val="center"/>
          </w:tcPr>
          <w:p w14:paraId="444111FB">
            <w:pPr>
              <w:jc w:val="center"/>
              <w:rPr>
                <w:highlight w:val="none"/>
              </w:rPr>
            </w:pPr>
            <w:r>
              <w:rPr>
                <w:highlight w:val="none"/>
              </w:rPr>
              <w:t>结构</w:t>
            </w:r>
          </w:p>
          <w:p w14:paraId="4A5B2C62">
            <w:pPr>
              <w:jc w:val="center"/>
              <w:rPr>
                <w:highlight w:val="none"/>
              </w:rPr>
            </w:pPr>
            <w:r>
              <w:rPr>
                <w:highlight w:val="none"/>
              </w:rPr>
              <w:t>类型</w:t>
            </w:r>
          </w:p>
        </w:tc>
        <w:tc>
          <w:tcPr>
            <w:tcW w:w="992" w:type="dxa"/>
            <w:noWrap w:val="0"/>
            <w:vAlign w:val="center"/>
          </w:tcPr>
          <w:p w14:paraId="4FCA18C8">
            <w:pPr>
              <w:jc w:val="center"/>
              <w:rPr>
                <w:highlight w:val="none"/>
              </w:rPr>
            </w:pPr>
            <w:r>
              <w:rPr>
                <w:highlight w:val="none"/>
              </w:rPr>
              <w:t>建设</w:t>
            </w:r>
          </w:p>
          <w:p w14:paraId="7DFCFD34">
            <w:pPr>
              <w:jc w:val="center"/>
              <w:rPr>
                <w:highlight w:val="none"/>
              </w:rPr>
            </w:pPr>
            <w:r>
              <w:rPr>
                <w:highlight w:val="none"/>
              </w:rPr>
              <w:t>规模</w:t>
            </w:r>
          </w:p>
        </w:tc>
        <w:tc>
          <w:tcPr>
            <w:tcW w:w="1134" w:type="dxa"/>
            <w:noWrap w:val="0"/>
            <w:vAlign w:val="center"/>
          </w:tcPr>
          <w:p w14:paraId="09444A73">
            <w:pPr>
              <w:jc w:val="center"/>
              <w:rPr>
                <w:highlight w:val="none"/>
              </w:rPr>
            </w:pPr>
            <w:r>
              <w:rPr>
                <w:highlight w:val="none"/>
              </w:rPr>
              <w:t>合同金额</w:t>
            </w:r>
          </w:p>
          <w:p w14:paraId="0E7E9E36">
            <w:pPr>
              <w:jc w:val="center"/>
              <w:rPr>
                <w:highlight w:val="none"/>
              </w:rPr>
            </w:pPr>
            <w:r>
              <w:rPr>
                <w:highlight w:val="none"/>
              </w:rPr>
              <w:t>（万元）</w:t>
            </w:r>
          </w:p>
        </w:tc>
        <w:tc>
          <w:tcPr>
            <w:tcW w:w="1276" w:type="dxa"/>
            <w:noWrap w:val="0"/>
            <w:vAlign w:val="center"/>
          </w:tcPr>
          <w:p w14:paraId="6DEB71AE">
            <w:pPr>
              <w:jc w:val="center"/>
              <w:rPr>
                <w:highlight w:val="none"/>
              </w:rPr>
            </w:pPr>
            <w:r>
              <w:rPr>
                <w:highlight w:val="none"/>
              </w:rPr>
              <w:t>竣工达到</w:t>
            </w:r>
          </w:p>
          <w:p w14:paraId="0A43DBB1">
            <w:pPr>
              <w:jc w:val="center"/>
              <w:rPr>
                <w:highlight w:val="none"/>
              </w:rPr>
            </w:pPr>
            <w:r>
              <w:rPr>
                <w:highlight w:val="none"/>
              </w:rPr>
              <w:t>质量标准</w:t>
            </w:r>
          </w:p>
        </w:tc>
        <w:tc>
          <w:tcPr>
            <w:tcW w:w="1134" w:type="dxa"/>
            <w:noWrap w:val="0"/>
            <w:vAlign w:val="center"/>
          </w:tcPr>
          <w:p w14:paraId="17443964">
            <w:pPr>
              <w:jc w:val="center"/>
              <w:rPr>
                <w:highlight w:val="none"/>
              </w:rPr>
            </w:pPr>
            <w:r>
              <w:rPr>
                <w:highlight w:val="none"/>
              </w:rPr>
              <w:t>开竣工</w:t>
            </w:r>
          </w:p>
          <w:p w14:paraId="24EC5454">
            <w:pPr>
              <w:jc w:val="center"/>
              <w:rPr>
                <w:highlight w:val="none"/>
              </w:rPr>
            </w:pPr>
            <w:r>
              <w:rPr>
                <w:highlight w:val="none"/>
              </w:rPr>
              <w:t>日  期</w:t>
            </w:r>
          </w:p>
        </w:tc>
      </w:tr>
      <w:tr w14:paraId="40CD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143CEDB7">
            <w:pPr>
              <w:jc w:val="center"/>
              <w:rPr>
                <w:highlight w:val="none"/>
              </w:rPr>
            </w:pPr>
            <w:r>
              <w:rPr>
                <w:highlight w:val="none"/>
              </w:rPr>
              <w:t>1</w:t>
            </w:r>
          </w:p>
        </w:tc>
        <w:tc>
          <w:tcPr>
            <w:tcW w:w="1701" w:type="dxa"/>
            <w:noWrap w:val="0"/>
            <w:vAlign w:val="center"/>
          </w:tcPr>
          <w:p w14:paraId="7D090121">
            <w:pPr>
              <w:jc w:val="center"/>
              <w:rPr>
                <w:highlight w:val="none"/>
              </w:rPr>
            </w:pPr>
          </w:p>
        </w:tc>
        <w:tc>
          <w:tcPr>
            <w:tcW w:w="1417" w:type="dxa"/>
            <w:noWrap w:val="0"/>
            <w:vAlign w:val="center"/>
          </w:tcPr>
          <w:p w14:paraId="21591B00">
            <w:pPr>
              <w:jc w:val="center"/>
              <w:rPr>
                <w:highlight w:val="none"/>
              </w:rPr>
            </w:pPr>
          </w:p>
        </w:tc>
        <w:tc>
          <w:tcPr>
            <w:tcW w:w="851" w:type="dxa"/>
            <w:noWrap w:val="0"/>
            <w:vAlign w:val="center"/>
          </w:tcPr>
          <w:p w14:paraId="7FDD17CF">
            <w:pPr>
              <w:jc w:val="center"/>
              <w:rPr>
                <w:highlight w:val="none"/>
              </w:rPr>
            </w:pPr>
          </w:p>
        </w:tc>
        <w:tc>
          <w:tcPr>
            <w:tcW w:w="992" w:type="dxa"/>
            <w:noWrap w:val="0"/>
            <w:vAlign w:val="center"/>
          </w:tcPr>
          <w:p w14:paraId="122DD6B8">
            <w:pPr>
              <w:jc w:val="center"/>
              <w:rPr>
                <w:highlight w:val="none"/>
              </w:rPr>
            </w:pPr>
          </w:p>
        </w:tc>
        <w:tc>
          <w:tcPr>
            <w:tcW w:w="1134" w:type="dxa"/>
            <w:noWrap w:val="0"/>
            <w:vAlign w:val="center"/>
          </w:tcPr>
          <w:p w14:paraId="540F3D84">
            <w:pPr>
              <w:jc w:val="center"/>
              <w:rPr>
                <w:highlight w:val="none"/>
              </w:rPr>
            </w:pPr>
          </w:p>
        </w:tc>
        <w:tc>
          <w:tcPr>
            <w:tcW w:w="1276" w:type="dxa"/>
            <w:noWrap w:val="0"/>
            <w:vAlign w:val="center"/>
          </w:tcPr>
          <w:p w14:paraId="3480E510">
            <w:pPr>
              <w:jc w:val="center"/>
              <w:rPr>
                <w:highlight w:val="none"/>
              </w:rPr>
            </w:pPr>
          </w:p>
        </w:tc>
        <w:tc>
          <w:tcPr>
            <w:tcW w:w="1134" w:type="dxa"/>
            <w:noWrap w:val="0"/>
            <w:vAlign w:val="center"/>
          </w:tcPr>
          <w:p w14:paraId="7C98BB57">
            <w:pPr>
              <w:jc w:val="center"/>
              <w:rPr>
                <w:highlight w:val="none"/>
              </w:rPr>
            </w:pPr>
          </w:p>
        </w:tc>
      </w:tr>
      <w:tr w14:paraId="4A0F3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131346C8">
            <w:pPr>
              <w:jc w:val="center"/>
              <w:rPr>
                <w:highlight w:val="none"/>
              </w:rPr>
            </w:pPr>
            <w:r>
              <w:rPr>
                <w:highlight w:val="none"/>
              </w:rPr>
              <w:t>2</w:t>
            </w:r>
          </w:p>
        </w:tc>
        <w:tc>
          <w:tcPr>
            <w:tcW w:w="1701" w:type="dxa"/>
            <w:noWrap w:val="0"/>
            <w:vAlign w:val="center"/>
          </w:tcPr>
          <w:p w14:paraId="7AFCC0F2">
            <w:pPr>
              <w:jc w:val="center"/>
              <w:rPr>
                <w:highlight w:val="none"/>
              </w:rPr>
            </w:pPr>
          </w:p>
        </w:tc>
        <w:tc>
          <w:tcPr>
            <w:tcW w:w="1417" w:type="dxa"/>
            <w:noWrap w:val="0"/>
            <w:vAlign w:val="center"/>
          </w:tcPr>
          <w:p w14:paraId="7A29745F">
            <w:pPr>
              <w:jc w:val="center"/>
              <w:rPr>
                <w:highlight w:val="none"/>
              </w:rPr>
            </w:pPr>
          </w:p>
        </w:tc>
        <w:tc>
          <w:tcPr>
            <w:tcW w:w="851" w:type="dxa"/>
            <w:noWrap w:val="0"/>
            <w:vAlign w:val="center"/>
          </w:tcPr>
          <w:p w14:paraId="69AACD42">
            <w:pPr>
              <w:jc w:val="center"/>
              <w:rPr>
                <w:highlight w:val="none"/>
              </w:rPr>
            </w:pPr>
          </w:p>
        </w:tc>
        <w:tc>
          <w:tcPr>
            <w:tcW w:w="992" w:type="dxa"/>
            <w:noWrap w:val="0"/>
            <w:vAlign w:val="center"/>
          </w:tcPr>
          <w:p w14:paraId="629E6DC5">
            <w:pPr>
              <w:jc w:val="center"/>
              <w:rPr>
                <w:highlight w:val="none"/>
              </w:rPr>
            </w:pPr>
          </w:p>
        </w:tc>
        <w:tc>
          <w:tcPr>
            <w:tcW w:w="1134" w:type="dxa"/>
            <w:noWrap w:val="0"/>
            <w:vAlign w:val="center"/>
          </w:tcPr>
          <w:p w14:paraId="4B379EB5">
            <w:pPr>
              <w:jc w:val="center"/>
              <w:rPr>
                <w:highlight w:val="none"/>
              </w:rPr>
            </w:pPr>
          </w:p>
        </w:tc>
        <w:tc>
          <w:tcPr>
            <w:tcW w:w="1276" w:type="dxa"/>
            <w:noWrap w:val="0"/>
            <w:vAlign w:val="center"/>
          </w:tcPr>
          <w:p w14:paraId="3482E352">
            <w:pPr>
              <w:jc w:val="center"/>
              <w:rPr>
                <w:highlight w:val="none"/>
              </w:rPr>
            </w:pPr>
          </w:p>
        </w:tc>
        <w:tc>
          <w:tcPr>
            <w:tcW w:w="1134" w:type="dxa"/>
            <w:noWrap w:val="0"/>
            <w:vAlign w:val="center"/>
          </w:tcPr>
          <w:p w14:paraId="48B21F89">
            <w:pPr>
              <w:jc w:val="center"/>
              <w:rPr>
                <w:highlight w:val="none"/>
              </w:rPr>
            </w:pPr>
          </w:p>
        </w:tc>
      </w:tr>
      <w:tr w14:paraId="41480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3C21E132">
            <w:pPr>
              <w:jc w:val="center"/>
              <w:rPr>
                <w:highlight w:val="none"/>
              </w:rPr>
            </w:pPr>
            <w:r>
              <w:rPr>
                <w:highlight w:val="none"/>
              </w:rPr>
              <w:t>3</w:t>
            </w:r>
          </w:p>
        </w:tc>
        <w:tc>
          <w:tcPr>
            <w:tcW w:w="1701" w:type="dxa"/>
            <w:noWrap w:val="0"/>
            <w:vAlign w:val="center"/>
          </w:tcPr>
          <w:p w14:paraId="46E70F0E">
            <w:pPr>
              <w:jc w:val="center"/>
              <w:rPr>
                <w:highlight w:val="none"/>
              </w:rPr>
            </w:pPr>
          </w:p>
        </w:tc>
        <w:tc>
          <w:tcPr>
            <w:tcW w:w="1417" w:type="dxa"/>
            <w:noWrap w:val="0"/>
            <w:vAlign w:val="center"/>
          </w:tcPr>
          <w:p w14:paraId="09DA0D2E">
            <w:pPr>
              <w:jc w:val="center"/>
              <w:rPr>
                <w:highlight w:val="none"/>
              </w:rPr>
            </w:pPr>
          </w:p>
        </w:tc>
        <w:tc>
          <w:tcPr>
            <w:tcW w:w="851" w:type="dxa"/>
            <w:noWrap w:val="0"/>
            <w:vAlign w:val="center"/>
          </w:tcPr>
          <w:p w14:paraId="365FE393">
            <w:pPr>
              <w:jc w:val="center"/>
              <w:rPr>
                <w:highlight w:val="none"/>
              </w:rPr>
            </w:pPr>
          </w:p>
        </w:tc>
        <w:tc>
          <w:tcPr>
            <w:tcW w:w="992" w:type="dxa"/>
            <w:noWrap w:val="0"/>
            <w:vAlign w:val="center"/>
          </w:tcPr>
          <w:p w14:paraId="422FD2D3">
            <w:pPr>
              <w:jc w:val="center"/>
              <w:rPr>
                <w:highlight w:val="none"/>
              </w:rPr>
            </w:pPr>
          </w:p>
        </w:tc>
        <w:tc>
          <w:tcPr>
            <w:tcW w:w="1134" w:type="dxa"/>
            <w:noWrap w:val="0"/>
            <w:vAlign w:val="center"/>
          </w:tcPr>
          <w:p w14:paraId="14D5FB82">
            <w:pPr>
              <w:jc w:val="center"/>
              <w:rPr>
                <w:highlight w:val="none"/>
              </w:rPr>
            </w:pPr>
          </w:p>
        </w:tc>
        <w:tc>
          <w:tcPr>
            <w:tcW w:w="1276" w:type="dxa"/>
            <w:noWrap w:val="0"/>
            <w:vAlign w:val="center"/>
          </w:tcPr>
          <w:p w14:paraId="4BDB4874">
            <w:pPr>
              <w:jc w:val="center"/>
              <w:rPr>
                <w:highlight w:val="none"/>
              </w:rPr>
            </w:pPr>
          </w:p>
        </w:tc>
        <w:tc>
          <w:tcPr>
            <w:tcW w:w="1134" w:type="dxa"/>
            <w:noWrap w:val="0"/>
            <w:vAlign w:val="center"/>
          </w:tcPr>
          <w:p w14:paraId="551501C3">
            <w:pPr>
              <w:jc w:val="center"/>
              <w:rPr>
                <w:highlight w:val="none"/>
              </w:rPr>
            </w:pPr>
          </w:p>
        </w:tc>
      </w:tr>
      <w:tr w14:paraId="1C3D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51" w:type="dxa"/>
            <w:noWrap w:val="0"/>
            <w:vAlign w:val="center"/>
          </w:tcPr>
          <w:p w14:paraId="6DCA9D93">
            <w:pPr>
              <w:jc w:val="center"/>
              <w:rPr>
                <w:highlight w:val="none"/>
              </w:rPr>
            </w:pPr>
            <w:r>
              <w:rPr>
                <w:highlight w:val="none"/>
              </w:rPr>
              <w:t>…</w:t>
            </w:r>
          </w:p>
        </w:tc>
        <w:tc>
          <w:tcPr>
            <w:tcW w:w="1701" w:type="dxa"/>
            <w:noWrap w:val="0"/>
            <w:vAlign w:val="center"/>
          </w:tcPr>
          <w:p w14:paraId="07F40721">
            <w:pPr>
              <w:jc w:val="center"/>
              <w:rPr>
                <w:highlight w:val="none"/>
              </w:rPr>
            </w:pPr>
          </w:p>
        </w:tc>
        <w:tc>
          <w:tcPr>
            <w:tcW w:w="1417" w:type="dxa"/>
            <w:noWrap w:val="0"/>
            <w:vAlign w:val="center"/>
          </w:tcPr>
          <w:p w14:paraId="0B1E5012">
            <w:pPr>
              <w:jc w:val="center"/>
              <w:rPr>
                <w:highlight w:val="none"/>
              </w:rPr>
            </w:pPr>
          </w:p>
        </w:tc>
        <w:tc>
          <w:tcPr>
            <w:tcW w:w="851" w:type="dxa"/>
            <w:noWrap w:val="0"/>
            <w:vAlign w:val="center"/>
          </w:tcPr>
          <w:p w14:paraId="71F9917C">
            <w:pPr>
              <w:jc w:val="center"/>
              <w:rPr>
                <w:highlight w:val="none"/>
              </w:rPr>
            </w:pPr>
          </w:p>
        </w:tc>
        <w:tc>
          <w:tcPr>
            <w:tcW w:w="992" w:type="dxa"/>
            <w:noWrap w:val="0"/>
            <w:vAlign w:val="center"/>
          </w:tcPr>
          <w:p w14:paraId="34BF8119">
            <w:pPr>
              <w:jc w:val="center"/>
              <w:rPr>
                <w:highlight w:val="none"/>
              </w:rPr>
            </w:pPr>
          </w:p>
        </w:tc>
        <w:tc>
          <w:tcPr>
            <w:tcW w:w="1134" w:type="dxa"/>
            <w:noWrap w:val="0"/>
            <w:vAlign w:val="center"/>
          </w:tcPr>
          <w:p w14:paraId="37F2259A">
            <w:pPr>
              <w:jc w:val="center"/>
              <w:rPr>
                <w:highlight w:val="none"/>
              </w:rPr>
            </w:pPr>
          </w:p>
        </w:tc>
        <w:tc>
          <w:tcPr>
            <w:tcW w:w="1276" w:type="dxa"/>
            <w:noWrap w:val="0"/>
            <w:vAlign w:val="center"/>
          </w:tcPr>
          <w:p w14:paraId="5CC701D6">
            <w:pPr>
              <w:jc w:val="center"/>
              <w:rPr>
                <w:highlight w:val="none"/>
              </w:rPr>
            </w:pPr>
          </w:p>
        </w:tc>
        <w:tc>
          <w:tcPr>
            <w:tcW w:w="1134" w:type="dxa"/>
            <w:noWrap w:val="0"/>
            <w:vAlign w:val="center"/>
          </w:tcPr>
          <w:p w14:paraId="0F67086A">
            <w:pPr>
              <w:jc w:val="center"/>
              <w:rPr>
                <w:highlight w:val="none"/>
              </w:rPr>
            </w:pPr>
          </w:p>
        </w:tc>
      </w:tr>
    </w:tbl>
    <w:p w14:paraId="7510F673">
      <w:pPr>
        <w:pStyle w:val="27"/>
        <w:tabs>
          <w:tab w:val="left" w:pos="2127"/>
        </w:tabs>
        <w:spacing w:line="340" w:lineRule="exact"/>
        <w:rPr>
          <w:rFonts w:ascii="Times New Roman" w:hAnsi="Times New Roman" w:cs="Times New Roman"/>
          <w:highlight w:val="none"/>
        </w:rPr>
      </w:pPr>
      <w:r>
        <w:rPr>
          <w:rFonts w:ascii="Times New Roman" w:hAnsi="Times New Roman" w:cs="Times New Roman"/>
          <w:highlight w:val="none"/>
        </w:rPr>
        <w:t>备注：</w:t>
      </w:r>
      <w:bookmarkStart w:id="492" w:name="OLE_LINK26"/>
      <w:r>
        <w:rPr>
          <w:rFonts w:ascii="Times New Roman" w:hAnsi="Times New Roman" w:cs="Times New Roman"/>
          <w:highlight w:val="none"/>
        </w:rPr>
        <w:t>附以上类似工程的中标（成交）通知书、工程合同协议书、工程竣工验收证明材料，</w:t>
      </w:r>
      <w:bookmarkStart w:id="493" w:name="OLE_LINK22"/>
      <w:r>
        <w:rPr>
          <w:rFonts w:ascii="Times New Roman" w:hAnsi="Times New Roman" w:cs="Times New Roman"/>
          <w:highlight w:val="none"/>
        </w:rPr>
        <w:t>以及供应商认为需要增加的其他证明材料</w:t>
      </w:r>
      <w:r>
        <w:rPr>
          <w:rFonts w:hint="eastAsia"/>
          <w:highlight w:val="none"/>
        </w:rPr>
        <w:t>扫描件</w:t>
      </w:r>
      <w:r>
        <w:rPr>
          <w:rFonts w:ascii="Times New Roman" w:hAnsi="Times New Roman" w:cs="Times New Roman"/>
          <w:highlight w:val="none"/>
        </w:rPr>
        <w:t>，以上</w:t>
      </w:r>
      <w:r>
        <w:rPr>
          <w:rFonts w:hint="eastAsia"/>
          <w:highlight w:val="none"/>
        </w:rPr>
        <w:t>扫描件</w:t>
      </w:r>
      <w:r>
        <w:rPr>
          <w:rFonts w:ascii="Times New Roman" w:hAnsi="Times New Roman" w:cs="Times New Roman"/>
          <w:highlight w:val="none"/>
        </w:rPr>
        <w:t>均须加盖</w:t>
      </w:r>
      <w:bookmarkEnd w:id="493"/>
      <w:r>
        <w:rPr>
          <w:highlight w:val="none"/>
        </w:rPr>
        <w:t>供应商</w:t>
      </w:r>
      <w:r>
        <w:rPr>
          <w:rFonts w:hint="eastAsia"/>
          <w:highlight w:val="none"/>
        </w:rPr>
        <w:t>电子签章</w:t>
      </w:r>
      <w:r>
        <w:rPr>
          <w:rFonts w:ascii="Times New Roman" w:hAnsi="Times New Roman" w:cs="Times New Roman"/>
          <w:highlight w:val="none"/>
        </w:rPr>
        <w:t>。</w:t>
      </w:r>
      <w:bookmarkEnd w:id="492"/>
    </w:p>
    <w:p w14:paraId="48D2E92E">
      <w:pPr>
        <w:snapToGrid w:val="0"/>
        <w:spacing w:before="50" w:after="120" w:afterLines="50"/>
        <w:jc w:val="left"/>
        <w:rPr>
          <w:b/>
          <w:bCs/>
          <w:szCs w:val="21"/>
          <w:highlight w:val="none"/>
        </w:rPr>
      </w:pPr>
      <w:r>
        <w:rPr>
          <w:szCs w:val="21"/>
          <w:highlight w:val="none"/>
        </w:rPr>
        <w:br w:type="page"/>
      </w:r>
      <w:r>
        <w:rPr>
          <w:rFonts w:hint="eastAsia"/>
          <w:szCs w:val="21"/>
          <w:highlight w:val="none"/>
          <w:lang w:val="en-US" w:eastAsia="zh-CN"/>
        </w:rPr>
        <w:t>4</w:t>
      </w:r>
      <w:r>
        <w:rPr>
          <w:szCs w:val="21"/>
          <w:highlight w:val="none"/>
        </w:rPr>
        <w:t>．</w:t>
      </w:r>
      <w:bookmarkStart w:id="494" w:name="_Hlk160731747"/>
      <w:r>
        <w:rPr>
          <w:rFonts w:hint="eastAsia"/>
          <w:szCs w:val="21"/>
          <w:highlight w:val="none"/>
        </w:rPr>
        <w:t>符合政府采购政策的证明材料。</w:t>
      </w:r>
      <w:bookmarkEnd w:id="494"/>
      <w:r>
        <w:rPr>
          <w:szCs w:val="21"/>
          <w:highlight w:val="none"/>
        </w:rPr>
        <w:br w:type="page"/>
      </w:r>
      <w:r>
        <w:rPr>
          <w:rFonts w:hint="eastAsia"/>
          <w:szCs w:val="21"/>
          <w:highlight w:val="none"/>
          <w:lang w:val="en-US" w:eastAsia="zh-CN"/>
        </w:rPr>
        <w:t>5</w:t>
      </w:r>
      <w:r>
        <w:rPr>
          <w:szCs w:val="21"/>
          <w:highlight w:val="none"/>
        </w:rPr>
        <w:t>.</w:t>
      </w:r>
      <w:r>
        <w:rPr>
          <w:rFonts w:hint="eastAsia"/>
          <w:b/>
          <w:bCs/>
          <w:szCs w:val="21"/>
          <w:highlight w:val="none"/>
        </w:rPr>
        <w:t>无串标行为承诺函</w:t>
      </w:r>
    </w:p>
    <w:p w14:paraId="401F2FBB">
      <w:pPr>
        <w:snapToGrid w:val="0"/>
        <w:spacing w:before="50" w:after="120" w:afterLines="50"/>
        <w:jc w:val="center"/>
        <w:rPr>
          <w:szCs w:val="21"/>
          <w:highlight w:val="none"/>
        </w:rPr>
      </w:pPr>
    </w:p>
    <w:p w14:paraId="4C9F4D48">
      <w:pPr>
        <w:snapToGrid w:val="0"/>
        <w:spacing w:before="50" w:after="120" w:afterLines="50"/>
        <w:jc w:val="center"/>
        <w:rPr>
          <w:szCs w:val="21"/>
          <w:highlight w:val="none"/>
        </w:rPr>
      </w:pPr>
      <w:r>
        <w:rPr>
          <w:rFonts w:hint="eastAsia"/>
          <w:szCs w:val="21"/>
          <w:highlight w:val="none"/>
        </w:rPr>
        <w:t>供应商参加本项目无围标串标行为的承诺函</w:t>
      </w:r>
    </w:p>
    <w:p w14:paraId="5DD708C7">
      <w:pPr>
        <w:snapToGrid w:val="0"/>
        <w:spacing w:before="50" w:after="120" w:afterLines="50"/>
        <w:jc w:val="left"/>
        <w:rPr>
          <w:szCs w:val="21"/>
          <w:highlight w:val="none"/>
        </w:rPr>
      </w:pPr>
    </w:p>
    <w:p w14:paraId="47C38DA7">
      <w:pPr>
        <w:snapToGrid w:val="0"/>
        <w:spacing w:before="50" w:after="120" w:afterLines="50"/>
        <w:jc w:val="left"/>
        <w:rPr>
          <w:szCs w:val="21"/>
          <w:highlight w:val="none"/>
        </w:rPr>
      </w:pPr>
      <w:r>
        <w:rPr>
          <w:rFonts w:hint="eastAsia"/>
          <w:szCs w:val="21"/>
          <w:highlight w:val="none"/>
        </w:rPr>
        <w:t>一、我方承诺无下列相互串通投标的情形：</w:t>
      </w:r>
    </w:p>
    <w:p w14:paraId="60ED3B05">
      <w:pPr>
        <w:snapToGrid w:val="0"/>
        <w:spacing w:before="50" w:after="120" w:afterLines="50"/>
        <w:jc w:val="left"/>
        <w:rPr>
          <w:szCs w:val="21"/>
          <w:highlight w:val="none"/>
        </w:rPr>
      </w:pPr>
      <w:r>
        <w:rPr>
          <w:rFonts w:hint="eastAsia"/>
          <w:szCs w:val="21"/>
          <w:highlight w:val="none"/>
        </w:rPr>
        <w:t>1.不同供应商的响应文件由同一单位或者个人编制；或者不同供应商报名的IP地址一致的；</w:t>
      </w:r>
    </w:p>
    <w:p w14:paraId="368FC705">
      <w:pPr>
        <w:snapToGrid w:val="0"/>
        <w:spacing w:before="50" w:after="120" w:afterLines="50"/>
        <w:jc w:val="left"/>
        <w:rPr>
          <w:szCs w:val="21"/>
          <w:highlight w:val="none"/>
        </w:rPr>
      </w:pPr>
      <w:r>
        <w:rPr>
          <w:rFonts w:hint="eastAsia"/>
          <w:szCs w:val="21"/>
          <w:highlight w:val="none"/>
        </w:rPr>
        <w:t>2.不同供应商委托同一单位或者个人办理投标事宜；</w:t>
      </w:r>
    </w:p>
    <w:p w14:paraId="45C2ABEA">
      <w:pPr>
        <w:snapToGrid w:val="0"/>
        <w:spacing w:before="50" w:after="120" w:afterLines="50"/>
        <w:jc w:val="left"/>
        <w:rPr>
          <w:szCs w:val="21"/>
          <w:highlight w:val="none"/>
        </w:rPr>
      </w:pPr>
      <w:r>
        <w:rPr>
          <w:rFonts w:hint="eastAsia"/>
          <w:szCs w:val="21"/>
          <w:highlight w:val="none"/>
        </w:rPr>
        <w:t>3.不同的供应商的响应文件载明的项目管理员为同一个人；</w:t>
      </w:r>
    </w:p>
    <w:p w14:paraId="2CB57F37">
      <w:pPr>
        <w:snapToGrid w:val="0"/>
        <w:spacing w:before="50" w:after="120" w:afterLines="50"/>
        <w:jc w:val="left"/>
        <w:rPr>
          <w:szCs w:val="21"/>
          <w:highlight w:val="none"/>
        </w:rPr>
      </w:pPr>
      <w:r>
        <w:rPr>
          <w:rFonts w:hint="eastAsia"/>
          <w:szCs w:val="21"/>
          <w:highlight w:val="none"/>
        </w:rPr>
        <w:t>4.不同供应商的响应文件异常一致或者投标报价呈规律性差异；</w:t>
      </w:r>
    </w:p>
    <w:p w14:paraId="51FD4125">
      <w:pPr>
        <w:snapToGrid w:val="0"/>
        <w:spacing w:before="50" w:after="120" w:afterLines="50"/>
        <w:jc w:val="left"/>
        <w:rPr>
          <w:szCs w:val="21"/>
          <w:highlight w:val="none"/>
        </w:rPr>
      </w:pPr>
      <w:r>
        <w:rPr>
          <w:rFonts w:hint="eastAsia"/>
          <w:szCs w:val="21"/>
          <w:highlight w:val="none"/>
        </w:rPr>
        <w:t>5.不同供应商的响应文件相互混装；</w:t>
      </w:r>
    </w:p>
    <w:p w14:paraId="502A5393">
      <w:pPr>
        <w:snapToGrid w:val="0"/>
        <w:spacing w:before="50" w:after="120" w:afterLines="50"/>
        <w:jc w:val="left"/>
        <w:rPr>
          <w:szCs w:val="21"/>
          <w:highlight w:val="none"/>
        </w:rPr>
      </w:pPr>
      <w:r>
        <w:rPr>
          <w:rFonts w:hint="eastAsia"/>
          <w:szCs w:val="21"/>
          <w:highlight w:val="none"/>
        </w:rPr>
        <w:t>6.不同供应商的磋商保证金从同一单位或者个人账户转出。</w:t>
      </w:r>
    </w:p>
    <w:p w14:paraId="700DD3EB">
      <w:pPr>
        <w:snapToGrid w:val="0"/>
        <w:spacing w:before="50" w:after="120" w:afterLines="50"/>
        <w:jc w:val="left"/>
        <w:rPr>
          <w:szCs w:val="21"/>
          <w:highlight w:val="none"/>
        </w:rPr>
      </w:pPr>
      <w:r>
        <w:rPr>
          <w:rFonts w:hint="eastAsia"/>
          <w:szCs w:val="21"/>
          <w:highlight w:val="none"/>
        </w:rPr>
        <w:t>二、我方承诺无下列恶意串通的情形：</w:t>
      </w:r>
    </w:p>
    <w:p w14:paraId="22A394FF">
      <w:pPr>
        <w:snapToGrid w:val="0"/>
        <w:spacing w:before="50" w:after="120" w:afterLines="50"/>
        <w:jc w:val="left"/>
        <w:rPr>
          <w:szCs w:val="21"/>
          <w:highlight w:val="none"/>
        </w:rPr>
      </w:pPr>
      <w:r>
        <w:rPr>
          <w:rFonts w:hint="eastAsia"/>
          <w:szCs w:val="21"/>
          <w:highlight w:val="none"/>
        </w:rPr>
        <w:t>1.供应商直接或者间接从采购人或者采购代理机构处获得其他供应商的相关信息并修改其响应文件或者响应文件；</w:t>
      </w:r>
    </w:p>
    <w:p w14:paraId="0712C052">
      <w:pPr>
        <w:snapToGrid w:val="0"/>
        <w:spacing w:before="50" w:after="120" w:afterLines="50"/>
        <w:jc w:val="left"/>
        <w:rPr>
          <w:szCs w:val="21"/>
          <w:highlight w:val="none"/>
        </w:rPr>
      </w:pPr>
      <w:r>
        <w:rPr>
          <w:rFonts w:hint="eastAsia"/>
          <w:szCs w:val="21"/>
          <w:highlight w:val="none"/>
        </w:rPr>
        <w:t>2.供应商按照采购人或者采购代理机构的授意撤换、修改响应文件或者响应文件；</w:t>
      </w:r>
    </w:p>
    <w:p w14:paraId="4A5BD735">
      <w:pPr>
        <w:snapToGrid w:val="0"/>
        <w:spacing w:before="50" w:after="120" w:afterLines="50"/>
        <w:jc w:val="left"/>
        <w:rPr>
          <w:szCs w:val="21"/>
          <w:highlight w:val="none"/>
        </w:rPr>
      </w:pPr>
      <w:r>
        <w:rPr>
          <w:rFonts w:hint="eastAsia"/>
          <w:szCs w:val="21"/>
          <w:highlight w:val="none"/>
        </w:rPr>
        <w:t>3.供应商之间协商报价、技术方案等响应文件或者响应文件的实质性内容；</w:t>
      </w:r>
    </w:p>
    <w:p w14:paraId="7C60CE26">
      <w:pPr>
        <w:snapToGrid w:val="0"/>
        <w:spacing w:before="50" w:after="120" w:afterLines="50"/>
        <w:jc w:val="left"/>
        <w:rPr>
          <w:szCs w:val="21"/>
          <w:highlight w:val="none"/>
        </w:rPr>
      </w:pPr>
      <w:r>
        <w:rPr>
          <w:rFonts w:hint="eastAsia"/>
          <w:szCs w:val="21"/>
          <w:highlight w:val="none"/>
        </w:rPr>
        <w:t>4.属于同一集团、协会、商会等组织成员的供应商按照该组织要求协同参加政府采购活动；</w:t>
      </w:r>
    </w:p>
    <w:p w14:paraId="4346627E">
      <w:pPr>
        <w:snapToGrid w:val="0"/>
        <w:spacing w:before="50" w:after="120" w:afterLines="50"/>
        <w:jc w:val="left"/>
        <w:rPr>
          <w:szCs w:val="21"/>
          <w:highlight w:val="none"/>
        </w:rPr>
      </w:pPr>
      <w:r>
        <w:rPr>
          <w:rFonts w:hint="eastAsia"/>
          <w:szCs w:val="21"/>
          <w:highlight w:val="none"/>
        </w:rPr>
        <w:t>5.供应商之间事先约定一致抬高或者压低投标报价，或者在招标项目中事先约定轮流以高价位或者低价位中标，或者事先约定由某一特定供应商中标，然后再参加投标；</w:t>
      </w:r>
    </w:p>
    <w:p w14:paraId="7520F77A">
      <w:pPr>
        <w:snapToGrid w:val="0"/>
        <w:spacing w:before="50" w:after="120" w:afterLines="50"/>
        <w:jc w:val="left"/>
        <w:rPr>
          <w:szCs w:val="21"/>
          <w:highlight w:val="none"/>
        </w:rPr>
      </w:pPr>
      <w:r>
        <w:rPr>
          <w:rFonts w:hint="eastAsia"/>
          <w:szCs w:val="21"/>
          <w:highlight w:val="none"/>
        </w:rPr>
        <w:t>6.供应商之间商定部分供应商放弃参加政府采购活动或者放弃中标；</w:t>
      </w:r>
    </w:p>
    <w:p w14:paraId="4E1D1CE1">
      <w:pPr>
        <w:snapToGrid w:val="0"/>
        <w:spacing w:before="50" w:after="120" w:afterLines="50"/>
        <w:jc w:val="left"/>
        <w:rPr>
          <w:szCs w:val="21"/>
          <w:highlight w:val="none"/>
        </w:rPr>
      </w:pPr>
      <w:r>
        <w:rPr>
          <w:rFonts w:hint="eastAsia"/>
          <w:szCs w:val="21"/>
          <w:highlight w:val="none"/>
        </w:rPr>
        <w:t>7.供应商与采购人或者采购代理机构之间、供应商相互之间，为谋求特定供应商中标或者排斥其他供应商的其他串通行为。</w:t>
      </w:r>
    </w:p>
    <w:p w14:paraId="27AF1679">
      <w:pPr>
        <w:snapToGrid w:val="0"/>
        <w:spacing w:before="50" w:after="120" w:afterLines="50"/>
        <w:jc w:val="left"/>
        <w:rPr>
          <w:szCs w:val="21"/>
          <w:highlight w:val="none"/>
        </w:rPr>
      </w:pPr>
      <w:r>
        <w:rPr>
          <w:rFonts w:hint="eastAsia"/>
          <w:szCs w:val="21"/>
          <w:highlight w:val="none"/>
        </w:rPr>
        <w:t>以上情形一经核查属实，我方愿意承担一切后果，并不再寻求任何旨在减轻或者免除法律责任的辩解。</w:t>
      </w:r>
    </w:p>
    <w:p w14:paraId="28FBE5A5">
      <w:pPr>
        <w:snapToGrid w:val="0"/>
        <w:spacing w:before="50" w:after="120" w:afterLines="50"/>
        <w:jc w:val="center"/>
        <w:rPr>
          <w:szCs w:val="21"/>
          <w:highlight w:val="none"/>
        </w:rPr>
      </w:pPr>
      <w:r>
        <w:rPr>
          <w:rFonts w:hint="eastAsia"/>
          <w:szCs w:val="21"/>
          <w:highlight w:val="none"/>
        </w:rPr>
        <w:t xml:space="preserve"> </w:t>
      </w:r>
      <w:r>
        <w:rPr>
          <w:szCs w:val="21"/>
          <w:highlight w:val="none"/>
        </w:rPr>
        <w:t xml:space="preserve"> </w:t>
      </w:r>
    </w:p>
    <w:p w14:paraId="2E9072F3">
      <w:pPr>
        <w:snapToGrid w:val="0"/>
        <w:spacing w:before="50" w:after="120" w:afterLines="50"/>
        <w:jc w:val="center"/>
        <w:rPr>
          <w:szCs w:val="21"/>
          <w:highlight w:val="none"/>
        </w:rPr>
      </w:pPr>
    </w:p>
    <w:p w14:paraId="06C91636">
      <w:pPr>
        <w:snapToGrid w:val="0"/>
        <w:spacing w:before="50" w:after="120" w:afterLines="50"/>
        <w:jc w:val="center"/>
        <w:rPr>
          <w:szCs w:val="21"/>
          <w:highlight w:val="none"/>
        </w:rPr>
      </w:pPr>
    </w:p>
    <w:p w14:paraId="7FEF7481">
      <w:pPr>
        <w:snapToGrid w:val="0"/>
        <w:spacing w:before="50" w:after="120" w:afterLines="50"/>
        <w:jc w:val="center"/>
        <w:rPr>
          <w:szCs w:val="21"/>
          <w:highlight w:val="none"/>
        </w:rPr>
      </w:pPr>
      <w:r>
        <w:rPr>
          <w:szCs w:val="21"/>
          <w:highlight w:val="none"/>
        </w:rPr>
        <w:t>供应商</w:t>
      </w:r>
      <w:r>
        <w:rPr>
          <w:rFonts w:hint="eastAsia"/>
          <w:szCs w:val="21"/>
          <w:highlight w:val="none"/>
        </w:rPr>
        <w:t>名称(电子签章</w:t>
      </w:r>
      <w:r>
        <w:rPr>
          <w:szCs w:val="21"/>
          <w:highlight w:val="none"/>
        </w:rPr>
        <w:t>)</w:t>
      </w:r>
      <w:r>
        <w:rPr>
          <w:rFonts w:hint="eastAsia"/>
          <w:szCs w:val="21"/>
          <w:highlight w:val="none"/>
        </w:rPr>
        <w:t>：</w:t>
      </w:r>
    </w:p>
    <w:p w14:paraId="76EA1C51">
      <w:pPr>
        <w:snapToGrid w:val="0"/>
        <w:spacing w:before="50" w:after="120" w:afterLines="50"/>
        <w:jc w:val="center"/>
        <w:rPr>
          <w:szCs w:val="21"/>
          <w:highlight w:val="none"/>
        </w:rPr>
      </w:pPr>
      <w:r>
        <w:rPr>
          <w:rFonts w:hint="eastAsia"/>
          <w:szCs w:val="21"/>
          <w:highlight w:val="none"/>
        </w:rPr>
        <w:t>日期：  年  月   日</w:t>
      </w:r>
    </w:p>
    <w:p w14:paraId="705BD343">
      <w:pPr>
        <w:spacing w:line="360" w:lineRule="exact"/>
        <w:rPr>
          <w:szCs w:val="21"/>
          <w:highlight w:val="none"/>
        </w:rPr>
      </w:pPr>
    </w:p>
    <w:p w14:paraId="3E5B9829">
      <w:pPr>
        <w:spacing w:line="360" w:lineRule="exact"/>
        <w:rPr>
          <w:rFonts w:hint="eastAsia"/>
          <w:b/>
          <w:bCs/>
          <w:szCs w:val="21"/>
          <w:highlight w:val="none"/>
        </w:rPr>
      </w:pPr>
      <w:r>
        <w:rPr>
          <w:szCs w:val="21"/>
          <w:highlight w:val="none"/>
        </w:rPr>
        <w:br w:type="page"/>
      </w:r>
      <w:r>
        <w:rPr>
          <w:rFonts w:hint="eastAsia"/>
          <w:szCs w:val="21"/>
          <w:highlight w:val="none"/>
          <w:lang w:val="en-US" w:eastAsia="zh-CN"/>
        </w:rPr>
        <w:t>6</w:t>
      </w:r>
      <w:r>
        <w:rPr>
          <w:szCs w:val="21"/>
          <w:highlight w:val="none"/>
        </w:rPr>
        <w:t>.</w:t>
      </w:r>
      <w:r>
        <w:rPr>
          <w:b/>
          <w:bCs/>
          <w:szCs w:val="21"/>
          <w:highlight w:val="none"/>
        </w:rPr>
        <w:t>代理服务费承诺书</w:t>
      </w:r>
    </w:p>
    <w:p w14:paraId="45A4FCA5">
      <w:pPr>
        <w:spacing w:line="360" w:lineRule="exact"/>
        <w:rPr>
          <w:szCs w:val="21"/>
          <w:highlight w:val="none"/>
        </w:rPr>
      </w:pPr>
      <w:r>
        <w:rPr>
          <w:szCs w:val="21"/>
          <w:highlight w:val="none"/>
        </w:rPr>
        <w:t>致：广西机电设备招标有限公司</w:t>
      </w:r>
    </w:p>
    <w:p w14:paraId="43D8B2F2">
      <w:pPr>
        <w:spacing w:line="360" w:lineRule="exact"/>
        <w:ind w:firstLine="420" w:firstLineChars="200"/>
        <w:rPr>
          <w:szCs w:val="21"/>
          <w:highlight w:val="none"/>
        </w:rPr>
      </w:pPr>
      <w:r>
        <w:rPr>
          <w:szCs w:val="21"/>
          <w:highlight w:val="none"/>
        </w:rPr>
        <w:t>我单位参加了贵方组织的</w:t>
      </w:r>
      <w:r>
        <w:rPr>
          <w:rFonts w:hint="eastAsia"/>
          <w:szCs w:val="21"/>
          <w:highlight w:val="none"/>
        </w:rPr>
        <w:t>磋商</w:t>
      </w:r>
      <w:r>
        <w:rPr>
          <w:szCs w:val="21"/>
          <w:highlight w:val="none"/>
        </w:rPr>
        <w:t>项目编号为</w:t>
      </w:r>
      <w:r>
        <w:rPr>
          <w:b/>
          <w:szCs w:val="21"/>
          <w:highlight w:val="none"/>
        </w:rPr>
        <w:t>（</w:t>
      </w:r>
      <w:r>
        <w:rPr>
          <w:szCs w:val="21"/>
          <w:highlight w:val="none"/>
          <w:u w:val="single"/>
        </w:rPr>
        <w:t xml:space="preserve">                    )</w:t>
      </w:r>
      <w:r>
        <w:rPr>
          <w:szCs w:val="21"/>
          <w:highlight w:val="none"/>
        </w:rPr>
        <w:t>的响应，，在此我方说明如下：</w:t>
      </w:r>
    </w:p>
    <w:p w14:paraId="22EFB25D">
      <w:pPr>
        <w:spacing w:line="360" w:lineRule="exact"/>
        <w:ind w:firstLine="420" w:firstLineChars="200"/>
        <w:rPr>
          <w:szCs w:val="21"/>
          <w:highlight w:val="none"/>
        </w:rPr>
      </w:pPr>
      <w:r>
        <w:rPr>
          <w:szCs w:val="21"/>
          <w:highlight w:val="none"/>
        </w:rPr>
        <w:t>1．我方承诺，若我单位</w:t>
      </w:r>
      <w:r>
        <w:rPr>
          <w:rFonts w:hint="eastAsia"/>
          <w:szCs w:val="21"/>
          <w:highlight w:val="none"/>
        </w:rPr>
        <w:t>成交</w:t>
      </w:r>
      <w:r>
        <w:rPr>
          <w:szCs w:val="21"/>
          <w:highlight w:val="none"/>
        </w:rPr>
        <w:t>，保证在领取</w:t>
      </w:r>
      <w:r>
        <w:rPr>
          <w:rFonts w:hint="eastAsia"/>
          <w:szCs w:val="21"/>
          <w:highlight w:val="none"/>
        </w:rPr>
        <w:t>成交</w:t>
      </w:r>
      <w:r>
        <w:rPr>
          <w:szCs w:val="21"/>
          <w:highlight w:val="none"/>
        </w:rPr>
        <w:t>通知书之前，按本项目</w:t>
      </w:r>
      <w:r>
        <w:rPr>
          <w:rFonts w:hint="eastAsia"/>
          <w:szCs w:val="21"/>
          <w:highlight w:val="none"/>
        </w:rPr>
        <w:t>采购文件</w:t>
      </w:r>
      <w:r>
        <w:rPr>
          <w:szCs w:val="21"/>
          <w:highlight w:val="none"/>
        </w:rPr>
        <w:t>的规定标准向贵单位一次性足额缴纳代理服务费。</w:t>
      </w:r>
    </w:p>
    <w:p w14:paraId="44B67F37">
      <w:pPr>
        <w:spacing w:line="360" w:lineRule="exact"/>
        <w:ind w:firstLine="420" w:firstLineChars="200"/>
        <w:rPr>
          <w:szCs w:val="21"/>
          <w:highlight w:val="none"/>
        </w:rPr>
      </w:pPr>
      <w:r>
        <w:rPr>
          <w:rFonts w:hint="eastAsia"/>
          <w:szCs w:val="21"/>
          <w:highlight w:val="none"/>
          <w:lang w:val="en-US" w:eastAsia="zh-CN"/>
        </w:rPr>
        <w:t>2</w:t>
      </w:r>
      <w:r>
        <w:rPr>
          <w:szCs w:val="21"/>
          <w:highlight w:val="none"/>
        </w:rPr>
        <w:t>. 我单位选择第</w:t>
      </w:r>
      <w:r>
        <w:rPr>
          <w:szCs w:val="21"/>
          <w:highlight w:val="none"/>
          <w:u w:val="single"/>
        </w:rPr>
        <w:t xml:space="preserve">     </w:t>
      </w:r>
      <w:r>
        <w:rPr>
          <w:szCs w:val="21"/>
          <w:highlight w:val="none"/>
        </w:rPr>
        <w:t>种方式作为代理服务费开票类型：</w:t>
      </w:r>
    </w:p>
    <w:p w14:paraId="424FED4A">
      <w:pPr>
        <w:spacing w:line="360" w:lineRule="exact"/>
        <w:ind w:firstLine="420" w:firstLineChars="200"/>
        <w:rPr>
          <w:szCs w:val="21"/>
          <w:highlight w:val="none"/>
        </w:rPr>
      </w:pPr>
      <w:r>
        <w:rPr>
          <w:szCs w:val="21"/>
          <w:highlight w:val="none"/>
        </w:rPr>
        <w:t>第一种方式：开具收据。</w:t>
      </w:r>
    </w:p>
    <w:p w14:paraId="53D47640">
      <w:pPr>
        <w:spacing w:line="360" w:lineRule="exact"/>
        <w:ind w:firstLine="420" w:firstLineChars="200"/>
        <w:rPr>
          <w:szCs w:val="21"/>
          <w:highlight w:val="none"/>
        </w:rPr>
      </w:pPr>
      <w:r>
        <w:rPr>
          <w:szCs w:val="21"/>
          <w:highlight w:val="none"/>
        </w:rPr>
        <w:t>第二种方式：开具增值税普通发票。 1.公司名称</w:t>
      </w:r>
      <w:r>
        <w:rPr>
          <w:szCs w:val="21"/>
          <w:highlight w:val="none"/>
          <w:u w:val="single"/>
        </w:rPr>
        <w:t xml:space="preserve">                      </w:t>
      </w:r>
      <w:r>
        <w:rPr>
          <w:szCs w:val="21"/>
          <w:highlight w:val="none"/>
        </w:rPr>
        <w:t>；2.纳税人识别号</w:t>
      </w:r>
      <w:r>
        <w:rPr>
          <w:szCs w:val="21"/>
          <w:highlight w:val="none"/>
          <w:u w:val="single"/>
        </w:rPr>
        <w:t xml:space="preserve">                     </w:t>
      </w:r>
      <w:r>
        <w:rPr>
          <w:szCs w:val="21"/>
          <w:highlight w:val="none"/>
        </w:rPr>
        <w:t>；</w:t>
      </w:r>
    </w:p>
    <w:p w14:paraId="5A6D9D8F">
      <w:pPr>
        <w:spacing w:line="360" w:lineRule="exact"/>
        <w:ind w:firstLine="420" w:firstLineChars="200"/>
        <w:rPr>
          <w:szCs w:val="21"/>
          <w:highlight w:val="none"/>
        </w:rPr>
      </w:pPr>
      <w:r>
        <w:rPr>
          <w:szCs w:val="21"/>
          <w:highlight w:val="none"/>
        </w:rPr>
        <w:t>第三种方式：开具增值税专用发票，开票信息如下：1.公司名称</w:t>
      </w:r>
      <w:r>
        <w:rPr>
          <w:szCs w:val="21"/>
          <w:highlight w:val="none"/>
          <w:u w:val="single"/>
        </w:rPr>
        <w:t xml:space="preserve">                      </w:t>
      </w:r>
      <w:r>
        <w:rPr>
          <w:szCs w:val="21"/>
          <w:highlight w:val="none"/>
        </w:rPr>
        <w:t>；2.纳税人识别号</w:t>
      </w:r>
      <w:r>
        <w:rPr>
          <w:szCs w:val="21"/>
          <w:highlight w:val="none"/>
          <w:u w:val="single"/>
        </w:rPr>
        <w:t xml:space="preserve">                     </w:t>
      </w:r>
      <w:r>
        <w:rPr>
          <w:szCs w:val="21"/>
          <w:highlight w:val="none"/>
        </w:rPr>
        <w:t>；3.税局登记地址</w:t>
      </w:r>
      <w:r>
        <w:rPr>
          <w:szCs w:val="21"/>
          <w:highlight w:val="none"/>
          <w:u w:val="single"/>
        </w:rPr>
        <w:t xml:space="preserve">                     </w:t>
      </w:r>
      <w:r>
        <w:rPr>
          <w:szCs w:val="21"/>
          <w:highlight w:val="none"/>
        </w:rPr>
        <w:t>；4.税局登记电话</w:t>
      </w:r>
      <w:r>
        <w:rPr>
          <w:szCs w:val="21"/>
          <w:highlight w:val="none"/>
          <w:u w:val="single"/>
        </w:rPr>
        <w:t xml:space="preserve">             </w:t>
      </w:r>
      <w:r>
        <w:rPr>
          <w:szCs w:val="21"/>
          <w:highlight w:val="none"/>
        </w:rPr>
        <w:t>；5.开户银行</w:t>
      </w:r>
      <w:r>
        <w:rPr>
          <w:szCs w:val="21"/>
          <w:highlight w:val="none"/>
          <w:u w:val="single"/>
        </w:rPr>
        <w:t xml:space="preserve">                 </w:t>
      </w:r>
      <w:r>
        <w:rPr>
          <w:szCs w:val="21"/>
          <w:highlight w:val="none"/>
        </w:rPr>
        <w:t>；6.银行账户</w:t>
      </w:r>
      <w:r>
        <w:rPr>
          <w:szCs w:val="21"/>
          <w:highlight w:val="none"/>
          <w:u w:val="single"/>
        </w:rPr>
        <w:t xml:space="preserve">                         </w:t>
      </w:r>
      <w:r>
        <w:rPr>
          <w:szCs w:val="21"/>
          <w:highlight w:val="none"/>
        </w:rPr>
        <w:t>。</w:t>
      </w:r>
    </w:p>
    <w:p w14:paraId="4D03ABED">
      <w:pPr>
        <w:spacing w:before="120" w:beforeLines="50" w:line="360" w:lineRule="auto"/>
        <w:jc w:val="left"/>
        <w:rPr>
          <w:szCs w:val="21"/>
          <w:highlight w:val="none"/>
        </w:rPr>
      </w:pPr>
    </w:p>
    <w:p w14:paraId="680DBF84">
      <w:pPr>
        <w:spacing w:before="120" w:beforeLines="50" w:line="360" w:lineRule="auto"/>
        <w:jc w:val="left"/>
        <w:rPr>
          <w:szCs w:val="21"/>
          <w:highlight w:val="none"/>
          <w:u w:val="single"/>
        </w:rPr>
      </w:pPr>
      <w:r>
        <w:rPr>
          <w:szCs w:val="21"/>
          <w:highlight w:val="none"/>
        </w:rPr>
        <w:t>供应商</w:t>
      </w:r>
      <w:r>
        <w:rPr>
          <w:rFonts w:hint="eastAsia"/>
          <w:szCs w:val="21"/>
          <w:highlight w:val="none"/>
        </w:rPr>
        <w:t>名称(电子签章</w:t>
      </w:r>
      <w:r>
        <w:rPr>
          <w:szCs w:val="21"/>
          <w:highlight w:val="none"/>
        </w:rPr>
        <w:t>)：</w:t>
      </w:r>
      <w:r>
        <w:rPr>
          <w:szCs w:val="21"/>
          <w:highlight w:val="none"/>
          <w:u w:val="single"/>
        </w:rPr>
        <w:t xml:space="preserve">                              </w:t>
      </w:r>
    </w:p>
    <w:p w14:paraId="1F5AF68C">
      <w:pPr>
        <w:spacing w:before="120" w:beforeLines="50" w:line="360" w:lineRule="auto"/>
        <w:jc w:val="left"/>
        <w:rPr>
          <w:szCs w:val="21"/>
          <w:highlight w:val="none"/>
        </w:rPr>
      </w:pPr>
      <w:r>
        <w:rPr>
          <w:szCs w:val="21"/>
          <w:highlight w:val="none"/>
        </w:rPr>
        <w:t>供应商地址：</w:t>
      </w:r>
      <w:r>
        <w:rPr>
          <w:szCs w:val="21"/>
          <w:highlight w:val="none"/>
          <w:u w:val="single"/>
        </w:rPr>
        <w:t xml:space="preserve">                                     </w:t>
      </w:r>
    </w:p>
    <w:p w14:paraId="2C09C320">
      <w:pPr>
        <w:wordWrap w:val="0"/>
        <w:spacing w:before="120" w:beforeLines="50" w:line="360" w:lineRule="auto"/>
        <w:jc w:val="right"/>
        <w:rPr>
          <w:szCs w:val="21"/>
          <w:highlight w:val="none"/>
        </w:rPr>
      </w:pPr>
      <w:r>
        <w:rPr>
          <w:szCs w:val="21"/>
          <w:highlight w:val="none"/>
        </w:rPr>
        <w:t>日期：</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2055CBFB">
      <w:pPr>
        <w:spacing w:before="120" w:beforeLines="50"/>
        <w:rPr>
          <w:szCs w:val="21"/>
          <w:highlight w:val="none"/>
        </w:rPr>
      </w:pPr>
      <w:r>
        <w:rPr>
          <w:szCs w:val="21"/>
          <w:highlight w:val="none"/>
        </w:rPr>
        <w:t>说明：</w:t>
      </w:r>
    </w:p>
    <w:p w14:paraId="4E840B99">
      <w:pPr>
        <w:spacing w:line="340" w:lineRule="exact"/>
        <w:ind w:firstLine="420" w:firstLineChars="200"/>
        <w:rPr>
          <w:szCs w:val="21"/>
          <w:highlight w:val="none"/>
        </w:rPr>
      </w:pPr>
      <w:r>
        <w:rPr>
          <w:szCs w:val="21"/>
          <w:highlight w:val="none"/>
        </w:rPr>
        <w:t>广西机电设备招标有限公司财务部联系方式：联系人：吴茜；电话：0771-2821398；传真：0771-2843545。</w:t>
      </w:r>
    </w:p>
    <w:p w14:paraId="46751AA6">
      <w:pPr>
        <w:snapToGrid w:val="0"/>
        <w:spacing w:before="120" w:beforeLines="50" w:after="50" w:line="440" w:lineRule="exact"/>
        <w:jc w:val="center"/>
        <w:outlineLvl w:val="1"/>
        <w:rPr>
          <w:bCs/>
          <w:sz w:val="24"/>
          <w:highlight w:val="none"/>
        </w:rPr>
      </w:pPr>
      <w:r>
        <w:rPr>
          <w:szCs w:val="21"/>
          <w:highlight w:val="none"/>
        </w:rPr>
        <w:br w:type="page"/>
      </w:r>
      <w:r>
        <w:rPr>
          <w:bCs/>
          <w:sz w:val="24"/>
          <w:highlight w:val="none"/>
        </w:rPr>
        <w:t>第三部分 报价文件</w:t>
      </w:r>
    </w:p>
    <w:p w14:paraId="64CD07F3">
      <w:pPr>
        <w:jc w:val="center"/>
        <w:rPr>
          <w:b/>
          <w:bCs/>
          <w:szCs w:val="21"/>
          <w:highlight w:val="none"/>
        </w:rPr>
      </w:pPr>
    </w:p>
    <w:p w14:paraId="3AB058EE">
      <w:pPr>
        <w:rPr>
          <w:highlight w:val="none"/>
        </w:rPr>
      </w:pPr>
      <w:r>
        <w:rPr>
          <w:highlight w:val="none"/>
        </w:rPr>
        <w:t>1．</w:t>
      </w:r>
      <w:r>
        <w:rPr>
          <w:rFonts w:hint="eastAsia"/>
          <w:highlight w:val="none"/>
        </w:rPr>
        <w:t>响应</w:t>
      </w:r>
      <w:r>
        <w:rPr>
          <w:highlight w:val="none"/>
        </w:rPr>
        <w:t>函格式：</w:t>
      </w:r>
    </w:p>
    <w:p w14:paraId="107B8554">
      <w:pPr>
        <w:jc w:val="center"/>
        <w:rPr>
          <w:rFonts w:hint="eastAsia"/>
          <w:b/>
          <w:bCs/>
          <w:szCs w:val="21"/>
          <w:highlight w:val="none"/>
        </w:rPr>
      </w:pPr>
    </w:p>
    <w:p w14:paraId="71392B16">
      <w:pPr>
        <w:jc w:val="center"/>
        <w:rPr>
          <w:b/>
          <w:szCs w:val="21"/>
          <w:highlight w:val="none"/>
        </w:rPr>
      </w:pPr>
      <w:r>
        <w:rPr>
          <w:b/>
          <w:szCs w:val="21"/>
          <w:highlight w:val="none"/>
        </w:rPr>
        <w:t>响 应 函</w:t>
      </w:r>
    </w:p>
    <w:p w14:paraId="20CCAE85">
      <w:pPr>
        <w:rPr>
          <w:rFonts w:hint="eastAsia"/>
          <w:b/>
          <w:szCs w:val="21"/>
          <w:highlight w:val="none"/>
        </w:rPr>
      </w:pPr>
    </w:p>
    <w:p w14:paraId="311B3651">
      <w:pPr>
        <w:snapToGrid w:val="0"/>
        <w:spacing w:before="120" w:beforeLines="50" w:after="50" w:line="360" w:lineRule="exact"/>
        <w:rPr>
          <w:szCs w:val="21"/>
          <w:highlight w:val="none"/>
        </w:rPr>
      </w:pPr>
      <w:r>
        <w:rPr>
          <w:szCs w:val="21"/>
          <w:highlight w:val="none"/>
        </w:rPr>
        <w:t>致：</w:t>
      </w:r>
      <w:bookmarkStart w:id="495" w:name="_Hlk19051378"/>
      <w:r>
        <w:rPr>
          <w:i/>
          <w:iCs/>
          <w:szCs w:val="21"/>
          <w:highlight w:val="none"/>
          <w:u w:val="single"/>
        </w:rPr>
        <w:t>（采购</w:t>
      </w:r>
      <w:r>
        <w:rPr>
          <w:rFonts w:hint="eastAsia"/>
          <w:i/>
          <w:iCs/>
          <w:szCs w:val="21"/>
          <w:highlight w:val="none"/>
          <w:u w:val="single"/>
        </w:rPr>
        <w:t>人</w:t>
      </w:r>
      <w:r>
        <w:rPr>
          <w:i/>
          <w:iCs/>
          <w:szCs w:val="21"/>
          <w:highlight w:val="none"/>
          <w:u w:val="single"/>
        </w:rPr>
        <w:t>名称）</w:t>
      </w:r>
      <w:bookmarkEnd w:id="495"/>
      <w:r>
        <w:rPr>
          <w:szCs w:val="21"/>
          <w:highlight w:val="none"/>
        </w:rPr>
        <w:t>：</w:t>
      </w:r>
    </w:p>
    <w:p w14:paraId="14EFEC00">
      <w:pPr>
        <w:rPr>
          <w:b/>
          <w:szCs w:val="21"/>
          <w:highlight w:val="none"/>
        </w:rPr>
      </w:pPr>
    </w:p>
    <w:p w14:paraId="0F23D4AD">
      <w:pPr>
        <w:spacing w:line="360" w:lineRule="auto"/>
        <w:ind w:firstLine="420" w:firstLineChars="200"/>
        <w:rPr>
          <w:szCs w:val="21"/>
          <w:highlight w:val="none"/>
        </w:rPr>
      </w:pPr>
      <w:r>
        <w:rPr>
          <w:szCs w:val="21"/>
          <w:highlight w:val="none"/>
        </w:rPr>
        <w:t>1.根据你方项目编号为</w:t>
      </w:r>
      <w:r>
        <w:rPr>
          <w:szCs w:val="21"/>
          <w:highlight w:val="none"/>
          <w:u w:val="single"/>
        </w:rPr>
        <w:t xml:space="preserve">  </w:t>
      </w:r>
      <w:r>
        <w:rPr>
          <w:i/>
          <w:iCs/>
          <w:szCs w:val="21"/>
          <w:highlight w:val="none"/>
          <w:u w:val="single"/>
        </w:rPr>
        <w:t>（项目编号）</w:t>
      </w:r>
      <w:r>
        <w:rPr>
          <w:szCs w:val="21"/>
          <w:highlight w:val="none"/>
          <w:u w:val="single"/>
        </w:rPr>
        <w:t xml:space="preserve">  </w:t>
      </w:r>
      <w:r>
        <w:rPr>
          <w:szCs w:val="21"/>
          <w:highlight w:val="none"/>
        </w:rPr>
        <w:t>的</w:t>
      </w:r>
      <w:r>
        <w:rPr>
          <w:szCs w:val="21"/>
          <w:highlight w:val="none"/>
          <w:u w:val="single"/>
        </w:rPr>
        <w:t xml:space="preserve">  </w:t>
      </w:r>
      <w:r>
        <w:rPr>
          <w:i/>
          <w:iCs/>
          <w:szCs w:val="21"/>
          <w:highlight w:val="none"/>
          <w:u w:val="single"/>
        </w:rPr>
        <w:t>（工程项目名称）</w:t>
      </w:r>
      <w:r>
        <w:rPr>
          <w:szCs w:val="21"/>
          <w:highlight w:val="none"/>
          <w:u w:val="single"/>
        </w:rPr>
        <w:t xml:space="preserve">  </w:t>
      </w:r>
      <w:r>
        <w:rPr>
          <w:szCs w:val="21"/>
          <w:highlight w:val="none"/>
        </w:rPr>
        <w:t>工程采购文件，遵照《中华人民共和国政府采购法》、《中华人民共和国</w:t>
      </w:r>
      <w:r>
        <w:rPr>
          <w:rFonts w:hint="eastAsia"/>
          <w:szCs w:val="21"/>
          <w:highlight w:val="none"/>
        </w:rPr>
        <w:t>建筑</w:t>
      </w:r>
      <w:r>
        <w:rPr>
          <w:szCs w:val="21"/>
          <w:highlight w:val="none"/>
        </w:rPr>
        <w:t>法》等有关规定，经踏勘项目现场和研究上述采购文件的供应商须知、合同条款、图纸、工程建设内容和工程量清单及其他有关文件后，我方愿以人民币</w:t>
      </w:r>
      <w:r>
        <w:rPr>
          <w:szCs w:val="21"/>
          <w:highlight w:val="none"/>
          <w:u w:val="single"/>
        </w:rPr>
        <w:t>（大写）    元（RMB￥    元）</w:t>
      </w:r>
      <w:r>
        <w:rPr>
          <w:szCs w:val="21"/>
          <w:highlight w:val="none"/>
        </w:rPr>
        <w:t>的磋商报价并按上述图纸、合同条款、工程建设内容和工程量清单的条件要求承包上述工程的施工、竣工，并承担任何质量缺陷保修责任。我方保证工程质量达到</w:t>
      </w:r>
      <w:r>
        <w:rPr>
          <w:szCs w:val="21"/>
          <w:highlight w:val="none"/>
          <w:u w:val="single"/>
        </w:rPr>
        <w:t xml:space="preserve">     </w:t>
      </w:r>
      <w:r>
        <w:rPr>
          <w:szCs w:val="21"/>
          <w:highlight w:val="none"/>
        </w:rPr>
        <w:t>等级。</w:t>
      </w:r>
    </w:p>
    <w:p w14:paraId="3A30C29C">
      <w:pPr>
        <w:spacing w:line="360" w:lineRule="auto"/>
        <w:ind w:firstLine="420" w:firstLineChars="200"/>
        <w:rPr>
          <w:szCs w:val="21"/>
          <w:highlight w:val="none"/>
        </w:rPr>
      </w:pPr>
      <w:r>
        <w:rPr>
          <w:szCs w:val="21"/>
          <w:highlight w:val="none"/>
        </w:rPr>
        <w:t>2.我方已详细审核全部采购文件，包括修改文件（如有时）及有关附件。</w:t>
      </w:r>
    </w:p>
    <w:p w14:paraId="40DB32EF">
      <w:pPr>
        <w:spacing w:line="360" w:lineRule="auto"/>
        <w:ind w:firstLine="420" w:firstLineChars="200"/>
        <w:rPr>
          <w:szCs w:val="21"/>
          <w:highlight w:val="none"/>
        </w:rPr>
      </w:pPr>
      <w:r>
        <w:rPr>
          <w:szCs w:val="21"/>
          <w:highlight w:val="none"/>
        </w:rPr>
        <w:t>3.我方承认响应函附录是我方响应函的组成部分。</w:t>
      </w:r>
    </w:p>
    <w:p w14:paraId="63540504">
      <w:pPr>
        <w:spacing w:line="360" w:lineRule="auto"/>
        <w:ind w:firstLine="420" w:firstLineChars="200"/>
        <w:rPr>
          <w:szCs w:val="21"/>
          <w:highlight w:val="none"/>
        </w:rPr>
      </w:pPr>
      <w:r>
        <w:rPr>
          <w:szCs w:val="21"/>
          <w:highlight w:val="none"/>
        </w:rPr>
        <w:t>4.一旦我方成交，我方保证按合同书中规定的工期</w:t>
      </w:r>
      <w:r>
        <w:rPr>
          <w:szCs w:val="21"/>
          <w:highlight w:val="none"/>
          <w:u w:val="single"/>
        </w:rPr>
        <w:t xml:space="preserve">        </w:t>
      </w:r>
      <w:r>
        <w:rPr>
          <w:szCs w:val="21"/>
          <w:highlight w:val="none"/>
        </w:rPr>
        <w:t>日历天内完成并移交全部工程</w:t>
      </w:r>
      <w:r>
        <w:rPr>
          <w:rFonts w:hint="eastAsia"/>
          <w:szCs w:val="21"/>
          <w:highlight w:val="none"/>
        </w:rPr>
        <w:t>，并承诺</w:t>
      </w:r>
      <w:r>
        <w:rPr>
          <w:szCs w:val="21"/>
          <w:highlight w:val="none"/>
        </w:rPr>
        <w:t>不分包及转包他人。</w:t>
      </w:r>
    </w:p>
    <w:p w14:paraId="79C643C9">
      <w:pPr>
        <w:spacing w:line="360" w:lineRule="auto"/>
        <w:ind w:firstLine="420" w:firstLineChars="200"/>
        <w:rPr>
          <w:szCs w:val="21"/>
          <w:highlight w:val="none"/>
        </w:rPr>
      </w:pPr>
      <w:r>
        <w:rPr>
          <w:szCs w:val="21"/>
          <w:highlight w:val="none"/>
        </w:rPr>
        <w:t>5.如果我方成交，我方将按照文件规定提交履约保证金作为履约担保。</w:t>
      </w:r>
    </w:p>
    <w:p w14:paraId="2F8B6341">
      <w:pPr>
        <w:spacing w:line="360" w:lineRule="auto"/>
        <w:ind w:firstLine="420" w:firstLineChars="200"/>
        <w:rPr>
          <w:szCs w:val="21"/>
          <w:highlight w:val="none"/>
        </w:rPr>
      </w:pPr>
      <w:r>
        <w:rPr>
          <w:szCs w:val="21"/>
          <w:highlight w:val="none"/>
        </w:rPr>
        <w:t>6.我方同意所提交的响应文件在采购文件的“供应商须知”中规定的</w:t>
      </w:r>
      <w:r>
        <w:rPr>
          <w:rFonts w:hint="eastAsia"/>
          <w:szCs w:val="21"/>
          <w:highlight w:val="none"/>
        </w:rPr>
        <w:t>响应</w:t>
      </w:r>
      <w:r>
        <w:rPr>
          <w:szCs w:val="21"/>
          <w:highlight w:val="none"/>
        </w:rPr>
        <w:t>有效期内有效，在此期间内如果成交，我方将受此约束。</w:t>
      </w:r>
    </w:p>
    <w:p w14:paraId="76ADD1BC">
      <w:pPr>
        <w:spacing w:line="360" w:lineRule="auto"/>
        <w:ind w:firstLine="420" w:firstLineChars="200"/>
        <w:rPr>
          <w:szCs w:val="21"/>
          <w:highlight w:val="none"/>
        </w:rPr>
      </w:pPr>
      <w:r>
        <w:rPr>
          <w:szCs w:val="21"/>
          <w:highlight w:val="none"/>
        </w:rPr>
        <w:t>7.除非另外达成协议并生效，你方的成交通知书和本响应文件将成为约束双方的合同文件的组成部分。</w:t>
      </w:r>
    </w:p>
    <w:p w14:paraId="76CD6A3B">
      <w:pPr>
        <w:spacing w:line="360" w:lineRule="auto"/>
        <w:ind w:firstLine="420" w:firstLineChars="200"/>
        <w:rPr>
          <w:szCs w:val="21"/>
          <w:highlight w:val="none"/>
        </w:rPr>
      </w:pPr>
      <w:r>
        <w:rPr>
          <w:szCs w:val="21"/>
          <w:highlight w:val="none"/>
        </w:rPr>
        <w:t>8.我方将与本响应函一起，提交人民币</w:t>
      </w:r>
      <w:r>
        <w:rPr>
          <w:szCs w:val="21"/>
          <w:highlight w:val="none"/>
          <w:u w:val="single"/>
        </w:rPr>
        <w:t>       </w:t>
      </w:r>
      <w:r>
        <w:rPr>
          <w:szCs w:val="21"/>
          <w:highlight w:val="none"/>
        </w:rPr>
        <w:t>元作为磋商保证金。</w:t>
      </w:r>
    </w:p>
    <w:p w14:paraId="05698F98">
      <w:pPr>
        <w:spacing w:line="360" w:lineRule="auto"/>
        <w:ind w:firstLine="420" w:firstLineChars="200"/>
        <w:rPr>
          <w:rFonts w:hint="eastAsia"/>
          <w:szCs w:val="21"/>
          <w:highlight w:val="none"/>
        </w:rPr>
      </w:pPr>
      <w:bookmarkStart w:id="496" w:name="_Hlk33002211"/>
      <w:r>
        <w:rPr>
          <w:rFonts w:hint="eastAsia"/>
          <w:szCs w:val="21"/>
          <w:highlight w:val="none"/>
        </w:rPr>
        <w:t>9</w:t>
      </w:r>
      <w:r>
        <w:rPr>
          <w:szCs w:val="21"/>
          <w:highlight w:val="none"/>
        </w:rPr>
        <w:t>.</w:t>
      </w:r>
      <w:r>
        <w:rPr>
          <w:rFonts w:hint="eastAsia"/>
          <w:highlight w:val="none"/>
        </w:rPr>
        <w:t xml:space="preserve"> </w:t>
      </w:r>
      <w:r>
        <w:rPr>
          <w:rFonts w:hint="eastAsia"/>
          <w:szCs w:val="21"/>
          <w:highlight w:val="none"/>
        </w:rPr>
        <w:t>与本项目有关的一切正式往来信函请寄：</w:t>
      </w:r>
    </w:p>
    <w:p w14:paraId="5035F073">
      <w:pPr>
        <w:spacing w:line="360" w:lineRule="auto"/>
        <w:ind w:firstLine="420" w:firstLineChars="200"/>
        <w:rPr>
          <w:rFonts w:hint="eastAsia"/>
          <w:szCs w:val="21"/>
          <w:highlight w:val="none"/>
          <w:u w:val="single"/>
        </w:rPr>
      </w:pPr>
      <w:r>
        <w:rPr>
          <w:rFonts w:hint="eastAsia"/>
          <w:szCs w:val="21"/>
          <w:highlight w:val="none"/>
        </w:rPr>
        <w:t>地址：</w:t>
      </w:r>
      <w:r>
        <w:rPr>
          <w:rFonts w:hint="eastAsia"/>
          <w:szCs w:val="21"/>
          <w:highlight w:val="none"/>
          <w:u w:val="single"/>
        </w:rPr>
        <w:t xml:space="preserve">                     </w:t>
      </w:r>
      <w:r>
        <w:rPr>
          <w:rFonts w:hint="eastAsia"/>
          <w:szCs w:val="21"/>
          <w:highlight w:val="none"/>
        </w:rPr>
        <w:t xml:space="preserve"> 邮编：</w:t>
      </w:r>
      <w:r>
        <w:rPr>
          <w:rFonts w:hint="eastAsia"/>
          <w:szCs w:val="21"/>
          <w:highlight w:val="none"/>
          <w:u w:val="single"/>
        </w:rPr>
        <w:t xml:space="preserve">           </w:t>
      </w:r>
      <w:r>
        <w:rPr>
          <w:rFonts w:hint="eastAsia"/>
          <w:szCs w:val="21"/>
          <w:highlight w:val="none"/>
        </w:rPr>
        <w:t>电话：</w:t>
      </w:r>
      <w:r>
        <w:rPr>
          <w:rFonts w:hint="eastAsia"/>
          <w:szCs w:val="21"/>
          <w:highlight w:val="none"/>
          <w:u w:val="single"/>
        </w:rPr>
        <w:t xml:space="preserve">            </w:t>
      </w:r>
    </w:p>
    <w:p w14:paraId="5D85049F">
      <w:pPr>
        <w:spacing w:line="360" w:lineRule="auto"/>
        <w:ind w:firstLine="420" w:firstLineChars="200"/>
        <w:rPr>
          <w:rFonts w:hint="eastAsia"/>
          <w:szCs w:val="21"/>
          <w:highlight w:val="none"/>
          <w:u w:val="single"/>
        </w:rPr>
      </w:pPr>
      <w:r>
        <w:rPr>
          <w:rFonts w:hint="eastAsia"/>
          <w:szCs w:val="21"/>
          <w:highlight w:val="none"/>
        </w:rPr>
        <w:t>传真：</w:t>
      </w:r>
      <w:r>
        <w:rPr>
          <w:rFonts w:hint="eastAsia"/>
          <w:szCs w:val="21"/>
          <w:highlight w:val="none"/>
          <w:u w:val="single"/>
        </w:rPr>
        <w:t xml:space="preserve">             </w:t>
      </w:r>
    </w:p>
    <w:p w14:paraId="0A7B2B50">
      <w:pPr>
        <w:spacing w:line="360" w:lineRule="auto"/>
        <w:ind w:firstLine="420" w:firstLineChars="200"/>
        <w:rPr>
          <w:rFonts w:hint="eastAsia"/>
          <w:szCs w:val="21"/>
          <w:highlight w:val="none"/>
          <w:u w:val="single"/>
        </w:rPr>
      </w:pPr>
      <w:r>
        <w:rPr>
          <w:rFonts w:hint="eastAsia"/>
          <w:szCs w:val="21"/>
          <w:highlight w:val="none"/>
        </w:rPr>
        <w:t>供应商代表姓名</w:t>
      </w:r>
      <w:r>
        <w:rPr>
          <w:rFonts w:hint="eastAsia"/>
          <w:szCs w:val="21"/>
          <w:highlight w:val="none"/>
          <w:u w:val="single"/>
        </w:rPr>
        <w:t xml:space="preserve">          </w:t>
      </w:r>
      <w:r>
        <w:rPr>
          <w:rFonts w:hint="eastAsia"/>
          <w:szCs w:val="21"/>
          <w:highlight w:val="none"/>
        </w:rPr>
        <w:t xml:space="preserve"> 职务：</w:t>
      </w:r>
      <w:r>
        <w:rPr>
          <w:rFonts w:hint="eastAsia"/>
          <w:szCs w:val="21"/>
          <w:highlight w:val="none"/>
          <w:u w:val="single"/>
        </w:rPr>
        <w:t xml:space="preserve">            </w:t>
      </w:r>
      <w:r>
        <w:rPr>
          <w:rFonts w:hint="eastAsia"/>
          <w:szCs w:val="21"/>
          <w:highlight w:val="none"/>
        </w:rPr>
        <w:t>邮箱：</w:t>
      </w:r>
      <w:r>
        <w:rPr>
          <w:rFonts w:hint="eastAsia"/>
          <w:szCs w:val="21"/>
          <w:highlight w:val="none"/>
          <w:u w:val="single"/>
        </w:rPr>
        <w:t xml:space="preserve">              </w:t>
      </w:r>
    </w:p>
    <w:bookmarkEnd w:id="496"/>
    <w:p w14:paraId="1FA9AA0F">
      <w:pPr>
        <w:spacing w:line="360" w:lineRule="auto"/>
        <w:ind w:firstLine="420" w:firstLineChars="200"/>
        <w:rPr>
          <w:rFonts w:hint="eastAsia"/>
          <w:szCs w:val="21"/>
          <w:highlight w:val="none"/>
        </w:rPr>
      </w:pPr>
    </w:p>
    <w:p w14:paraId="5B41ED5D">
      <w:pPr>
        <w:spacing w:line="360" w:lineRule="auto"/>
        <w:rPr>
          <w:szCs w:val="21"/>
          <w:highlight w:val="none"/>
        </w:rPr>
      </w:pPr>
    </w:p>
    <w:p w14:paraId="28AFE6A9">
      <w:pPr>
        <w:spacing w:line="360" w:lineRule="auto"/>
        <w:rPr>
          <w:szCs w:val="21"/>
          <w:highlight w:val="none"/>
        </w:rPr>
      </w:pPr>
      <w:bookmarkStart w:id="497" w:name="_Hlk89191117"/>
      <w:r>
        <w:rPr>
          <w:szCs w:val="21"/>
          <w:highlight w:val="none"/>
        </w:rPr>
        <w:t>供应商名称</w:t>
      </w:r>
      <w:r>
        <w:rPr>
          <w:rFonts w:hint="eastAsia"/>
          <w:szCs w:val="21"/>
          <w:highlight w:val="none"/>
        </w:rPr>
        <w:t>(电子签章</w:t>
      </w:r>
      <w:r>
        <w:rPr>
          <w:szCs w:val="21"/>
          <w:highlight w:val="none"/>
        </w:rPr>
        <w:t>)：</w:t>
      </w:r>
      <w:r>
        <w:rPr>
          <w:szCs w:val="21"/>
          <w:highlight w:val="none"/>
          <w:u w:val="single"/>
        </w:rPr>
        <w:t xml:space="preserve">                  </w:t>
      </w:r>
    </w:p>
    <w:bookmarkEnd w:id="497"/>
    <w:p w14:paraId="6AA7598C">
      <w:pPr>
        <w:spacing w:line="360" w:lineRule="auto"/>
        <w:rPr>
          <w:szCs w:val="21"/>
          <w:highlight w:val="none"/>
        </w:rPr>
      </w:pPr>
    </w:p>
    <w:p w14:paraId="3AF56F7B">
      <w:pPr>
        <w:spacing w:line="360" w:lineRule="auto"/>
        <w:rPr>
          <w:szCs w:val="21"/>
          <w:highlight w:val="none"/>
        </w:rPr>
      </w:pPr>
      <w:r>
        <w:rPr>
          <w:szCs w:val="21"/>
          <w:highlight w:val="none"/>
        </w:rPr>
        <w:t>日期：</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日</w:t>
      </w:r>
    </w:p>
    <w:p w14:paraId="7A726509">
      <w:pPr>
        <w:jc w:val="left"/>
        <w:rPr>
          <w:b/>
          <w:szCs w:val="21"/>
          <w:highlight w:val="none"/>
        </w:rPr>
      </w:pPr>
      <w:r>
        <w:rPr>
          <w:b/>
          <w:szCs w:val="21"/>
          <w:highlight w:val="none"/>
        </w:rPr>
        <w:br w:type="page"/>
      </w:r>
      <w:r>
        <w:rPr>
          <w:highlight w:val="none"/>
        </w:rPr>
        <w:t>2．</w:t>
      </w:r>
      <w:r>
        <w:rPr>
          <w:rFonts w:hint="eastAsia"/>
          <w:highlight w:val="none"/>
        </w:rPr>
        <w:t>响应函附录</w:t>
      </w:r>
      <w:r>
        <w:rPr>
          <w:highlight w:val="none"/>
        </w:rPr>
        <w:t>格式：</w:t>
      </w:r>
    </w:p>
    <w:p w14:paraId="6464CFD2">
      <w:pPr>
        <w:jc w:val="center"/>
        <w:rPr>
          <w:b/>
          <w:szCs w:val="21"/>
          <w:highlight w:val="none"/>
        </w:rPr>
      </w:pPr>
      <w:r>
        <w:rPr>
          <w:b/>
          <w:szCs w:val="21"/>
          <w:highlight w:val="none"/>
        </w:rPr>
        <w:t>响应函附录</w:t>
      </w:r>
    </w:p>
    <w:p w14:paraId="54E2934E">
      <w:pPr>
        <w:rPr>
          <w:b/>
          <w:szCs w:val="21"/>
          <w:highlight w:val="none"/>
        </w:rPr>
      </w:pPr>
    </w:p>
    <w:p w14:paraId="4DDB3404">
      <w:pPr>
        <w:ind w:firstLine="514" w:firstLineChars="245"/>
        <w:rPr>
          <w:szCs w:val="21"/>
          <w:highlight w:val="none"/>
        </w:rPr>
      </w:pPr>
      <w:r>
        <w:rPr>
          <w:szCs w:val="21"/>
          <w:highlight w:val="none"/>
        </w:rPr>
        <w:t>项目名称：</w:t>
      </w:r>
      <w:r>
        <w:rPr>
          <w:szCs w:val="21"/>
          <w:highlight w:val="none"/>
          <w:u w:val="single"/>
        </w:rPr>
        <w:t xml:space="preserve">                               </w:t>
      </w:r>
      <w:r>
        <w:rPr>
          <w:szCs w:val="21"/>
          <w:highlight w:val="none"/>
        </w:rPr>
        <w:t xml:space="preserve"> 项目编号：</w:t>
      </w:r>
      <w:r>
        <w:rPr>
          <w:szCs w:val="21"/>
          <w:highlight w:val="none"/>
          <w:u w:val="single"/>
        </w:rPr>
        <w:t xml:space="preserve">            </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85"/>
        <w:gridCol w:w="2126"/>
        <w:gridCol w:w="1984"/>
        <w:gridCol w:w="1843"/>
      </w:tblGrid>
      <w:tr w14:paraId="036F0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5740A673">
            <w:pPr>
              <w:jc w:val="center"/>
              <w:rPr>
                <w:szCs w:val="21"/>
                <w:highlight w:val="none"/>
              </w:rPr>
            </w:pPr>
            <w:r>
              <w:rPr>
                <w:szCs w:val="21"/>
                <w:highlight w:val="none"/>
              </w:rPr>
              <w:t>序 号</w:t>
            </w:r>
          </w:p>
        </w:tc>
        <w:tc>
          <w:tcPr>
            <w:tcW w:w="1985" w:type="dxa"/>
            <w:noWrap w:val="0"/>
            <w:vAlign w:val="center"/>
          </w:tcPr>
          <w:p w14:paraId="7B6C7989">
            <w:pPr>
              <w:jc w:val="center"/>
              <w:rPr>
                <w:szCs w:val="21"/>
                <w:highlight w:val="none"/>
              </w:rPr>
            </w:pPr>
            <w:r>
              <w:rPr>
                <w:szCs w:val="21"/>
                <w:highlight w:val="none"/>
              </w:rPr>
              <w:t>条款内容</w:t>
            </w:r>
          </w:p>
        </w:tc>
        <w:tc>
          <w:tcPr>
            <w:tcW w:w="2126" w:type="dxa"/>
            <w:noWrap w:val="0"/>
            <w:vAlign w:val="center"/>
          </w:tcPr>
          <w:p w14:paraId="593A2F6E">
            <w:pPr>
              <w:jc w:val="center"/>
              <w:rPr>
                <w:szCs w:val="21"/>
                <w:highlight w:val="none"/>
              </w:rPr>
            </w:pPr>
            <w:r>
              <w:rPr>
                <w:szCs w:val="21"/>
                <w:highlight w:val="none"/>
              </w:rPr>
              <w:t>合同条款号</w:t>
            </w:r>
          </w:p>
        </w:tc>
        <w:tc>
          <w:tcPr>
            <w:tcW w:w="1984" w:type="dxa"/>
            <w:noWrap w:val="0"/>
            <w:vAlign w:val="center"/>
          </w:tcPr>
          <w:p w14:paraId="589166CF">
            <w:pPr>
              <w:jc w:val="center"/>
              <w:rPr>
                <w:szCs w:val="21"/>
                <w:highlight w:val="none"/>
              </w:rPr>
            </w:pPr>
            <w:r>
              <w:rPr>
                <w:szCs w:val="21"/>
                <w:highlight w:val="none"/>
              </w:rPr>
              <w:t>约定内容</w:t>
            </w:r>
          </w:p>
        </w:tc>
        <w:tc>
          <w:tcPr>
            <w:tcW w:w="1843" w:type="dxa"/>
            <w:noWrap w:val="0"/>
            <w:vAlign w:val="center"/>
          </w:tcPr>
          <w:p w14:paraId="5B950A06">
            <w:pPr>
              <w:jc w:val="center"/>
              <w:rPr>
                <w:szCs w:val="21"/>
                <w:highlight w:val="none"/>
              </w:rPr>
            </w:pPr>
            <w:r>
              <w:rPr>
                <w:szCs w:val="21"/>
                <w:highlight w:val="none"/>
              </w:rPr>
              <w:t>备注</w:t>
            </w:r>
          </w:p>
        </w:tc>
      </w:tr>
      <w:tr w14:paraId="0CDFA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E77231A">
            <w:pPr>
              <w:jc w:val="center"/>
              <w:rPr>
                <w:szCs w:val="21"/>
                <w:highlight w:val="none"/>
              </w:rPr>
            </w:pPr>
            <w:r>
              <w:rPr>
                <w:szCs w:val="21"/>
                <w:highlight w:val="none"/>
              </w:rPr>
              <w:t>1</w:t>
            </w:r>
          </w:p>
        </w:tc>
        <w:tc>
          <w:tcPr>
            <w:tcW w:w="1985" w:type="dxa"/>
            <w:noWrap w:val="0"/>
            <w:vAlign w:val="center"/>
          </w:tcPr>
          <w:p w14:paraId="6C475F73">
            <w:pPr>
              <w:rPr>
                <w:szCs w:val="21"/>
                <w:highlight w:val="none"/>
              </w:rPr>
            </w:pPr>
            <w:r>
              <w:rPr>
                <w:szCs w:val="21"/>
                <w:highlight w:val="none"/>
              </w:rPr>
              <w:t>项目经理</w:t>
            </w:r>
          </w:p>
        </w:tc>
        <w:tc>
          <w:tcPr>
            <w:tcW w:w="2126" w:type="dxa"/>
            <w:noWrap w:val="0"/>
            <w:tcMar>
              <w:left w:w="170" w:type="dxa"/>
            </w:tcMar>
            <w:vAlign w:val="center"/>
          </w:tcPr>
          <w:p w14:paraId="0DC76BB4">
            <w:pPr>
              <w:jc w:val="center"/>
              <w:rPr>
                <w:szCs w:val="21"/>
                <w:highlight w:val="none"/>
              </w:rPr>
            </w:pPr>
            <w:r>
              <w:rPr>
                <w:szCs w:val="21"/>
                <w:highlight w:val="none"/>
              </w:rPr>
              <w:t>专用条款</w:t>
            </w:r>
          </w:p>
        </w:tc>
        <w:tc>
          <w:tcPr>
            <w:tcW w:w="1984" w:type="dxa"/>
            <w:noWrap w:val="0"/>
            <w:vAlign w:val="center"/>
          </w:tcPr>
          <w:p w14:paraId="4A6D2787">
            <w:pPr>
              <w:rPr>
                <w:szCs w:val="21"/>
                <w:highlight w:val="none"/>
              </w:rPr>
            </w:pPr>
            <w:r>
              <w:rPr>
                <w:szCs w:val="21"/>
                <w:highlight w:val="none"/>
              </w:rPr>
              <w:t>姓名：</w:t>
            </w:r>
            <w:r>
              <w:rPr>
                <w:szCs w:val="21"/>
                <w:highlight w:val="none"/>
                <w:u w:val="single"/>
              </w:rPr>
              <w:t xml:space="preserve">          </w:t>
            </w:r>
          </w:p>
        </w:tc>
        <w:tc>
          <w:tcPr>
            <w:tcW w:w="1843" w:type="dxa"/>
            <w:noWrap w:val="0"/>
            <w:vAlign w:val="center"/>
          </w:tcPr>
          <w:p w14:paraId="1283F7A7">
            <w:pPr>
              <w:jc w:val="center"/>
              <w:rPr>
                <w:szCs w:val="21"/>
                <w:highlight w:val="none"/>
              </w:rPr>
            </w:pPr>
          </w:p>
        </w:tc>
      </w:tr>
      <w:tr w14:paraId="11350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D377B2B">
            <w:pPr>
              <w:jc w:val="center"/>
              <w:rPr>
                <w:szCs w:val="21"/>
                <w:highlight w:val="none"/>
              </w:rPr>
            </w:pPr>
            <w:r>
              <w:rPr>
                <w:szCs w:val="21"/>
                <w:highlight w:val="none"/>
              </w:rPr>
              <w:t>2</w:t>
            </w:r>
          </w:p>
        </w:tc>
        <w:tc>
          <w:tcPr>
            <w:tcW w:w="1985" w:type="dxa"/>
            <w:noWrap w:val="0"/>
            <w:vAlign w:val="center"/>
          </w:tcPr>
          <w:p w14:paraId="4C0024EC">
            <w:pPr>
              <w:rPr>
                <w:szCs w:val="21"/>
                <w:highlight w:val="none"/>
              </w:rPr>
            </w:pPr>
            <w:r>
              <w:rPr>
                <w:rFonts w:hint="eastAsia"/>
                <w:szCs w:val="21"/>
                <w:highlight w:val="none"/>
              </w:rPr>
              <w:t>响应</w:t>
            </w:r>
            <w:r>
              <w:rPr>
                <w:szCs w:val="21"/>
                <w:highlight w:val="none"/>
              </w:rPr>
              <w:t>有效期</w:t>
            </w:r>
          </w:p>
        </w:tc>
        <w:tc>
          <w:tcPr>
            <w:tcW w:w="2126" w:type="dxa"/>
            <w:noWrap w:val="0"/>
            <w:tcMar>
              <w:left w:w="170" w:type="dxa"/>
            </w:tcMar>
            <w:vAlign w:val="center"/>
          </w:tcPr>
          <w:p w14:paraId="2D9CD347">
            <w:pPr>
              <w:rPr>
                <w:szCs w:val="21"/>
                <w:highlight w:val="none"/>
              </w:rPr>
            </w:pPr>
          </w:p>
        </w:tc>
        <w:tc>
          <w:tcPr>
            <w:tcW w:w="1984" w:type="dxa"/>
            <w:noWrap w:val="0"/>
            <w:vAlign w:val="center"/>
          </w:tcPr>
          <w:p w14:paraId="28C9A200">
            <w:pPr>
              <w:jc w:val="center"/>
              <w:rPr>
                <w:szCs w:val="21"/>
                <w:highlight w:val="none"/>
                <w:u w:val="single"/>
              </w:rPr>
            </w:pPr>
            <w:r>
              <w:rPr>
                <w:szCs w:val="21"/>
                <w:highlight w:val="none"/>
                <w:u w:val="single"/>
              </w:rPr>
              <w:t xml:space="preserve">          </w:t>
            </w:r>
            <w:r>
              <w:rPr>
                <w:szCs w:val="21"/>
                <w:highlight w:val="none"/>
              </w:rPr>
              <w:t>日历天</w:t>
            </w:r>
          </w:p>
        </w:tc>
        <w:tc>
          <w:tcPr>
            <w:tcW w:w="1843" w:type="dxa"/>
            <w:noWrap w:val="0"/>
            <w:vAlign w:val="center"/>
          </w:tcPr>
          <w:p w14:paraId="6E436F69">
            <w:pPr>
              <w:jc w:val="center"/>
              <w:rPr>
                <w:szCs w:val="21"/>
                <w:highlight w:val="none"/>
              </w:rPr>
            </w:pPr>
          </w:p>
        </w:tc>
      </w:tr>
      <w:tr w14:paraId="4CDD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BD59D70">
            <w:pPr>
              <w:jc w:val="center"/>
              <w:rPr>
                <w:szCs w:val="21"/>
                <w:highlight w:val="none"/>
              </w:rPr>
            </w:pPr>
            <w:r>
              <w:rPr>
                <w:szCs w:val="21"/>
                <w:highlight w:val="none"/>
              </w:rPr>
              <w:t>3</w:t>
            </w:r>
          </w:p>
        </w:tc>
        <w:tc>
          <w:tcPr>
            <w:tcW w:w="1985" w:type="dxa"/>
            <w:noWrap w:val="0"/>
            <w:vAlign w:val="center"/>
          </w:tcPr>
          <w:p w14:paraId="30C4778F">
            <w:pPr>
              <w:rPr>
                <w:szCs w:val="21"/>
                <w:highlight w:val="none"/>
              </w:rPr>
            </w:pPr>
            <w:r>
              <w:rPr>
                <w:szCs w:val="21"/>
                <w:highlight w:val="none"/>
              </w:rPr>
              <w:t>工期</w:t>
            </w:r>
          </w:p>
        </w:tc>
        <w:tc>
          <w:tcPr>
            <w:tcW w:w="2126" w:type="dxa"/>
            <w:noWrap w:val="0"/>
            <w:tcMar>
              <w:left w:w="170" w:type="dxa"/>
            </w:tcMar>
            <w:vAlign w:val="center"/>
          </w:tcPr>
          <w:p w14:paraId="1BF032CC">
            <w:pPr>
              <w:jc w:val="center"/>
              <w:rPr>
                <w:highlight w:val="none"/>
              </w:rPr>
            </w:pPr>
            <w:r>
              <w:rPr>
                <w:szCs w:val="21"/>
                <w:highlight w:val="none"/>
              </w:rPr>
              <w:t>专用条款</w:t>
            </w:r>
          </w:p>
        </w:tc>
        <w:tc>
          <w:tcPr>
            <w:tcW w:w="1984" w:type="dxa"/>
            <w:noWrap w:val="0"/>
            <w:vAlign w:val="center"/>
          </w:tcPr>
          <w:p w14:paraId="0BBBAFAC">
            <w:pPr>
              <w:jc w:val="center"/>
              <w:rPr>
                <w:szCs w:val="21"/>
                <w:highlight w:val="none"/>
              </w:rPr>
            </w:pPr>
            <w:r>
              <w:rPr>
                <w:szCs w:val="21"/>
                <w:highlight w:val="none"/>
                <w:u w:val="single"/>
              </w:rPr>
              <w:t xml:space="preserve">          </w:t>
            </w:r>
            <w:r>
              <w:rPr>
                <w:szCs w:val="21"/>
                <w:highlight w:val="none"/>
              </w:rPr>
              <w:t>日历天</w:t>
            </w:r>
          </w:p>
        </w:tc>
        <w:tc>
          <w:tcPr>
            <w:tcW w:w="1843" w:type="dxa"/>
            <w:noWrap w:val="0"/>
            <w:vAlign w:val="center"/>
          </w:tcPr>
          <w:p w14:paraId="084B3B06">
            <w:pPr>
              <w:jc w:val="center"/>
              <w:rPr>
                <w:szCs w:val="21"/>
                <w:highlight w:val="none"/>
              </w:rPr>
            </w:pPr>
          </w:p>
        </w:tc>
      </w:tr>
      <w:tr w14:paraId="56BA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3E05E66A">
            <w:pPr>
              <w:jc w:val="center"/>
              <w:rPr>
                <w:szCs w:val="21"/>
                <w:highlight w:val="none"/>
              </w:rPr>
            </w:pPr>
            <w:r>
              <w:rPr>
                <w:szCs w:val="21"/>
                <w:highlight w:val="none"/>
              </w:rPr>
              <w:t>4</w:t>
            </w:r>
          </w:p>
        </w:tc>
        <w:tc>
          <w:tcPr>
            <w:tcW w:w="1985" w:type="dxa"/>
            <w:noWrap w:val="0"/>
            <w:vAlign w:val="center"/>
          </w:tcPr>
          <w:p w14:paraId="41F6B560">
            <w:pPr>
              <w:rPr>
                <w:szCs w:val="21"/>
                <w:highlight w:val="none"/>
              </w:rPr>
            </w:pPr>
            <w:r>
              <w:rPr>
                <w:szCs w:val="21"/>
                <w:highlight w:val="none"/>
              </w:rPr>
              <w:t>缺陷责任期</w:t>
            </w:r>
          </w:p>
        </w:tc>
        <w:tc>
          <w:tcPr>
            <w:tcW w:w="2126" w:type="dxa"/>
            <w:noWrap w:val="0"/>
            <w:tcMar>
              <w:left w:w="170" w:type="dxa"/>
            </w:tcMar>
            <w:vAlign w:val="center"/>
          </w:tcPr>
          <w:p w14:paraId="683F6331">
            <w:pPr>
              <w:jc w:val="center"/>
              <w:rPr>
                <w:highlight w:val="none"/>
              </w:rPr>
            </w:pPr>
            <w:r>
              <w:rPr>
                <w:szCs w:val="21"/>
                <w:highlight w:val="none"/>
              </w:rPr>
              <w:t>专用条款</w:t>
            </w:r>
          </w:p>
        </w:tc>
        <w:tc>
          <w:tcPr>
            <w:tcW w:w="1984" w:type="dxa"/>
            <w:noWrap w:val="0"/>
            <w:vAlign w:val="center"/>
          </w:tcPr>
          <w:p w14:paraId="388E1220">
            <w:pPr>
              <w:jc w:val="center"/>
              <w:rPr>
                <w:szCs w:val="21"/>
                <w:highlight w:val="none"/>
              </w:rPr>
            </w:pPr>
          </w:p>
        </w:tc>
        <w:tc>
          <w:tcPr>
            <w:tcW w:w="1843" w:type="dxa"/>
            <w:noWrap w:val="0"/>
            <w:vAlign w:val="center"/>
          </w:tcPr>
          <w:p w14:paraId="6DA3AB70">
            <w:pPr>
              <w:jc w:val="center"/>
              <w:rPr>
                <w:szCs w:val="21"/>
                <w:highlight w:val="none"/>
              </w:rPr>
            </w:pPr>
          </w:p>
        </w:tc>
      </w:tr>
      <w:tr w14:paraId="5398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ED8B34B">
            <w:pPr>
              <w:jc w:val="center"/>
              <w:rPr>
                <w:szCs w:val="21"/>
                <w:highlight w:val="none"/>
              </w:rPr>
            </w:pPr>
            <w:r>
              <w:rPr>
                <w:szCs w:val="21"/>
                <w:highlight w:val="none"/>
              </w:rPr>
              <w:t>5</w:t>
            </w:r>
          </w:p>
        </w:tc>
        <w:tc>
          <w:tcPr>
            <w:tcW w:w="1985" w:type="dxa"/>
            <w:noWrap w:val="0"/>
            <w:vAlign w:val="center"/>
          </w:tcPr>
          <w:p w14:paraId="4A0B1521">
            <w:pPr>
              <w:rPr>
                <w:szCs w:val="21"/>
                <w:highlight w:val="none"/>
              </w:rPr>
            </w:pPr>
            <w:r>
              <w:rPr>
                <w:szCs w:val="21"/>
                <w:highlight w:val="none"/>
              </w:rPr>
              <w:t>发包人支付担保</w:t>
            </w:r>
          </w:p>
        </w:tc>
        <w:tc>
          <w:tcPr>
            <w:tcW w:w="2126" w:type="dxa"/>
            <w:noWrap w:val="0"/>
            <w:tcMar>
              <w:left w:w="170" w:type="dxa"/>
            </w:tcMar>
            <w:vAlign w:val="center"/>
          </w:tcPr>
          <w:p w14:paraId="403E94C9">
            <w:pPr>
              <w:jc w:val="center"/>
              <w:rPr>
                <w:highlight w:val="none"/>
              </w:rPr>
            </w:pPr>
            <w:r>
              <w:rPr>
                <w:szCs w:val="21"/>
                <w:highlight w:val="none"/>
              </w:rPr>
              <w:t>专用条款</w:t>
            </w:r>
          </w:p>
        </w:tc>
        <w:tc>
          <w:tcPr>
            <w:tcW w:w="1984" w:type="dxa"/>
            <w:noWrap w:val="0"/>
            <w:vAlign w:val="center"/>
          </w:tcPr>
          <w:p w14:paraId="46FA0B75">
            <w:pPr>
              <w:jc w:val="center"/>
              <w:rPr>
                <w:szCs w:val="21"/>
                <w:highlight w:val="none"/>
              </w:rPr>
            </w:pPr>
          </w:p>
        </w:tc>
        <w:tc>
          <w:tcPr>
            <w:tcW w:w="1843" w:type="dxa"/>
            <w:noWrap w:val="0"/>
            <w:vAlign w:val="center"/>
          </w:tcPr>
          <w:p w14:paraId="1D98915E">
            <w:pPr>
              <w:jc w:val="center"/>
              <w:rPr>
                <w:szCs w:val="21"/>
                <w:highlight w:val="none"/>
              </w:rPr>
            </w:pPr>
          </w:p>
        </w:tc>
      </w:tr>
      <w:tr w14:paraId="74A6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71FF13DD">
            <w:pPr>
              <w:jc w:val="center"/>
              <w:rPr>
                <w:szCs w:val="21"/>
                <w:highlight w:val="none"/>
              </w:rPr>
            </w:pPr>
            <w:r>
              <w:rPr>
                <w:szCs w:val="21"/>
                <w:highlight w:val="none"/>
              </w:rPr>
              <w:t>6</w:t>
            </w:r>
          </w:p>
        </w:tc>
        <w:tc>
          <w:tcPr>
            <w:tcW w:w="1985" w:type="dxa"/>
            <w:noWrap w:val="0"/>
            <w:vAlign w:val="center"/>
          </w:tcPr>
          <w:p w14:paraId="2EBB0411">
            <w:pPr>
              <w:rPr>
                <w:szCs w:val="21"/>
                <w:highlight w:val="none"/>
              </w:rPr>
            </w:pPr>
            <w:r>
              <w:rPr>
                <w:szCs w:val="21"/>
                <w:highlight w:val="none"/>
              </w:rPr>
              <w:t>承包人履约担保金额</w:t>
            </w:r>
          </w:p>
        </w:tc>
        <w:tc>
          <w:tcPr>
            <w:tcW w:w="2126" w:type="dxa"/>
            <w:noWrap w:val="0"/>
            <w:tcMar>
              <w:left w:w="170" w:type="dxa"/>
            </w:tcMar>
            <w:vAlign w:val="center"/>
          </w:tcPr>
          <w:p w14:paraId="0AEEE133">
            <w:pPr>
              <w:jc w:val="center"/>
              <w:rPr>
                <w:highlight w:val="none"/>
              </w:rPr>
            </w:pPr>
            <w:r>
              <w:rPr>
                <w:szCs w:val="21"/>
                <w:highlight w:val="none"/>
              </w:rPr>
              <w:t>专用条款</w:t>
            </w:r>
          </w:p>
        </w:tc>
        <w:tc>
          <w:tcPr>
            <w:tcW w:w="1984" w:type="dxa"/>
            <w:noWrap w:val="0"/>
            <w:vAlign w:val="center"/>
          </w:tcPr>
          <w:p w14:paraId="7D60670F">
            <w:pPr>
              <w:jc w:val="center"/>
              <w:rPr>
                <w:szCs w:val="21"/>
                <w:highlight w:val="none"/>
              </w:rPr>
            </w:pPr>
          </w:p>
        </w:tc>
        <w:tc>
          <w:tcPr>
            <w:tcW w:w="1843" w:type="dxa"/>
            <w:noWrap w:val="0"/>
            <w:vAlign w:val="center"/>
          </w:tcPr>
          <w:p w14:paraId="1AADE175">
            <w:pPr>
              <w:jc w:val="center"/>
              <w:rPr>
                <w:szCs w:val="21"/>
                <w:highlight w:val="none"/>
              </w:rPr>
            </w:pPr>
          </w:p>
        </w:tc>
      </w:tr>
      <w:tr w14:paraId="1F2F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49B8E392">
            <w:pPr>
              <w:jc w:val="center"/>
              <w:rPr>
                <w:rFonts w:hint="eastAsia" w:eastAsia="宋体"/>
                <w:szCs w:val="21"/>
                <w:highlight w:val="none"/>
                <w:lang w:val="en-US" w:eastAsia="zh-CN"/>
              </w:rPr>
            </w:pPr>
            <w:r>
              <w:rPr>
                <w:rFonts w:hint="eastAsia"/>
                <w:szCs w:val="21"/>
                <w:highlight w:val="none"/>
                <w:lang w:val="en-US" w:eastAsia="zh-CN"/>
              </w:rPr>
              <w:t>7</w:t>
            </w:r>
          </w:p>
        </w:tc>
        <w:tc>
          <w:tcPr>
            <w:tcW w:w="1985" w:type="dxa"/>
            <w:noWrap w:val="0"/>
            <w:vAlign w:val="center"/>
          </w:tcPr>
          <w:p w14:paraId="116E99B0">
            <w:pPr>
              <w:keepNext w:val="0"/>
              <w:keepLines w:val="0"/>
              <w:suppressLineNumbers w:val="0"/>
              <w:spacing w:before="0" w:beforeAutospacing="0" w:after="0" w:afterAutospacing="0"/>
              <w:ind w:left="0" w:leftChars="0" w:right="0" w:rightChars="0"/>
              <w:rPr>
                <w:rFonts w:hint="default" w:ascii="Calibri" w:hAnsi="Calibri" w:eastAsia="宋体" w:cs="Times New Roman"/>
                <w:color w:val="auto"/>
                <w:kern w:val="2"/>
                <w:sz w:val="21"/>
                <w:szCs w:val="24"/>
                <w:highlight w:val="none"/>
                <w:lang w:val="en-US" w:eastAsia="zh-CN" w:bidi="ar-SA"/>
              </w:rPr>
            </w:pPr>
            <w:r>
              <w:rPr>
                <w:rFonts w:hint="eastAsia" w:ascii="Calibri" w:hAnsi="Calibri" w:eastAsia="宋体" w:cs="宋体"/>
                <w:color w:val="auto"/>
                <w:highlight w:val="none"/>
              </w:rPr>
              <w:t>分包</w:t>
            </w:r>
          </w:p>
        </w:tc>
        <w:tc>
          <w:tcPr>
            <w:tcW w:w="2126" w:type="dxa"/>
            <w:noWrap w:val="0"/>
            <w:tcMar>
              <w:left w:w="170" w:type="dxa"/>
            </w:tcMar>
            <w:vAlign w:val="center"/>
          </w:tcPr>
          <w:p w14:paraId="2236A4D9">
            <w:pPr>
              <w:keepNext w:val="0"/>
              <w:keepLines w:val="0"/>
              <w:suppressLineNumbers w:val="0"/>
              <w:spacing w:before="0" w:beforeAutospacing="0" w:after="0" w:afterAutospacing="0"/>
              <w:ind w:left="0" w:leftChars="0" w:right="0" w:rightChars="0"/>
              <w:jc w:val="center"/>
              <w:rPr>
                <w:rFonts w:hint="default" w:ascii="Calibri" w:hAnsi="Calibri" w:eastAsia="宋体" w:cs="Times New Roman"/>
                <w:color w:val="auto"/>
                <w:kern w:val="2"/>
                <w:sz w:val="21"/>
                <w:szCs w:val="24"/>
                <w:highlight w:val="none"/>
                <w:lang w:val="en-US" w:eastAsia="zh-CN" w:bidi="ar-SA"/>
              </w:rPr>
            </w:pPr>
            <w:r>
              <w:rPr>
                <w:rFonts w:hint="eastAsia" w:ascii="Calibri" w:hAnsi="Calibri" w:eastAsia="宋体" w:cs="宋体"/>
                <w:color w:val="auto"/>
                <w:highlight w:val="none"/>
              </w:rPr>
              <w:t>专用条款</w:t>
            </w:r>
          </w:p>
        </w:tc>
        <w:tc>
          <w:tcPr>
            <w:tcW w:w="1984" w:type="dxa"/>
            <w:noWrap w:val="0"/>
            <w:vAlign w:val="center"/>
          </w:tcPr>
          <w:p w14:paraId="03786A0D">
            <w:pPr>
              <w:keepNext w:val="0"/>
              <w:keepLines w:val="0"/>
              <w:suppressLineNumbers w:val="0"/>
              <w:spacing w:before="0" w:beforeAutospacing="0" w:after="0" w:afterAutospacing="0"/>
              <w:ind w:left="0" w:leftChars="0" w:right="0" w:rightChars="0"/>
              <w:jc w:val="center"/>
              <w:rPr>
                <w:rFonts w:hint="default" w:ascii="Calibri" w:hAnsi="Calibri" w:eastAsia="宋体" w:cs="Times New Roman"/>
                <w:color w:val="auto"/>
                <w:kern w:val="2"/>
                <w:sz w:val="21"/>
                <w:szCs w:val="24"/>
                <w:highlight w:val="none"/>
                <w:lang w:val="en-US" w:eastAsia="zh-CN" w:bidi="ar-SA"/>
              </w:rPr>
            </w:pPr>
            <w:r>
              <w:rPr>
                <w:rFonts w:hint="default" w:ascii="Calibri" w:hAnsi="Calibri" w:eastAsia="宋体" w:cs="Times New Roman"/>
                <w:color w:val="auto"/>
                <w:highlight w:val="none"/>
              </w:rPr>
              <w:t>见分包项目情况表</w:t>
            </w:r>
          </w:p>
        </w:tc>
        <w:tc>
          <w:tcPr>
            <w:tcW w:w="1843" w:type="dxa"/>
            <w:noWrap w:val="0"/>
            <w:vAlign w:val="center"/>
          </w:tcPr>
          <w:p w14:paraId="372C21B8">
            <w:pPr>
              <w:jc w:val="center"/>
              <w:rPr>
                <w:szCs w:val="21"/>
                <w:highlight w:val="none"/>
              </w:rPr>
            </w:pPr>
          </w:p>
        </w:tc>
      </w:tr>
      <w:tr w14:paraId="3D55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73F8265">
            <w:pPr>
              <w:jc w:val="center"/>
              <w:rPr>
                <w:rFonts w:hint="eastAsia"/>
                <w:szCs w:val="21"/>
                <w:highlight w:val="none"/>
              </w:rPr>
            </w:pPr>
            <w:r>
              <w:rPr>
                <w:rFonts w:hint="eastAsia"/>
                <w:szCs w:val="21"/>
                <w:highlight w:val="none"/>
                <w:lang w:eastAsia="zh-CN"/>
              </w:rPr>
              <w:t>8</w:t>
            </w:r>
          </w:p>
        </w:tc>
        <w:tc>
          <w:tcPr>
            <w:tcW w:w="1985" w:type="dxa"/>
            <w:noWrap w:val="0"/>
            <w:vAlign w:val="center"/>
          </w:tcPr>
          <w:p w14:paraId="2F0F6C46">
            <w:pPr>
              <w:rPr>
                <w:szCs w:val="21"/>
                <w:highlight w:val="none"/>
              </w:rPr>
            </w:pPr>
            <w:r>
              <w:rPr>
                <w:szCs w:val="21"/>
                <w:highlight w:val="none"/>
              </w:rPr>
              <w:t>逾期竣工违约金</w:t>
            </w:r>
          </w:p>
        </w:tc>
        <w:tc>
          <w:tcPr>
            <w:tcW w:w="2126" w:type="dxa"/>
            <w:noWrap w:val="0"/>
            <w:tcMar>
              <w:left w:w="170" w:type="dxa"/>
            </w:tcMar>
            <w:vAlign w:val="center"/>
          </w:tcPr>
          <w:p w14:paraId="3013D96F">
            <w:pPr>
              <w:jc w:val="center"/>
              <w:rPr>
                <w:highlight w:val="none"/>
              </w:rPr>
            </w:pPr>
            <w:r>
              <w:rPr>
                <w:szCs w:val="21"/>
                <w:highlight w:val="none"/>
              </w:rPr>
              <w:t>专用条款</w:t>
            </w:r>
          </w:p>
        </w:tc>
        <w:tc>
          <w:tcPr>
            <w:tcW w:w="1984" w:type="dxa"/>
            <w:noWrap w:val="0"/>
            <w:vAlign w:val="center"/>
          </w:tcPr>
          <w:p w14:paraId="697AB0CF">
            <w:pPr>
              <w:rPr>
                <w:szCs w:val="21"/>
                <w:highlight w:val="none"/>
              </w:rPr>
            </w:pPr>
            <w:r>
              <w:rPr>
                <w:szCs w:val="21"/>
                <w:highlight w:val="none"/>
              </w:rPr>
              <w:t>合同价款</w:t>
            </w:r>
            <w:r>
              <w:rPr>
                <w:szCs w:val="21"/>
                <w:highlight w:val="none"/>
                <w:u w:val="single"/>
              </w:rPr>
              <w:t xml:space="preserve">    </w:t>
            </w:r>
            <w:r>
              <w:rPr>
                <w:szCs w:val="21"/>
                <w:highlight w:val="none"/>
              </w:rPr>
              <w:t>%/天</w:t>
            </w:r>
          </w:p>
        </w:tc>
        <w:tc>
          <w:tcPr>
            <w:tcW w:w="1843" w:type="dxa"/>
            <w:noWrap w:val="0"/>
            <w:vAlign w:val="center"/>
          </w:tcPr>
          <w:p w14:paraId="2FD8EB92">
            <w:pPr>
              <w:jc w:val="center"/>
              <w:rPr>
                <w:szCs w:val="21"/>
                <w:highlight w:val="none"/>
              </w:rPr>
            </w:pPr>
          </w:p>
        </w:tc>
      </w:tr>
      <w:tr w14:paraId="7FDFF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917FC03">
            <w:pPr>
              <w:jc w:val="center"/>
              <w:rPr>
                <w:rFonts w:hint="eastAsia"/>
                <w:szCs w:val="21"/>
                <w:highlight w:val="none"/>
              </w:rPr>
            </w:pPr>
            <w:r>
              <w:rPr>
                <w:rFonts w:hint="eastAsia"/>
                <w:szCs w:val="21"/>
                <w:highlight w:val="none"/>
                <w:lang w:eastAsia="zh-CN"/>
              </w:rPr>
              <w:t>9</w:t>
            </w:r>
          </w:p>
        </w:tc>
        <w:tc>
          <w:tcPr>
            <w:tcW w:w="1985" w:type="dxa"/>
            <w:noWrap w:val="0"/>
            <w:vAlign w:val="center"/>
          </w:tcPr>
          <w:p w14:paraId="6276BD12">
            <w:pPr>
              <w:rPr>
                <w:szCs w:val="21"/>
                <w:highlight w:val="none"/>
              </w:rPr>
            </w:pPr>
            <w:r>
              <w:rPr>
                <w:szCs w:val="21"/>
                <w:highlight w:val="none"/>
              </w:rPr>
              <w:t>逾期竣工违约金最高限额</w:t>
            </w:r>
          </w:p>
        </w:tc>
        <w:tc>
          <w:tcPr>
            <w:tcW w:w="2126" w:type="dxa"/>
            <w:noWrap w:val="0"/>
            <w:tcMar>
              <w:left w:w="170" w:type="dxa"/>
            </w:tcMar>
            <w:vAlign w:val="center"/>
          </w:tcPr>
          <w:p w14:paraId="23562747">
            <w:pPr>
              <w:jc w:val="center"/>
              <w:rPr>
                <w:highlight w:val="none"/>
              </w:rPr>
            </w:pPr>
            <w:r>
              <w:rPr>
                <w:szCs w:val="21"/>
                <w:highlight w:val="none"/>
              </w:rPr>
              <w:t>专用条款</w:t>
            </w:r>
          </w:p>
        </w:tc>
        <w:tc>
          <w:tcPr>
            <w:tcW w:w="1984" w:type="dxa"/>
            <w:noWrap w:val="0"/>
            <w:vAlign w:val="center"/>
          </w:tcPr>
          <w:p w14:paraId="268C8D32">
            <w:pPr>
              <w:rPr>
                <w:szCs w:val="21"/>
                <w:highlight w:val="none"/>
              </w:rPr>
            </w:pPr>
            <w:r>
              <w:rPr>
                <w:szCs w:val="21"/>
                <w:highlight w:val="none"/>
              </w:rPr>
              <w:t>合同价款</w:t>
            </w:r>
            <w:r>
              <w:rPr>
                <w:szCs w:val="21"/>
                <w:highlight w:val="none"/>
                <w:u w:val="single"/>
              </w:rPr>
              <w:t xml:space="preserve">    %</w:t>
            </w:r>
          </w:p>
        </w:tc>
        <w:tc>
          <w:tcPr>
            <w:tcW w:w="1843" w:type="dxa"/>
            <w:noWrap w:val="0"/>
            <w:vAlign w:val="center"/>
          </w:tcPr>
          <w:p w14:paraId="0FA2AA1B">
            <w:pPr>
              <w:jc w:val="center"/>
              <w:rPr>
                <w:szCs w:val="21"/>
                <w:highlight w:val="none"/>
              </w:rPr>
            </w:pPr>
          </w:p>
        </w:tc>
      </w:tr>
      <w:tr w14:paraId="27CFD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37B6E6B1">
            <w:pPr>
              <w:jc w:val="center"/>
              <w:rPr>
                <w:rFonts w:hint="default"/>
                <w:szCs w:val="21"/>
                <w:highlight w:val="none"/>
              </w:rPr>
            </w:pPr>
            <w:r>
              <w:rPr>
                <w:rFonts w:hint="eastAsia"/>
                <w:szCs w:val="21"/>
                <w:highlight w:val="none"/>
                <w:lang w:eastAsia="zh-CN"/>
              </w:rPr>
              <w:t>1</w:t>
            </w:r>
            <w:r>
              <w:rPr>
                <w:rFonts w:hint="eastAsia"/>
                <w:szCs w:val="21"/>
                <w:highlight w:val="none"/>
                <w:lang w:val="en-US" w:eastAsia="zh-CN"/>
              </w:rPr>
              <w:t>0</w:t>
            </w:r>
          </w:p>
        </w:tc>
        <w:tc>
          <w:tcPr>
            <w:tcW w:w="1985" w:type="dxa"/>
            <w:noWrap w:val="0"/>
            <w:vAlign w:val="center"/>
          </w:tcPr>
          <w:p w14:paraId="4627060E">
            <w:pPr>
              <w:rPr>
                <w:szCs w:val="21"/>
                <w:highlight w:val="none"/>
              </w:rPr>
            </w:pPr>
            <w:r>
              <w:rPr>
                <w:szCs w:val="21"/>
                <w:highlight w:val="none"/>
              </w:rPr>
              <w:t>质量标准</w:t>
            </w:r>
          </w:p>
        </w:tc>
        <w:tc>
          <w:tcPr>
            <w:tcW w:w="2126" w:type="dxa"/>
            <w:noWrap w:val="0"/>
            <w:tcMar>
              <w:left w:w="170" w:type="dxa"/>
            </w:tcMar>
            <w:vAlign w:val="center"/>
          </w:tcPr>
          <w:p w14:paraId="69AB64D8">
            <w:pPr>
              <w:jc w:val="center"/>
              <w:rPr>
                <w:highlight w:val="none"/>
              </w:rPr>
            </w:pPr>
            <w:r>
              <w:rPr>
                <w:szCs w:val="21"/>
                <w:highlight w:val="none"/>
              </w:rPr>
              <w:t>专用条款</w:t>
            </w:r>
          </w:p>
        </w:tc>
        <w:tc>
          <w:tcPr>
            <w:tcW w:w="1984" w:type="dxa"/>
            <w:noWrap w:val="0"/>
            <w:vAlign w:val="center"/>
          </w:tcPr>
          <w:p w14:paraId="10FD5F40">
            <w:pPr>
              <w:jc w:val="center"/>
              <w:rPr>
                <w:szCs w:val="21"/>
                <w:highlight w:val="none"/>
              </w:rPr>
            </w:pPr>
            <w:r>
              <w:rPr>
                <w:szCs w:val="21"/>
                <w:highlight w:val="none"/>
                <w:u w:val="single"/>
              </w:rPr>
              <w:t xml:space="preserve">       </w:t>
            </w:r>
          </w:p>
        </w:tc>
        <w:tc>
          <w:tcPr>
            <w:tcW w:w="1843" w:type="dxa"/>
            <w:noWrap w:val="0"/>
            <w:vAlign w:val="center"/>
          </w:tcPr>
          <w:p w14:paraId="2D248CA6">
            <w:pPr>
              <w:jc w:val="center"/>
              <w:rPr>
                <w:szCs w:val="21"/>
                <w:highlight w:val="none"/>
              </w:rPr>
            </w:pPr>
          </w:p>
        </w:tc>
      </w:tr>
      <w:tr w14:paraId="574A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6AF58F95">
            <w:pPr>
              <w:jc w:val="center"/>
              <w:rPr>
                <w:rFonts w:hint="default"/>
                <w:szCs w:val="21"/>
                <w:highlight w:val="none"/>
              </w:rPr>
            </w:pPr>
            <w:r>
              <w:rPr>
                <w:rFonts w:hint="eastAsia"/>
                <w:szCs w:val="21"/>
                <w:highlight w:val="none"/>
                <w:lang w:eastAsia="zh-CN"/>
              </w:rPr>
              <w:t>1</w:t>
            </w:r>
            <w:r>
              <w:rPr>
                <w:rFonts w:hint="eastAsia"/>
                <w:szCs w:val="21"/>
                <w:highlight w:val="none"/>
                <w:lang w:val="en-US" w:eastAsia="zh-CN"/>
              </w:rPr>
              <w:t>1</w:t>
            </w:r>
          </w:p>
        </w:tc>
        <w:tc>
          <w:tcPr>
            <w:tcW w:w="1985" w:type="dxa"/>
            <w:noWrap w:val="0"/>
            <w:vAlign w:val="center"/>
          </w:tcPr>
          <w:p w14:paraId="1E14BA18">
            <w:pPr>
              <w:rPr>
                <w:szCs w:val="21"/>
                <w:highlight w:val="none"/>
              </w:rPr>
            </w:pPr>
            <w:r>
              <w:rPr>
                <w:szCs w:val="21"/>
                <w:highlight w:val="none"/>
              </w:rPr>
              <w:t>预付款额度</w:t>
            </w:r>
          </w:p>
        </w:tc>
        <w:tc>
          <w:tcPr>
            <w:tcW w:w="2126" w:type="dxa"/>
            <w:noWrap w:val="0"/>
            <w:tcMar>
              <w:left w:w="170" w:type="dxa"/>
            </w:tcMar>
            <w:vAlign w:val="center"/>
          </w:tcPr>
          <w:p w14:paraId="2A903E83">
            <w:pPr>
              <w:jc w:val="center"/>
              <w:rPr>
                <w:highlight w:val="none"/>
              </w:rPr>
            </w:pPr>
            <w:r>
              <w:rPr>
                <w:szCs w:val="21"/>
                <w:highlight w:val="none"/>
              </w:rPr>
              <w:t>专用条款</w:t>
            </w:r>
          </w:p>
        </w:tc>
        <w:tc>
          <w:tcPr>
            <w:tcW w:w="1984" w:type="dxa"/>
            <w:noWrap w:val="0"/>
            <w:vAlign w:val="center"/>
          </w:tcPr>
          <w:p w14:paraId="74EC54C1">
            <w:pPr>
              <w:jc w:val="center"/>
              <w:rPr>
                <w:szCs w:val="21"/>
                <w:highlight w:val="none"/>
              </w:rPr>
            </w:pPr>
            <w:r>
              <w:rPr>
                <w:szCs w:val="21"/>
                <w:highlight w:val="none"/>
                <w:u w:val="single"/>
              </w:rPr>
              <w:t xml:space="preserve">       </w:t>
            </w:r>
          </w:p>
        </w:tc>
        <w:tc>
          <w:tcPr>
            <w:tcW w:w="1843" w:type="dxa"/>
            <w:noWrap w:val="0"/>
            <w:vAlign w:val="center"/>
          </w:tcPr>
          <w:p w14:paraId="09061B2F">
            <w:pPr>
              <w:jc w:val="center"/>
              <w:rPr>
                <w:szCs w:val="21"/>
                <w:highlight w:val="none"/>
              </w:rPr>
            </w:pPr>
          </w:p>
        </w:tc>
      </w:tr>
      <w:tr w14:paraId="19BE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1F7BB7D4">
            <w:pPr>
              <w:jc w:val="center"/>
              <w:rPr>
                <w:rFonts w:hint="default"/>
                <w:szCs w:val="21"/>
                <w:highlight w:val="none"/>
              </w:rPr>
            </w:pPr>
            <w:r>
              <w:rPr>
                <w:rFonts w:hint="eastAsia"/>
                <w:szCs w:val="21"/>
                <w:highlight w:val="none"/>
                <w:lang w:eastAsia="zh-CN"/>
              </w:rPr>
              <w:t>1</w:t>
            </w:r>
            <w:r>
              <w:rPr>
                <w:rFonts w:hint="eastAsia"/>
                <w:szCs w:val="21"/>
                <w:highlight w:val="none"/>
                <w:lang w:val="en-US" w:eastAsia="zh-CN"/>
              </w:rPr>
              <w:t>2</w:t>
            </w:r>
          </w:p>
        </w:tc>
        <w:tc>
          <w:tcPr>
            <w:tcW w:w="1985" w:type="dxa"/>
            <w:noWrap w:val="0"/>
            <w:vAlign w:val="center"/>
          </w:tcPr>
          <w:p w14:paraId="0B3859C5">
            <w:pPr>
              <w:rPr>
                <w:szCs w:val="21"/>
                <w:highlight w:val="none"/>
              </w:rPr>
            </w:pPr>
            <w:r>
              <w:rPr>
                <w:szCs w:val="21"/>
                <w:highlight w:val="none"/>
              </w:rPr>
              <w:t>预付款保函金额</w:t>
            </w:r>
          </w:p>
        </w:tc>
        <w:tc>
          <w:tcPr>
            <w:tcW w:w="2126" w:type="dxa"/>
            <w:noWrap w:val="0"/>
            <w:tcMar>
              <w:left w:w="170" w:type="dxa"/>
            </w:tcMar>
            <w:vAlign w:val="center"/>
          </w:tcPr>
          <w:p w14:paraId="195128ED">
            <w:pPr>
              <w:jc w:val="center"/>
              <w:rPr>
                <w:highlight w:val="none"/>
              </w:rPr>
            </w:pPr>
            <w:r>
              <w:rPr>
                <w:szCs w:val="21"/>
                <w:highlight w:val="none"/>
              </w:rPr>
              <w:t>专用条款</w:t>
            </w:r>
          </w:p>
        </w:tc>
        <w:tc>
          <w:tcPr>
            <w:tcW w:w="1984" w:type="dxa"/>
            <w:noWrap w:val="0"/>
            <w:vAlign w:val="center"/>
          </w:tcPr>
          <w:p w14:paraId="2433ED29">
            <w:pPr>
              <w:jc w:val="center"/>
              <w:rPr>
                <w:szCs w:val="21"/>
                <w:highlight w:val="none"/>
              </w:rPr>
            </w:pPr>
            <w:r>
              <w:rPr>
                <w:szCs w:val="21"/>
                <w:highlight w:val="none"/>
                <w:u w:val="single"/>
              </w:rPr>
              <w:t xml:space="preserve">       </w:t>
            </w:r>
          </w:p>
        </w:tc>
        <w:tc>
          <w:tcPr>
            <w:tcW w:w="1843" w:type="dxa"/>
            <w:noWrap w:val="0"/>
            <w:vAlign w:val="center"/>
          </w:tcPr>
          <w:p w14:paraId="2FF1DBB6">
            <w:pPr>
              <w:jc w:val="center"/>
              <w:rPr>
                <w:szCs w:val="21"/>
                <w:highlight w:val="none"/>
              </w:rPr>
            </w:pPr>
          </w:p>
        </w:tc>
      </w:tr>
      <w:tr w14:paraId="07B9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2D96F6FC">
            <w:pPr>
              <w:jc w:val="center"/>
              <w:rPr>
                <w:rFonts w:hint="eastAsia"/>
                <w:szCs w:val="21"/>
                <w:highlight w:val="none"/>
              </w:rPr>
            </w:pPr>
            <w:r>
              <w:rPr>
                <w:szCs w:val="21"/>
                <w:highlight w:val="none"/>
              </w:rPr>
              <w:t>1</w:t>
            </w:r>
            <w:r>
              <w:rPr>
                <w:rFonts w:hint="eastAsia"/>
                <w:szCs w:val="21"/>
                <w:highlight w:val="none"/>
                <w:lang w:eastAsia="zh-CN"/>
              </w:rPr>
              <w:t>3</w:t>
            </w:r>
          </w:p>
        </w:tc>
        <w:tc>
          <w:tcPr>
            <w:tcW w:w="1985" w:type="dxa"/>
            <w:noWrap w:val="0"/>
            <w:vAlign w:val="center"/>
          </w:tcPr>
          <w:p w14:paraId="578FF78D">
            <w:pPr>
              <w:rPr>
                <w:szCs w:val="21"/>
                <w:highlight w:val="none"/>
              </w:rPr>
            </w:pPr>
            <w:r>
              <w:rPr>
                <w:szCs w:val="21"/>
                <w:highlight w:val="none"/>
              </w:rPr>
              <w:t>质量保证金额度</w:t>
            </w:r>
          </w:p>
        </w:tc>
        <w:tc>
          <w:tcPr>
            <w:tcW w:w="2126" w:type="dxa"/>
            <w:noWrap w:val="0"/>
            <w:tcMar>
              <w:left w:w="170" w:type="dxa"/>
            </w:tcMar>
            <w:vAlign w:val="center"/>
          </w:tcPr>
          <w:p w14:paraId="23A12FC8">
            <w:pPr>
              <w:jc w:val="center"/>
              <w:rPr>
                <w:highlight w:val="none"/>
              </w:rPr>
            </w:pPr>
            <w:r>
              <w:rPr>
                <w:szCs w:val="21"/>
                <w:highlight w:val="none"/>
              </w:rPr>
              <w:t>专用条款</w:t>
            </w:r>
          </w:p>
        </w:tc>
        <w:tc>
          <w:tcPr>
            <w:tcW w:w="1984" w:type="dxa"/>
            <w:noWrap w:val="0"/>
            <w:vAlign w:val="center"/>
          </w:tcPr>
          <w:p w14:paraId="27F5E4C3">
            <w:pPr>
              <w:jc w:val="center"/>
              <w:rPr>
                <w:szCs w:val="21"/>
                <w:highlight w:val="none"/>
              </w:rPr>
            </w:pPr>
            <w:r>
              <w:rPr>
                <w:szCs w:val="21"/>
                <w:highlight w:val="none"/>
              </w:rPr>
              <w:t>结算价的</w:t>
            </w:r>
            <w:r>
              <w:rPr>
                <w:szCs w:val="21"/>
                <w:highlight w:val="none"/>
                <w:u w:val="single"/>
              </w:rPr>
              <w:t xml:space="preserve">     </w:t>
            </w:r>
            <w:r>
              <w:rPr>
                <w:szCs w:val="21"/>
                <w:highlight w:val="none"/>
              </w:rPr>
              <w:t xml:space="preserve">% </w:t>
            </w:r>
            <w:r>
              <w:rPr>
                <w:szCs w:val="21"/>
                <w:highlight w:val="none"/>
                <w:u w:val="single"/>
              </w:rPr>
              <w:t xml:space="preserve"> </w:t>
            </w:r>
          </w:p>
        </w:tc>
        <w:tc>
          <w:tcPr>
            <w:tcW w:w="1843" w:type="dxa"/>
            <w:noWrap w:val="0"/>
            <w:vAlign w:val="center"/>
          </w:tcPr>
          <w:p w14:paraId="29EA9050">
            <w:pPr>
              <w:jc w:val="center"/>
              <w:rPr>
                <w:szCs w:val="21"/>
                <w:highlight w:val="none"/>
              </w:rPr>
            </w:pPr>
          </w:p>
        </w:tc>
      </w:tr>
      <w:tr w14:paraId="01A0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2" w:type="dxa"/>
            <w:noWrap w:val="0"/>
            <w:vAlign w:val="center"/>
          </w:tcPr>
          <w:p w14:paraId="300B7403">
            <w:pPr>
              <w:jc w:val="center"/>
              <w:rPr>
                <w:szCs w:val="21"/>
                <w:highlight w:val="none"/>
              </w:rPr>
            </w:pPr>
            <w:r>
              <w:rPr>
                <w:szCs w:val="21"/>
                <w:highlight w:val="none"/>
              </w:rPr>
              <w:t>…</w:t>
            </w:r>
          </w:p>
        </w:tc>
        <w:tc>
          <w:tcPr>
            <w:tcW w:w="1985" w:type="dxa"/>
            <w:noWrap w:val="0"/>
            <w:vAlign w:val="center"/>
          </w:tcPr>
          <w:p w14:paraId="3D75794B">
            <w:pPr>
              <w:jc w:val="center"/>
              <w:rPr>
                <w:szCs w:val="21"/>
                <w:highlight w:val="none"/>
              </w:rPr>
            </w:pPr>
            <w:r>
              <w:rPr>
                <w:szCs w:val="21"/>
                <w:highlight w:val="none"/>
              </w:rPr>
              <w:t>…</w:t>
            </w:r>
          </w:p>
        </w:tc>
        <w:tc>
          <w:tcPr>
            <w:tcW w:w="2126" w:type="dxa"/>
            <w:noWrap w:val="0"/>
            <w:tcMar>
              <w:left w:w="170" w:type="dxa"/>
            </w:tcMar>
            <w:vAlign w:val="center"/>
          </w:tcPr>
          <w:p w14:paraId="41C8C7A7">
            <w:pPr>
              <w:jc w:val="center"/>
              <w:rPr>
                <w:szCs w:val="21"/>
                <w:highlight w:val="none"/>
              </w:rPr>
            </w:pPr>
          </w:p>
        </w:tc>
        <w:tc>
          <w:tcPr>
            <w:tcW w:w="1984" w:type="dxa"/>
            <w:noWrap w:val="0"/>
            <w:vAlign w:val="center"/>
          </w:tcPr>
          <w:p w14:paraId="468AE0C0">
            <w:pPr>
              <w:jc w:val="center"/>
              <w:rPr>
                <w:szCs w:val="21"/>
                <w:highlight w:val="none"/>
              </w:rPr>
            </w:pPr>
          </w:p>
        </w:tc>
        <w:tc>
          <w:tcPr>
            <w:tcW w:w="1843" w:type="dxa"/>
            <w:noWrap w:val="0"/>
            <w:vAlign w:val="center"/>
          </w:tcPr>
          <w:p w14:paraId="2CECC97B">
            <w:pPr>
              <w:jc w:val="center"/>
              <w:rPr>
                <w:szCs w:val="21"/>
                <w:highlight w:val="none"/>
              </w:rPr>
            </w:pPr>
          </w:p>
        </w:tc>
      </w:tr>
      <w:tr w14:paraId="1300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30" w:type="dxa"/>
            <w:gridSpan w:val="5"/>
            <w:noWrap w:val="0"/>
            <w:vAlign w:val="center"/>
          </w:tcPr>
          <w:p w14:paraId="3AEBAE05">
            <w:pPr>
              <w:spacing w:line="360" w:lineRule="auto"/>
              <w:rPr>
                <w:szCs w:val="21"/>
                <w:highlight w:val="none"/>
              </w:rPr>
            </w:pPr>
            <w:r>
              <w:rPr>
                <w:szCs w:val="21"/>
                <w:highlight w:val="none"/>
              </w:rPr>
              <w:t>备注：供应商在响应采购文件中规定的实质性要求和条件的基础上，可做出其他有利于采购单位的承诺。此类承诺可在本表中予以补充填写。</w:t>
            </w:r>
          </w:p>
        </w:tc>
      </w:tr>
    </w:tbl>
    <w:p w14:paraId="3D0419B4">
      <w:pPr>
        <w:rPr>
          <w:spacing w:val="20"/>
          <w:szCs w:val="21"/>
          <w:highlight w:val="none"/>
          <w:u w:val="single"/>
        </w:rPr>
      </w:pPr>
    </w:p>
    <w:p w14:paraId="6243193B">
      <w:pPr>
        <w:spacing w:line="360" w:lineRule="auto"/>
        <w:rPr>
          <w:spacing w:val="20"/>
          <w:szCs w:val="21"/>
          <w:highlight w:val="none"/>
        </w:rPr>
      </w:pPr>
    </w:p>
    <w:p w14:paraId="7422C104">
      <w:pPr>
        <w:jc w:val="left"/>
        <w:rPr>
          <w:szCs w:val="21"/>
          <w:highlight w:val="none"/>
        </w:rPr>
      </w:pPr>
    </w:p>
    <w:p w14:paraId="06BEA5D1">
      <w:pPr>
        <w:spacing w:line="360" w:lineRule="auto"/>
        <w:rPr>
          <w:spacing w:val="20"/>
          <w:szCs w:val="21"/>
          <w:highlight w:val="none"/>
        </w:rPr>
      </w:pPr>
    </w:p>
    <w:p w14:paraId="6DE126A5">
      <w:pPr>
        <w:spacing w:line="360" w:lineRule="auto"/>
        <w:rPr>
          <w:szCs w:val="21"/>
          <w:highlight w:val="none"/>
        </w:rPr>
      </w:pPr>
      <w:bookmarkStart w:id="498" w:name="_Hlk89191140"/>
      <w:r>
        <w:rPr>
          <w:szCs w:val="21"/>
          <w:highlight w:val="none"/>
        </w:rPr>
        <w:t>供应商名称（</w:t>
      </w:r>
      <w:r>
        <w:rPr>
          <w:rFonts w:hint="eastAsia"/>
          <w:szCs w:val="21"/>
          <w:highlight w:val="none"/>
        </w:rPr>
        <w:t>电子签章</w:t>
      </w:r>
      <w:r>
        <w:rPr>
          <w:szCs w:val="21"/>
          <w:highlight w:val="none"/>
        </w:rPr>
        <w:t>）</w:t>
      </w:r>
      <w:bookmarkEnd w:id="498"/>
      <w:r>
        <w:rPr>
          <w:szCs w:val="21"/>
          <w:highlight w:val="none"/>
        </w:rPr>
        <w:t>：</w:t>
      </w:r>
      <w:r>
        <w:rPr>
          <w:szCs w:val="21"/>
          <w:highlight w:val="none"/>
          <w:u w:val="single"/>
        </w:rPr>
        <w:t xml:space="preserve">                          </w:t>
      </w:r>
    </w:p>
    <w:p w14:paraId="2419DBC8">
      <w:pPr>
        <w:spacing w:line="360" w:lineRule="auto"/>
        <w:rPr>
          <w:szCs w:val="21"/>
          <w:highlight w:val="none"/>
        </w:rPr>
      </w:pPr>
      <w:r>
        <w:rPr>
          <w:szCs w:val="21"/>
          <w:highlight w:val="none"/>
        </w:rPr>
        <w:t>日  期：：</w:t>
      </w:r>
      <w:r>
        <w:rPr>
          <w:szCs w:val="21"/>
          <w:highlight w:val="none"/>
          <w:u w:val="single"/>
        </w:rPr>
        <w:t xml:space="preserve">         </w:t>
      </w:r>
      <w:r>
        <w:rPr>
          <w:szCs w:val="21"/>
          <w:highlight w:val="none"/>
        </w:rPr>
        <w:t>年</w:t>
      </w:r>
      <w:r>
        <w:rPr>
          <w:szCs w:val="21"/>
          <w:highlight w:val="none"/>
          <w:u w:val="single"/>
        </w:rPr>
        <w:t xml:space="preserve">   </w:t>
      </w:r>
      <w:r>
        <w:rPr>
          <w:szCs w:val="21"/>
          <w:highlight w:val="none"/>
        </w:rPr>
        <w:t>月</w:t>
      </w:r>
      <w:r>
        <w:rPr>
          <w:szCs w:val="21"/>
          <w:highlight w:val="none"/>
          <w:u w:val="single"/>
        </w:rPr>
        <w:t xml:space="preserve">   </w:t>
      </w:r>
      <w:r>
        <w:rPr>
          <w:szCs w:val="21"/>
          <w:highlight w:val="none"/>
        </w:rPr>
        <w:t xml:space="preserve">日 </w:t>
      </w:r>
    </w:p>
    <w:p w14:paraId="698BEA5E">
      <w:pPr>
        <w:spacing w:line="360" w:lineRule="auto"/>
        <w:rPr>
          <w:szCs w:val="21"/>
          <w:highlight w:val="none"/>
        </w:rPr>
      </w:pPr>
    </w:p>
    <w:p w14:paraId="13D8F507">
      <w:pPr>
        <w:jc w:val="left"/>
        <w:rPr>
          <w:rFonts w:hint="eastAsia"/>
          <w:szCs w:val="21"/>
          <w:highlight w:val="none"/>
        </w:rPr>
      </w:pPr>
      <w:r>
        <w:rPr>
          <w:szCs w:val="21"/>
          <w:highlight w:val="none"/>
        </w:rPr>
        <w:br w:type="page"/>
      </w:r>
      <w:r>
        <w:rPr>
          <w:rFonts w:hint="eastAsia"/>
          <w:szCs w:val="21"/>
          <w:highlight w:val="none"/>
          <w:lang w:eastAsia="zh-CN"/>
        </w:rPr>
        <w:t>3</w:t>
      </w:r>
      <w:r>
        <w:rPr>
          <w:szCs w:val="21"/>
          <w:highlight w:val="none"/>
        </w:rPr>
        <w:t>．已标价工程量清单</w:t>
      </w:r>
      <w:r>
        <w:rPr>
          <w:rFonts w:hint="eastAsia"/>
          <w:szCs w:val="21"/>
          <w:highlight w:val="none"/>
        </w:rPr>
        <w:t>：</w:t>
      </w:r>
    </w:p>
    <w:p w14:paraId="4B12CCF7">
      <w:pPr>
        <w:spacing w:line="360" w:lineRule="exact"/>
        <w:ind w:firstLine="420" w:firstLineChars="200"/>
        <w:rPr>
          <w:szCs w:val="21"/>
          <w:highlight w:val="none"/>
        </w:rPr>
      </w:pPr>
      <w:r>
        <w:rPr>
          <w:rFonts w:hint="eastAsia"/>
          <w:szCs w:val="21"/>
          <w:highlight w:val="none"/>
        </w:rPr>
        <w:t>（</w:t>
      </w:r>
      <w:r>
        <w:rPr>
          <w:szCs w:val="21"/>
          <w:highlight w:val="none"/>
        </w:rPr>
        <w:t>已标价工程量清单应按</w:t>
      </w:r>
      <w:bookmarkStart w:id="499" w:name="_Hlk89191177"/>
      <w:r>
        <w:rPr>
          <w:szCs w:val="21"/>
          <w:highlight w:val="none"/>
        </w:rPr>
        <w:t>第</w:t>
      </w:r>
      <w:r>
        <w:rPr>
          <w:rFonts w:hint="eastAsia"/>
          <w:szCs w:val="21"/>
          <w:highlight w:val="none"/>
        </w:rPr>
        <w:t>二</w:t>
      </w:r>
      <w:r>
        <w:rPr>
          <w:szCs w:val="21"/>
          <w:highlight w:val="none"/>
        </w:rPr>
        <w:t>章</w:t>
      </w:r>
      <w:bookmarkEnd w:id="499"/>
      <w:r>
        <w:rPr>
          <w:szCs w:val="21"/>
          <w:highlight w:val="none"/>
        </w:rPr>
        <w:t>“工程量清单”中的相关表格及报价说明填写。构成合同文件的已标价工程量清单包括第</w:t>
      </w:r>
      <w:r>
        <w:rPr>
          <w:rFonts w:hint="eastAsia"/>
          <w:szCs w:val="21"/>
          <w:highlight w:val="none"/>
        </w:rPr>
        <w:t>二</w:t>
      </w:r>
      <w:r>
        <w:rPr>
          <w:szCs w:val="21"/>
          <w:highlight w:val="none"/>
        </w:rPr>
        <w:t>章“工程量清单”有关工程量清单、报价以及其他说明的内容。</w:t>
      </w:r>
    </w:p>
    <w:p w14:paraId="380739B6">
      <w:pPr>
        <w:spacing w:line="360" w:lineRule="exact"/>
        <w:ind w:firstLine="420" w:firstLineChars="200"/>
        <w:rPr>
          <w:rFonts w:hint="eastAsia"/>
          <w:szCs w:val="21"/>
          <w:highlight w:val="none"/>
        </w:rPr>
      </w:pPr>
    </w:p>
    <w:p w14:paraId="7799DD41">
      <w:pPr>
        <w:snapToGrid w:val="0"/>
        <w:spacing w:before="50" w:after="120" w:afterLines="50"/>
        <w:jc w:val="left"/>
        <w:rPr>
          <w:szCs w:val="21"/>
          <w:highlight w:val="none"/>
        </w:rPr>
      </w:pPr>
      <w:bookmarkStart w:id="500" w:name="_Hlk60822154"/>
    </w:p>
    <w:bookmarkEnd w:id="500"/>
    <w:p w14:paraId="6EB55B2B">
      <w:pPr>
        <w:snapToGrid w:val="0"/>
        <w:spacing w:before="50" w:after="120" w:afterLines="50"/>
        <w:jc w:val="left"/>
        <w:rPr>
          <w:szCs w:val="21"/>
          <w:highlight w:val="none"/>
        </w:rPr>
      </w:pPr>
      <w:r>
        <w:rPr>
          <w:szCs w:val="21"/>
          <w:highlight w:val="none"/>
        </w:rPr>
        <w:br w:type="page"/>
      </w:r>
      <w:bookmarkStart w:id="501" w:name="_Hlk89191232"/>
      <w:r>
        <w:rPr>
          <w:rFonts w:hint="eastAsia"/>
          <w:szCs w:val="21"/>
          <w:highlight w:val="none"/>
          <w:lang w:val="en-US" w:eastAsia="zh-CN"/>
        </w:rPr>
        <w:t>4.</w:t>
      </w:r>
      <w:r>
        <w:rPr>
          <w:szCs w:val="21"/>
          <w:highlight w:val="none"/>
        </w:rPr>
        <w:t>过低报价合理性的说明。（如有）</w:t>
      </w:r>
    </w:p>
    <w:p w14:paraId="02462AA1">
      <w:pPr>
        <w:spacing w:line="360" w:lineRule="auto"/>
        <w:ind w:firstLine="420" w:firstLineChars="200"/>
        <w:rPr>
          <w:rFonts w:hint="eastAsia"/>
          <w:szCs w:val="21"/>
          <w:highlight w:val="none"/>
        </w:rPr>
      </w:pPr>
      <w:r>
        <w:rPr>
          <w:szCs w:val="21"/>
          <w:highlight w:val="none"/>
        </w:rPr>
        <w:t>评审委员会认为的报价</w:t>
      </w:r>
      <w:r>
        <w:rPr>
          <w:rFonts w:hint="eastAsia"/>
          <w:szCs w:val="21"/>
          <w:highlight w:val="none"/>
          <w:lang w:val="en-US" w:eastAsia="zh-CN"/>
        </w:rPr>
        <w:t>存在异常低价问题的情形</w:t>
      </w:r>
      <w:r>
        <w:rPr>
          <w:szCs w:val="21"/>
          <w:highlight w:val="none"/>
        </w:rPr>
        <w:t>，供应商将被要求以书面方式提供</w:t>
      </w:r>
      <w:r>
        <w:rPr>
          <w:rFonts w:hint="eastAsia"/>
          <w:szCs w:val="21"/>
          <w:highlight w:val="none"/>
          <w:lang w:val="en-US" w:eastAsia="zh-CN"/>
        </w:rPr>
        <w:t>项目具体成本测算等与报价合理性相关的书面说明及必要的证明材料</w:t>
      </w:r>
      <w:r>
        <w:rPr>
          <w:szCs w:val="21"/>
          <w:highlight w:val="none"/>
        </w:rPr>
        <w:t>。为避免在评审现场因未能及时提供说明而导致被评审委员会作为无效</w:t>
      </w:r>
      <w:r>
        <w:rPr>
          <w:rFonts w:hint="eastAsia"/>
          <w:szCs w:val="21"/>
          <w:highlight w:val="none"/>
          <w:lang w:eastAsia="zh-CN"/>
        </w:rPr>
        <w:t>响应</w:t>
      </w:r>
      <w:r>
        <w:rPr>
          <w:szCs w:val="21"/>
          <w:highlight w:val="none"/>
        </w:rPr>
        <w:t>，供应商</w:t>
      </w:r>
      <w:r>
        <w:rPr>
          <w:rFonts w:hint="eastAsia"/>
          <w:highlight w:val="none"/>
        </w:rPr>
        <w:t>自行决定是否</w:t>
      </w:r>
      <w:r>
        <w:rPr>
          <w:kern w:val="1"/>
          <w:szCs w:val="21"/>
          <w:highlight w:val="none"/>
        </w:rPr>
        <w:t>直接在</w:t>
      </w:r>
      <w:r>
        <w:rPr>
          <w:szCs w:val="21"/>
          <w:highlight w:val="none"/>
        </w:rPr>
        <w:t>此处</w:t>
      </w:r>
      <w:r>
        <w:rPr>
          <w:rFonts w:hint="eastAsia"/>
          <w:szCs w:val="21"/>
          <w:highlight w:val="none"/>
        </w:rPr>
        <w:t>进行陈述</w:t>
      </w:r>
      <w:r>
        <w:rPr>
          <w:szCs w:val="21"/>
          <w:highlight w:val="none"/>
        </w:rPr>
        <w:t>。格式自拟。</w:t>
      </w:r>
      <w:r>
        <w:rPr>
          <w:rFonts w:hint="eastAsia"/>
          <w:szCs w:val="21"/>
          <w:highlight w:val="none"/>
        </w:rPr>
        <w:t>（</w:t>
      </w:r>
      <w:r>
        <w:rPr>
          <w:rFonts w:hint="eastAsia"/>
          <w:kern w:val="1"/>
          <w:szCs w:val="21"/>
          <w:highlight w:val="none"/>
        </w:rPr>
        <w:t>具体要求详见第四章评审方法及标准“过低报价合理性的审查”</w:t>
      </w:r>
      <w:r>
        <w:rPr>
          <w:rFonts w:hint="eastAsia"/>
          <w:szCs w:val="21"/>
          <w:highlight w:val="none"/>
        </w:rPr>
        <w:t>）</w:t>
      </w:r>
    </w:p>
    <w:p w14:paraId="66D47702">
      <w:pPr>
        <w:snapToGrid w:val="0"/>
        <w:spacing w:before="50" w:after="120" w:afterLines="50"/>
        <w:jc w:val="left"/>
        <w:rPr>
          <w:szCs w:val="21"/>
          <w:highlight w:val="none"/>
        </w:rPr>
      </w:pPr>
      <w:r>
        <w:rPr>
          <w:szCs w:val="21"/>
          <w:highlight w:val="none"/>
        </w:rPr>
        <w:br w:type="page"/>
      </w:r>
      <w:r>
        <w:rPr>
          <w:rFonts w:hint="eastAsia"/>
          <w:szCs w:val="21"/>
          <w:highlight w:val="none"/>
          <w:lang w:val="en-US" w:eastAsia="zh-CN"/>
        </w:rPr>
        <w:t>5</w:t>
      </w:r>
      <w:r>
        <w:rPr>
          <w:rFonts w:hint="eastAsia"/>
          <w:szCs w:val="21"/>
          <w:highlight w:val="none"/>
        </w:rPr>
        <w:t>.开标一览表</w:t>
      </w:r>
    </w:p>
    <w:p w14:paraId="5D68A0E5">
      <w:pPr>
        <w:widowControl/>
        <w:jc w:val="left"/>
        <w:rPr>
          <w:color w:val="4472C4"/>
          <w:szCs w:val="21"/>
          <w:highlight w:val="none"/>
        </w:rPr>
      </w:pPr>
    </w:p>
    <w:p w14:paraId="25CCDC69">
      <w:pPr>
        <w:widowControl/>
        <w:jc w:val="left"/>
        <w:rPr>
          <w:color w:val="4472C4"/>
          <w:szCs w:val="21"/>
          <w:highlight w:val="none"/>
        </w:rPr>
      </w:pPr>
    </w:p>
    <w:p w14:paraId="0FCD98F3">
      <w:pPr>
        <w:widowControl/>
        <w:jc w:val="left"/>
        <w:rPr>
          <w:color w:val="4472C4"/>
          <w:szCs w:val="21"/>
          <w:highlight w:val="none"/>
        </w:rPr>
      </w:pPr>
    </w:p>
    <w:p w14:paraId="03F93AA7">
      <w:pPr>
        <w:rPr>
          <w:b/>
          <w:szCs w:val="21"/>
          <w:highlight w:val="none"/>
        </w:rPr>
      </w:pPr>
    </w:p>
    <w:p w14:paraId="40EE9169">
      <w:pPr>
        <w:rPr>
          <w:b/>
          <w:szCs w:val="21"/>
          <w:highlight w:val="none"/>
        </w:rPr>
      </w:pPr>
    </w:p>
    <w:p w14:paraId="3497278E">
      <w:pPr>
        <w:rPr>
          <w:b/>
          <w:szCs w:val="21"/>
          <w:highlight w:val="none"/>
        </w:rPr>
      </w:pPr>
      <w:r>
        <w:rPr>
          <w:rFonts w:hint="eastAsia"/>
          <w:b/>
          <w:szCs w:val="21"/>
          <w:highlight w:val="none"/>
        </w:rPr>
        <w:t>格式详见广西政府采购云平台，且仅在广西政府采购云平台填写即可。</w:t>
      </w:r>
    </w:p>
    <w:bookmarkEnd w:id="501"/>
    <w:p w14:paraId="514A62E2">
      <w:pPr>
        <w:rPr>
          <w:szCs w:val="21"/>
          <w:highlight w:val="none"/>
        </w:rPr>
      </w:pPr>
    </w:p>
    <w:sectPr>
      <w:headerReference r:id="rId18" w:type="default"/>
      <w:pgSz w:w="11906" w:h="16838"/>
      <w:pgMar w:top="1418" w:right="1274" w:bottom="1418"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89B76A3-12B0-4129-82CA-740E4A0EC2C6}"/>
  </w:font>
  <w:font w:name="黑体">
    <w:panose1 w:val="02010609060101010101"/>
    <w:charset w:val="86"/>
    <w:family w:val="auto"/>
    <w:pitch w:val="default"/>
    <w:sig w:usb0="800002BF" w:usb1="38CF7CFA" w:usb2="00000016" w:usb3="00000000" w:csb0="00040001" w:csb1="00000000"/>
    <w:embedRegular r:id="rId2" w:fontKey="{4BDD5957-E0A9-40C5-A3C9-FD250C4D7C9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16BAB4D-577E-4CC2-B294-B12CF6BD64C4}"/>
  </w:font>
  <w:font w:name="仿宋_GB2312">
    <w:altName w:val="仿宋"/>
    <w:panose1 w:val="02010609030101010101"/>
    <w:charset w:val="86"/>
    <w:family w:val="modern"/>
    <w:pitch w:val="default"/>
    <w:sig w:usb0="00000000" w:usb1="00000000" w:usb2="00000010" w:usb3="00000000" w:csb0="00040000" w:csb1="00000000"/>
    <w:embedRegular r:id="rId4" w:fontKey="{9AF4EB13-E133-46B7-808D-23E1E4A4C770}"/>
  </w:font>
  <w:font w:name="仿宋">
    <w:panose1 w:val="02010609060101010101"/>
    <w:charset w:val="86"/>
    <w:family w:val="auto"/>
    <w:pitch w:val="default"/>
    <w:sig w:usb0="800002BF" w:usb1="38CF7CFA" w:usb2="00000016" w:usb3="00000000" w:csb0="00040001" w:csb1="00000000"/>
    <w:embedRegular r:id="rId5" w:fontKey="{4EADCF9B-0078-41DC-81D3-4C7262D958E6}"/>
  </w:font>
  <w:font w:name="Cambria">
    <w:panose1 w:val="02040503050406030204"/>
    <w:charset w:val="00"/>
    <w:family w:val="roman"/>
    <w:pitch w:val="default"/>
    <w:sig w:usb0="E00006FF" w:usb1="420024FF" w:usb2="02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embedRegular r:id="rId6" w:fontKey="{A00C0954-CE24-4931-8172-D4A7F9CBDFF1}"/>
  </w:font>
  <w:font w:name="Wingdings 2">
    <w:panose1 w:val="05020102010507070707"/>
    <w:charset w:val="02"/>
    <w:family w:val="auto"/>
    <w:pitch w:val="default"/>
    <w:sig w:usb0="00000000" w:usb1="00000000" w:usb2="00000000" w:usb3="00000000" w:csb0="80000000" w:csb1="00000000"/>
    <w:embedRegular r:id="rId7" w:fontKey="{BE1C00C2-242E-4BFB-976E-6142B8928D2F}"/>
  </w:font>
  <w:font w:name="MingLiU_HKSCS">
    <w:altName w:val="PMingLiU-ExtB"/>
    <w:panose1 w:val="02020500000000000000"/>
    <w:charset w:val="88"/>
    <w:family w:val="roman"/>
    <w:pitch w:val="default"/>
    <w:sig w:usb0="00000000" w:usb1="00000000" w:usb2="00000016" w:usb3="00000000" w:csb0="00100001" w:csb1="00000000"/>
    <w:embedRegular r:id="rId8" w:fontKey="{6713EFC8-0CF4-4147-831E-98BFA1F98DF6}"/>
  </w:font>
  <w:font w:name="PMingLiU-ExtB">
    <w:panose1 w:val="02020500000000000000"/>
    <w:charset w:val="88"/>
    <w:family w:val="auto"/>
    <w:pitch w:val="default"/>
    <w:sig w:usb0="8000002F" w:usb1="02000008" w:usb2="00000000" w:usb3="00000000" w:csb0="00100001" w:csb1="00000000"/>
  </w:font>
  <w:font w:name="方正仿宋_GBK">
    <w:altName w:val="方正仿宋_GBK"/>
    <w:panose1 w:val="02000000000000000000"/>
    <w:charset w:val="86"/>
    <w:family w:val="script"/>
    <w:pitch w:val="default"/>
    <w:sig w:usb0="A00002BF" w:usb1="38CF7CFA" w:usb2="00082016" w:usb3="00000000" w:csb0="00040001" w:csb1="00000000"/>
    <w:embedRegular r:id="rId9" w:fontKey="{8E007328-416B-49DB-B82D-7F9DCDB2BCAE}"/>
  </w:font>
  <w:font w:name="Helvetica">
    <w:altName w:val="Arial"/>
    <w:panose1 w:val="020B0604020202020204"/>
    <w:charset w:val="00"/>
    <w:family w:val="swiss"/>
    <w:pitch w:val="default"/>
    <w:sig w:usb0="00000000" w:usb1="00000000" w:usb2="00000009" w:usb3="00000000" w:csb0="000001FF" w:csb1="00000000"/>
    <w:embedRegular r:id="rId10" w:fontKey="{9A144E24-F49E-49AA-8EE4-27D3C61E03C1}"/>
  </w:font>
  <w:font w:name="WPSEMBED6">
    <w:panose1 w:val="02000000000000000000"/>
    <w:charset w:val="86"/>
    <w:family w:val="auto"/>
    <w:pitch w:val="default"/>
    <w:sig w:usb0="A00002BF" w:usb1="38CF7CFA" w:usb2="00082016" w:usb3="00000000" w:csb0="00040001" w:csb1="00000000"/>
  </w:font>
  <w:font w:name="KSOF45024875">
    <w:panose1 w:val="02020500000000000000"/>
    <w:charset w:val="88"/>
    <w:family w:val="auto"/>
    <w:pitch w:val="default"/>
    <w:sig w:usb0="00000001" w:usb1="00000000" w:usb2="00000000" w:usb3="00000000" w:csb0="001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08F52">
    <w:pPr>
      <w:pStyle w:val="32"/>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8EEC8">
    <w:pPr>
      <w:pStyle w:val="32"/>
      <w:ind w:right="360"/>
      <w:jc w:val="both"/>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DD4A5">
    <w:pPr>
      <w:pStyle w:val="32"/>
      <w:framePr w:wrap="around" w:vAnchor="text" w:hAnchor="margin" w:xAlign="center" w:y="1"/>
      <w:rPr>
        <w:rStyle w:val="58"/>
      </w:rPr>
    </w:pPr>
    <w:r>
      <w:fldChar w:fldCharType="begin"/>
    </w:r>
    <w:r>
      <w:rPr>
        <w:rStyle w:val="58"/>
      </w:rPr>
      <w:instrText xml:space="preserve">PAGE  </w:instrText>
    </w:r>
    <w:r>
      <w:fldChar w:fldCharType="separate"/>
    </w:r>
    <w:r>
      <w:rPr>
        <w:rStyle w:val="58"/>
      </w:rPr>
      <w:t>5</w:t>
    </w:r>
    <w:r>
      <w:fldChar w:fldCharType="end"/>
    </w:r>
  </w:p>
  <w:p w14:paraId="1E63B504">
    <w:pPr>
      <w:pStyle w:val="32"/>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27137">
    <w:pPr>
      <w:pStyle w:val="32"/>
      <w:ind w:right="360"/>
      <w:jc w:val="both"/>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2044E">
    <w:pPr>
      <w:pStyle w:val="32"/>
      <w:framePr w:wrap="around" w:vAnchor="text" w:hAnchor="margin" w:xAlign="center" w:y="1"/>
      <w:rPr>
        <w:rStyle w:val="58"/>
      </w:rPr>
    </w:pPr>
    <w:r>
      <w:fldChar w:fldCharType="begin"/>
    </w:r>
    <w:r>
      <w:rPr>
        <w:rStyle w:val="58"/>
      </w:rPr>
      <w:instrText xml:space="preserve">PAGE  </w:instrText>
    </w:r>
    <w:r>
      <w:fldChar w:fldCharType="separate"/>
    </w:r>
    <w:r>
      <w:rPr>
        <w:rStyle w:val="58"/>
      </w:rPr>
      <w:t>5</w:t>
    </w:r>
    <w:r>
      <w:fldChar w:fldCharType="end"/>
    </w:r>
  </w:p>
  <w:p w14:paraId="16AFB0FE">
    <w:pPr>
      <w:pStyle w:val="32"/>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63A7C">
    <w:pPr>
      <w:pStyle w:val="32"/>
      <w:jc w:val="center"/>
      <w:rPr>
        <w:rFonts w:hint="eastAsia"/>
      </w:rPr>
    </w:pPr>
    <w:r>
      <w:fldChar w:fldCharType="begin"/>
    </w:r>
    <w:r>
      <w:instrText xml:space="preserve">PAGE   \* MERGEFORMAT</w:instrText>
    </w:r>
    <w:r>
      <w:fldChar w:fldCharType="separate"/>
    </w:r>
    <w:r>
      <w:rPr>
        <w:lang w:val="zh-CN"/>
      </w:rPr>
      <w:t>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301B">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60734">
    <w:pPr>
      <w:pStyle w:val="33"/>
      <w:jc w:val="left"/>
    </w:pPr>
    <w:r>
      <w:rPr>
        <w:rFonts w:hint="eastAsia"/>
      </w:rPr>
      <w:t xml:space="preserve">广西机电设备招标有限公司采购文件                                                               </w:t>
    </w:r>
  </w:p>
  <w:p w14:paraId="1BB64FB3">
    <w:pPr>
      <w:pStyle w:val="3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EC04D">
    <w:pPr>
      <w:pStyle w:val="33"/>
      <w:pBdr>
        <w:bottom w:val="single" w:color="auto" w:sz="6" w:space="0"/>
      </w:pBdr>
      <w:jc w:val="left"/>
    </w:pPr>
    <w:r>
      <w:rPr>
        <w:rFonts w:hint="eastAsia"/>
      </w:rPr>
      <w:t xml:space="preserve">广西机电设备招标有限公司采购文件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C95EE">
    <w:pPr>
      <w:pStyle w:val="33"/>
      <w:jc w:val="left"/>
    </w:pPr>
    <w:r>
      <w:rPr>
        <w:rFonts w:hint="eastAsia"/>
      </w:rPr>
      <w:t xml:space="preserve">广西机电设备招标有限公司采购文件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3F097">
    <w:pPr>
      <w:pStyle w:val="33"/>
      <w:jc w:val="left"/>
    </w:pPr>
    <w:r>
      <w:rPr>
        <w:rFonts w:hint="eastAsia"/>
      </w:rPr>
      <w:t xml:space="preserve">广西机电设备招标有限公司磋商文件                                                    </w:t>
    </w:r>
  </w:p>
  <w:p w14:paraId="1D3151A8">
    <w:pPr>
      <w:pStyle w:val="33"/>
      <w:pBdr>
        <w:bottom w:val="none" w:color="auto" w:sz="0" w:space="0"/>
      </w:pBdr>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18D97">
    <w:pPr>
      <w:pStyle w:val="33"/>
      <w:jc w:val="left"/>
    </w:pPr>
    <w:r>
      <w:rPr>
        <w:rFonts w:hint="eastAsia"/>
      </w:rPr>
      <w:t xml:space="preserve">广西机电设备招标有限公司采购文件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EEC5A">
    <w:pPr>
      <w:pStyle w:val="33"/>
      <w:jc w:val="left"/>
    </w:pPr>
    <w:r>
      <w:rPr>
        <w:rFonts w:hint="eastAsia"/>
      </w:rPr>
      <w:t xml:space="preserve">广西机电设备招标有限公司采购文件                                                           </w:t>
    </w:r>
  </w:p>
  <w:p w14:paraId="0A321C25">
    <w:pPr>
      <w:pStyle w:val="33"/>
      <w:pBdr>
        <w:bottom w:val="none" w:color="auto" w:sz="0" w:space="0"/>
      </w:pBdr>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AB53E">
    <w:pPr>
      <w:pStyle w:val="33"/>
      <w:jc w:val="left"/>
    </w:pPr>
    <w:r>
      <w:rPr>
        <w:rFonts w:hint="eastAsia"/>
      </w:rPr>
      <w:t xml:space="preserve">广西机电设备招标有限公司采购文件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A8AA1">
    <w:pPr>
      <w:pStyle w:val="33"/>
      <w:jc w:val="left"/>
    </w:pPr>
    <w:r>
      <w:rPr>
        <w:rFonts w:hint="eastAsia"/>
      </w:rPr>
      <w:t>广西机电设备招标有限公司磋商文件                                                     评审方法及评审标准</w:t>
    </w:r>
  </w:p>
  <w:p w14:paraId="07547209">
    <w:pPr>
      <w:pStyle w:val="33"/>
      <w:pBdr>
        <w:bottom w:val="none" w:color="auto" w:sz="0" w:space="0"/>
      </w:pBdr>
      <w:jc w:val="left"/>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90120">
    <w:pPr>
      <w:rPr>
        <w:sz w:val="18"/>
        <w:szCs w:val="18"/>
        <w:u w:val="single"/>
      </w:rPr>
    </w:pPr>
    <w:r>
      <w:rPr>
        <w:rFonts w:hint="eastAsia"/>
        <w:sz w:val="18"/>
        <w:szCs w:val="18"/>
        <w:u w:val="single"/>
      </w:rPr>
      <w:t xml:space="preserve">广西机电设备招标有限公司采购文件                      </w:t>
    </w:r>
    <w:r>
      <w:rPr>
        <w:sz w:val="18"/>
        <w:szCs w:val="18"/>
        <w:u w:val="single"/>
      </w:rPr>
      <w:t xml:space="preserve">             </w:t>
    </w:r>
    <w:r>
      <w:rPr>
        <w:rFonts w:hint="eastAsia"/>
        <w:sz w:val="18"/>
        <w:szCs w:val="18"/>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E8524"/>
    <w:multiLevelType w:val="singleLevel"/>
    <w:tmpl w:val="979E8524"/>
    <w:lvl w:ilvl="0" w:tentative="0">
      <w:start w:val="2"/>
      <w:numFmt w:val="decimal"/>
      <w:suff w:val="nothing"/>
      <w:lvlText w:val="（%1）"/>
      <w:lvlJc w:val="left"/>
    </w:lvl>
  </w:abstractNum>
  <w:abstractNum w:abstractNumId="1">
    <w:nsid w:val="BFFA26FE"/>
    <w:multiLevelType w:val="singleLevel"/>
    <w:tmpl w:val="BFFA26FE"/>
    <w:lvl w:ilvl="0" w:tentative="0">
      <w:start w:val="1"/>
      <w:numFmt w:val="decimal"/>
      <w:suff w:val="space"/>
      <w:lvlText w:val="（%1）"/>
      <w:lvlJc w:val="left"/>
    </w:lvl>
  </w:abstractNum>
  <w:abstractNum w:abstractNumId="2">
    <w:nsid w:val="EBFB9C56"/>
    <w:multiLevelType w:val="singleLevel"/>
    <w:tmpl w:val="EBFB9C56"/>
    <w:lvl w:ilvl="0" w:tentative="0">
      <w:start w:val="1"/>
      <w:numFmt w:val="decimal"/>
      <w:suff w:val="nothing"/>
      <w:lvlText w:val="（%1）"/>
      <w:lvlJc w:val="left"/>
    </w:lvl>
  </w:abstractNum>
  <w:abstractNum w:abstractNumId="3">
    <w:nsid w:val="00000001"/>
    <w:multiLevelType w:val="singleLevel"/>
    <w:tmpl w:val="00000001"/>
    <w:lvl w:ilvl="0" w:tentative="0">
      <w:start w:val="2"/>
      <w:numFmt w:val="decimal"/>
      <w:suff w:val="space"/>
      <w:lvlText w:val="%1."/>
      <w:lvlJc w:val="left"/>
      <w:pPr>
        <w:ind w:left="720" w:firstLine="0"/>
      </w:pPr>
    </w:lvl>
  </w:abstractNum>
  <w:abstractNum w:abstractNumId="4">
    <w:nsid w:val="331D25A3"/>
    <w:multiLevelType w:val="singleLevel"/>
    <w:tmpl w:val="331D25A3"/>
    <w:lvl w:ilvl="0" w:tentative="0">
      <w:start w:val="1"/>
      <w:numFmt w:val="decimal"/>
      <w:suff w:val="nothing"/>
      <w:lvlText w:val="（%1）"/>
      <w:lvlJc w:val="left"/>
    </w:lvl>
  </w:abstractNum>
  <w:abstractNum w:abstractNumId="5">
    <w:nsid w:val="6EDD6596"/>
    <w:multiLevelType w:val="singleLevel"/>
    <w:tmpl w:val="6EDD6596"/>
    <w:lvl w:ilvl="0" w:tentative="0">
      <w:start w:val="1"/>
      <w:numFmt w:val="decimal"/>
      <w:suff w:val="space"/>
      <w:lvlText w:val="%1."/>
      <w:lvlJc w:val="left"/>
    </w:lvl>
  </w:abstractNum>
  <w:abstractNum w:abstractNumId="6">
    <w:nsid w:val="7D335EFA"/>
    <w:multiLevelType w:val="multilevel"/>
    <w:tmpl w:val="7D335EFA"/>
    <w:lvl w:ilvl="0" w:tentative="0">
      <w:start w:val="1"/>
      <w:numFmt w:val="none"/>
      <w:suff w:val="nothing"/>
      <w:lvlText w:val=""/>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2"/>
  </w:num>
  <w:num w:numId="2">
    <w:abstractNumId w:val="0"/>
  </w:num>
  <w:num w:numId="3">
    <w:abstractNumId w:val="1"/>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0NTg3Njg0YjQ4NmUzYjk0MzI2OWM1NzY1OGJiYmEifQ=="/>
  </w:docVars>
  <w:rsids>
    <w:rsidRoot w:val="00172A27"/>
    <w:rsid w:val="000003EF"/>
    <w:rsid w:val="0000091B"/>
    <w:rsid w:val="00000D0A"/>
    <w:rsid w:val="00000D19"/>
    <w:rsid w:val="00000D8B"/>
    <w:rsid w:val="00000E1A"/>
    <w:rsid w:val="00001B3E"/>
    <w:rsid w:val="00001B8A"/>
    <w:rsid w:val="00001CD6"/>
    <w:rsid w:val="00002DDA"/>
    <w:rsid w:val="000030E9"/>
    <w:rsid w:val="00003DAE"/>
    <w:rsid w:val="00004D3E"/>
    <w:rsid w:val="000058D7"/>
    <w:rsid w:val="00005E55"/>
    <w:rsid w:val="00006E2C"/>
    <w:rsid w:val="000079FF"/>
    <w:rsid w:val="00007B0D"/>
    <w:rsid w:val="00007D2F"/>
    <w:rsid w:val="000102A9"/>
    <w:rsid w:val="000105E8"/>
    <w:rsid w:val="00011D72"/>
    <w:rsid w:val="00012078"/>
    <w:rsid w:val="00013748"/>
    <w:rsid w:val="00013D41"/>
    <w:rsid w:val="000143A3"/>
    <w:rsid w:val="00014DD6"/>
    <w:rsid w:val="0001598C"/>
    <w:rsid w:val="00015C2A"/>
    <w:rsid w:val="00016C31"/>
    <w:rsid w:val="000178A5"/>
    <w:rsid w:val="00017C54"/>
    <w:rsid w:val="0002040C"/>
    <w:rsid w:val="00020B37"/>
    <w:rsid w:val="00020BB1"/>
    <w:rsid w:val="00020BF0"/>
    <w:rsid w:val="0002150B"/>
    <w:rsid w:val="000215B7"/>
    <w:rsid w:val="000217BF"/>
    <w:rsid w:val="00021C98"/>
    <w:rsid w:val="00021CCD"/>
    <w:rsid w:val="00021EE3"/>
    <w:rsid w:val="00022132"/>
    <w:rsid w:val="000228AB"/>
    <w:rsid w:val="0002330D"/>
    <w:rsid w:val="000233CA"/>
    <w:rsid w:val="00023652"/>
    <w:rsid w:val="000240D4"/>
    <w:rsid w:val="0002424E"/>
    <w:rsid w:val="00024633"/>
    <w:rsid w:val="0002560A"/>
    <w:rsid w:val="00025DA0"/>
    <w:rsid w:val="0002696D"/>
    <w:rsid w:val="0002754D"/>
    <w:rsid w:val="00027666"/>
    <w:rsid w:val="000276B2"/>
    <w:rsid w:val="00027A46"/>
    <w:rsid w:val="00027AF3"/>
    <w:rsid w:val="00030024"/>
    <w:rsid w:val="00030124"/>
    <w:rsid w:val="000305FD"/>
    <w:rsid w:val="000306E8"/>
    <w:rsid w:val="0003084F"/>
    <w:rsid w:val="00030B45"/>
    <w:rsid w:val="00030C2F"/>
    <w:rsid w:val="00030DAA"/>
    <w:rsid w:val="000311F9"/>
    <w:rsid w:val="00031757"/>
    <w:rsid w:val="00032686"/>
    <w:rsid w:val="0003274B"/>
    <w:rsid w:val="00032AD8"/>
    <w:rsid w:val="000331CC"/>
    <w:rsid w:val="0003322E"/>
    <w:rsid w:val="00033927"/>
    <w:rsid w:val="00035840"/>
    <w:rsid w:val="00035844"/>
    <w:rsid w:val="00036BAA"/>
    <w:rsid w:val="000370C6"/>
    <w:rsid w:val="00037C63"/>
    <w:rsid w:val="00037CE4"/>
    <w:rsid w:val="00037E01"/>
    <w:rsid w:val="00040187"/>
    <w:rsid w:val="00040351"/>
    <w:rsid w:val="00040AC1"/>
    <w:rsid w:val="00040D93"/>
    <w:rsid w:val="000418B1"/>
    <w:rsid w:val="00042BF9"/>
    <w:rsid w:val="00043295"/>
    <w:rsid w:val="00043592"/>
    <w:rsid w:val="00043796"/>
    <w:rsid w:val="00044708"/>
    <w:rsid w:val="00045069"/>
    <w:rsid w:val="00045443"/>
    <w:rsid w:val="00045947"/>
    <w:rsid w:val="000462A8"/>
    <w:rsid w:val="00046360"/>
    <w:rsid w:val="00046485"/>
    <w:rsid w:val="0004653D"/>
    <w:rsid w:val="000465AB"/>
    <w:rsid w:val="000467A3"/>
    <w:rsid w:val="00046E59"/>
    <w:rsid w:val="000471CF"/>
    <w:rsid w:val="000472E6"/>
    <w:rsid w:val="000479CD"/>
    <w:rsid w:val="00047FD9"/>
    <w:rsid w:val="000500E6"/>
    <w:rsid w:val="000504FE"/>
    <w:rsid w:val="00050F9F"/>
    <w:rsid w:val="00052A50"/>
    <w:rsid w:val="00052C85"/>
    <w:rsid w:val="00053BFC"/>
    <w:rsid w:val="00053D00"/>
    <w:rsid w:val="0005428F"/>
    <w:rsid w:val="00054870"/>
    <w:rsid w:val="00054ABD"/>
    <w:rsid w:val="00054F7D"/>
    <w:rsid w:val="00055230"/>
    <w:rsid w:val="00055557"/>
    <w:rsid w:val="00055A8A"/>
    <w:rsid w:val="00055E6D"/>
    <w:rsid w:val="0005625F"/>
    <w:rsid w:val="0005649E"/>
    <w:rsid w:val="00056597"/>
    <w:rsid w:val="0005700C"/>
    <w:rsid w:val="00057393"/>
    <w:rsid w:val="00057E45"/>
    <w:rsid w:val="000606B6"/>
    <w:rsid w:val="0006192F"/>
    <w:rsid w:val="00061AB7"/>
    <w:rsid w:val="00061F82"/>
    <w:rsid w:val="00062637"/>
    <w:rsid w:val="000631AC"/>
    <w:rsid w:val="000631B7"/>
    <w:rsid w:val="000639D4"/>
    <w:rsid w:val="00064A48"/>
    <w:rsid w:val="00064C80"/>
    <w:rsid w:val="00065AB7"/>
    <w:rsid w:val="00065D71"/>
    <w:rsid w:val="00066111"/>
    <w:rsid w:val="000673D8"/>
    <w:rsid w:val="00067DD2"/>
    <w:rsid w:val="00067DE7"/>
    <w:rsid w:val="00067ED4"/>
    <w:rsid w:val="00070500"/>
    <w:rsid w:val="000706AC"/>
    <w:rsid w:val="00070950"/>
    <w:rsid w:val="000709D3"/>
    <w:rsid w:val="00070B1F"/>
    <w:rsid w:val="000712F8"/>
    <w:rsid w:val="00071587"/>
    <w:rsid w:val="00071A6A"/>
    <w:rsid w:val="00071C95"/>
    <w:rsid w:val="0007216A"/>
    <w:rsid w:val="00072A95"/>
    <w:rsid w:val="00072C12"/>
    <w:rsid w:val="000737A9"/>
    <w:rsid w:val="00074923"/>
    <w:rsid w:val="000750EA"/>
    <w:rsid w:val="00075DF5"/>
    <w:rsid w:val="00075E3B"/>
    <w:rsid w:val="00077698"/>
    <w:rsid w:val="00077891"/>
    <w:rsid w:val="0007797E"/>
    <w:rsid w:val="00077D86"/>
    <w:rsid w:val="0008017C"/>
    <w:rsid w:val="00080AA6"/>
    <w:rsid w:val="00081751"/>
    <w:rsid w:val="00081C1C"/>
    <w:rsid w:val="00082255"/>
    <w:rsid w:val="000822F0"/>
    <w:rsid w:val="00082611"/>
    <w:rsid w:val="0008264F"/>
    <w:rsid w:val="0008372E"/>
    <w:rsid w:val="00083A64"/>
    <w:rsid w:val="00083B97"/>
    <w:rsid w:val="00084575"/>
    <w:rsid w:val="00084AB1"/>
    <w:rsid w:val="00084F10"/>
    <w:rsid w:val="0008521D"/>
    <w:rsid w:val="00085A04"/>
    <w:rsid w:val="000866A9"/>
    <w:rsid w:val="00086EC2"/>
    <w:rsid w:val="00087358"/>
    <w:rsid w:val="000873F5"/>
    <w:rsid w:val="000900DF"/>
    <w:rsid w:val="00090193"/>
    <w:rsid w:val="0009021F"/>
    <w:rsid w:val="00091D8D"/>
    <w:rsid w:val="00091EDA"/>
    <w:rsid w:val="00092713"/>
    <w:rsid w:val="0009353F"/>
    <w:rsid w:val="00093DF8"/>
    <w:rsid w:val="000941F6"/>
    <w:rsid w:val="000945C5"/>
    <w:rsid w:val="00094ECF"/>
    <w:rsid w:val="0009592E"/>
    <w:rsid w:val="00095FB4"/>
    <w:rsid w:val="00096224"/>
    <w:rsid w:val="0009715C"/>
    <w:rsid w:val="000A10DB"/>
    <w:rsid w:val="000A1429"/>
    <w:rsid w:val="000A2968"/>
    <w:rsid w:val="000A29DC"/>
    <w:rsid w:val="000A3515"/>
    <w:rsid w:val="000A3518"/>
    <w:rsid w:val="000A487D"/>
    <w:rsid w:val="000A6F1D"/>
    <w:rsid w:val="000A70C7"/>
    <w:rsid w:val="000A7238"/>
    <w:rsid w:val="000A791D"/>
    <w:rsid w:val="000B09FE"/>
    <w:rsid w:val="000B15EF"/>
    <w:rsid w:val="000B26D6"/>
    <w:rsid w:val="000B316D"/>
    <w:rsid w:val="000B3194"/>
    <w:rsid w:val="000B33E8"/>
    <w:rsid w:val="000B3CFE"/>
    <w:rsid w:val="000B4164"/>
    <w:rsid w:val="000B4397"/>
    <w:rsid w:val="000B4EF3"/>
    <w:rsid w:val="000B554C"/>
    <w:rsid w:val="000B5D87"/>
    <w:rsid w:val="000B63FE"/>
    <w:rsid w:val="000B642F"/>
    <w:rsid w:val="000B6F18"/>
    <w:rsid w:val="000B7E6D"/>
    <w:rsid w:val="000C1414"/>
    <w:rsid w:val="000C350A"/>
    <w:rsid w:val="000C4988"/>
    <w:rsid w:val="000C591F"/>
    <w:rsid w:val="000C59D1"/>
    <w:rsid w:val="000C5FC6"/>
    <w:rsid w:val="000C60D0"/>
    <w:rsid w:val="000C7045"/>
    <w:rsid w:val="000C757A"/>
    <w:rsid w:val="000C7D9F"/>
    <w:rsid w:val="000C7DC8"/>
    <w:rsid w:val="000D0974"/>
    <w:rsid w:val="000D1B95"/>
    <w:rsid w:val="000D3613"/>
    <w:rsid w:val="000D3E1B"/>
    <w:rsid w:val="000D4061"/>
    <w:rsid w:val="000D471A"/>
    <w:rsid w:val="000D4860"/>
    <w:rsid w:val="000D48FB"/>
    <w:rsid w:val="000D4B4F"/>
    <w:rsid w:val="000D4EC1"/>
    <w:rsid w:val="000D4EF1"/>
    <w:rsid w:val="000D55FD"/>
    <w:rsid w:val="000D5F11"/>
    <w:rsid w:val="000D7588"/>
    <w:rsid w:val="000D7BE7"/>
    <w:rsid w:val="000E0106"/>
    <w:rsid w:val="000E01DF"/>
    <w:rsid w:val="000E14FC"/>
    <w:rsid w:val="000E16B2"/>
    <w:rsid w:val="000E173A"/>
    <w:rsid w:val="000E1C04"/>
    <w:rsid w:val="000E216E"/>
    <w:rsid w:val="000E2AD1"/>
    <w:rsid w:val="000E2D70"/>
    <w:rsid w:val="000E3898"/>
    <w:rsid w:val="000E3C38"/>
    <w:rsid w:val="000E3D2F"/>
    <w:rsid w:val="000E4712"/>
    <w:rsid w:val="000E612C"/>
    <w:rsid w:val="000E6CF4"/>
    <w:rsid w:val="000E6D38"/>
    <w:rsid w:val="000E72E7"/>
    <w:rsid w:val="000E72F6"/>
    <w:rsid w:val="000E75B3"/>
    <w:rsid w:val="000E763C"/>
    <w:rsid w:val="000E7CC8"/>
    <w:rsid w:val="000F03A5"/>
    <w:rsid w:val="000F10D4"/>
    <w:rsid w:val="000F1B78"/>
    <w:rsid w:val="000F1BF5"/>
    <w:rsid w:val="000F1F51"/>
    <w:rsid w:val="000F1FB0"/>
    <w:rsid w:val="000F2181"/>
    <w:rsid w:val="000F24AC"/>
    <w:rsid w:val="000F2F60"/>
    <w:rsid w:val="000F4B3A"/>
    <w:rsid w:val="000F5331"/>
    <w:rsid w:val="000F55C9"/>
    <w:rsid w:val="000F6242"/>
    <w:rsid w:val="000F6F32"/>
    <w:rsid w:val="000F708C"/>
    <w:rsid w:val="000F75A8"/>
    <w:rsid w:val="000F76E0"/>
    <w:rsid w:val="00100331"/>
    <w:rsid w:val="00100DD5"/>
    <w:rsid w:val="00101255"/>
    <w:rsid w:val="001016BB"/>
    <w:rsid w:val="0010251A"/>
    <w:rsid w:val="00102BC3"/>
    <w:rsid w:val="001033BA"/>
    <w:rsid w:val="00103458"/>
    <w:rsid w:val="001047E3"/>
    <w:rsid w:val="00104AFF"/>
    <w:rsid w:val="00105A06"/>
    <w:rsid w:val="001070CD"/>
    <w:rsid w:val="001076E0"/>
    <w:rsid w:val="001078F4"/>
    <w:rsid w:val="00110001"/>
    <w:rsid w:val="00110797"/>
    <w:rsid w:val="00110E81"/>
    <w:rsid w:val="00111ECD"/>
    <w:rsid w:val="001121DD"/>
    <w:rsid w:val="00112592"/>
    <w:rsid w:val="00112DBF"/>
    <w:rsid w:val="00113646"/>
    <w:rsid w:val="0011487E"/>
    <w:rsid w:val="00114BB0"/>
    <w:rsid w:val="00116258"/>
    <w:rsid w:val="0011630D"/>
    <w:rsid w:val="00117559"/>
    <w:rsid w:val="0012077F"/>
    <w:rsid w:val="00120813"/>
    <w:rsid w:val="0012099E"/>
    <w:rsid w:val="00120E60"/>
    <w:rsid w:val="0012130E"/>
    <w:rsid w:val="001213B0"/>
    <w:rsid w:val="00121724"/>
    <w:rsid w:val="00121741"/>
    <w:rsid w:val="00121832"/>
    <w:rsid w:val="0012235C"/>
    <w:rsid w:val="00122A75"/>
    <w:rsid w:val="00122D41"/>
    <w:rsid w:val="001241D1"/>
    <w:rsid w:val="00124985"/>
    <w:rsid w:val="00124A27"/>
    <w:rsid w:val="00125609"/>
    <w:rsid w:val="0012573D"/>
    <w:rsid w:val="0012598F"/>
    <w:rsid w:val="0012611E"/>
    <w:rsid w:val="00126655"/>
    <w:rsid w:val="00126707"/>
    <w:rsid w:val="001269E0"/>
    <w:rsid w:val="00126CE5"/>
    <w:rsid w:val="001303CD"/>
    <w:rsid w:val="00130612"/>
    <w:rsid w:val="00130C61"/>
    <w:rsid w:val="0013190A"/>
    <w:rsid w:val="00131C94"/>
    <w:rsid w:val="00131DE6"/>
    <w:rsid w:val="001326DF"/>
    <w:rsid w:val="00132AD8"/>
    <w:rsid w:val="00132CCE"/>
    <w:rsid w:val="00133884"/>
    <w:rsid w:val="00133D01"/>
    <w:rsid w:val="00133E50"/>
    <w:rsid w:val="001341B0"/>
    <w:rsid w:val="00134510"/>
    <w:rsid w:val="0013590D"/>
    <w:rsid w:val="00136073"/>
    <w:rsid w:val="001361F7"/>
    <w:rsid w:val="00136606"/>
    <w:rsid w:val="00136806"/>
    <w:rsid w:val="001369A6"/>
    <w:rsid w:val="00136BD6"/>
    <w:rsid w:val="00136DBC"/>
    <w:rsid w:val="00136F77"/>
    <w:rsid w:val="00137856"/>
    <w:rsid w:val="00137877"/>
    <w:rsid w:val="00137BD8"/>
    <w:rsid w:val="00140221"/>
    <w:rsid w:val="00140291"/>
    <w:rsid w:val="001404CD"/>
    <w:rsid w:val="001406D8"/>
    <w:rsid w:val="00140823"/>
    <w:rsid w:val="001422D4"/>
    <w:rsid w:val="00142632"/>
    <w:rsid w:val="0014309F"/>
    <w:rsid w:val="001442C2"/>
    <w:rsid w:val="001449E1"/>
    <w:rsid w:val="00144D5F"/>
    <w:rsid w:val="001454DB"/>
    <w:rsid w:val="0014560F"/>
    <w:rsid w:val="00145878"/>
    <w:rsid w:val="0014647C"/>
    <w:rsid w:val="00146D04"/>
    <w:rsid w:val="0014723D"/>
    <w:rsid w:val="00147916"/>
    <w:rsid w:val="0014795D"/>
    <w:rsid w:val="001479AA"/>
    <w:rsid w:val="00147F00"/>
    <w:rsid w:val="00150564"/>
    <w:rsid w:val="001506A7"/>
    <w:rsid w:val="00150882"/>
    <w:rsid w:val="00150A4A"/>
    <w:rsid w:val="001518B5"/>
    <w:rsid w:val="00151BBA"/>
    <w:rsid w:val="0015252D"/>
    <w:rsid w:val="00152656"/>
    <w:rsid w:val="00152C00"/>
    <w:rsid w:val="00152C2B"/>
    <w:rsid w:val="00152E98"/>
    <w:rsid w:val="00153084"/>
    <w:rsid w:val="00153A52"/>
    <w:rsid w:val="00154103"/>
    <w:rsid w:val="00154304"/>
    <w:rsid w:val="0015477A"/>
    <w:rsid w:val="00154F0A"/>
    <w:rsid w:val="0015516F"/>
    <w:rsid w:val="00156891"/>
    <w:rsid w:val="00156BA3"/>
    <w:rsid w:val="00156D2F"/>
    <w:rsid w:val="00157320"/>
    <w:rsid w:val="00157505"/>
    <w:rsid w:val="001579B9"/>
    <w:rsid w:val="001602EB"/>
    <w:rsid w:val="001610EB"/>
    <w:rsid w:val="001619B6"/>
    <w:rsid w:val="00161C1F"/>
    <w:rsid w:val="00161C2F"/>
    <w:rsid w:val="001620B6"/>
    <w:rsid w:val="00162664"/>
    <w:rsid w:val="001627CA"/>
    <w:rsid w:val="00163005"/>
    <w:rsid w:val="00163194"/>
    <w:rsid w:val="00163311"/>
    <w:rsid w:val="00163DB9"/>
    <w:rsid w:val="001642FB"/>
    <w:rsid w:val="00164475"/>
    <w:rsid w:val="00164F8F"/>
    <w:rsid w:val="0016529F"/>
    <w:rsid w:val="001658F5"/>
    <w:rsid w:val="00165F38"/>
    <w:rsid w:val="001661B8"/>
    <w:rsid w:val="00166237"/>
    <w:rsid w:val="0016644D"/>
    <w:rsid w:val="00166EE6"/>
    <w:rsid w:val="001672AF"/>
    <w:rsid w:val="00170A14"/>
    <w:rsid w:val="00170E8E"/>
    <w:rsid w:val="0017112B"/>
    <w:rsid w:val="001726CF"/>
    <w:rsid w:val="00172BAF"/>
    <w:rsid w:val="00172BD9"/>
    <w:rsid w:val="00172C93"/>
    <w:rsid w:val="00172EC0"/>
    <w:rsid w:val="00173191"/>
    <w:rsid w:val="001731C7"/>
    <w:rsid w:val="00173704"/>
    <w:rsid w:val="001737FE"/>
    <w:rsid w:val="0017426E"/>
    <w:rsid w:val="001742BE"/>
    <w:rsid w:val="001758FF"/>
    <w:rsid w:val="00176E50"/>
    <w:rsid w:val="0017723E"/>
    <w:rsid w:val="00177470"/>
    <w:rsid w:val="001775DA"/>
    <w:rsid w:val="00177AD0"/>
    <w:rsid w:val="001810F6"/>
    <w:rsid w:val="00181135"/>
    <w:rsid w:val="00181C0B"/>
    <w:rsid w:val="00182382"/>
    <w:rsid w:val="00182DF8"/>
    <w:rsid w:val="00182FF0"/>
    <w:rsid w:val="00183F76"/>
    <w:rsid w:val="001844C2"/>
    <w:rsid w:val="00185C66"/>
    <w:rsid w:val="00185C84"/>
    <w:rsid w:val="00187892"/>
    <w:rsid w:val="00187DFB"/>
    <w:rsid w:val="00187FF5"/>
    <w:rsid w:val="00190463"/>
    <w:rsid w:val="00191435"/>
    <w:rsid w:val="00192213"/>
    <w:rsid w:val="001927A2"/>
    <w:rsid w:val="001927AF"/>
    <w:rsid w:val="0019335B"/>
    <w:rsid w:val="0019423A"/>
    <w:rsid w:val="00195648"/>
    <w:rsid w:val="001959DC"/>
    <w:rsid w:val="00195F44"/>
    <w:rsid w:val="00196019"/>
    <w:rsid w:val="00196C83"/>
    <w:rsid w:val="00196E92"/>
    <w:rsid w:val="001A0896"/>
    <w:rsid w:val="001A2362"/>
    <w:rsid w:val="001A3116"/>
    <w:rsid w:val="001A315B"/>
    <w:rsid w:val="001A3856"/>
    <w:rsid w:val="001A3C38"/>
    <w:rsid w:val="001A3F6D"/>
    <w:rsid w:val="001A4C94"/>
    <w:rsid w:val="001A4E6D"/>
    <w:rsid w:val="001A5DA1"/>
    <w:rsid w:val="001A6E3F"/>
    <w:rsid w:val="001A6EBA"/>
    <w:rsid w:val="001A70D4"/>
    <w:rsid w:val="001A775C"/>
    <w:rsid w:val="001A7CBA"/>
    <w:rsid w:val="001B02BE"/>
    <w:rsid w:val="001B1736"/>
    <w:rsid w:val="001B1AE6"/>
    <w:rsid w:val="001B32D3"/>
    <w:rsid w:val="001B32E4"/>
    <w:rsid w:val="001B35B1"/>
    <w:rsid w:val="001B3778"/>
    <w:rsid w:val="001B3E30"/>
    <w:rsid w:val="001B4794"/>
    <w:rsid w:val="001B4B55"/>
    <w:rsid w:val="001B4ED3"/>
    <w:rsid w:val="001B50CC"/>
    <w:rsid w:val="001B5355"/>
    <w:rsid w:val="001B6049"/>
    <w:rsid w:val="001B60D4"/>
    <w:rsid w:val="001B6482"/>
    <w:rsid w:val="001B7014"/>
    <w:rsid w:val="001B76D5"/>
    <w:rsid w:val="001B7C32"/>
    <w:rsid w:val="001B7CBF"/>
    <w:rsid w:val="001C0279"/>
    <w:rsid w:val="001C0352"/>
    <w:rsid w:val="001C148A"/>
    <w:rsid w:val="001C15DB"/>
    <w:rsid w:val="001C1814"/>
    <w:rsid w:val="001C1A4B"/>
    <w:rsid w:val="001C3D80"/>
    <w:rsid w:val="001C405C"/>
    <w:rsid w:val="001C4361"/>
    <w:rsid w:val="001C51A3"/>
    <w:rsid w:val="001C5358"/>
    <w:rsid w:val="001C56D1"/>
    <w:rsid w:val="001C6921"/>
    <w:rsid w:val="001C7A8C"/>
    <w:rsid w:val="001C7DB6"/>
    <w:rsid w:val="001D04A2"/>
    <w:rsid w:val="001D15D9"/>
    <w:rsid w:val="001D23EF"/>
    <w:rsid w:val="001D23F7"/>
    <w:rsid w:val="001D3534"/>
    <w:rsid w:val="001D40F4"/>
    <w:rsid w:val="001D537F"/>
    <w:rsid w:val="001D5BDC"/>
    <w:rsid w:val="001D6910"/>
    <w:rsid w:val="001D723E"/>
    <w:rsid w:val="001D746C"/>
    <w:rsid w:val="001D7681"/>
    <w:rsid w:val="001E131D"/>
    <w:rsid w:val="001E1FA3"/>
    <w:rsid w:val="001E21AC"/>
    <w:rsid w:val="001E24A4"/>
    <w:rsid w:val="001E2754"/>
    <w:rsid w:val="001E28CC"/>
    <w:rsid w:val="001E2EC4"/>
    <w:rsid w:val="001E321D"/>
    <w:rsid w:val="001E3451"/>
    <w:rsid w:val="001E38B1"/>
    <w:rsid w:val="001E3991"/>
    <w:rsid w:val="001E478C"/>
    <w:rsid w:val="001E4C00"/>
    <w:rsid w:val="001E4D12"/>
    <w:rsid w:val="001E4D56"/>
    <w:rsid w:val="001E4DF5"/>
    <w:rsid w:val="001E5E13"/>
    <w:rsid w:val="001E63D0"/>
    <w:rsid w:val="001E72E0"/>
    <w:rsid w:val="001E76D5"/>
    <w:rsid w:val="001F0064"/>
    <w:rsid w:val="001F02AE"/>
    <w:rsid w:val="001F03EF"/>
    <w:rsid w:val="001F0487"/>
    <w:rsid w:val="001F0F38"/>
    <w:rsid w:val="001F16DF"/>
    <w:rsid w:val="001F1960"/>
    <w:rsid w:val="001F1E4A"/>
    <w:rsid w:val="001F3706"/>
    <w:rsid w:val="001F3995"/>
    <w:rsid w:val="001F3BF9"/>
    <w:rsid w:val="001F3DAE"/>
    <w:rsid w:val="001F4685"/>
    <w:rsid w:val="001F4A98"/>
    <w:rsid w:val="001F5245"/>
    <w:rsid w:val="001F55F3"/>
    <w:rsid w:val="001F6159"/>
    <w:rsid w:val="001F6680"/>
    <w:rsid w:val="001F6B74"/>
    <w:rsid w:val="001F6FB6"/>
    <w:rsid w:val="001F740D"/>
    <w:rsid w:val="001F792F"/>
    <w:rsid w:val="001F7AC9"/>
    <w:rsid w:val="001F7B9E"/>
    <w:rsid w:val="001F7BE1"/>
    <w:rsid w:val="001F7C97"/>
    <w:rsid w:val="0020095B"/>
    <w:rsid w:val="00200A84"/>
    <w:rsid w:val="002014F7"/>
    <w:rsid w:val="00201CB4"/>
    <w:rsid w:val="00201ED0"/>
    <w:rsid w:val="00201FFC"/>
    <w:rsid w:val="00202576"/>
    <w:rsid w:val="00202B50"/>
    <w:rsid w:val="00202EF9"/>
    <w:rsid w:val="00203041"/>
    <w:rsid w:val="00203204"/>
    <w:rsid w:val="00203236"/>
    <w:rsid w:val="002036E8"/>
    <w:rsid w:val="00203946"/>
    <w:rsid w:val="00203B3F"/>
    <w:rsid w:val="002045CB"/>
    <w:rsid w:val="002048AD"/>
    <w:rsid w:val="0020494A"/>
    <w:rsid w:val="00204AF8"/>
    <w:rsid w:val="002051F7"/>
    <w:rsid w:val="002052C4"/>
    <w:rsid w:val="0020531C"/>
    <w:rsid w:val="00205EF5"/>
    <w:rsid w:val="002062B5"/>
    <w:rsid w:val="002067D2"/>
    <w:rsid w:val="0020708A"/>
    <w:rsid w:val="00207642"/>
    <w:rsid w:val="00207F6A"/>
    <w:rsid w:val="00207F97"/>
    <w:rsid w:val="00210256"/>
    <w:rsid w:val="00210394"/>
    <w:rsid w:val="0021076E"/>
    <w:rsid w:val="00210B83"/>
    <w:rsid w:val="00210E82"/>
    <w:rsid w:val="00212B08"/>
    <w:rsid w:val="00213289"/>
    <w:rsid w:val="00213825"/>
    <w:rsid w:val="00214189"/>
    <w:rsid w:val="00214ADD"/>
    <w:rsid w:val="0021525B"/>
    <w:rsid w:val="0021565D"/>
    <w:rsid w:val="00216998"/>
    <w:rsid w:val="00216B19"/>
    <w:rsid w:val="00216CCC"/>
    <w:rsid w:val="00216E16"/>
    <w:rsid w:val="0021738B"/>
    <w:rsid w:val="002176D8"/>
    <w:rsid w:val="00220082"/>
    <w:rsid w:val="002203BD"/>
    <w:rsid w:val="0022040C"/>
    <w:rsid w:val="0022054A"/>
    <w:rsid w:val="00220771"/>
    <w:rsid w:val="00220776"/>
    <w:rsid w:val="00220C7C"/>
    <w:rsid w:val="002221C3"/>
    <w:rsid w:val="002223BA"/>
    <w:rsid w:val="0022299A"/>
    <w:rsid w:val="00222B91"/>
    <w:rsid w:val="002230FD"/>
    <w:rsid w:val="002232B3"/>
    <w:rsid w:val="002242A5"/>
    <w:rsid w:val="002242DB"/>
    <w:rsid w:val="00224756"/>
    <w:rsid w:val="00224878"/>
    <w:rsid w:val="0022514D"/>
    <w:rsid w:val="00225CEE"/>
    <w:rsid w:val="00226447"/>
    <w:rsid w:val="002266DB"/>
    <w:rsid w:val="002267DA"/>
    <w:rsid w:val="00226894"/>
    <w:rsid w:val="002268B0"/>
    <w:rsid w:val="00227577"/>
    <w:rsid w:val="002277E9"/>
    <w:rsid w:val="00227BB3"/>
    <w:rsid w:val="002303A6"/>
    <w:rsid w:val="0023069A"/>
    <w:rsid w:val="00230894"/>
    <w:rsid w:val="002308E9"/>
    <w:rsid w:val="00231442"/>
    <w:rsid w:val="00231B36"/>
    <w:rsid w:val="00231F9E"/>
    <w:rsid w:val="00232498"/>
    <w:rsid w:val="0023254E"/>
    <w:rsid w:val="00232918"/>
    <w:rsid w:val="00233114"/>
    <w:rsid w:val="0023350C"/>
    <w:rsid w:val="002336EE"/>
    <w:rsid w:val="00233D53"/>
    <w:rsid w:val="00233E70"/>
    <w:rsid w:val="00234281"/>
    <w:rsid w:val="00234A21"/>
    <w:rsid w:val="00234F9A"/>
    <w:rsid w:val="00234FD3"/>
    <w:rsid w:val="0023515B"/>
    <w:rsid w:val="00236B90"/>
    <w:rsid w:val="002371BF"/>
    <w:rsid w:val="00237A87"/>
    <w:rsid w:val="002404C3"/>
    <w:rsid w:val="00241129"/>
    <w:rsid w:val="002417E9"/>
    <w:rsid w:val="00241840"/>
    <w:rsid w:val="00241C36"/>
    <w:rsid w:val="002422D1"/>
    <w:rsid w:val="002427EB"/>
    <w:rsid w:val="002427F0"/>
    <w:rsid w:val="002428BD"/>
    <w:rsid w:val="00242E09"/>
    <w:rsid w:val="002432B7"/>
    <w:rsid w:val="002440B2"/>
    <w:rsid w:val="00244CC2"/>
    <w:rsid w:val="00245019"/>
    <w:rsid w:val="002452D5"/>
    <w:rsid w:val="002458CE"/>
    <w:rsid w:val="0024635A"/>
    <w:rsid w:val="0024638F"/>
    <w:rsid w:val="00246513"/>
    <w:rsid w:val="00246B1D"/>
    <w:rsid w:val="00247BDE"/>
    <w:rsid w:val="002507C4"/>
    <w:rsid w:val="00250B11"/>
    <w:rsid w:val="00251257"/>
    <w:rsid w:val="00251EB3"/>
    <w:rsid w:val="00252159"/>
    <w:rsid w:val="002531E5"/>
    <w:rsid w:val="0025329B"/>
    <w:rsid w:val="002538BA"/>
    <w:rsid w:val="00253EC4"/>
    <w:rsid w:val="0025418A"/>
    <w:rsid w:val="00254240"/>
    <w:rsid w:val="002545D0"/>
    <w:rsid w:val="00255255"/>
    <w:rsid w:val="00255BC2"/>
    <w:rsid w:val="00256113"/>
    <w:rsid w:val="00256539"/>
    <w:rsid w:val="00256DEA"/>
    <w:rsid w:val="00257C49"/>
    <w:rsid w:val="00260271"/>
    <w:rsid w:val="0026072F"/>
    <w:rsid w:val="00260952"/>
    <w:rsid w:val="00261192"/>
    <w:rsid w:val="00261A11"/>
    <w:rsid w:val="00261CB5"/>
    <w:rsid w:val="002625F2"/>
    <w:rsid w:val="00262F10"/>
    <w:rsid w:val="0026323A"/>
    <w:rsid w:val="00263413"/>
    <w:rsid w:val="0026431A"/>
    <w:rsid w:val="002644A4"/>
    <w:rsid w:val="00265066"/>
    <w:rsid w:val="00265238"/>
    <w:rsid w:val="00265C93"/>
    <w:rsid w:val="00265F00"/>
    <w:rsid w:val="00266300"/>
    <w:rsid w:val="00266BD0"/>
    <w:rsid w:val="002675AE"/>
    <w:rsid w:val="00267702"/>
    <w:rsid w:val="002700AA"/>
    <w:rsid w:val="002708B2"/>
    <w:rsid w:val="00270B46"/>
    <w:rsid w:val="00271150"/>
    <w:rsid w:val="00273F48"/>
    <w:rsid w:val="002747CC"/>
    <w:rsid w:val="00274830"/>
    <w:rsid w:val="00274DF9"/>
    <w:rsid w:val="00275170"/>
    <w:rsid w:val="00275A41"/>
    <w:rsid w:val="00275D77"/>
    <w:rsid w:val="0027695D"/>
    <w:rsid w:val="002778F2"/>
    <w:rsid w:val="00277F52"/>
    <w:rsid w:val="002809A3"/>
    <w:rsid w:val="00281979"/>
    <w:rsid w:val="00281E85"/>
    <w:rsid w:val="00282B8A"/>
    <w:rsid w:val="002837F8"/>
    <w:rsid w:val="00283ACF"/>
    <w:rsid w:val="00283C99"/>
    <w:rsid w:val="0028473D"/>
    <w:rsid w:val="00284850"/>
    <w:rsid w:val="00284D22"/>
    <w:rsid w:val="00285326"/>
    <w:rsid w:val="00285587"/>
    <w:rsid w:val="00285A10"/>
    <w:rsid w:val="00285DE8"/>
    <w:rsid w:val="00286213"/>
    <w:rsid w:val="0029007B"/>
    <w:rsid w:val="00290891"/>
    <w:rsid w:val="00291493"/>
    <w:rsid w:val="00291DA9"/>
    <w:rsid w:val="00292608"/>
    <w:rsid w:val="00292773"/>
    <w:rsid w:val="002927AC"/>
    <w:rsid w:val="0029469F"/>
    <w:rsid w:val="00295405"/>
    <w:rsid w:val="002954FB"/>
    <w:rsid w:val="00295DF7"/>
    <w:rsid w:val="0029618D"/>
    <w:rsid w:val="002965BA"/>
    <w:rsid w:val="00296814"/>
    <w:rsid w:val="00296D06"/>
    <w:rsid w:val="002970BE"/>
    <w:rsid w:val="0029716C"/>
    <w:rsid w:val="002A0DD4"/>
    <w:rsid w:val="002A2537"/>
    <w:rsid w:val="002A2AB8"/>
    <w:rsid w:val="002A2B8E"/>
    <w:rsid w:val="002A30E1"/>
    <w:rsid w:val="002A3E01"/>
    <w:rsid w:val="002A50ED"/>
    <w:rsid w:val="002A5126"/>
    <w:rsid w:val="002A5536"/>
    <w:rsid w:val="002A560A"/>
    <w:rsid w:val="002A5774"/>
    <w:rsid w:val="002A5948"/>
    <w:rsid w:val="002A5A54"/>
    <w:rsid w:val="002A5C00"/>
    <w:rsid w:val="002A64F2"/>
    <w:rsid w:val="002A6590"/>
    <w:rsid w:val="002A6F79"/>
    <w:rsid w:val="002A7478"/>
    <w:rsid w:val="002A7B26"/>
    <w:rsid w:val="002B01AD"/>
    <w:rsid w:val="002B047F"/>
    <w:rsid w:val="002B1791"/>
    <w:rsid w:val="002B1FDA"/>
    <w:rsid w:val="002B2B0C"/>
    <w:rsid w:val="002B2D78"/>
    <w:rsid w:val="002B32C9"/>
    <w:rsid w:val="002B3736"/>
    <w:rsid w:val="002B4054"/>
    <w:rsid w:val="002B46FF"/>
    <w:rsid w:val="002B497D"/>
    <w:rsid w:val="002B4A06"/>
    <w:rsid w:val="002B4D0E"/>
    <w:rsid w:val="002B542A"/>
    <w:rsid w:val="002B5495"/>
    <w:rsid w:val="002B54C5"/>
    <w:rsid w:val="002B55E5"/>
    <w:rsid w:val="002B612D"/>
    <w:rsid w:val="002B653E"/>
    <w:rsid w:val="002B6703"/>
    <w:rsid w:val="002B6D69"/>
    <w:rsid w:val="002B6F67"/>
    <w:rsid w:val="002B7411"/>
    <w:rsid w:val="002B7B88"/>
    <w:rsid w:val="002B7F1B"/>
    <w:rsid w:val="002B7F30"/>
    <w:rsid w:val="002B7F5B"/>
    <w:rsid w:val="002C0083"/>
    <w:rsid w:val="002C032E"/>
    <w:rsid w:val="002C081A"/>
    <w:rsid w:val="002C108A"/>
    <w:rsid w:val="002C1553"/>
    <w:rsid w:val="002C2CCD"/>
    <w:rsid w:val="002C2F7F"/>
    <w:rsid w:val="002C2FB4"/>
    <w:rsid w:val="002C2FD3"/>
    <w:rsid w:val="002C3683"/>
    <w:rsid w:val="002C369F"/>
    <w:rsid w:val="002C41BC"/>
    <w:rsid w:val="002C6751"/>
    <w:rsid w:val="002C6DC2"/>
    <w:rsid w:val="002C6DDA"/>
    <w:rsid w:val="002C713E"/>
    <w:rsid w:val="002D053D"/>
    <w:rsid w:val="002D0A97"/>
    <w:rsid w:val="002D0B99"/>
    <w:rsid w:val="002D10FA"/>
    <w:rsid w:val="002D1936"/>
    <w:rsid w:val="002D1CE8"/>
    <w:rsid w:val="002D2FB2"/>
    <w:rsid w:val="002D337C"/>
    <w:rsid w:val="002D3782"/>
    <w:rsid w:val="002D3EBD"/>
    <w:rsid w:val="002D48E6"/>
    <w:rsid w:val="002D5B16"/>
    <w:rsid w:val="002D6AAE"/>
    <w:rsid w:val="002D769A"/>
    <w:rsid w:val="002D7789"/>
    <w:rsid w:val="002D77B7"/>
    <w:rsid w:val="002D7CC4"/>
    <w:rsid w:val="002D7DBC"/>
    <w:rsid w:val="002E0C21"/>
    <w:rsid w:val="002E0FA4"/>
    <w:rsid w:val="002E192A"/>
    <w:rsid w:val="002E1AE0"/>
    <w:rsid w:val="002E2471"/>
    <w:rsid w:val="002E2B84"/>
    <w:rsid w:val="002E2C75"/>
    <w:rsid w:val="002E2DD9"/>
    <w:rsid w:val="002E300A"/>
    <w:rsid w:val="002E3543"/>
    <w:rsid w:val="002E3B50"/>
    <w:rsid w:val="002E3B82"/>
    <w:rsid w:val="002E3C95"/>
    <w:rsid w:val="002E40D7"/>
    <w:rsid w:val="002E4BB3"/>
    <w:rsid w:val="002E56CE"/>
    <w:rsid w:val="002E59BE"/>
    <w:rsid w:val="002E5F0D"/>
    <w:rsid w:val="002E6EE7"/>
    <w:rsid w:val="002E758B"/>
    <w:rsid w:val="002F07FF"/>
    <w:rsid w:val="002F0C6B"/>
    <w:rsid w:val="002F1CD0"/>
    <w:rsid w:val="002F1D5C"/>
    <w:rsid w:val="002F207F"/>
    <w:rsid w:val="002F24AF"/>
    <w:rsid w:val="002F32ED"/>
    <w:rsid w:val="002F34EA"/>
    <w:rsid w:val="002F3799"/>
    <w:rsid w:val="002F43B6"/>
    <w:rsid w:val="002F49F9"/>
    <w:rsid w:val="002F515D"/>
    <w:rsid w:val="002F594A"/>
    <w:rsid w:val="002F6291"/>
    <w:rsid w:val="002F6673"/>
    <w:rsid w:val="002F66DB"/>
    <w:rsid w:val="002F6DBD"/>
    <w:rsid w:val="002F7256"/>
    <w:rsid w:val="002F74B2"/>
    <w:rsid w:val="002F7EB8"/>
    <w:rsid w:val="0030086D"/>
    <w:rsid w:val="00300D86"/>
    <w:rsid w:val="003016E9"/>
    <w:rsid w:val="003017E1"/>
    <w:rsid w:val="00302F6A"/>
    <w:rsid w:val="00303B54"/>
    <w:rsid w:val="003040C0"/>
    <w:rsid w:val="00305CC7"/>
    <w:rsid w:val="00305F62"/>
    <w:rsid w:val="0030688B"/>
    <w:rsid w:val="00306A10"/>
    <w:rsid w:val="003074FD"/>
    <w:rsid w:val="00307A2D"/>
    <w:rsid w:val="00310204"/>
    <w:rsid w:val="00310272"/>
    <w:rsid w:val="00310D86"/>
    <w:rsid w:val="00310F34"/>
    <w:rsid w:val="00311FC0"/>
    <w:rsid w:val="00312321"/>
    <w:rsid w:val="00312AF6"/>
    <w:rsid w:val="00312CB7"/>
    <w:rsid w:val="00312E68"/>
    <w:rsid w:val="0031351A"/>
    <w:rsid w:val="003161E5"/>
    <w:rsid w:val="0031654B"/>
    <w:rsid w:val="00316C18"/>
    <w:rsid w:val="00317071"/>
    <w:rsid w:val="003170F2"/>
    <w:rsid w:val="00320199"/>
    <w:rsid w:val="003204DA"/>
    <w:rsid w:val="00320582"/>
    <w:rsid w:val="003206BE"/>
    <w:rsid w:val="00321282"/>
    <w:rsid w:val="0032130E"/>
    <w:rsid w:val="0032187E"/>
    <w:rsid w:val="003218EA"/>
    <w:rsid w:val="00321F93"/>
    <w:rsid w:val="0032278A"/>
    <w:rsid w:val="0032279E"/>
    <w:rsid w:val="00322A25"/>
    <w:rsid w:val="0032318E"/>
    <w:rsid w:val="00323440"/>
    <w:rsid w:val="00323480"/>
    <w:rsid w:val="00324A14"/>
    <w:rsid w:val="00325085"/>
    <w:rsid w:val="00325665"/>
    <w:rsid w:val="00325668"/>
    <w:rsid w:val="003262AB"/>
    <w:rsid w:val="0032659C"/>
    <w:rsid w:val="00326D8F"/>
    <w:rsid w:val="00327292"/>
    <w:rsid w:val="003272FD"/>
    <w:rsid w:val="0032744E"/>
    <w:rsid w:val="00327480"/>
    <w:rsid w:val="0032757F"/>
    <w:rsid w:val="00330A37"/>
    <w:rsid w:val="00330B81"/>
    <w:rsid w:val="00332C4C"/>
    <w:rsid w:val="003332AB"/>
    <w:rsid w:val="00333A15"/>
    <w:rsid w:val="00333A6D"/>
    <w:rsid w:val="00333EC2"/>
    <w:rsid w:val="00333F1D"/>
    <w:rsid w:val="00335776"/>
    <w:rsid w:val="00336075"/>
    <w:rsid w:val="003374B9"/>
    <w:rsid w:val="003375AB"/>
    <w:rsid w:val="003378B1"/>
    <w:rsid w:val="003408E2"/>
    <w:rsid w:val="003415A2"/>
    <w:rsid w:val="0034312D"/>
    <w:rsid w:val="0034330F"/>
    <w:rsid w:val="00343669"/>
    <w:rsid w:val="00343C67"/>
    <w:rsid w:val="0034413A"/>
    <w:rsid w:val="0034446D"/>
    <w:rsid w:val="00344BA3"/>
    <w:rsid w:val="00344BDC"/>
    <w:rsid w:val="00344D5E"/>
    <w:rsid w:val="00345475"/>
    <w:rsid w:val="00345FC8"/>
    <w:rsid w:val="003467F2"/>
    <w:rsid w:val="00346844"/>
    <w:rsid w:val="00346945"/>
    <w:rsid w:val="00346AE5"/>
    <w:rsid w:val="00346C56"/>
    <w:rsid w:val="00347782"/>
    <w:rsid w:val="00347D51"/>
    <w:rsid w:val="00347E11"/>
    <w:rsid w:val="003500C9"/>
    <w:rsid w:val="00350268"/>
    <w:rsid w:val="00350594"/>
    <w:rsid w:val="003508FB"/>
    <w:rsid w:val="00350C4A"/>
    <w:rsid w:val="003518DC"/>
    <w:rsid w:val="00352542"/>
    <w:rsid w:val="0035269B"/>
    <w:rsid w:val="00352F72"/>
    <w:rsid w:val="00353202"/>
    <w:rsid w:val="0035326A"/>
    <w:rsid w:val="0035327A"/>
    <w:rsid w:val="003534CB"/>
    <w:rsid w:val="00353FC5"/>
    <w:rsid w:val="00354112"/>
    <w:rsid w:val="00354407"/>
    <w:rsid w:val="00354730"/>
    <w:rsid w:val="00354CDA"/>
    <w:rsid w:val="003555CF"/>
    <w:rsid w:val="00355B59"/>
    <w:rsid w:val="0035620E"/>
    <w:rsid w:val="003564B6"/>
    <w:rsid w:val="0035659C"/>
    <w:rsid w:val="0035669E"/>
    <w:rsid w:val="00356C67"/>
    <w:rsid w:val="003574FA"/>
    <w:rsid w:val="00357700"/>
    <w:rsid w:val="00357C05"/>
    <w:rsid w:val="00357DE5"/>
    <w:rsid w:val="00360509"/>
    <w:rsid w:val="0036056F"/>
    <w:rsid w:val="0036071E"/>
    <w:rsid w:val="00360E9D"/>
    <w:rsid w:val="0036171C"/>
    <w:rsid w:val="00362E59"/>
    <w:rsid w:val="00363B12"/>
    <w:rsid w:val="0036402D"/>
    <w:rsid w:val="0036423C"/>
    <w:rsid w:val="003648BB"/>
    <w:rsid w:val="003649CB"/>
    <w:rsid w:val="00364D59"/>
    <w:rsid w:val="003654BE"/>
    <w:rsid w:val="003654DD"/>
    <w:rsid w:val="00365D2E"/>
    <w:rsid w:val="00365DBB"/>
    <w:rsid w:val="00366EE9"/>
    <w:rsid w:val="00367202"/>
    <w:rsid w:val="003673E6"/>
    <w:rsid w:val="003675F0"/>
    <w:rsid w:val="00367A90"/>
    <w:rsid w:val="003703EC"/>
    <w:rsid w:val="00370963"/>
    <w:rsid w:val="00371009"/>
    <w:rsid w:val="00371BC4"/>
    <w:rsid w:val="003722E8"/>
    <w:rsid w:val="00372733"/>
    <w:rsid w:val="0037280D"/>
    <w:rsid w:val="003728E1"/>
    <w:rsid w:val="00372968"/>
    <w:rsid w:val="00372C4C"/>
    <w:rsid w:val="00373496"/>
    <w:rsid w:val="003736A7"/>
    <w:rsid w:val="00373B43"/>
    <w:rsid w:val="00373B9D"/>
    <w:rsid w:val="00373E1B"/>
    <w:rsid w:val="00374508"/>
    <w:rsid w:val="003745D0"/>
    <w:rsid w:val="003748B9"/>
    <w:rsid w:val="00374FD6"/>
    <w:rsid w:val="00375B8A"/>
    <w:rsid w:val="00375E04"/>
    <w:rsid w:val="0037642E"/>
    <w:rsid w:val="003776AD"/>
    <w:rsid w:val="00377D45"/>
    <w:rsid w:val="003801DC"/>
    <w:rsid w:val="00380720"/>
    <w:rsid w:val="00380E15"/>
    <w:rsid w:val="00380F51"/>
    <w:rsid w:val="00381301"/>
    <w:rsid w:val="003817B5"/>
    <w:rsid w:val="00381993"/>
    <w:rsid w:val="00381B3A"/>
    <w:rsid w:val="00381F75"/>
    <w:rsid w:val="0038248C"/>
    <w:rsid w:val="003829A5"/>
    <w:rsid w:val="00383E24"/>
    <w:rsid w:val="00384837"/>
    <w:rsid w:val="00384A4B"/>
    <w:rsid w:val="00384C2C"/>
    <w:rsid w:val="00384CEB"/>
    <w:rsid w:val="003856C6"/>
    <w:rsid w:val="00385E25"/>
    <w:rsid w:val="00385E50"/>
    <w:rsid w:val="0038685F"/>
    <w:rsid w:val="00386B43"/>
    <w:rsid w:val="00386B52"/>
    <w:rsid w:val="00386CBA"/>
    <w:rsid w:val="00386FC4"/>
    <w:rsid w:val="00391901"/>
    <w:rsid w:val="00391AC1"/>
    <w:rsid w:val="00391B2B"/>
    <w:rsid w:val="003923E6"/>
    <w:rsid w:val="003930D6"/>
    <w:rsid w:val="003934D5"/>
    <w:rsid w:val="00393FE9"/>
    <w:rsid w:val="0039476B"/>
    <w:rsid w:val="0039525C"/>
    <w:rsid w:val="00396113"/>
    <w:rsid w:val="00396F26"/>
    <w:rsid w:val="003973FD"/>
    <w:rsid w:val="00397413"/>
    <w:rsid w:val="003976E4"/>
    <w:rsid w:val="00397E21"/>
    <w:rsid w:val="00397FDC"/>
    <w:rsid w:val="003A04AE"/>
    <w:rsid w:val="003A0667"/>
    <w:rsid w:val="003A0696"/>
    <w:rsid w:val="003A19D6"/>
    <w:rsid w:val="003A2D4E"/>
    <w:rsid w:val="003A3999"/>
    <w:rsid w:val="003A4220"/>
    <w:rsid w:val="003A4462"/>
    <w:rsid w:val="003A4663"/>
    <w:rsid w:val="003A4BFF"/>
    <w:rsid w:val="003A4F4E"/>
    <w:rsid w:val="003A5575"/>
    <w:rsid w:val="003A5D90"/>
    <w:rsid w:val="003A62DA"/>
    <w:rsid w:val="003A7B14"/>
    <w:rsid w:val="003A7B7B"/>
    <w:rsid w:val="003A7D2A"/>
    <w:rsid w:val="003A7D38"/>
    <w:rsid w:val="003B08CD"/>
    <w:rsid w:val="003B14FD"/>
    <w:rsid w:val="003B2427"/>
    <w:rsid w:val="003B2D7D"/>
    <w:rsid w:val="003B3C57"/>
    <w:rsid w:val="003B3DC3"/>
    <w:rsid w:val="003B3E12"/>
    <w:rsid w:val="003B3E38"/>
    <w:rsid w:val="003B42B7"/>
    <w:rsid w:val="003B4696"/>
    <w:rsid w:val="003B4E65"/>
    <w:rsid w:val="003B4EB6"/>
    <w:rsid w:val="003B5038"/>
    <w:rsid w:val="003B5EBF"/>
    <w:rsid w:val="003B6031"/>
    <w:rsid w:val="003B6E81"/>
    <w:rsid w:val="003B77E5"/>
    <w:rsid w:val="003B7E05"/>
    <w:rsid w:val="003C0480"/>
    <w:rsid w:val="003C052A"/>
    <w:rsid w:val="003C131E"/>
    <w:rsid w:val="003C14CC"/>
    <w:rsid w:val="003C19A5"/>
    <w:rsid w:val="003C1C85"/>
    <w:rsid w:val="003C1F69"/>
    <w:rsid w:val="003C2D12"/>
    <w:rsid w:val="003C37E3"/>
    <w:rsid w:val="003C3A2A"/>
    <w:rsid w:val="003C3E7F"/>
    <w:rsid w:val="003C4482"/>
    <w:rsid w:val="003C4B8F"/>
    <w:rsid w:val="003C4E73"/>
    <w:rsid w:val="003C4F92"/>
    <w:rsid w:val="003C5260"/>
    <w:rsid w:val="003C612F"/>
    <w:rsid w:val="003C6468"/>
    <w:rsid w:val="003C752B"/>
    <w:rsid w:val="003D0AF6"/>
    <w:rsid w:val="003D0BFD"/>
    <w:rsid w:val="003D114D"/>
    <w:rsid w:val="003D11D9"/>
    <w:rsid w:val="003D1494"/>
    <w:rsid w:val="003D156A"/>
    <w:rsid w:val="003D1938"/>
    <w:rsid w:val="003D1E5A"/>
    <w:rsid w:val="003D2D69"/>
    <w:rsid w:val="003D3990"/>
    <w:rsid w:val="003D42B5"/>
    <w:rsid w:val="003D42CB"/>
    <w:rsid w:val="003D43E2"/>
    <w:rsid w:val="003D4B62"/>
    <w:rsid w:val="003D4E9A"/>
    <w:rsid w:val="003D51F4"/>
    <w:rsid w:val="003D5589"/>
    <w:rsid w:val="003D5811"/>
    <w:rsid w:val="003D58C5"/>
    <w:rsid w:val="003D6638"/>
    <w:rsid w:val="003D7786"/>
    <w:rsid w:val="003D7DB8"/>
    <w:rsid w:val="003D7FC4"/>
    <w:rsid w:val="003E0354"/>
    <w:rsid w:val="003E08DC"/>
    <w:rsid w:val="003E1802"/>
    <w:rsid w:val="003E184A"/>
    <w:rsid w:val="003E1887"/>
    <w:rsid w:val="003E18C9"/>
    <w:rsid w:val="003E19E2"/>
    <w:rsid w:val="003E2538"/>
    <w:rsid w:val="003E278F"/>
    <w:rsid w:val="003E2B0B"/>
    <w:rsid w:val="003E2E55"/>
    <w:rsid w:val="003E2F98"/>
    <w:rsid w:val="003E3327"/>
    <w:rsid w:val="003E3F81"/>
    <w:rsid w:val="003E4296"/>
    <w:rsid w:val="003E43C8"/>
    <w:rsid w:val="003E4B5F"/>
    <w:rsid w:val="003E4BA6"/>
    <w:rsid w:val="003E530F"/>
    <w:rsid w:val="003E5A33"/>
    <w:rsid w:val="003E5FD7"/>
    <w:rsid w:val="003E63B5"/>
    <w:rsid w:val="003E65FD"/>
    <w:rsid w:val="003E680A"/>
    <w:rsid w:val="003E69CF"/>
    <w:rsid w:val="003E6B2B"/>
    <w:rsid w:val="003E6DA0"/>
    <w:rsid w:val="003E72DA"/>
    <w:rsid w:val="003E7915"/>
    <w:rsid w:val="003E7D34"/>
    <w:rsid w:val="003F031C"/>
    <w:rsid w:val="003F132C"/>
    <w:rsid w:val="003F1622"/>
    <w:rsid w:val="003F1AA3"/>
    <w:rsid w:val="003F25EF"/>
    <w:rsid w:val="003F2E1D"/>
    <w:rsid w:val="003F3277"/>
    <w:rsid w:val="003F4C79"/>
    <w:rsid w:val="003F4E06"/>
    <w:rsid w:val="003F5819"/>
    <w:rsid w:val="003F5925"/>
    <w:rsid w:val="003F5E3F"/>
    <w:rsid w:val="003F67CB"/>
    <w:rsid w:val="003F759C"/>
    <w:rsid w:val="003F7E6D"/>
    <w:rsid w:val="00401A8B"/>
    <w:rsid w:val="00401CD0"/>
    <w:rsid w:val="00402608"/>
    <w:rsid w:val="0040276A"/>
    <w:rsid w:val="00402A5A"/>
    <w:rsid w:val="00403542"/>
    <w:rsid w:val="00403A15"/>
    <w:rsid w:val="00404115"/>
    <w:rsid w:val="00405461"/>
    <w:rsid w:val="00405477"/>
    <w:rsid w:val="0040566B"/>
    <w:rsid w:val="0040604A"/>
    <w:rsid w:val="004067F1"/>
    <w:rsid w:val="004068A7"/>
    <w:rsid w:val="00406C91"/>
    <w:rsid w:val="004071C3"/>
    <w:rsid w:val="00410441"/>
    <w:rsid w:val="00410650"/>
    <w:rsid w:val="00410747"/>
    <w:rsid w:val="0041078F"/>
    <w:rsid w:val="00410B78"/>
    <w:rsid w:val="00410F4A"/>
    <w:rsid w:val="0041102C"/>
    <w:rsid w:val="00411154"/>
    <w:rsid w:val="00412BDE"/>
    <w:rsid w:val="00413E42"/>
    <w:rsid w:val="004146E5"/>
    <w:rsid w:val="00414DE0"/>
    <w:rsid w:val="004150A6"/>
    <w:rsid w:val="004150FE"/>
    <w:rsid w:val="004157FA"/>
    <w:rsid w:val="004158A0"/>
    <w:rsid w:val="00415D69"/>
    <w:rsid w:val="00415FAD"/>
    <w:rsid w:val="0041619C"/>
    <w:rsid w:val="0041747C"/>
    <w:rsid w:val="00417701"/>
    <w:rsid w:val="00417C68"/>
    <w:rsid w:val="00417D7A"/>
    <w:rsid w:val="004203AA"/>
    <w:rsid w:val="00420BA6"/>
    <w:rsid w:val="0042121D"/>
    <w:rsid w:val="004213E0"/>
    <w:rsid w:val="0042181C"/>
    <w:rsid w:val="00421BAA"/>
    <w:rsid w:val="00422508"/>
    <w:rsid w:val="0042267A"/>
    <w:rsid w:val="00422C59"/>
    <w:rsid w:val="00422CFC"/>
    <w:rsid w:val="0042412E"/>
    <w:rsid w:val="0042472D"/>
    <w:rsid w:val="0042505E"/>
    <w:rsid w:val="004252E0"/>
    <w:rsid w:val="004257A7"/>
    <w:rsid w:val="00425EF9"/>
    <w:rsid w:val="00425F92"/>
    <w:rsid w:val="0042613E"/>
    <w:rsid w:val="0042754D"/>
    <w:rsid w:val="00430459"/>
    <w:rsid w:val="004305C5"/>
    <w:rsid w:val="004318F9"/>
    <w:rsid w:val="00431B6B"/>
    <w:rsid w:val="00432B95"/>
    <w:rsid w:val="00432B9E"/>
    <w:rsid w:val="004330F7"/>
    <w:rsid w:val="00433D08"/>
    <w:rsid w:val="004342CB"/>
    <w:rsid w:val="00434374"/>
    <w:rsid w:val="00435197"/>
    <w:rsid w:val="004360AB"/>
    <w:rsid w:val="004364B8"/>
    <w:rsid w:val="0043678E"/>
    <w:rsid w:val="00437B57"/>
    <w:rsid w:val="00440E6C"/>
    <w:rsid w:val="00440F46"/>
    <w:rsid w:val="004410BC"/>
    <w:rsid w:val="00441164"/>
    <w:rsid w:val="004414D3"/>
    <w:rsid w:val="00441A6C"/>
    <w:rsid w:val="004420F9"/>
    <w:rsid w:val="00442BD0"/>
    <w:rsid w:val="004435D7"/>
    <w:rsid w:val="00444188"/>
    <w:rsid w:val="00444473"/>
    <w:rsid w:val="0044482D"/>
    <w:rsid w:val="00444927"/>
    <w:rsid w:val="00444FEA"/>
    <w:rsid w:val="00445837"/>
    <w:rsid w:val="004458AB"/>
    <w:rsid w:val="00445C9F"/>
    <w:rsid w:val="00446409"/>
    <w:rsid w:val="00446D64"/>
    <w:rsid w:val="00447C52"/>
    <w:rsid w:val="004503A1"/>
    <w:rsid w:val="00450674"/>
    <w:rsid w:val="004516E4"/>
    <w:rsid w:val="0045201A"/>
    <w:rsid w:val="00452210"/>
    <w:rsid w:val="0045241D"/>
    <w:rsid w:val="00453779"/>
    <w:rsid w:val="00453A77"/>
    <w:rsid w:val="00453DB3"/>
    <w:rsid w:val="00454B8F"/>
    <w:rsid w:val="00454C20"/>
    <w:rsid w:val="00454C71"/>
    <w:rsid w:val="0045521F"/>
    <w:rsid w:val="004558FA"/>
    <w:rsid w:val="00455CAE"/>
    <w:rsid w:val="00455E9B"/>
    <w:rsid w:val="00456D15"/>
    <w:rsid w:val="004572D8"/>
    <w:rsid w:val="004578E3"/>
    <w:rsid w:val="00457ADE"/>
    <w:rsid w:val="004602D4"/>
    <w:rsid w:val="00460A4B"/>
    <w:rsid w:val="00461252"/>
    <w:rsid w:val="0046159B"/>
    <w:rsid w:val="00461A84"/>
    <w:rsid w:val="00462286"/>
    <w:rsid w:val="00462F25"/>
    <w:rsid w:val="00462FE8"/>
    <w:rsid w:val="004631A1"/>
    <w:rsid w:val="0046330C"/>
    <w:rsid w:val="00463717"/>
    <w:rsid w:val="00463754"/>
    <w:rsid w:val="004637CD"/>
    <w:rsid w:val="00463F45"/>
    <w:rsid w:val="004644D1"/>
    <w:rsid w:val="004648BA"/>
    <w:rsid w:val="00464F7F"/>
    <w:rsid w:val="004653AD"/>
    <w:rsid w:val="00465498"/>
    <w:rsid w:val="00465A3C"/>
    <w:rsid w:val="00465F55"/>
    <w:rsid w:val="0046615C"/>
    <w:rsid w:val="00466742"/>
    <w:rsid w:val="00466AE4"/>
    <w:rsid w:val="00466D82"/>
    <w:rsid w:val="0046756D"/>
    <w:rsid w:val="00467B68"/>
    <w:rsid w:val="0047045E"/>
    <w:rsid w:val="00471361"/>
    <w:rsid w:val="00472834"/>
    <w:rsid w:val="00472ADA"/>
    <w:rsid w:val="00472AF9"/>
    <w:rsid w:val="00472CD8"/>
    <w:rsid w:val="00472E87"/>
    <w:rsid w:val="004738FD"/>
    <w:rsid w:val="00474322"/>
    <w:rsid w:val="00474620"/>
    <w:rsid w:val="00474E06"/>
    <w:rsid w:val="004753CD"/>
    <w:rsid w:val="0047548C"/>
    <w:rsid w:val="004761F1"/>
    <w:rsid w:val="00476446"/>
    <w:rsid w:val="00476A2F"/>
    <w:rsid w:val="004779AB"/>
    <w:rsid w:val="00477FA2"/>
    <w:rsid w:val="004801BA"/>
    <w:rsid w:val="0048028B"/>
    <w:rsid w:val="00480455"/>
    <w:rsid w:val="00481C87"/>
    <w:rsid w:val="00481F70"/>
    <w:rsid w:val="004827D8"/>
    <w:rsid w:val="004828B4"/>
    <w:rsid w:val="00482F94"/>
    <w:rsid w:val="004840B7"/>
    <w:rsid w:val="00485352"/>
    <w:rsid w:val="00485776"/>
    <w:rsid w:val="00485B53"/>
    <w:rsid w:val="0048639E"/>
    <w:rsid w:val="00486E14"/>
    <w:rsid w:val="004876C2"/>
    <w:rsid w:val="004878B6"/>
    <w:rsid w:val="00487EBB"/>
    <w:rsid w:val="00490370"/>
    <w:rsid w:val="00490831"/>
    <w:rsid w:val="00491095"/>
    <w:rsid w:val="004918B1"/>
    <w:rsid w:val="00491A74"/>
    <w:rsid w:val="00492C56"/>
    <w:rsid w:val="00492DA7"/>
    <w:rsid w:val="00492F1A"/>
    <w:rsid w:val="00493782"/>
    <w:rsid w:val="00493CF5"/>
    <w:rsid w:val="00493E2D"/>
    <w:rsid w:val="00494B2E"/>
    <w:rsid w:val="00494C91"/>
    <w:rsid w:val="0049521E"/>
    <w:rsid w:val="004952A2"/>
    <w:rsid w:val="0049590C"/>
    <w:rsid w:val="00495D9A"/>
    <w:rsid w:val="004966E0"/>
    <w:rsid w:val="00496AD7"/>
    <w:rsid w:val="004A0CEF"/>
    <w:rsid w:val="004A0E02"/>
    <w:rsid w:val="004A0ECC"/>
    <w:rsid w:val="004A1246"/>
    <w:rsid w:val="004A17FA"/>
    <w:rsid w:val="004A25D9"/>
    <w:rsid w:val="004A3F18"/>
    <w:rsid w:val="004A4D06"/>
    <w:rsid w:val="004A4FC8"/>
    <w:rsid w:val="004A51CD"/>
    <w:rsid w:val="004A5232"/>
    <w:rsid w:val="004A558B"/>
    <w:rsid w:val="004A59C2"/>
    <w:rsid w:val="004A7125"/>
    <w:rsid w:val="004A76F0"/>
    <w:rsid w:val="004B0727"/>
    <w:rsid w:val="004B0A5F"/>
    <w:rsid w:val="004B11AD"/>
    <w:rsid w:val="004B15CE"/>
    <w:rsid w:val="004B2630"/>
    <w:rsid w:val="004B51A3"/>
    <w:rsid w:val="004B534E"/>
    <w:rsid w:val="004B557C"/>
    <w:rsid w:val="004B586C"/>
    <w:rsid w:val="004B59CB"/>
    <w:rsid w:val="004B5E58"/>
    <w:rsid w:val="004B5FD0"/>
    <w:rsid w:val="004B6901"/>
    <w:rsid w:val="004B6E67"/>
    <w:rsid w:val="004B6F05"/>
    <w:rsid w:val="004B776B"/>
    <w:rsid w:val="004C0712"/>
    <w:rsid w:val="004C0F0D"/>
    <w:rsid w:val="004C1639"/>
    <w:rsid w:val="004C1838"/>
    <w:rsid w:val="004C1CE3"/>
    <w:rsid w:val="004C2605"/>
    <w:rsid w:val="004C3B2D"/>
    <w:rsid w:val="004C3FD7"/>
    <w:rsid w:val="004C4B3E"/>
    <w:rsid w:val="004C5AA1"/>
    <w:rsid w:val="004C600D"/>
    <w:rsid w:val="004C6374"/>
    <w:rsid w:val="004C64D0"/>
    <w:rsid w:val="004C683A"/>
    <w:rsid w:val="004C6B4F"/>
    <w:rsid w:val="004C6D63"/>
    <w:rsid w:val="004C6DF5"/>
    <w:rsid w:val="004C755F"/>
    <w:rsid w:val="004C79D9"/>
    <w:rsid w:val="004D0FA3"/>
    <w:rsid w:val="004D1629"/>
    <w:rsid w:val="004D25E2"/>
    <w:rsid w:val="004D2602"/>
    <w:rsid w:val="004D3A17"/>
    <w:rsid w:val="004D4AC2"/>
    <w:rsid w:val="004D5038"/>
    <w:rsid w:val="004D5710"/>
    <w:rsid w:val="004D5891"/>
    <w:rsid w:val="004D5EBD"/>
    <w:rsid w:val="004D6314"/>
    <w:rsid w:val="004D6A67"/>
    <w:rsid w:val="004D7312"/>
    <w:rsid w:val="004D7420"/>
    <w:rsid w:val="004D757A"/>
    <w:rsid w:val="004E054D"/>
    <w:rsid w:val="004E07DA"/>
    <w:rsid w:val="004E1454"/>
    <w:rsid w:val="004E234B"/>
    <w:rsid w:val="004E2921"/>
    <w:rsid w:val="004E2BC5"/>
    <w:rsid w:val="004E305F"/>
    <w:rsid w:val="004E3C85"/>
    <w:rsid w:val="004E3FB6"/>
    <w:rsid w:val="004E4100"/>
    <w:rsid w:val="004E41AF"/>
    <w:rsid w:val="004E4277"/>
    <w:rsid w:val="004E4F95"/>
    <w:rsid w:val="004E53FC"/>
    <w:rsid w:val="004E578F"/>
    <w:rsid w:val="004E596F"/>
    <w:rsid w:val="004E5A30"/>
    <w:rsid w:val="004E5CF5"/>
    <w:rsid w:val="004E750F"/>
    <w:rsid w:val="004E7540"/>
    <w:rsid w:val="004E7FC0"/>
    <w:rsid w:val="004F042A"/>
    <w:rsid w:val="004F05B8"/>
    <w:rsid w:val="004F1A7E"/>
    <w:rsid w:val="004F2B0B"/>
    <w:rsid w:val="004F2D06"/>
    <w:rsid w:val="004F2F35"/>
    <w:rsid w:val="004F3046"/>
    <w:rsid w:val="004F341C"/>
    <w:rsid w:val="004F3442"/>
    <w:rsid w:val="004F35EB"/>
    <w:rsid w:val="004F3723"/>
    <w:rsid w:val="004F38BC"/>
    <w:rsid w:val="004F3BE6"/>
    <w:rsid w:val="004F3D20"/>
    <w:rsid w:val="004F3F17"/>
    <w:rsid w:val="004F4978"/>
    <w:rsid w:val="004F4F47"/>
    <w:rsid w:val="004F56ED"/>
    <w:rsid w:val="004F5D56"/>
    <w:rsid w:val="004F5FA0"/>
    <w:rsid w:val="004F6045"/>
    <w:rsid w:val="004F6147"/>
    <w:rsid w:val="004F614F"/>
    <w:rsid w:val="004F69FE"/>
    <w:rsid w:val="004F752A"/>
    <w:rsid w:val="004F781C"/>
    <w:rsid w:val="004F7918"/>
    <w:rsid w:val="0050029F"/>
    <w:rsid w:val="0050084B"/>
    <w:rsid w:val="0050098F"/>
    <w:rsid w:val="00500CC6"/>
    <w:rsid w:val="0050145C"/>
    <w:rsid w:val="00501758"/>
    <w:rsid w:val="005020D3"/>
    <w:rsid w:val="005029A6"/>
    <w:rsid w:val="00503797"/>
    <w:rsid w:val="0050398F"/>
    <w:rsid w:val="00503C92"/>
    <w:rsid w:val="00503F6D"/>
    <w:rsid w:val="00504F8A"/>
    <w:rsid w:val="00505B35"/>
    <w:rsid w:val="005064B5"/>
    <w:rsid w:val="00506536"/>
    <w:rsid w:val="005067EB"/>
    <w:rsid w:val="00506B64"/>
    <w:rsid w:val="005111E1"/>
    <w:rsid w:val="00511F82"/>
    <w:rsid w:val="0051227C"/>
    <w:rsid w:val="0051254F"/>
    <w:rsid w:val="005130A1"/>
    <w:rsid w:val="00513B6A"/>
    <w:rsid w:val="00513E25"/>
    <w:rsid w:val="0051430B"/>
    <w:rsid w:val="005144B5"/>
    <w:rsid w:val="00514710"/>
    <w:rsid w:val="00515B13"/>
    <w:rsid w:val="005162F1"/>
    <w:rsid w:val="00516603"/>
    <w:rsid w:val="00516AD0"/>
    <w:rsid w:val="0051766E"/>
    <w:rsid w:val="0051788F"/>
    <w:rsid w:val="005205CA"/>
    <w:rsid w:val="00520C96"/>
    <w:rsid w:val="00521896"/>
    <w:rsid w:val="005219BF"/>
    <w:rsid w:val="00522928"/>
    <w:rsid w:val="005234BC"/>
    <w:rsid w:val="00523D53"/>
    <w:rsid w:val="00523F12"/>
    <w:rsid w:val="00523FCF"/>
    <w:rsid w:val="00524E9C"/>
    <w:rsid w:val="00525285"/>
    <w:rsid w:val="0052553B"/>
    <w:rsid w:val="00525BBB"/>
    <w:rsid w:val="00526118"/>
    <w:rsid w:val="00526346"/>
    <w:rsid w:val="005263EB"/>
    <w:rsid w:val="0052699C"/>
    <w:rsid w:val="0052700A"/>
    <w:rsid w:val="00527056"/>
    <w:rsid w:val="00527A5E"/>
    <w:rsid w:val="00527BA9"/>
    <w:rsid w:val="00527D95"/>
    <w:rsid w:val="00530166"/>
    <w:rsid w:val="00530771"/>
    <w:rsid w:val="00530783"/>
    <w:rsid w:val="00530833"/>
    <w:rsid w:val="00530DE9"/>
    <w:rsid w:val="00531C5F"/>
    <w:rsid w:val="005320EA"/>
    <w:rsid w:val="005327B6"/>
    <w:rsid w:val="0053625D"/>
    <w:rsid w:val="00536871"/>
    <w:rsid w:val="00536F59"/>
    <w:rsid w:val="00537507"/>
    <w:rsid w:val="00537A32"/>
    <w:rsid w:val="0054077E"/>
    <w:rsid w:val="00540889"/>
    <w:rsid w:val="00540997"/>
    <w:rsid w:val="005410A4"/>
    <w:rsid w:val="00541214"/>
    <w:rsid w:val="005412F3"/>
    <w:rsid w:val="0054133F"/>
    <w:rsid w:val="00541413"/>
    <w:rsid w:val="00541F64"/>
    <w:rsid w:val="00542F75"/>
    <w:rsid w:val="005431F0"/>
    <w:rsid w:val="005431FC"/>
    <w:rsid w:val="0054327C"/>
    <w:rsid w:val="005442D2"/>
    <w:rsid w:val="00544329"/>
    <w:rsid w:val="00544453"/>
    <w:rsid w:val="005446AA"/>
    <w:rsid w:val="00544DD3"/>
    <w:rsid w:val="00545215"/>
    <w:rsid w:val="00545E44"/>
    <w:rsid w:val="0054766B"/>
    <w:rsid w:val="005507D5"/>
    <w:rsid w:val="00550AA6"/>
    <w:rsid w:val="00550B24"/>
    <w:rsid w:val="005516BD"/>
    <w:rsid w:val="00552E58"/>
    <w:rsid w:val="005530E3"/>
    <w:rsid w:val="00553457"/>
    <w:rsid w:val="00553838"/>
    <w:rsid w:val="00553860"/>
    <w:rsid w:val="005539EC"/>
    <w:rsid w:val="00553A0B"/>
    <w:rsid w:val="00553E32"/>
    <w:rsid w:val="00554607"/>
    <w:rsid w:val="00554627"/>
    <w:rsid w:val="005547FF"/>
    <w:rsid w:val="00555E12"/>
    <w:rsid w:val="005563C9"/>
    <w:rsid w:val="005569F0"/>
    <w:rsid w:val="005572AA"/>
    <w:rsid w:val="0055735D"/>
    <w:rsid w:val="005574F9"/>
    <w:rsid w:val="00560031"/>
    <w:rsid w:val="00560624"/>
    <w:rsid w:val="00560894"/>
    <w:rsid w:val="005608D0"/>
    <w:rsid w:val="00560C38"/>
    <w:rsid w:val="00560DE2"/>
    <w:rsid w:val="00560FAC"/>
    <w:rsid w:val="005612D4"/>
    <w:rsid w:val="005613A3"/>
    <w:rsid w:val="005613A7"/>
    <w:rsid w:val="005619B7"/>
    <w:rsid w:val="00561A59"/>
    <w:rsid w:val="00561C1C"/>
    <w:rsid w:val="00562E3D"/>
    <w:rsid w:val="00563ADB"/>
    <w:rsid w:val="00563F75"/>
    <w:rsid w:val="005640EB"/>
    <w:rsid w:val="00565514"/>
    <w:rsid w:val="00565A6B"/>
    <w:rsid w:val="00565D96"/>
    <w:rsid w:val="00566845"/>
    <w:rsid w:val="00566EC1"/>
    <w:rsid w:val="00570584"/>
    <w:rsid w:val="00570871"/>
    <w:rsid w:val="00570DD9"/>
    <w:rsid w:val="005712D6"/>
    <w:rsid w:val="00571812"/>
    <w:rsid w:val="0057190F"/>
    <w:rsid w:val="00571DCD"/>
    <w:rsid w:val="0057218C"/>
    <w:rsid w:val="00572C81"/>
    <w:rsid w:val="00572E70"/>
    <w:rsid w:val="00572F0A"/>
    <w:rsid w:val="00573369"/>
    <w:rsid w:val="005739FF"/>
    <w:rsid w:val="00573AA7"/>
    <w:rsid w:val="00573C20"/>
    <w:rsid w:val="00574135"/>
    <w:rsid w:val="0057418A"/>
    <w:rsid w:val="0057459F"/>
    <w:rsid w:val="00574923"/>
    <w:rsid w:val="00574D59"/>
    <w:rsid w:val="00575C24"/>
    <w:rsid w:val="00576226"/>
    <w:rsid w:val="005762EA"/>
    <w:rsid w:val="005767AE"/>
    <w:rsid w:val="00580390"/>
    <w:rsid w:val="005817B2"/>
    <w:rsid w:val="005819F7"/>
    <w:rsid w:val="00581C35"/>
    <w:rsid w:val="00582102"/>
    <w:rsid w:val="0058214E"/>
    <w:rsid w:val="005824C6"/>
    <w:rsid w:val="00582674"/>
    <w:rsid w:val="0058271E"/>
    <w:rsid w:val="00582761"/>
    <w:rsid w:val="0058283F"/>
    <w:rsid w:val="00583296"/>
    <w:rsid w:val="00583930"/>
    <w:rsid w:val="00583BFE"/>
    <w:rsid w:val="00583D8A"/>
    <w:rsid w:val="005840EF"/>
    <w:rsid w:val="005845A3"/>
    <w:rsid w:val="005848F8"/>
    <w:rsid w:val="00584E2F"/>
    <w:rsid w:val="00585049"/>
    <w:rsid w:val="00585151"/>
    <w:rsid w:val="0058525B"/>
    <w:rsid w:val="00585C03"/>
    <w:rsid w:val="0058619F"/>
    <w:rsid w:val="00586637"/>
    <w:rsid w:val="00587C46"/>
    <w:rsid w:val="00587F56"/>
    <w:rsid w:val="00587FD9"/>
    <w:rsid w:val="00590065"/>
    <w:rsid w:val="0059008C"/>
    <w:rsid w:val="005908B9"/>
    <w:rsid w:val="00591265"/>
    <w:rsid w:val="00591283"/>
    <w:rsid w:val="005915A4"/>
    <w:rsid w:val="00591C3C"/>
    <w:rsid w:val="005924D3"/>
    <w:rsid w:val="005924F1"/>
    <w:rsid w:val="005925E3"/>
    <w:rsid w:val="00592A7A"/>
    <w:rsid w:val="0059304D"/>
    <w:rsid w:val="005933AE"/>
    <w:rsid w:val="00593554"/>
    <w:rsid w:val="00593F60"/>
    <w:rsid w:val="0059420C"/>
    <w:rsid w:val="00594579"/>
    <w:rsid w:val="00595156"/>
    <w:rsid w:val="00595677"/>
    <w:rsid w:val="00596322"/>
    <w:rsid w:val="00596832"/>
    <w:rsid w:val="00596CCB"/>
    <w:rsid w:val="00596DB6"/>
    <w:rsid w:val="00597753"/>
    <w:rsid w:val="00597BED"/>
    <w:rsid w:val="00597E6F"/>
    <w:rsid w:val="005A0203"/>
    <w:rsid w:val="005A052F"/>
    <w:rsid w:val="005A06BA"/>
    <w:rsid w:val="005A0EFC"/>
    <w:rsid w:val="005A1018"/>
    <w:rsid w:val="005A1099"/>
    <w:rsid w:val="005A12EF"/>
    <w:rsid w:val="005A1980"/>
    <w:rsid w:val="005A1A26"/>
    <w:rsid w:val="005A1C52"/>
    <w:rsid w:val="005A1F74"/>
    <w:rsid w:val="005A2593"/>
    <w:rsid w:val="005A3196"/>
    <w:rsid w:val="005A339E"/>
    <w:rsid w:val="005A408B"/>
    <w:rsid w:val="005A582B"/>
    <w:rsid w:val="005A5AD3"/>
    <w:rsid w:val="005A6F80"/>
    <w:rsid w:val="005A6FBA"/>
    <w:rsid w:val="005A7215"/>
    <w:rsid w:val="005A726F"/>
    <w:rsid w:val="005A7629"/>
    <w:rsid w:val="005A782E"/>
    <w:rsid w:val="005A791B"/>
    <w:rsid w:val="005A793B"/>
    <w:rsid w:val="005A79AE"/>
    <w:rsid w:val="005B0150"/>
    <w:rsid w:val="005B0489"/>
    <w:rsid w:val="005B0566"/>
    <w:rsid w:val="005B2054"/>
    <w:rsid w:val="005B2607"/>
    <w:rsid w:val="005B26FD"/>
    <w:rsid w:val="005B40A1"/>
    <w:rsid w:val="005B429E"/>
    <w:rsid w:val="005B44D0"/>
    <w:rsid w:val="005B4CD8"/>
    <w:rsid w:val="005B5B11"/>
    <w:rsid w:val="005B5DAB"/>
    <w:rsid w:val="005B5E15"/>
    <w:rsid w:val="005B60BD"/>
    <w:rsid w:val="005B6184"/>
    <w:rsid w:val="005B6837"/>
    <w:rsid w:val="005B78D4"/>
    <w:rsid w:val="005C0607"/>
    <w:rsid w:val="005C0A76"/>
    <w:rsid w:val="005C0BE5"/>
    <w:rsid w:val="005C0F51"/>
    <w:rsid w:val="005C11E6"/>
    <w:rsid w:val="005C152C"/>
    <w:rsid w:val="005C1F3B"/>
    <w:rsid w:val="005C208C"/>
    <w:rsid w:val="005C210A"/>
    <w:rsid w:val="005C2E67"/>
    <w:rsid w:val="005C35ED"/>
    <w:rsid w:val="005C35FA"/>
    <w:rsid w:val="005C3CEA"/>
    <w:rsid w:val="005C4122"/>
    <w:rsid w:val="005C4351"/>
    <w:rsid w:val="005C4D24"/>
    <w:rsid w:val="005C4DD7"/>
    <w:rsid w:val="005C539A"/>
    <w:rsid w:val="005C53BB"/>
    <w:rsid w:val="005C5ADF"/>
    <w:rsid w:val="005C5CAB"/>
    <w:rsid w:val="005C6F81"/>
    <w:rsid w:val="005C778A"/>
    <w:rsid w:val="005C794A"/>
    <w:rsid w:val="005C7B1F"/>
    <w:rsid w:val="005D00EF"/>
    <w:rsid w:val="005D05AF"/>
    <w:rsid w:val="005D0923"/>
    <w:rsid w:val="005D1184"/>
    <w:rsid w:val="005D12BF"/>
    <w:rsid w:val="005D14E9"/>
    <w:rsid w:val="005D1B75"/>
    <w:rsid w:val="005D1C71"/>
    <w:rsid w:val="005D1DA4"/>
    <w:rsid w:val="005D21A6"/>
    <w:rsid w:val="005D29D5"/>
    <w:rsid w:val="005D30B1"/>
    <w:rsid w:val="005D32CB"/>
    <w:rsid w:val="005D3E97"/>
    <w:rsid w:val="005D3EF3"/>
    <w:rsid w:val="005D4095"/>
    <w:rsid w:val="005D4641"/>
    <w:rsid w:val="005D49FF"/>
    <w:rsid w:val="005D4D0A"/>
    <w:rsid w:val="005D5695"/>
    <w:rsid w:val="005D63D6"/>
    <w:rsid w:val="005D77A0"/>
    <w:rsid w:val="005D7ED3"/>
    <w:rsid w:val="005E0862"/>
    <w:rsid w:val="005E0F9E"/>
    <w:rsid w:val="005E1375"/>
    <w:rsid w:val="005E147F"/>
    <w:rsid w:val="005E1CEB"/>
    <w:rsid w:val="005E2A30"/>
    <w:rsid w:val="005E2FF1"/>
    <w:rsid w:val="005E3850"/>
    <w:rsid w:val="005E39F3"/>
    <w:rsid w:val="005E3B89"/>
    <w:rsid w:val="005E3DEF"/>
    <w:rsid w:val="005E46C1"/>
    <w:rsid w:val="005E4C8F"/>
    <w:rsid w:val="005E4E97"/>
    <w:rsid w:val="005E4FA2"/>
    <w:rsid w:val="005E51C5"/>
    <w:rsid w:val="005E58D5"/>
    <w:rsid w:val="005E5C65"/>
    <w:rsid w:val="005E5DFA"/>
    <w:rsid w:val="005E682E"/>
    <w:rsid w:val="005E6F86"/>
    <w:rsid w:val="005E7479"/>
    <w:rsid w:val="005E7892"/>
    <w:rsid w:val="005F0245"/>
    <w:rsid w:val="005F0652"/>
    <w:rsid w:val="005F07BE"/>
    <w:rsid w:val="005F1146"/>
    <w:rsid w:val="005F352E"/>
    <w:rsid w:val="005F3CEA"/>
    <w:rsid w:val="005F4A97"/>
    <w:rsid w:val="005F4E85"/>
    <w:rsid w:val="005F546F"/>
    <w:rsid w:val="005F5479"/>
    <w:rsid w:val="005F5B32"/>
    <w:rsid w:val="005F62D7"/>
    <w:rsid w:val="005F66DC"/>
    <w:rsid w:val="005F731B"/>
    <w:rsid w:val="006002D9"/>
    <w:rsid w:val="006006C9"/>
    <w:rsid w:val="006013FB"/>
    <w:rsid w:val="00601BBE"/>
    <w:rsid w:val="00601F1A"/>
    <w:rsid w:val="00601FAB"/>
    <w:rsid w:val="00602746"/>
    <w:rsid w:val="0060294C"/>
    <w:rsid w:val="00603073"/>
    <w:rsid w:val="00603128"/>
    <w:rsid w:val="006031A0"/>
    <w:rsid w:val="0060359E"/>
    <w:rsid w:val="006036E2"/>
    <w:rsid w:val="006037C5"/>
    <w:rsid w:val="00603BCB"/>
    <w:rsid w:val="00603DE5"/>
    <w:rsid w:val="0060471F"/>
    <w:rsid w:val="0060483C"/>
    <w:rsid w:val="00604D4B"/>
    <w:rsid w:val="00604F87"/>
    <w:rsid w:val="006052B9"/>
    <w:rsid w:val="00605607"/>
    <w:rsid w:val="00605E4D"/>
    <w:rsid w:val="00606050"/>
    <w:rsid w:val="00606458"/>
    <w:rsid w:val="00606CC5"/>
    <w:rsid w:val="00606D2A"/>
    <w:rsid w:val="00607141"/>
    <w:rsid w:val="00607B23"/>
    <w:rsid w:val="00611189"/>
    <w:rsid w:val="006114F8"/>
    <w:rsid w:val="006125C5"/>
    <w:rsid w:val="0061276D"/>
    <w:rsid w:val="0061278B"/>
    <w:rsid w:val="00613A41"/>
    <w:rsid w:val="006144BB"/>
    <w:rsid w:val="006145A4"/>
    <w:rsid w:val="00614B54"/>
    <w:rsid w:val="00616900"/>
    <w:rsid w:val="00616ACC"/>
    <w:rsid w:val="00616B2A"/>
    <w:rsid w:val="0061744E"/>
    <w:rsid w:val="0061799E"/>
    <w:rsid w:val="00617CDA"/>
    <w:rsid w:val="006204D9"/>
    <w:rsid w:val="006205AD"/>
    <w:rsid w:val="00620CAC"/>
    <w:rsid w:val="00621934"/>
    <w:rsid w:val="00622007"/>
    <w:rsid w:val="00623C5C"/>
    <w:rsid w:val="00623D94"/>
    <w:rsid w:val="00623F1D"/>
    <w:rsid w:val="006240EA"/>
    <w:rsid w:val="00624B58"/>
    <w:rsid w:val="00624D93"/>
    <w:rsid w:val="006254B1"/>
    <w:rsid w:val="0062711B"/>
    <w:rsid w:val="00630007"/>
    <w:rsid w:val="006305AE"/>
    <w:rsid w:val="00630940"/>
    <w:rsid w:val="00630B6A"/>
    <w:rsid w:val="006312F7"/>
    <w:rsid w:val="00631585"/>
    <w:rsid w:val="006320CB"/>
    <w:rsid w:val="00632656"/>
    <w:rsid w:val="00632F67"/>
    <w:rsid w:val="00633CF5"/>
    <w:rsid w:val="006345ED"/>
    <w:rsid w:val="006345EE"/>
    <w:rsid w:val="00635387"/>
    <w:rsid w:val="00635D9C"/>
    <w:rsid w:val="00636367"/>
    <w:rsid w:val="00636BD8"/>
    <w:rsid w:val="00640005"/>
    <w:rsid w:val="0064043A"/>
    <w:rsid w:val="0064099A"/>
    <w:rsid w:val="00641758"/>
    <w:rsid w:val="00641C1A"/>
    <w:rsid w:val="00641DF1"/>
    <w:rsid w:val="00642B83"/>
    <w:rsid w:val="0064341D"/>
    <w:rsid w:val="006436ED"/>
    <w:rsid w:val="00643ACA"/>
    <w:rsid w:val="00645164"/>
    <w:rsid w:val="00645E35"/>
    <w:rsid w:val="006469A2"/>
    <w:rsid w:val="00646AB8"/>
    <w:rsid w:val="00646D0D"/>
    <w:rsid w:val="006471F9"/>
    <w:rsid w:val="0064782E"/>
    <w:rsid w:val="006507E9"/>
    <w:rsid w:val="00650822"/>
    <w:rsid w:val="00650A98"/>
    <w:rsid w:val="00652863"/>
    <w:rsid w:val="0065290E"/>
    <w:rsid w:val="00652921"/>
    <w:rsid w:val="00653C4B"/>
    <w:rsid w:val="00653D6D"/>
    <w:rsid w:val="00654978"/>
    <w:rsid w:val="006560A2"/>
    <w:rsid w:val="00656401"/>
    <w:rsid w:val="00656989"/>
    <w:rsid w:val="00656A0C"/>
    <w:rsid w:val="006572C7"/>
    <w:rsid w:val="006578FA"/>
    <w:rsid w:val="0066025F"/>
    <w:rsid w:val="0066047B"/>
    <w:rsid w:val="00660E13"/>
    <w:rsid w:val="0066141F"/>
    <w:rsid w:val="00661B9D"/>
    <w:rsid w:val="0066220A"/>
    <w:rsid w:val="00662A45"/>
    <w:rsid w:val="00662E8A"/>
    <w:rsid w:val="00663136"/>
    <w:rsid w:val="00663832"/>
    <w:rsid w:val="00663BB8"/>
    <w:rsid w:val="0066419D"/>
    <w:rsid w:val="0066434A"/>
    <w:rsid w:val="00664A82"/>
    <w:rsid w:val="0066555D"/>
    <w:rsid w:val="006655C3"/>
    <w:rsid w:val="00665844"/>
    <w:rsid w:val="006661AE"/>
    <w:rsid w:val="006661E7"/>
    <w:rsid w:val="006668DC"/>
    <w:rsid w:val="0066711D"/>
    <w:rsid w:val="006674AF"/>
    <w:rsid w:val="00667861"/>
    <w:rsid w:val="00667EF3"/>
    <w:rsid w:val="00667FEE"/>
    <w:rsid w:val="006701A1"/>
    <w:rsid w:val="006707CC"/>
    <w:rsid w:val="00670E7B"/>
    <w:rsid w:val="00670ECD"/>
    <w:rsid w:val="0067129B"/>
    <w:rsid w:val="00671D95"/>
    <w:rsid w:val="0067241E"/>
    <w:rsid w:val="00672AFD"/>
    <w:rsid w:val="00673BEE"/>
    <w:rsid w:val="006740EF"/>
    <w:rsid w:val="006746D0"/>
    <w:rsid w:val="00675115"/>
    <w:rsid w:val="00675FA0"/>
    <w:rsid w:val="00676A07"/>
    <w:rsid w:val="00677B79"/>
    <w:rsid w:val="00677FAC"/>
    <w:rsid w:val="00680B1F"/>
    <w:rsid w:val="00680E20"/>
    <w:rsid w:val="006810EF"/>
    <w:rsid w:val="00681D97"/>
    <w:rsid w:val="00681F24"/>
    <w:rsid w:val="006826D6"/>
    <w:rsid w:val="00682983"/>
    <w:rsid w:val="00682F41"/>
    <w:rsid w:val="00682F49"/>
    <w:rsid w:val="006838FF"/>
    <w:rsid w:val="00683AED"/>
    <w:rsid w:val="006840C7"/>
    <w:rsid w:val="0068441B"/>
    <w:rsid w:val="0068476F"/>
    <w:rsid w:val="00684C89"/>
    <w:rsid w:val="0068553C"/>
    <w:rsid w:val="00685567"/>
    <w:rsid w:val="006860EB"/>
    <w:rsid w:val="00686E4A"/>
    <w:rsid w:val="00686F72"/>
    <w:rsid w:val="0068744E"/>
    <w:rsid w:val="00687644"/>
    <w:rsid w:val="00687A58"/>
    <w:rsid w:val="00687CF6"/>
    <w:rsid w:val="00687D00"/>
    <w:rsid w:val="0069098B"/>
    <w:rsid w:val="006914F0"/>
    <w:rsid w:val="00691E08"/>
    <w:rsid w:val="00692724"/>
    <w:rsid w:val="00692FA9"/>
    <w:rsid w:val="006930F8"/>
    <w:rsid w:val="00693912"/>
    <w:rsid w:val="00693BDB"/>
    <w:rsid w:val="006940D3"/>
    <w:rsid w:val="006940F0"/>
    <w:rsid w:val="00694113"/>
    <w:rsid w:val="006949CD"/>
    <w:rsid w:val="00695C9D"/>
    <w:rsid w:val="006964AC"/>
    <w:rsid w:val="006966DF"/>
    <w:rsid w:val="006968F8"/>
    <w:rsid w:val="00697D39"/>
    <w:rsid w:val="006A0747"/>
    <w:rsid w:val="006A13E2"/>
    <w:rsid w:val="006A178A"/>
    <w:rsid w:val="006A18E6"/>
    <w:rsid w:val="006A1DBF"/>
    <w:rsid w:val="006A1F3C"/>
    <w:rsid w:val="006A2901"/>
    <w:rsid w:val="006A29F8"/>
    <w:rsid w:val="006A2DA4"/>
    <w:rsid w:val="006A31DF"/>
    <w:rsid w:val="006A55B0"/>
    <w:rsid w:val="006A5615"/>
    <w:rsid w:val="006A6C1F"/>
    <w:rsid w:val="006A728C"/>
    <w:rsid w:val="006A77AB"/>
    <w:rsid w:val="006A7D09"/>
    <w:rsid w:val="006B0557"/>
    <w:rsid w:val="006B059E"/>
    <w:rsid w:val="006B0723"/>
    <w:rsid w:val="006B0794"/>
    <w:rsid w:val="006B1043"/>
    <w:rsid w:val="006B14B4"/>
    <w:rsid w:val="006B1692"/>
    <w:rsid w:val="006B230A"/>
    <w:rsid w:val="006B25B8"/>
    <w:rsid w:val="006B37BB"/>
    <w:rsid w:val="006B3E1A"/>
    <w:rsid w:val="006B3F37"/>
    <w:rsid w:val="006B51B9"/>
    <w:rsid w:val="006B679F"/>
    <w:rsid w:val="006B68A7"/>
    <w:rsid w:val="006B6AD5"/>
    <w:rsid w:val="006B75B6"/>
    <w:rsid w:val="006B7772"/>
    <w:rsid w:val="006C0484"/>
    <w:rsid w:val="006C05A9"/>
    <w:rsid w:val="006C179E"/>
    <w:rsid w:val="006C1850"/>
    <w:rsid w:val="006C2DCD"/>
    <w:rsid w:val="006C3AB5"/>
    <w:rsid w:val="006C562C"/>
    <w:rsid w:val="006C57D9"/>
    <w:rsid w:val="006C61A8"/>
    <w:rsid w:val="006C65A0"/>
    <w:rsid w:val="006C68FB"/>
    <w:rsid w:val="006C6E7A"/>
    <w:rsid w:val="006C76C7"/>
    <w:rsid w:val="006C7C2E"/>
    <w:rsid w:val="006C7EC3"/>
    <w:rsid w:val="006D0793"/>
    <w:rsid w:val="006D0A2D"/>
    <w:rsid w:val="006D0F97"/>
    <w:rsid w:val="006D127D"/>
    <w:rsid w:val="006D1436"/>
    <w:rsid w:val="006D1FF9"/>
    <w:rsid w:val="006D22A2"/>
    <w:rsid w:val="006D348B"/>
    <w:rsid w:val="006D3522"/>
    <w:rsid w:val="006D3530"/>
    <w:rsid w:val="006D3751"/>
    <w:rsid w:val="006D4300"/>
    <w:rsid w:val="006D4415"/>
    <w:rsid w:val="006D47F4"/>
    <w:rsid w:val="006D5425"/>
    <w:rsid w:val="006D5683"/>
    <w:rsid w:val="006D60C9"/>
    <w:rsid w:val="006D7B59"/>
    <w:rsid w:val="006D7EAC"/>
    <w:rsid w:val="006E17E8"/>
    <w:rsid w:val="006E1A47"/>
    <w:rsid w:val="006E202A"/>
    <w:rsid w:val="006E566E"/>
    <w:rsid w:val="006E6232"/>
    <w:rsid w:val="006E6FDA"/>
    <w:rsid w:val="006E7361"/>
    <w:rsid w:val="006E737E"/>
    <w:rsid w:val="006E7CBD"/>
    <w:rsid w:val="006F003B"/>
    <w:rsid w:val="006F007B"/>
    <w:rsid w:val="006F130B"/>
    <w:rsid w:val="006F27E3"/>
    <w:rsid w:val="006F28FB"/>
    <w:rsid w:val="006F2DA1"/>
    <w:rsid w:val="006F316D"/>
    <w:rsid w:val="006F39CD"/>
    <w:rsid w:val="006F3BAC"/>
    <w:rsid w:val="006F3DAA"/>
    <w:rsid w:val="006F53B3"/>
    <w:rsid w:val="006F7DDF"/>
    <w:rsid w:val="00700123"/>
    <w:rsid w:val="007004A0"/>
    <w:rsid w:val="00700692"/>
    <w:rsid w:val="0070109F"/>
    <w:rsid w:val="00701447"/>
    <w:rsid w:val="007016D3"/>
    <w:rsid w:val="00701979"/>
    <w:rsid w:val="00701F65"/>
    <w:rsid w:val="007021DE"/>
    <w:rsid w:val="007023A5"/>
    <w:rsid w:val="007023F8"/>
    <w:rsid w:val="00702F78"/>
    <w:rsid w:val="00702F7F"/>
    <w:rsid w:val="00703C9A"/>
    <w:rsid w:val="00703E2E"/>
    <w:rsid w:val="00703FAC"/>
    <w:rsid w:val="0070489F"/>
    <w:rsid w:val="00704A0E"/>
    <w:rsid w:val="00705495"/>
    <w:rsid w:val="007055DE"/>
    <w:rsid w:val="007056E8"/>
    <w:rsid w:val="0070606F"/>
    <w:rsid w:val="007068CB"/>
    <w:rsid w:val="0070698D"/>
    <w:rsid w:val="00706A6B"/>
    <w:rsid w:val="00706F45"/>
    <w:rsid w:val="00706FCE"/>
    <w:rsid w:val="00707892"/>
    <w:rsid w:val="007104CC"/>
    <w:rsid w:val="007104DD"/>
    <w:rsid w:val="00710C50"/>
    <w:rsid w:val="00711196"/>
    <w:rsid w:val="00711B3F"/>
    <w:rsid w:val="00711C22"/>
    <w:rsid w:val="007121B4"/>
    <w:rsid w:val="00712320"/>
    <w:rsid w:val="00712886"/>
    <w:rsid w:val="0071340D"/>
    <w:rsid w:val="00714306"/>
    <w:rsid w:val="007150D4"/>
    <w:rsid w:val="0071614C"/>
    <w:rsid w:val="00716D7F"/>
    <w:rsid w:val="00717B75"/>
    <w:rsid w:val="00717ECB"/>
    <w:rsid w:val="00717FE8"/>
    <w:rsid w:val="007203E3"/>
    <w:rsid w:val="007203F0"/>
    <w:rsid w:val="00720C72"/>
    <w:rsid w:val="00720E6C"/>
    <w:rsid w:val="007213E4"/>
    <w:rsid w:val="0072163E"/>
    <w:rsid w:val="0072193D"/>
    <w:rsid w:val="00721998"/>
    <w:rsid w:val="00721D82"/>
    <w:rsid w:val="00723CE2"/>
    <w:rsid w:val="00723F70"/>
    <w:rsid w:val="00724E2D"/>
    <w:rsid w:val="0072578A"/>
    <w:rsid w:val="00726518"/>
    <w:rsid w:val="00726599"/>
    <w:rsid w:val="0072662E"/>
    <w:rsid w:val="00726A7E"/>
    <w:rsid w:val="00726CE0"/>
    <w:rsid w:val="007272A9"/>
    <w:rsid w:val="00730355"/>
    <w:rsid w:val="00730888"/>
    <w:rsid w:val="00730BAB"/>
    <w:rsid w:val="0073158E"/>
    <w:rsid w:val="0073172A"/>
    <w:rsid w:val="00732773"/>
    <w:rsid w:val="0073289F"/>
    <w:rsid w:val="00732EBC"/>
    <w:rsid w:val="00733672"/>
    <w:rsid w:val="0073379C"/>
    <w:rsid w:val="00733FFC"/>
    <w:rsid w:val="0073414D"/>
    <w:rsid w:val="00734289"/>
    <w:rsid w:val="007345C7"/>
    <w:rsid w:val="00735101"/>
    <w:rsid w:val="00735263"/>
    <w:rsid w:val="00735626"/>
    <w:rsid w:val="00735C2D"/>
    <w:rsid w:val="00735E52"/>
    <w:rsid w:val="00736733"/>
    <w:rsid w:val="0073687B"/>
    <w:rsid w:val="007371A6"/>
    <w:rsid w:val="00737264"/>
    <w:rsid w:val="00737BA6"/>
    <w:rsid w:val="007402CB"/>
    <w:rsid w:val="007409B2"/>
    <w:rsid w:val="00741510"/>
    <w:rsid w:val="007415A7"/>
    <w:rsid w:val="00743ADC"/>
    <w:rsid w:val="00744416"/>
    <w:rsid w:val="00744493"/>
    <w:rsid w:val="00744C97"/>
    <w:rsid w:val="00745217"/>
    <w:rsid w:val="007462EC"/>
    <w:rsid w:val="007463E6"/>
    <w:rsid w:val="00746589"/>
    <w:rsid w:val="0074663B"/>
    <w:rsid w:val="00747835"/>
    <w:rsid w:val="00747A0B"/>
    <w:rsid w:val="0075090A"/>
    <w:rsid w:val="00750B94"/>
    <w:rsid w:val="00751195"/>
    <w:rsid w:val="00751BBA"/>
    <w:rsid w:val="00751FBE"/>
    <w:rsid w:val="007522AF"/>
    <w:rsid w:val="007524B5"/>
    <w:rsid w:val="00752528"/>
    <w:rsid w:val="007533C9"/>
    <w:rsid w:val="007539CB"/>
    <w:rsid w:val="007544A9"/>
    <w:rsid w:val="0075460F"/>
    <w:rsid w:val="00755D9A"/>
    <w:rsid w:val="007560F8"/>
    <w:rsid w:val="00756B31"/>
    <w:rsid w:val="00756D76"/>
    <w:rsid w:val="00757425"/>
    <w:rsid w:val="007600C9"/>
    <w:rsid w:val="00761AC8"/>
    <w:rsid w:val="0076206F"/>
    <w:rsid w:val="00762606"/>
    <w:rsid w:val="00762CF0"/>
    <w:rsid w:val="00762F5F"/>
    <w:rsid w:val="007632E0"/>
    <w:rsid w:val="007637E0"/>
    <w:rsid w:val="00764453"/>
    <w:rsid w:val="00764801"/>
    <w:rsid w:val="00764C4A"/>
    <w:rsid w:val="0076515D"/>
    <w:rsid w:val="007655FA"/>
    <w:rsid w:val="007658E5"/>
    <w:rsid w:val="00765AA7"/>
    <w:rsid w:val="00766A81"/>
    <w:rsid w:val="00767451"/>
    <w:rsid w:val="007679EB"/>
    <w:rsid w:val="00770488"/>
    <w:rsid w:val="00770D94"/>
    <w:rsid w:val="00771631"/>
    <w:rsid w:val="00771F9B"/>
    <w:rsid w:val="0077261D"/>
    <w:rsid w:val="0077271B"/>
    <w:rsid w:val="00772ADE"/>
    <w:rsid w:val="00775F72"/>
    <w:rsid w:val="0077621A"/>
    <w:rsid w:val="007762CD"/>
    <w:rsid w:val="007768E1"/>
    <w:rsid w:val="0077713B"/>
    <w:rsid w:val="00777290"/>
    <w:rsid w:val="007777C3"/>
    <w:rsid w:val="00777CF3"/>
    <w:rsid w:val="00777F49"/>
    <w:rsid w:val="00780273"/>
    <w:rsid w:val="00780956"/>
    <w:rsid w:val="0078155A"/>
    <w:rsid w:val="0078233F"/>
    <w:rsid w:val="00782D8F"/>
    <w:rsid w:val="00782F00"/>
    <w:rsid w:val="00782FC5"/>
    <w:rsid w:val="0078357E"/>
    <w:rsid w:val="0078385A"/>
    <w:rsid w:val="007839E7"/>
    <w:rsid w:val="007841FF"/>
    <w:rsid w:val="00784828"/>
    <w:rsid w:val="00785009"/>
    <w:rsid w:val="00785E26"/>
    <w:rsid w:val="00785EFF"/>
    <w:rsid w:val="00786556"/>
    <w:rsid w:val="00786824"/>
    <w:rsid w:val="0078724C"/>
    <w:rsid w:val="007872AD"/>
    <w:rsid w:val="007872E4"/>
    <w:rsid w:val="00787C9D"/>
    <w:rsid w:val="007906CA"/>
    <w:rsid w:val="00791503"/>
    <w:rsid w:val="00791FAF"/>
    <w:rsid w:val="00792289"/>
    <w:rsid w:val="00793054"/>
    <w:rsid w:val="0079347A"/>
    <w:rsid w:val="007934D4"/>
    <w:rsid w:val="007939BD"/>
    <w:rsid w:val="00793C16"/>
    <w:rsid w:val="00793FBD"/>
    <w:rsid w:val="00794198"/>
    <w:rsid w:val="00795610"/>
    <w:rsid w:val="00795792"/>
    <w:rsid w:val="00796AC3"/>
    <w:rsid w:val="00796C5E"/>
    <w:rsid w:val="0079775B"/>
    <w:rsid w:val="007977F9"/>
    <w:rsid w:val="007A0253"/>
    <w:rsid w:val="007A0692"/>
    <w:rsid w:val="007A0B62"/>
    <w:rsid w:val="007A11B0"/>
    <w:rsid w:val="007A1236"/>
    <w:rsid w:val="007A1816"/>
    <w:rsid w:val="007A1D32"/>
    <w:rsid w:val="007A1EA0"/>
    <w:rsid w:val="007A21A0"/>
    <w:rsid w:val="007A2A69"/>
    <w:rsid w:val="007A2A6F"/>
    <w:rsid w:val="007A39D3"/>
    <w:rsid w:val="007A3BDD"/>
    <w:rsid w:val="007A3E4D"/>
    <w:rsid w:val="007A4385"/>
    <w:rsid w:val="007A4506"/>
    <w:rsid w:val="007A50EE"/>
    <w:rsid w:val="007A55B9"/>
    <w:rsid w:val="007A57AE"/>
    <w:rsid w:val="007A5B4D"/>
    <w:rsid w:val="007A6285"/>
    <w:rsid w:val="007A6E20"/>
    <w:rsid w:val="007A73DA"/>
    <w:rsid w:val="007A74B2"/>
    <w:rsid w:val="007B07C4"/>
    <w:rsid w:val="007B07E3"/>
    <w:rsid w:val="007B0982"/>
    <w:rsid w:val="007B0B94"/>
    <w:rsid w:val="007B11EC"/>
    <w:rsid w:val="007B1F57"/>
    <w:rsid w:val="007B2F7B"/>
    <w:rsid w:val="007B31E9"/>
    <w:rsid w:val="007B37DB"/>
    <w:rsid w:val="007B3EBC"/>
    <w:rsid w:val="007B43B6"/>
    <w:rsid w:val="007B4597"/>
    <w:rsid w:val="007B47A0"/>
    <w:rsid w:val="007B5174"/>
    <w:rsid w:val="007B5336"/>
    <w:rsid w:val="007B55C5"/>
    <w:rsid w:val="007B57D2"/>
    <w:rsid w:val="007B5E43"/>
    <w:rsid w:val="007B60DF"/>
    <w:rsid w:val="007B70FB"/>
    <w:rsid w:val="007B74DB"/>
    <w:rsid w:val="007B79AC"/>
    <w:rsid w:val="007B7A1A"/>
    <w:rsid w:val="007C0482"/>
    <w:rsid w:val="007C0D56"/>
    <w:rsid w:val="007C123C"/>
    <w:rsid w:val="007C1DC9"/>
    <w:rsid w:val="007C20FE"/>
    <w:rsid w:val="007C2678"/>
    <w:rsid w:val="007C3435"/>
    <w:rsid w:val="007C369F"/>
    <w:rsid w:val="007C376A"/>
    <w:rsid w:val="007C3E04"/>
    <w:rsid w:val="007C4A77"/>
    <w:rsid w:val="007C4D6B"/>
    <w:rsid w:val="007C55BE"/>
    <w:rsid w:val="007C5AB5"/>
    <w:rsid w:val="007C766F"/>
    <w:rsid w:val="007C7AD6"/>
    <w:rsid w:val="007C7C59"/>
    <w:rsid w:val="007C7DC7"/>
    <w:rsid w:val="007D01C5"/>
    <w:rsid w:val="007D0BB9"/>
    <w:rsid w:val="007D0D62"/>
    <w:rsid w:val="007D0E7B"/>
    <w:rsid w:val="007D10C0"/>
    <w:rsid w:val="007D17E9"/>
    <w:rsid w:val="007D2A26"/>
    <w:rsid w:val="007D33F7"/>
    <w:rsid w:val="007D40F5"/>
    <w:rsid w:val="007D41FB"/>
    <w:rsid w:val="007D4385"/>
    <w:rsid w:val="007D46D8"/>
    <w:rsid w:val="007D4892"/>
    <w:rsid w:val="007D48E9"/>
    <w:rsid w:val="007D5207"/>
    <w:rsid w:val="007D53CB"/>
    <w:rsid w:val="007D5857"/>
    <w:rsid w:val="007D5A2E"/>
    <w:rsid w:val="007D6F86"/>
    <w:rsid w:val="007D72EB"/>
    <w:rsid w:val="007D7CD6"/>
    <w:rsid w:val="007E0F37"/>
    <w:rsid w:val="007E0F8F"/>
    <w:rsid w:val="007E1DA1"/>
    <w:rsid w:val="007E317C"/>
    <w:rsid w:val="007E38F5"/>
    <w:rsid w:val="007E3DBA"/>
    <w:rsid w:val="007E3E82"/>
    <w:rsid w:val="007E4225"/>
    <w:rsid w:val="007E44F9"/>
    <w:rsid w:val="007E49AE"/>
    <w:rsid w:val="007E54D0"/>
    <w:rsid w:val="007E5E79"/>
    <w:rsid w:val="007E5ED9"/>
    <w:rsid w:val="007E5EDC"/>
    <w:rsid w:val="007E5F31"/>
    <w:rsid w:val="007E6646"/>
    <w:rsid w:val="007E6C51"/>
    <w:rsid w:val="007E7232"/>
    <w:rsid w:val="007E72AB"/>
    <w:rsid w:val="007F0378"/>
    <w:rsid w:val="007F0684"/>
    <w:rsid w:val="007F06B6"/>
    <w:rsid w:val="007F06E8"/>
    <w:rsid w:val="007F0AF8"/>
    <w:rsid w:val="007F1411"/>
    <w:rsid w:val="007F20F1"/>
    <w:rsid w:val="007F219A"/>
    <w:rsid w:val="007F3F16"/>
    <w:rsid w:val="007F43AE"/>
    <w:rsid w:val="007F4981"/>
    <w:rsid w:val="007F5AA1"/>
    <w:rsid w:val="007F5DA6"/>
    <w:rsid w:val="007F65DB"/>
    <w:rsid w:val="007F6761"/>
    <w:rsid w:val="007F6BC4"/>
    <w:rsid w:val="007F70D4"/>
    <w:rsid w:val="007F76B6"/>
    <w:rsid w:val="0080009A"/>
    <w:rsid w:val="00800120"/>
    <w:rsid w:val="0080073F"/>
    <w:rsid w:val="0080085D"/>
    <w:rsid w:val="00800E5E"/>
    <w:rsid w:val="0080155D"/>
    <w:rsid w:val="00801CB1"/>
    <w:rsid w:val="00802AA7"/>
    <w:rsid w:val="00802B43"/>
    <w:rsid w:val="00802B6F"/>
    <w:rsid w:val="00803A0C"/>
    <w:rsid w:val="00803ACE"/>
    <w:rsid w:val="008051E1"/>
    <w:rsid w:val="00805B99"/>
    <w:rsid w:val="00806A74"/>
    <w:rsid w:val="00806E9B"/>
    <w:rsid w:val="00806F6F"/>
    <w:rsid w:val="00807090"/>
    <w:rsid w:val="008071E0"/>
    <w:rsid w:val="00807926"/>
    <w:rsid w:val="00807A15"/>
    <w:rsid w:val="00807AB5"/>
    <w:rsid w:val="008100A2"/>
    <w:rsid w:val="008101CB"/>
    <w:rsid w:val="008103E2"/>
    <w:rsid w:val="0081040A"/>
    <w:rsid w:val="008107F5"/>
    <w:rsid w:val="00810E30"/>
    <w:rsid w:val="00810ED7"/>
    <w:rsid w:val="00810F19"/>
    <w:rsid w:val="0081355C"/>
    <w:rsid w:val="00813AEB"/>
    <w:rsid w:val="008146E1"/>
    <w:rsid w:val="00814CAD"/>
    <w:rsid w:val="00815D4E"/>
    <w:rsid w:val="00816EFC"/>
    <w:rsid w:val="00817D96"/>
    <w:rsid w:val="00817F9A"/>
    <w:rsid w:val="0082093A"/>
    <w:rsid w:val="00822459"/>
    <w:rsid w:val="008227FA"/>
    <w:rsid w:val="008229A2"/>
    <w:rsid w:val="00822BCB"/>
    <w:rsid w:val="008231C0"/>
    <w:rsid w:val="00823F22"/>
    <w:rsid w:val="0082443D"/>
    <w:rsid w:val="00824A9E"/>
    <w:rsid w:val="008254DF"/>
    <w:rsid w:val="00825EA0"/>
    <w:rsid w:val="00825F58"/>
    <w:rsid w:val="008268CF"/>
    <w:rsid w:val="00826C5B"/>
    <w:rsid w:val="008270EE"/>
    <w:rsid w:val="00827497"/>
    <w:rsid w:val="00827A1F"/>
    <w:rsid w:val="00827C4B"/>
    <w:rsid w:val="0083026B"/>
    <w:rsid w:val="00830BC7"/>
    <w:rsid w:val="00831472"/>
    <w:rsid w:val="00831689"/>
    <w:rsid w:val="008329FF"/>
    <w:rsid w:val="00832ECB"/>
    <w:rsid w:val="0083336A"/>
    <w:rsid w:val="00833526"/>
    <w:rsid w:val="008340EC"/>
    <w:rsid w:val="008347FA"/>
    <w:rsid w:val="00834B47"/>
    <w:rsid w:val="00835459"/>
    <w:rsid w:val="00837C41"/>
    <w:rsid w:val="00837C92"/>
    <w:rsid w:val="00837F0F"/>
    <w:rsid w:val="008416E5"/>
    <w:rsid w:val="0084210C"/>
    <w:rsid w:val="00842BBA"/>
    <w:rsid w:val="00842D41"/>
    <w:rsid w:val="00843029"/>
    <w:rsid w:val="00843420"/>
    <w:rsid w:val="00843B5D"/>
    <w:rsid w:val="008447D4"/>
    <w:rsid w:val="00845029"/>
    <w:rsid w:val="0084506C"/>
    <w:rsid w:val="008454BD"/>
    <w:rsid w:val="00845692"/>
    <w:rsid w:val="008463F3"/>
    <w:rsid w:val="00846D76"/>
    <w:rsid w:val="0085005F"/>
    <w:rsid w:val="0085062F"/>
    <w:rsid w:val="00850CB2"/>
    <w:rsid w:val="00851307"/>
    <w:rsid w:val="008515B1"/>
    <w:rsid w:val="00852508"/>
    <w:rsid w:val="00852E5B"/>
    <w:rsid w:val="00852EAC"/>
    <w:rsid w:val="00853677"/>
    <w:rsid w:val="008536B3"/>
    <w:rsid w:val="00853ACD"/>
    <w:rsid w:val="00853ACF"/>
    <w:rsid w:val="00853F1F"/>
    <w:rsid w:val="008544D3"/>
    <w:rsid w:val="00854659"/>
    <w:rsid w:val="008558A1"/>
    <w:rsid w:val="0085642F"/>
    <w:rsid w:val="008573AF"/>
    <w:rsid w:val="00857645"/>
    <w:rsid w:val="008577C4"/>
    <w:rsid w:val="00857A98"/>
    <w:rsid w:val="00857D80"/>
    <w:rsid w:val="008602FC"/>
    <w:rsid w:val="008607D5"/>
    <w:rsid w:val="00860989"/>
    <w:rsid w:val="00860CF9"/>
    <w:rsid w:val="008617FB"/>
    <w:rsid w:val="008622D3"/>
    <w:rsid w:val="0086257B"/>
    <w:rsid w:val="0086268A"/>
    <w:rsid w:val="008639A2"/>
    <w:rsid w:val="00863BBB"/>
    <w:rsid w:val="00863E4F"/>
    <w:rsid w:val="008640FD"/>
    <w:rsid w:val="0086426C"/>
    <w:rsid w:val="0086564F"/>
    <w:rsid w:val="00865681"/>
    <w:rsid w:val="0086583F"/>
    <w:rsid w:val="00866618"/>
    <w:rsid w:val="00866658"/>
    <w:rsid w:val="008666EF"/>
    <w:rsid w:val="00867B6B"/>
    <w:rsid w:val="0087032E"/>
    <w:rsid w:val="0087057E"/>
    <w:rsid w:val="00870AFC"/>
    <w:rsid w:val="008715CC"/>
    <w:rsid w:val="00872589"/>
    <w:rsid w:val="00872770"/>
    <w:rsid w:val="00873754"/>
    <w:rsid w:val="00873C68"/>
    <w:rsid w:val="00873CFE"/>
    <w:rsid w:val="008752FC"/>
    <w:rsid w:val="00875FA4"/>
    <w:rsid w:val="008763C8"/>
    <w:rsid w:val="00877D6E"/>
    <w:rsid w:val="00877E35"/>
    <w:rsid w:val="0088014E"/>
    <w:rsid w:val="00880BAB"/>
    <w:rsid w:val="00880BC0"/>
    <w:rsid w:val="0088130D"/>
    <w:rsid w:val="008817FF"/>
    <w:rsid w:val="00881D3D"/>
    <w:rsid w:val="00881E98"/>
    <w:rsid w:val="0088239C"/>
    <w:rsid w:val="00882745"/>
    <w:rsid w:val="008828F7"/>
    <w:rsid w:val="00882941"/>
    <w:rsid w:val="00882A65"/>
    <w:rsid w:val="00882E58"/>
    <w:rsid w:val="00882F87"/>
    <w:rsid w:val="008835B1"/>
    <w:rsid w:val="00883B3F"/>
    <w:rsid w:val="00884A5C"/>
    <w:rsid w:val="008851BE"/>
    <w:rsid w:val="00885538"/>
    <w:rsid w:val="00885691"/>
    <w:rsid w:val="0088600C"/>
    <w:rsid w:val="00886188"/>
    <w:rsid w:val="00887063"/>
    <w:rsid w:val="008874AA"/>
    <w:rsid w:val="00887F1B"/>
    <w:rsid w:val="00887FD1"/>
    <w:rsid w:val="008900CF"/>
    <w:rsid w:val="00890CE5"/>
    <w:rsid w:val="008917C0"/>
    <w:rsid w:val="00891CE4"/>
    <w:rsid w:val="008922CF"/>
    <w:rsid w:val="008923D1"/>
    <w:rsid w:val="008925B9"/>
    <w:rsid w:val="00892A4E"/>
    <w:rsid w:val="008937CB"/>
    <w:rsid w:val="0089427B"/>
    <w:rsid w:val="0089483C"/>
    <w:rsid w:val="00894A6B"/>
    <w:rsid w:val="00894A7F"/>
    <w:rsid w:val="00895E5A"/>
    <w:rsid w:val="00896EB4"/>
    <w:rsid w:val="00896F0D"/>
    <w:rsid w:val="00897502"/>
    <w:rsid w:val="008976C8"/>
    <w:rsid w:val="00897813"/>
    <w:rsid w:val="00897855"/>
    <w:rsid w:val="008A06A1"/>
    <w:rsid w:val="008A0E63"/>
    <w:rsid w:val="008A109A"/>
    <w:rsid w:val="008A173F"/>
    <w:rsid w:val="008A1EFD"/>
    <w:rsid w:val="008A2790"/>
    <w:rsid w:val="008A2C5D"/>
    <w:rsid w:val="008A3C32"/>
    <w:rsid w:val="008A3D8A"/>
    <w:rsid w:val="008A40AB"/>
    <w:rsid w:val="008A4EBA"/>
    <w:rsid w:val="008A4F57"/>
    <w:rsid w:val="008A52CE"/>
    <w:rsid w:val="008A574C"/>
    <w:rsid w:val="008A6A25"/>
    <w:rsid w:val="008A7D28"/>
    <w:rsid w:val="008B0BA7"/>
    <w:rsid w:val="008B0C78"/>
    <w:rsid w:val="008B1E06"/>
    <w:rsid w:val="008B1F77"/>
    <w:rsid w:val="008B20A4"/>
    <w:rsid w:val="008B284C"/>
    <w:rsid w:val="008B2EF5"/>
    <w:rsid w:val="008B2F1A"/>
    <w:rsid w:val="008B31AD"/>
    <w:rsid w:val="008B3278"/>
    <w:rsid w:val="008B331F"/>
    <w:rsid w:val="008B3A87"/>
    <w:rsid w:val="008B3C1F"/>
    <w:rsid w:val="008B3FAC"/>
    <w:rsid w:val="008B4243"/>
    <w:rsid w:val="008B4953"/>
    <w:rsid w:val="008B4B1A"/>
    <w:rsid w:val="008B4E19"/>
    <w:rsid w:val="008B4F72"/>
    <w:rsid w:val="008B5F58"/>
    <w:rsid w:val="008B60CB"/>
    <w:rsid w:val="008B6367"/>
    <w:rsid w:val="008B63AD"/>
    <w:rsid w:val="008B7546"/>
    <w:rsid w:val="008C0557"/>
    <w:rsid w:val="008C055E"/>
    <w:rsid w:val="008C0771"/>
    <w:rsid w:val="008C0845"/>
    <w:rsid w:val="008C15A7"/>
    <w:rsid w:val="008C1715"/>
    <w:rsid w:val="008C1779"/>
    <w:rsid w:val="008C1DC1"/>
    <w:rsid w:val="008C28B3"/>
    <w:rsid w:val="008C2B85"/>
    <w:rsid w:val="008C3591"/>
    <w:rsid w:val="008C3A88"/>
    <w:rsid w:val="008C3AC1"/>
    <w:rsid w:val="008C4EB8"/>
    <w:rsid w:val="008C61B0"/>
    <w:rsid w:val="008C6282"/>
    <w:rsid w:val="008C68A8"/>
    <w:rsid w:val="008C6FD3"/>
    <w:rsid w:val="008C70EB"/>
    <w:rsid w:val="008C7FA7"/>
    <w:rsid w:val="008D0065"/>
    <w:rsid w:val="008D0F7D"/>
    <w:rsid w:val="008D155D"/>
    <w:rsid w:val="008D15E6"/>
    <w:rsid w:val="008D19DB"/>
    <w:rsid w:val="008D229E"/>
    <w:rsid w:val="008D24C5"/>
    <w:rsid w:val="008D36D2"/>
    <w:rsid w:val="008D3FE4"/>
    <w:rsid w:val="008D415F"/>
    <w:rsid w:val="008D5506"/>
    <w:rsid w:val="008D56FC"/>
    <w:rsid w:val="008D5DAB"/>
    <w:rsid w:val="008D6641"/>
    <w:rsid w:val="008D6847"/>
    <w:rsid w:val="008D6968"/>
    <w:rsid w:val="008D6B22"/>
    <w:rsid w:val="008D6C68"/>
    <w:rsid w:val="008D71F3"/>
    <w:rsid w:val="008D7AFD"/>
    <w:rsid w:val="008D7E3E"/>
    <w:rsid w:val="008D7EA6"/>
    <w:rsid w:val="008D7FCC"/>
    <w:rsid w:val="008E0029"/>
    <w:rsid w:val="008E01BA"/>
    <w:rsid w:val="008E0219"/>
    <w:rsid w:val="008E0253"/>
    <w:rsid w:val="008E0C73"/>
    <w:rsid w:val="008E0DE2"/>
    <w:rsid w:val="008E1746"/>
    <w:rsid w:val="008E1CA4"/>
    <w:rsid w:val="008E2BCC"/>
    <w:rsid w:val="008E5A4E"/>
    <w:rsid w:val="008E6A58"/>
    <w:rsid w:val="008E6D37"/>
    <w:rsid w:val="008E6F6B"/>
    <w:rsid w:val="008E7155"/>
    <w:rsid w:val="008E71FB"/>
    <w:rsid w:val="008E7365"/>
    <w:rsid w:val="008E7A5B"/>
    <w:rsid w:val="008E7F33"/>
    <w:rsid w:val="008F0248"/>
    <w:rsid w:val="008F07B8"/>
    <w:rsid w:val="008F0932"/>
    <w:rsid w:val="008F0EF5"/>
    <w:rsid w:val="008F0FE8"/>
    <w:rsid w:val="008F1238"/>
    <w:rsid w:val="008F232D"/>
    <w:rsid w:val="008F257A"/>
    <w:rsid w:val="008F35D9"/>
    <w:rsid w:val="008F3793"/>
    <w:rsid w:val="008F438C"/>
    <w:rsid w:val="008F525C"/>
    <w:rsid w:val="008F540C"/>
    <w:rsid w:val="008F6060"/>
    <w:rsid w:val="008F6426"/>
    <w:rsid w:val="008F6B8B"/>
    <w:rsid w:val="008F77B4"/>
    <w:rsid w:val="00900B52"/>
    <w:rsid w:val="00900C3B"/>
    <w:rsid w:val="0090146E"/>
    <w:rsid w:val="00901E4D"/>
    <w:rsid w:val="00901F1F"/>
    <w:rsid w:val="00902957"/>
    <w:rsid w:val="00902C22"/>
    <w:rsid w:val="00903424"/>
    <w:rsid w:val="00903553"/>
    <w:rsid w:val="00903D84"/>
    <w:rsid w:val="00904206"/>
    <w:rsid w:val="009042F1"/>
    <w:rsid w:val="009047F2"/>
    <w:rsid w:val="00905456"/>
    <w:rsid w:val="0090621C"/>
    <w:rsid w:val="00906618"/>
    <w:rsid w:val="00906C4A"/>
    <w:rsid w:val="00907C2A"/>
    <w:rsid w:val="00910866"/>
    <w:rsid w:val="009110AD"/>
    <w:rsid w:val="009111CC"/>
    <w:rsid w:val="009114FF"/>
    <w:rsid w:val="00911888"/>
    <w:rsid w:val="00911A79"/>
    <w:rsid w:val="00911D8B"/>
    <w:rsid w:val="009127CC"/>
    <w:rsid w:val="009130D1"/>
    <w:rsid w:val="009158B9"/>
    <w:rsid w:val="00915FE3"/>
    <w:rsid w:val="0091620A"/>
    <w:rsid w:val="00916863"/>
    <w:rsid w:val="00917458"/>
    <w:rsid w:val="00917BB3"/>
    <w:rsid w:val="0092096D"/>
    <w:rsid w:val="00921B73"/>
    <w:rsid w:val="00921E56"/>
    <w:rsid w:val="009221ED"/>
    <w:rsid w:val="0092259C"/>
    <w:rsid w:val="00923187"/>
    <w:rsid w:val="00926F12"/>
    <w:rsid w:val="00927309"/>
    <w:rsid w:val="00927DE3"/>
    <w:rsid w:val="00930212"/>
    <w:rsid w:val="00930591"/>
    <w:rsid w:val="00930609"/>
    <w:rsid w:val="00930B72"/>
    <w:rsid w:val="0093196E"/>
    <w:rsid w:val="00931A58"/>
    <w:rsid w:val="00931C19"/>
    <w:rsid w:val="0093207F"/>
    <w:rsid w:val="00932113"/>
    <w:rsid w:val="00932239"/>
    <w:rsid w:val="00932AD7"/>
    <w:rsid w:val="00932E71"/>
    <w:rsid w:val="0093456C"/>
    <w:rsid w:val="00934640"/>
    <w:rsid w:val="009352C5"/>
    <w:rsid w:val="00935534"/>
    <w:rsid w:val="0093562F"/>
    <w:rsid w:val="00935F61"/>
    <w:rsid w:val="009360BB"/>
    <w:rsid w:val="00936B1F"/>
    <w:rsid w:val="009379F0"/>
    <w:rsid w:val="00937A14"/>
    <w:rsid w:val="00937A67"/>
    <w:rsid w:val="00940946"/>
    <w:rsid w:val="00942B2E"/>
    <w:rsid w:val="00942D2B"/>
    <w:rsid w:val="009431F7"/>
    <w:rsid w:val="00943238"/>
    <w:rsid w:val="00943CFE"/>
    <w:rsid w:val="00943E5A"/>
    <w:rsid w:val="00943F96"/>
    <w:rsid w:val="00943FA2"/>
    <w:rsid w:val="0094494D"/>
    <w:rsid w:val="00944E59"/>
    <w:rsid w:val="00945225"/>
    <w:rsid w:val="00945401"/>
    <w:rsid w:val="009459F4"/>
    <w:rsid w:val="00945ABE"/>
    <w:rsid w:val="00945E58"/>
    <w:rsid w:val="00946127"/>
    <w:rsid w:val="00946907"/>
    <w:rsid w:val="00950CAE"/>
    <w:rsid w:val="009512EC"/>
    <w:rsid w:val="009519A8"/>
    <w:rsid w:val="00951D65"/>
    <w:rsid w:val="00952499"/>
    <w:rsid w:val="0095315A"/>
    <w:rsid w:val="009534DD"/>
    <w:rsid w:val="0095356B"/>
    <w:rsid w:val="009535C2"/>
    <w:rsid w:val="00953A73"/>
    <w:rsid w:val="00954926"/>
    <w:rsid w:val="00954D5A"/>
    <w:rsid w:val="009551A8"/>
    <w:rsid w:val="00955645"/>
    <w:rsid w:val="00956510"/>
    <w:rsid w:val="00956B6C"/>
    <w:rsid w:val="00957B5B"/>
    <w:rsid w:val="009601CB"/>
    <w:rsid w:val="0096059A"/>
    <w:rsid w:val="0096081E"/>
    <w:rsid w:val="00960D39"/>
    <w:rsid w:val="00960F7E"/>
    <w:rsid w:val="00961022"/>
    <w:rsid w:val="009611A5"/>
    <w:rsid w:val="0096193B"/>
    <w:rsid w:val="00961BC2"/>
    <w:rsid w:val="00963188"/>
    <w:rsid w:val="00963240"/>
    <w:rsid w:val="00963B82"/>
    <w:rsid w:val="00964475"/>
    <w:rsid w:val="0096456D"/>
    <w:rsid w:val="00964A6E"/>
    <w:rsid w:val="00964FB4"/>
    <w:rsid w:val="00965084"/>
    <w:rsid w:val="0096516C"/>
    <w:rsid w:val="009666BD"/>
    <w:rsid w:val="0096670E"/>
    <w:rsid w:val="00966BFB"/>
    <w:rsid w:val="00967CDA"/>
    <w:rsid w:val="00970048"/>
    <w:rsid w:val="009701AF"/>
    <w:rsid w:val="00971366"/>
    <w:rsid w:val="00971831"/>
    <w:rsid w:val="0097216D"/>
    <w:rsid w:val="00972C88"/>
    <w:rsid w:val="00972D8F"/>
    <w:rsid w:val="0097396E"/>
    <w:rsid w:val="00973C2B"/>
    <w:rsid w:val="0097437B"/>
    <w:rsid w:val="0097441E"/>
    <w:rsid w:val="0097529C"/>
    <w:rsid w:val="00975680"/>
    <w:rsid w:val="00975FB0"/>
    <w:rsid w:val="009762C7"/>
    <w:rsid w:val="0097670F"/>
    <w:rsid w:val="00976C61"/>
    <w:rsid w:val="009776B1"/>
    <w:rsid w:val="00977E1E"/>
    <w:rsid w:val="009803E7"/>
    <w:rsid w:val="009803EC"/>
    <w:rsid w:val="00981215"/>
    <w:rsid w:val="009812FC"/>
    <w:rsid w:val="009813BF"/>
    <w:rsid w:val="00981987"/>
    <w:rsid w:val="009819CD"/>
    <w:rsid w:val="00982C0D"/>
    <w:rsid w:val="009832E2"/>
    <w:rsid w:val="00983D98"/>
    <w:rsid w:val="00983F22"/>
    <w:rsid w:val="009844B4"/>
    <w:rsid w:val="0098453B"/>
    <w:rsid w:val="00984D82"/>
    <w:rsid w:val="0098572B"/>
    <w:rsid w:val="00985CDA"/>
    <w:rsid w:val="0098603A"/>
    <w:rsid w:val="00986137"/>
    <w:rsid w:val="009865B1"/>
    <w:rsid w:val="00986B96"/>
    <w:rsid w:val="0098740B"/>
    <w:rsid w:val="00987C6F"/>
    <w:rsid w:val="0099018C"/>
    <w:rsid w:val="00990708"/>
    <w:rsid w:val="00990C3D"/>
    <w:rsid w:val="009915EB"/>
    <w:rsid w:val="0099199D"/>
    <w:rsid w:val="00991B9A"/>
    <w:rsid w:val="00993499"/>
    <w:rsid w:val="009934DB"/>
    <w:rsid w:val="009939CB"/>
    <w:rsid w:val="00993D95"/>
    <w:rsid w:val="009940EA"/>
    <w:rsid w:val="009948FE"/>
    <w:rsid w:val="00995756"/>
    <w:rsid w:val="00997125"/>
    <w:rsid w:val="009A0208"/>
    <w:rsid w:val="009A09C0"/>
    <w:rsid w:val="009A0B05"/>
    <w:rsid w:val="009A17B5"/>
    <w:rsid w:val="009A1B80"/>
    <w:rsid w:val="009A21EE"/>
    <w:rsid w:val="009A253B"/>
    <w:rsid w:val="009A3C6E"/>
    <w:rsid w:val="009A4532"/>
    <w:rsid w:val="009A640C"/>
    <w:rsid w:val="009A6974"/>
    <w:rsid w:val="009A6A04"/>
    <w:rsid w:val="009A6A34"/>
    <w:rsid w:val="009A6FB1"/>
    <w:rsid w:val="009A78A6"/>
    <w:rsid w:val="009B01AE"/>
    <w:rsid w:val="009B0346"/>
    <w:rsid w:val="009B04F2"/>
    <w:rsid w:val="009B0A43"/>
    <w:rsid w:val="009B0DBE"/>
    <w:rsid w:val="009B123D"/>
    <w:rsid w:val="009B1462"/>
    <w:rsid w:val="009B1C1B"/>
    <w:rsid w:val="009B1E55"/>
    <w:rsid w:val="009B1EB7"/>
    <w:rsid w:val="009B21E5"/>
    <w:rsid w:val="009B35BF"/>
    <w:rsid w:val="009B4B37"/>
    <w:rsid w:val="009B4C3E"/>
    <w:rsid w:val="009B4D2F"/>
    <w:rsid w:val="009B5038"/>
    <w:rsid w:val="009B56BE"/>
    <w:rsid w:val="009B573C"/>
    <w:rsid w:val="009B6E0F"/>
    <w:rsid w:val="009B6FC0"/>
    <w:rsid w:val="009B7356"/>
    <w:rsid w:val="009B7A8A"/>
    <w:rsid w:val="009B7E1C"/>
    <w:rsid w:val="009C099B"/>
    <w:rsid w:val="009C0B86"/>
    <w:rsid w:val="009C1604"/>
    <w:rsid w:val="009C1ADB"/>
    <w:rsid w:val="009C3452"/>
    <w:rsid w:val="009C37BF"/>
    <w:rsid w:val="009C398A"/>
    <w:rsid w:val="009C4676"/>
    <w:rsid w:val="009C4DCF"/>
    <w:rsid w:val="009C5C73"/>
    <w:rsid w:val="009C5FC3"/>
    <w:rsid w:val="009C60E9"/>
    <w:rsid w:val="009C65B1"/>
    <w:rsid w:val="009C6629"/>
    <w:rsid w:val="009C6DDC"/>
    <w:rsid w:val="009C6E65"/>
    <w:rsid w:val="009C758C"/>
    <w:rsid w:val="009C7896"/>
    <w:rsid w:val="009D0530"/>
    <w:rsid w:val="009D0C23"/>
    <w:rsid w:val="009D0CF4"/>
    <w:rsid w:val="009D0D52"/>
    <w:rsid w:val="009D0E1C"/>
    <w:rsid w:val="009D140A"/>
    <w:rsid w:val="009D1A74"/>
    <w:rsid w:val="009D2988"/>
    <w:rsid w:val="009D2B87"/>
    <w:rsid w:val="009D3160"/>
    <w:rsid w:val="009D39E1"/>
    <w:rsid w:val="009D3D90"/>
    <w:rsid w:val="009D43C4"/>
    <w:rsid w:val="009D4C5D"/>
    <w:rsid w:val="009D645F"/>
    <w:rsid w:val="009D6D3F"/>
    <w:rsid w:val="009D7206"/>
    <w:rsid w:val="009D7410"/>
    <w:rsid w:val="009D7601"/>
    <w:rsid w:val="009D7622"/>
    <w:rsid w:val="009D7D34"/>
    <w:rsid w:val="009E075E"/>
    <w:rsid w:val="009E1908"/>
    <w:rsid w:val="009E2463"/>
    <w:rsid w:val="009E24F0"/>
    <w:rsid w:val="009E2B4C"/>
    <w:rsid w:val="009E2C55"/>
    <w:rsid w:val="009E2E3F"/>
    <w:rsid w:val="009E2EA8"/>
    <w:rsid w:val="009E2FAC"/>
    <w:rsid w:val="009E3197"/>
    <w:rsid w:val="009E3A1D"/>
    <w:rsid w:val="009E44A4"/>
    <w:rsid w:val="009E4A34"/>
    <w:rsid w:val="009E4D58"/>
    <w:rsid w:val="009E4E3B"/>
    <w:rsid w:val="009E5198"/>
    <w:rsid w:val="009E59F4"/>
    <w:rsid w:val="009E5A45"/>
    <w:rsid w:val="009E6113"/>
    <w:rsid w:val="009E61B0"/>
    <w:rsid w:val="009E63F0"/>
    <w:rsid w:val="009E6B44"/>
    <w:rsid w:val="009E7BCD"/>
    <w:rsid w:val="009F012F"/>
    <w:rsid w:val="009F016E"/>
    <w:rsid w:val="009F056D"/>
    <w:rsid w:val="009F05AC"/>
    <w:rsid w:val="009F086C"/>
    <w:rsid w:val="009F1443"/>
    <w:rsid w:val="009F14F3"/>
    <w:rsid w:val="009F1544"/>
    <w:rsid w:val="009F1778"/>
    <w:rsid w:val="009F1EEE"/>
    <w:rsid w:val="009F239C"/>
    <w:rsid w:val="009F2545"/>
    <w:rsid w:val="009F2E88"/>
    <w:rsid w:val="009F4825"/>
    <w:rsid w:val="009F49FF"/>
    <w:rsid w:val="009F5B77"/>
    <w:rsid w:val="009F5CE6"/>
    <w:rsid w:val="009F60E0"/>
    <w:rsid w:val="009F6125"/>
    <w:rsid w:val="009F68A3"/>
    <w:rsid w:val="009F6B75"/>
    <w:rsid w:val="009F6C90"/>
    <w:rsid w:val="009F73D9"/>
    <w:rsid w:val="009F74DB"/>
    <w:rsid w:val="009F77DF"/>
    <w:rsid w:val="009F7813"/>
    <w:rsid w:val="009F78B6"/>
    <w:rsid w:val="00A00221"/>
    <w:rsid w:val="00A00437"/>
    <w:rsid w:val="00A00AB9"/>
    <w:rsid w:val="00A00DDA"/>
    <w:rsid w:val="00A01057"/>
    <w:rsid w:val="00A01385"/>
    <w:rsid w:val="00A01B4F"/>
    <w:rsid w:val="00A01B9D"/>
    <w:rsid w:val="00A02C0A"/>
    <w:rsid w:val="00A03652"/>
    <w:rsid w:val="00A03A2A"/>
    <w:rsid w:val="00A03B1A"/>
    <w:rsid w:val="00A03D17"/>
    <w:rsid w:val="00A04482"/>
    <w:rsid w:val="00A0480E"/>
    <w:rsid w:val="00A04844"/>
    <w:rsid w:val="00A04B36"/>
    <w:rsid w:val="00A050B2"/>
    <w:rsid w:val="00A05EC4"/>
    <w:rsid w:val="00A064E2"/>
    <w:rsid w:val="00A06ED8"/>
    <w:rsid w:val="00A07570"/>
    <w:rsid w:val="00A07B75"/>
    <w:rsid w:val="00A10103"/>
    <w:rsid w:val="00A104EC"/>
    <w:rsid w:val="00A11137"/>
    <w:rsid w:val="00A111EA"/>
    <w:rsid w:val="00A1135E"/>
    <w:rsid w:val="00A11447"/>
    <w:rsid w:val="00A11B67"/>
    <w:rsid w:val="00A11DEE"/>
    <w:rsid w:val="00A12996"/>
    <w:rsid w:val="00A12B28"/>
    <w:rsid w:val="00A12F3C"/>
    <w:rsid w:val="00A138E4"/>
    <w:rsid w:val="00A13EAB"/>
    <w:rsid w:val="00A143DD"/>
    <w:rsid w:val="00A162DF"/>
    <w:rsid w:val="00A16324"/>
    <w:rsid w:val="00A17013"/>
    <w:rsid w:val="00A175C6"/>
    <w:rsid w:val="00A178DD"/>
    <w:rsid w:val="00A17AF1"/>
    <w:rsid w:val="00A17B4D"/>
    <w:rsid w:val="00A17B91"/>
    <w:rsid w:val="00A17ED1"/>
    <w:rsid w:val="00A20220"/>
    <w:rsid w:val="00A20CAE"/>
    <w:rsid w:val="00A21440"/>
    <w:rsid w:val="00A216BF"/>
    <w:rsid w:val="00A21A99"/>
    <w:rsid w:val="00A21BFD"/>
    <w:rsid w:val="00A21C7C"/>
    <w:rsid w:val="00A22E21"/>
    <w:rsid w:val="00A22FBA"/>
    <w:rsid w:val="00A23269"/>
    <w:rsid w:val="00A23F95"/>
    <w:rsid w:val="00A25E6E"/>
    <w:rsid w:val="00A26462"/>
    <w:rsid w:val="00A265C3"/>
    <w:rsid w:val="00A26700"/>
    <w:rsid w:val="00A26B21"/>
    <w:rsid w:val="00A274E2"/>
    <w:rsid w:val="00A30B97"/>
    <w:rsid w:val="00A30BDB"/>
    <w:rsid w:val="00A31193"/>
    <w:rsid w:val="00A312FC"/>
    <w:rsid w:val="00A31F9A"/>
    <w:rsid w:val="00A3288D"/>
    <w:rsid w:val="00A32CA4"/>
    <w:rsid w:val="00A32D72"/>
    <w:rsid w:val="00A3307A"/>
    <w:rsid w:val="00A33B96"/>
    <w:rsid w:val="00A34BDA"/>
    <w:rsid w:val="00A358DC"/>
    <w:rsid w:val="00A362FE"/>
    <w:rsid w:val="00A37A3E"/>
    <w:rsid w:val="00A4164A"/>
    <w:rsid w:val="00A4189A"/>
    <w:rsid w:val="00A41C3D"/>
    <w:rsid w:val="00A41F2E"/>
    <w:rsid w:val="00A4265F"/>
    <w:rsid w:val="00A432A0"/>
    <w:rsid w:val="00A4354B"/>
    <w:rsid w:val="00A43EDD"/>
    <w:rsid w:val="00A43F0A"/>
    <w:rsid w:val="00A43FF9"/>
    <w:rsid w:val="00A4404B"/>
    <w:rsid w:val="00A44085"/>
    <w:rsid w:val="00A44220"/>
    <w:rsid w:val="00A465E9"/>
    <w:rsid w:val="00A46A4B"/>
    <w:rsid w:val="00A47774"/>
    <w:rsid w:val="00A47BC1"/>
    <w:rsid w:val="00A50899"/>
    <w:rsid w:val="00A508F1"/>
    <w:rsid w:val="00A50B69"/>
    <w:rsid w:val="00A512A2"/>
    <w:rsid w:val="00A5216F"/>
    <w:rsid w:val="00A52254"/>
    <w:rsid w:val="00A52401"/>
    <w:rsid w:val="00A5287D"/>
    <w:rsid w:val="00A539C0"/>
    <w:rsid w:val="00A550F7"/>
    <w:rsid w:val="00A559A4"/>
    <w:rsid w:val="00A55E33"/>
    <w:rsid w:val="00A562BE"/>
    <w:rsid w:val="00A56A4F"/>
    <w:rsid w:val="00A56DDE"/>
    <w:rsid w:val="00A5787F"/>
    <w:rsid w:val="00A57E73"/>
    <w:rsid w:val="00A60436"/>
    <w:rsid w:val="00A607D9"/>
    <w:rsid w:val="00A60C3A"/>
    <w:rsid w:val="00A619C8"/>
    <w:rsid w:val="00A621B7"/>
    <w:rsid w:val="00A63037"/>
    <w:rsid w:val="00A6323E"/>
    <w:rsid w:val="00A637A2"/>
    <w:rsid w:val="00A63AF3"/>
    <w:rsid w:val="00A6419E"/>
    <w:rsid w:val="00A64E8C"/>
    <w:rsid w:val="00A64EF8"/>
    <w:rsid w:val="00A65894"/>
    <w:rsid w:val="00A65E01"/>
    <w:rsid w:val="00A664B6"/>
    <w:rsid w:val="00A6677B"/>
    <w:rsid w:val="00A67643"/>
    <w:rsid w:val="00A6771B"/>
    <w:rsid w:val="00A67D1C"/>
    <w:rsid w:val="00A710AC"/>
    <w:rsid w:val="00A717AD"/>
    <w:rsid w:val="00A7186E"/>
    <w:rsid w:val="00A71FC9"/>
    <w:rsid w:val="00A725DB"/>
    <w:rsid w:val="00A7275A"/>
    <w:rsid w:val="00A73738"/>
    <w:rsid w:val="00A73D7C"/>
    <w:rsid w:val="00A73E8F"/>
    <w:rsid w:val="00A747DC"/>
    <w:rsid w:val="00A74904"/>
    <w:rsid w:val="00A74B57"/>
    <w:rsid w:val="00A74D4E"/>
    <w:rsid w:val="00A74E90"/>
    <w:rsid w:val="00A7511E"/>
    <w:rsid w:val="00A753BD"/>
    <w:rsid w:val="00A761EE"/>
    <w:rsid w:val="00A76B33"/>
    <w:rsid w:val="00A77933"/>
    <w:rsid w:val="00A77F98"/>
    <w:rsid w:val="00A80813"/>
    <w:rsid w:val="00A80EA4"/>
    <w:rsid w:val="00A81446"/>
    <w:rsid w:val="00A819BA"/>
    <w:rsid w:val="00A819DD"/>
    <w:rsid w:val="00A81C95"/>
    <w:rsid w:val="00A83A16"/>
    <w:rsid w:val="00A83CA5"/>
    <w:rsid w:val="00A83FDA"/>
    <w:rsid w:val="00A84336"/>
    <w:rsid w:val="00A84863"/>
    <w:rsid w:val="00A84EBD"/>
    <w:rsid w:val="00A84EDD"/>
    <w:rsid w:val="00A84F34"/>
    <w:rsid w:val="00A850D0"/>
    <w:rsid w:val="00A85382"/>
    <w:rsid w:val="00A85880"/>
    <w:rsid w:val="00A8620E"/>
    <w:rsid w:val="00A864E9"/>
    <w:rsid w:val="00A86CC9"/>
    <w:rsid w:val="00A86EAC"/>
    <w:rsid w:val="00A87906"/>
    <w:rsid w:val="00A87958"/>
    <w:rsid w:val="00A87E9E"/>
    <w:rsid w:val="00A901BE"/>
    <w:rsid w:val="00A904E2"/>
    <w:rsid w:val="00A90D2E"/>
    <w:rsid w:val="00A912E7"/>
    <w:rsid w:val="00A915A0"/>
    <w:rsid w:val="00A91E97"/>
    <w:rsid w:val="00A92BCF"/>
    <w:rsid w:val="00A93095"/>
    <w:rsid w:val="00A93246"/>
    <w:rsid w:val="00A93456"/>
    <w:rsid w:val="00A940BD"/>
    <w:rsid w:val="00A9479E"/>
    <w:rsid w:val="00A9520C"/>
    <w:rsid w:val="00A958FD"/>
    <w:rsid w:val="00A96085"/>
    <w:rsid w:val="00A96424"/>
    <w:rsid w:val="00A97744"/>
    <w:rsid w:val="00AA19A6"/>
    <w:rsid w:val="00AA1AED"/>
    <w:rsid w:val="00AA20B1"/>
    <w:rsid w:val="00AA262E"/>
    <w:rsid w:val="00AA2C89"/>
    <w:rsid w:val="00AA33FB"/>
    <w:rsid w:val="00AA3442"/>
    <w:rsid w:val="00AA3451"/>
    <w:rsid w:val="00AA3915"/>
    <w:rsid w:val="00AA43BD"/>
    <w:rsid w:val="00AA46E6"/>
    <w:rsid w:val="00AA48C1"/>
    <w:rsid w:val="00AA4B21"/>
    <w:rsid w:val="00AA5ADB"/>
    <w:rsid w:val="00AA604E"/>
    <w:rsid w:val="00AA60A4"/>
    <w:rsid w:val="00AA6240"/>
    <w:rsid w:val="00AA6C66"/>
    <w:rsid w:val="00AA73A8"/>
    <w:rsid w:val="00AA7827"/>
    <w:rsid w:val="00AA7DBA"/>
    <w:rsid w:val="00AB006F"/>
    <w:rsid w:val="00AB0AFE"/>
    <w:rsid w:val="00AB0EA2"/>
    <w:rsid w:val="00AB1A9F"/>
    <w:rsid w:val="00AB29BA"/>
    <w:rsid w:val="00AB3037"/>
    <w:rsid w:val="00AB3184"/>
    <w:rsid w:val="00AB33F9"/>
    <w:rsid w:val="00AB362C"/>
    <w:rsid w:val="00AB3661"/>
    <w:rsid w:val="00AB3CEC"/>
    <w:rsid w:val="00AB3E8B"/>
    <w:rsid w:val="00AB4AFF"/>
    <w:rsid w:val="00AB4D98"/>
    <w:rsid w:val="00AB537C"/>
    <w:rsid w:val="00AB5887"/>
    <w:rsid w:val="00AB5B81"/>
    <w:rsid w:val="00AB5C13"/>
    <w:rsid w:val="00AB5D24"/>
    <w:rsid w:val="00AB600F"/>
    <w:rsid w:val="00AB64E5"/>
    <w:rsid w:val="00AB6C31"/>
    <w:rsid w:val="00AB7213"/>
    <w:rsid w:val="00AB7442"/>
    <w:rsid w:val="00AB76D7"/>
    <w:rsid w:val="00AB7900"/>
    <w:rsid w:val="00AB7B70"/>
    <w:rsid w:val="00AC0846"/>
    <w:rsid w:val="00AC1226"/>
    <w:rsid w:val="00AC1686"/>
    <w:rsid w:val="00AC179A"/>
    <w:rsid w:val="00AC24F6"/>
    <w:rsid w:val="00AC2875"/>
    <w:rsid w:val="00AC299E"/>
    <w:rsid w:val="00AC2DD1"/>
    <w:rsid w:val="00AC388B"/>
    <w:rsid w:val="00AC4647"/>
    <w:rsid w:val="00AC4DEB"/>
    <w:rsid w:val="00AC5C6A"/>
    <w:rsid w:val="00AC65AF"/>
    <w:rsid w:val="00AC679D"/>
    <w:rsid w:val="00AC68C9"/>
    <w:rsid w:val="00AC7052"/>
    <w:rsid w:val="00AC7703"/>
    <w:rsid w:val="00AC7721"/>
    <w:rsid w:val="00AC7AB4"/>
    <w:rsid w:val="00AC7E57"/>
    <w:rsid w:val="00AC7E75"/>
    <w:rsid w:val="00AD0558"/>
    <w:rsid w:val="00AD0958"/>
    <w:rsid w:val="00AD10E5"/>
    <w:rsid w:val="00AD1592"/>
    <w:rsid w:val="00AD1FF4"/>
    <w:rsid w:val="00AD23CC"/>
    <w:rsid w:val="00AD2EE8"/>
    <w:rsid w:val="00AD31EC"/>
    <w:rsid w:val="00AD339F"/>
    <w:rsid w:val="00AD35A4"/>
    <w:rsid w:val="00AD37F0"/>
    <w:rsid w:val="00AD3C2A"/>
    <w:rsid w:val="00AD3E6B"/>
    <w:rsid w:val="00AD4379"/>
    <w:rsid w:val="00AD44D9"/>
    <w:rsid w:val="00AD4C0B"/>
    <w:rsid w:val="00AD51BE"/>
    <w:rsid w:val="00AD5D9A"/>
    <w:rsid w:val="00AD5FB3"/>
    <w:rsid w:val="00AD6676"/>
    <w:rsid w:val="00AD6833"/>
    <w:rsid w:val="00AD6861"/>
    <w:rsid w:val="00AD715B"/>
    <w:rsid w:val="00AD77FA"/>
    <w:rsid w:val="00AD7B4D"/>
    <w:rsid w:val="00AD7F39"/>
    <w:rsid w:val="00AE1212"/>
    <w:rsid w:val="00AE1923"/>
    <w:rsid w:val="00AE1D4C"/>
    <w:rsid w:val="00AE252A"/>
    <w:rsid w:val="00AE48A4"/>
    <w:rsid w:val="00AE4F38"/>
    <w:rsid w:val="00AE507F"/>
    <w:rsid w:val="00AE5D92"/>
    <w:rsid w:val="00AE5F47"/>
    <w:rsid w:val="00AE6873"/>
    <w:rsid w:val="00AE6D21"/>
    <w:rsid w:val="00AE7F9B"/>
    <w:rsid w:val="00AF0F0A"/>
    <w:rsid w:val="00AF1434"/>
    <w:rsid w:val="00AF1DE2"/>
    <w:rsid w:val="00AF2806"/>
    <w:rsid w:val="00AF31A2"/>
    <w:rsid w:val="00AF3C6E"/>
    <w:rsid w:val="00AF406C"/>
    <w:rsid w:val="00AF4076"/>
    <w:rsid w:val="00AF428A"/>
    <w:rsid w:val="00AF498E"/>
    <w:rsid w:val="00AF4AF0"/>
    <w:rsid w:val="00AF4BBB"/>
    <w:rsid w:val="00AF4E90"/>
    <w:rsid w:val="00AF5912"/>
    <w:rsid w:val="00AF5D8B"/>
    <w:rsid w:val="00AF63E5"/>
    <w:rsid w:val="00AF7341"/>
    <w:rsid w:val="00B0036F"/>
    <w:rsid w:val="00B0063B"/>
    <w:rsid w:val="00B00F17"/>
    <w:rsid w:val="00B00FC3"/>
    <w:rsid w:val="00B01DB9"/>
    <w:rsid w:val="00B01E36"/>
    <w:rsid w:val="00B01E94"/>
    <w:rsid w:val="00B0234A"/>
    <w:rsid w:val="00B036AC"/>
    <w:rsid w:val="00B04C10"/>
    <w:rsid w:val="00B0575B"/>
    <w:rsid w:val="00B05FCA"/>
    <w:rsid w:val="00B068E4"/>
    <w:rsid w:val="00B068FF"/>
    <w:rsid w:val="00B06960"/>
    <w:rsid w:val="00B06E84"/>
    <w:rsid w:val="00B07609"/>
    <w:rsid w:val="00B07D30"/>
    <w:rsid w:val="00B115ED"/>
    <w:rsid w:val="00B117CB"/>
    <w:rsid w:val="00B117D7"/>
    <w:rsid w:val="00B12121"/>
    <w:rsid w:val="00B1217E"/>
    <w:rsid w:val="00B12732"/>
    <w:rsid w:val="00B13480"/>
    <w:rsid w:val="00B13785"/>
    <w:rsid w:val="00B13B8E"/>
    <w:rsid w:val="00B13DEF"/>
    <w:rsid w:val="00B142E0"/>
    <w:rsid w:val="00B14E3F"/>
    <w:rsid w:val="00B15237"/>
    <w:rsid w:val="00B15293"/>
    <w:rsid w:val="00B16423"/>
    <w:rsid w:val="00B16A9E"/>
    <w:rsid w:val="00B17198"/>
    <w:rsid w:val="00B20FA4"/>
    <w:rsid w:val="00B21EF0"/>
    <w:rsid w:val="00B231BC"/>
    <w:rsid w:val="00B23573"/>
    <w:rsid w:val="00B23ABE"/>
    <w:rsid w:val="00B23B67"/>
    <w:rsid w:val="00B23BE1"/>
    <w:rsid w:val="00B24B78"/>
    <w:rsid w:val="00B24C0D"/>
    <w:rsid w:val="00B24E5B"/>
    <w:rsid w:val="00B253CC"/>
    <w:rsid w:val="00B26797"/>
    <w:rsid w:val="00B26C98"/>
    <w:rsid w:val="00B26E4F"/>
    <w:rsid w:val="00B271E8"/>
    <w:rsid w:val="00B275D8"/>
    <w:rsid w:val="00B27AC3"/>
    <w:rsid w:val="00B27EC5"/>
    <w:rsid w:val="00B3067B"/>
    <w:rsid w:val="00B30BFE"/>
    <w:rsid w:val="00B313F6"/>
    <w:rsid w:val="00B32506"/>
    <w:rsid w:val="00B32CD4"/>
    <w:rsid w:val="00B32F66"/>
    <w:rsid w:val="00B32F7E"/>
    <w:rsid w:val="00B33678"/>
    <w:rsid w:val="00B33DDF"/>
    <w:rsid w:val="00B33E80"/>
    <w:rsid w:val="00B33FD6"/>
    <w:rsid w:val="00B343CF"/>
    <w:rsid w:val="00B34AFD"/>
    <w:rsid w:val="00B3512D"/>
    <w:rsid w:val="00B354E2"/>
    <w:rsid w:val="00B358C1"/>
    <w:rsid w:val="00B35DD5"/>
    <w:rsid w:val="00B36705"/>
    <w:rsid w:val="00B37073"/>
    <w:rsid w:val="00B37F97"/>
    <w:rsid w:val="00B40037"/>
    <w:rsid w:val="00B403F2"/>
    <w:rsid w:val="00B41861"/>
    <w:rsid w:val="00B4194B"/>
    <w:rsid w:val="00B41A1A"/>
    <w:rsid w:val="00B42107"/>
    <w:rsid w:val="00B42370"/>
    <w:rsid w:val="00B42739"/>
    <w:rsid w:val="00B440D1"/>
    <w:rsid w:val="00B44A28"/>
    <w:rsid w:val="00B4527C"/>
    <w:rsid w:val="00B453BC"/>
    <w:rsid w:val="00B457F9"/>
    <w:rsid w:val="00B45BBA"/>
    <w:rsid w:val="00B462D8"/>
    <w:rsid w:val="00B46347"/>
    <w:rsid w:val="00B46444"/>
    <w:rsid w:val="00B47432"/>
    <w:rsid w:val="00B4762E"/>
    <w:rsid w:val="00B4766C"/>
    <w:rsid w:val="00B507E3"/>
    <w:rsid w:val="00B520DE"/>
    <w:rsid w:val="00B52EAD"/>
    <w:rsid w:val="00B52F36"/>
    <w:rsid w:val="00B53343"/>
    <w:rsid w:val="00B5474A"/>
    <w:rsid w:val="00B54B97"/>
    <w:rsid w:val="00B550D4"/>
    <w:rsid w:val="00B55825"/>
    <w:rsid w:val="00B55E9E"/>
    <w:rsid w:val="00B571CA"/>
    <w:rsid w:val="00B57320"/>
    <w:rsid w:val="00B57321"/>
    <w:rsid w:val="00B574FC"/>
    <w:rsid w:val="00B577AE"/>
    <w:rsid w:val="00B600F2"/>
    <w:rsid w:val="00B60E24"/>
    <w:rsid w:val="00B61068"/>
    <w:rsid w:val="00B6118D"/>
    <w:rsid w:val="00B636FD"/>
    <w:rsid w:val="00B6471F"/>
    <w:rsid w:val="00B65759"/>
    <w:rsid w:val="00B65A9D"/>
    <w:rsid w:val="00B674BE"/>
    <w:rsid w:val="00B67A5D"/>
    <w:rsid w:val="00B67BF5"/>
    <w:rsid w:val="00B70240"/>
    <w:rsid w:val="00B706E0"/>
    <w:rsid w:val="00B70E68"/>
    <w:rsid w:val="00B71BEA"/>
    <w:rsid w:val="00B71D0E"/>
    <w:rsid w:val="00B71D2A"/>
    <w:rsid w:val="00B71D57"/>
    <w:rsid w:val="00B72616"/>
    <w:rsid w:val="00B72B0E"/>
    <w:rsid w:val="00B72CAF"/>
    <w:rsid w:val="00B7346A"/>
    <w:rsid w:val="00B7351F"/>
    <w:rsid w:val="00B73E32"/>
    <w:rsid w:val="00B743DF"/>
    <w:rsid w:val="00B744BA"/>
    <w:rsid w:val="00B74B6F"/>
    <w:rsid w:val="00B752A3"/>
    <w:rsid w:val="00B754ED"/>
    <w:rsid w:val="00B75640"/>
    <w:rsid w:val="00B75690"/>
    <w:rsid w:val="00B75B01"/>
    <w:rsid w:val="00B76191"/>
    <w:rsid w:val="00B77355"/>
    <w:rsid w:val="00B77E94"/>
    <w:rsid w:val="00B80265"/>
    <w:rsid w:val="00B80321"/>
    <w:rsid w:val="00B805B9"/>
    <w:rsid w:val="00B80E01"/>
    <w:rsid w:val="00B81361"/>
    <w:rsid w:val="00B8186C"/>
    <w:rsid w:val="00B826B3"/>
    <w:rsid w:val="00B83A02"/>
    <w:rsid w:val="00B85FC8"/>
    <w:rsid w:val="00B863E7"/>
    <w:rsid w:val="00B8778B"/>
    <w:rsid w:val="00B9031C"/>
    <w:rsid w:val="00B90653"/>
    <w:rsid w:val="00B90BB3"/>
    <w:rsid w:val="00B91035"/>
    <w:rsid w:val="00B925DB"/>
    <w:rsid w:val="00B92CAE"/>
    <w:rsid w:val="00B9333B"/>
    <w:rsid w:val="00B938E4"/>
    <w:rsid w:val="00B93E85"/>
    <w:rsid w:val="00B947BF"/>
    <w:rsid w:val="00B94BC1"/>
    <w:rsid w:val="00B94E55"/>
    <w:rsid w:val="00B94F87"/>
    <w:rsid w:val="00B951C1"/>
    <w:rsid w:val="00B9556E"/>
    <w:rsid w:val="00B95B14"/>
    <w:rsid w:val="00B95DC7"/>
    <w:rsid w:val="00B96502"/>
    <w:rsid w:val="00B96BF1"/>
    <w:rsid w:val="00B96C53"/>
    <w:rsid w:val="00B975CF"/>
    <w:rsid w:val="00BA0E91"/>
    <w:rsid w:val="00BA0F89"/>
    <w:rsid w:val="00BA1049"/>
    <w:rsid w:val="00BA15EC"/>
    <w:rsid w:val="00BA179D"/>
    <w:rsid w:val="00BA1A50"/>
    <w:rsid w:val="00BA1AFD"/>
    <w:rsid w:val="00BA1E95"/>
    <w:rsid w:val="00BA217B"/>
    <w:rsid w:val="00BA2A85"/>
    <w:rsid w:val="00BA2EC7"/>
    <w:rsid w:val="00BA3490"/>
    <w:rsid w:val="00BA4525"/>
    <w:rsid w:val="00BA4BFB"/>
    <w:rsid w:val="00BA51F6"/>
    <w:rsid w:val="00BA5B47"/>
    <w:rsid w:val="00BA5ED6"/>
    <w:rsid w:val="00BA648B"/>
    <w:rsid w:val="00BA6818"/>
    <w:rsid w:val="00BA6862"/>
    <w:rsid w:val="00BA77DE"/>
    <w:rsid w:val="00BA782E"/>
    <w:rsid w:val="00BA7A25"/>
    <w:rsid w:val="00BB05F4"/>
    <w:rsid w:val="00BB0630"/>
    <w:rsid w:val="00BB12F6"/>
    <w:rsid w:val="00BB13AC"/>
    <w:rsid w:val="00BB2485"/>
    <w:rsid w:val="00BB3436"/>
    <w:rsid w:val="00BB3A7C"/>
    <w:rsid w:val="00BB3D9E"/>
    <w:rsid w:val="00BB48F9"/>
    <w:rsid w:val="00BB4D20"/>
    <w:rsid w:val="00BB51DC"/>
    <w:rsid w:val="00BB5776"/>
    <w:rsid w:val="00BB5ACB"/>
    <w:rsid w:val="00BB5B56"/>
    <w:rsid w:val="00BB6172"/>
    <w:rsid w:val="00BB62E3"/>
    <w:rsid w:val="00BB6853"/>
    <w:rsid w:val="00BB6B0B"/>
    <w:rsid w:val="00BB6C0B"/>
    <w:rsid w:val="00BB6DEB"/>
    <w:rsid w:val="00BB6F1C"/>
    <w:rsid w:val="00BB7538"/>
    <w:rsid w:val="00BB753B"/>
    <w:rsid w:val="00BB772D"/>
    <w:rsid w:val="00BB7DA0"/>
    <w:rsid w:val="00BB7EAC"/>
    <w:rsid w:val="00BC091B"/>
    <w:rsid w:val="00BC13E1"/>
    <w:rsid w:val="00BC23C0"/>
    <w:rsid w:val="00BC265B"/>
    <w:rsid w:val="00BC265E"/>
    <w:rsid w:val="00BC2978"/>
    <w:rsid w:val="00BC3563"/>
    <w:rsid w:val="00BC3677"/>
    <w:rsid w:val="00BC5C51"/>
    <w:rsid w:val="00BC60E1"/>
    <w:rsid w:val="00BC63AD"/>
    <w:rsid w:val="00BC6794"/>
    <w:rsid w:val="00BC730B"/>
    <w:rsid w:val="00BC7C23"/>
    <w:rsid w:val="00BD0750"/>
    <w:rsid w:val="00BD0DE3"/>
    <w:rsid w:val="00BD0E33"/>
    <w:rsid w:val="00BD1C8B"/>
    <w:rsid w:val="00BD1D83"/>
    <w:rsid w:val="00BD27DF"/>
    <w:rsid w:val="00BD2828"/>
    <w:rsid w:val="00BD35F1"/>
    <w:rsid w:val="00BD37BA"/>
    <w:rsid w:val="00BD383C"/>
    <w:rsid w:val="00BD45DA"/>
    <w:rsid w:val="00BD4720"/>
    <w:rsid w:val="00BD4CCC"/>
    <w:rsid w:val="00BD4EE6"/>
    <w:rsid w:val="00BD5BC3"/>
    <w:rsid w:val="00BD5CA3"/>
    <w:rsid w:val="00BD601C"/>
    <w:rsid w:val="00BD70AE"/>
    <w:rsid w:val="00BE0DCB"/>
    <w:rsid w:val="00BE1859"/>
    <w:rsid w:val="00BE24E9"/>
    <w:rsid w:val="00BE2CF2"/>
    <w:rsid w:val="00BE2D0C"/>
    <w:rsid w:val="00BE538C"/>
    <w:rsid w:val="00BE5CC6"/>
    <w:rsid w:val="00BE5FDD"/>
    <w:rsid w:val="00BE6339"/>
    <w:rsid w:val="00BE6738"/>
    <w:rsid w:val="00BE6981"/>
    <w:rsid w:val="00BE6A48"/>
    <w:rsid w:val="00BE756C"/>
    <w:rsid w:val="00BE7822"/>
    <w:rsid w:val="00BE7934"/>
    <w:rsid w:val="00BE7AC2"/>
    <w:rsid w:val="00BF01F1"/>
    <w:rsid w:val="00BF04AD"/>
    <w:rsid w:val="00BF07D6"/>
    <w:rsid w:val="00BF07EA"/>
    <w:rsid w:val="00BF16B9"/>
    <w:rsid w:val="00BF1740"/>
    <w:rsid w:val="00BF181A"/>
    <w:rsid w:val="00BF1A83"/>
    <w:rsid w:val="00BF1D78"/>
    <w:rsid w:val="00BF1E65"/>
    <w:rsid w:val="00BF2184"/>
    <w:rsid w:val="00BF2338"/>
    <w:rsid w:val="00BF27BB"/>
    <w:rsid w:val="00BF381C"/>
    <w:rsid w:val="00BF3965"/>
    <w:rsid w:val="00BF4733"/>
    <w:rsid w:val="00BF498B"/>
    <w:rsid w:val="00BF4EB8"/>
    <w:rsid w:val="00BF5D42"/>
    <w:rsid w:val="00BF6690"/>
    <w:rsid w:val="00BF7E99"/>
    <w:rsid w:val="00C00032"/>
    <w:rsid w:val="00C00469"/>
    <w:rsid w:val="00C0047B"/>
    <w:rsid w:val="00C010FA"/>
    <w:rsid w:val="00C012AA"/>
    <w:rsid w:val="00C01807"/>
    <w:rsid w:val="00C01BB0"/>
    <w:rsid w:val="00C021A6"/>
    <w:rsid w:val="00C03FC3"/>
    <w:rsid w:val="00C042FB"/>
    <w:rsid w:val="00C05422"/>
    <w:rsid w:val="00C05541"/>
    <w:rsid w:val="00C0591B"/>
    <w:rsid w:val="00C059F2"/>
    <w:rsid w:val="00C0643E"/>
    <w:rsid w:val="00C06AC7"/>
    <w:rsid w:val="00C06FD8"/>
    <w:rsid w:val="00C07AE4"/>
    <w:rsid w:val="00C10414"/>
    <w:rsid w:val="00C10E4A"/>
    <w:rsid w:val="00C10F84"/>
    <w:rsid w:val="00C11958"/>
    <w:rsid w:val="00C11E76"/>
    <w:rsid w:val="00C121E3"/>
    <w:rsid w:val="00C129C1"/>
    <w:rsid w:val="00C13EC6"/>
    <w:rsid w:val="00C14145"/>
    <w:rsid w:val="00C14D49"/>
    <w:rsid w:val="00C15346"/>
    <w:rsid w:val="00C15E18"/>
    <w:rsid w:val="00C16DA8"/>
    <w:rsid w:val="00C1791A"/>
    <w:rsid w:val="00C17D16"/>
    <w:rsid w:val="00C202DC"/>
    <w:rsid w:val="00C20431"/>
    <w:rsid w:val="00C20D32"/>
    <w:rsid w:val="00C20DA8"/>
    <w:rsid w:val="00C20DF3"/>
    <w:rsid w:val="00C21563"/>
    <w:rsid w:val="00C21792"/>
    <w:rsid w:val="00C21910"/>
    <w:rsid w:val="00C2200C"/>
    <w:rsid w:val="00C224D0"/>
    <w:rsid w:val="00C22E4B"/>
    <w:rsid w:val="00C23E65"/>
    <w:rsid w:val="00C240D2"/>
    <w:rsid w:val="00C24886"/>
    <w:rsid w:val="00C24A19"/>
    <w:rsid w:val="00C24A20"/>
    <w:rsid w:val="00C24ADB"/>
    <w:rsid w:val="00C25770"/>
    <w:rsid w:val="00C2620F"/>
    <w:rsid w:val="00C262DD"/>
    <w:rsid w:val="00C2636E"/>
    <w:rsid w:val="00C268C6"/>
    <w:rsid w:val="00C27904"/>
    <w:rsid w:val="00C27F83"/>
    <w:rsid w:val="00C3074B"/>
    <w:rsid w:val="00C30904"/>
    <w:rsid w:val="00C318AF"/>
    <w:rsid w:val="00C321FC"/>
    <w:rsid w:val="00C324F0"/>
    <w:rsid w:val="00C3267E"/>
    <w:rsid w:val="00C327BC"/>
    <w:rsid w:val="00C3385B"/>
    <w:rsid w:val="00C33C75"/>
    <w:rsid w:val="00C33F3D"/>
    <w:rsid w:val="00C34193"/>
    <w:rsid w:val="00C34711"/>
    <w:rsid w:val="00C35323"/>
    <w:rsid w:val="00C35747"/>
    <w:rsid w:val="00C35A2D"/>
    <w:rsid w:val="00C3671C"/>
    <w:rsid w:val="00C368B2"/>
    <w:rsid w:val="00C36FB7"/>
    <w:rsid w:val="00C37102"/>
    <w:rsid w:val="00C37A49"/>
    <w:rsid w:val="00C40850"/>
    <w:rsid w:val="00C4192E"/>
    <w:rsid w:val="00C4227F"/>
    <w:rsid w:val="00C43770"/>
    <w:rsid w:val="00C43DB2"/>
    <w:rsid w:val="00C43F3C"/>
    <w:rsid w:val="00C44B2F"/>
    <w:rsid w:val="00C4508E"/>
    <w:rsid w:val="00C45ADD"/>
    <w:rsid w:val="00C46477"/>
    <w:rsid w:val="00C46905"/>
    <w:rsid w:val="00C4690C"/>
    <w:rsid w:val="00C4786D"/>
    <w:rsid w:val="00C478FD"/>
    <w:rsid w:val="00C47DE2"/>
    <w:rsid w:val="00C50543"/>
    <w:rsid w:val="00C505BA"/>
    <w:rsid w:val="00C5085D"/>
    <w:rsid w:val="00C509B4"/>
    <w:rsid w:val="00C512A2"/>
    <w:rsid w:val="00C51566"/>
    <w:rsid w:val="00C5157D"/>
    <w:rsid w:val="00C51C34"/>
    <w:rsid w:val="00C52281"/>
    <w:rsid w:val="00C52CEE"/>
    <w:rsid w:val="00C530B7"/>
    <w:rsid w:val="00C53203"/>
    <w:rsid w:val="00C53C97"/>
    <w:rsid w:val="00C56DA7"/>
    <w:rsid w:val="00C56EA1"/>
    <w:rsid w:val="00C57A60"/>
    <w:rsid w:val="00C57BE5"/>
    <w:rsid w:val="00C57C31"/>
    <w:rsid w:val="00C60D5C"/>
    <w:rsid w:val="00C61102"/>
    <w:rsid w:val="00C61EC0"/>
    <w:rsid w:val="00C620C3"/>
    <w:rsid w:val="00C624A9"/>
    <w:rsid w:val="00C62B22"/>
    <w:rsid w:val="00C63304"/>
    <w:rsid w:val="00C63B94"/>
    <w:rsid w:val="00C63BC0"/>
    <w:rsid w:val="00C63D1F"/>
    <w:rsid w:val="00C63D7F"/>
    <w:rsid w:val="00C64D09"/>
    <w:rsid w:val="00C6582D"/>
    <w:rsid w:val="00C65AE0"/>
    <w:rsid w:val="00C661CD"/>
    <w:rsid w:val="00C663A7"/>
    <w:rsid w:val="00C66614"/>
    <w:rsid w:val="00C66925"/>
    <w:rsid w:val="00C66FFA"/>
    <w:rsid w:val="00C6779C"/>
    <w:rsid w:val="00C67BA4"/>
    <w:rsid w:val="00C709A2"/>
    <w:rsid w:val="00C7112E"/>
    <w:rsid w:val="00C71928"/>
    <w:rsid w:val="00C71A7E"/>
    <w:rsid w:val="00C71C06"/>
    <w:rsid w:val="00C72009"/>
    <w:rsid w:val="00C7346A"/>
    <w:rsid w:val="00C736A6"/>
    <w:rsid w:val="00C73BEB"/>
    <w:rsid w:val="00C73F09"/>
    <w:rsid w:val="00C7524C"/>
    <w:rsid w:val="00C759CB"/>
    <w:rsid w:val="00C762D7"/>
    <w:rsid w:val="00C766FC"/>
    <w:rsid w:val="00C76D6D"/>
    <w:rsid w:val="00C77248"/>
    <w:rsid w:val="00C776FD"/>
    <w:rsid w:val="00C77C40"/>
    <w:rsid w:val="00C8020F"/>
    <w:rsid w:val="00C804E2"/>
    <w:rsid w:val="00C81842"/>
    <w:rsid w:val="00C8225E"/>
    <w:rsid w:val="00C823CB"/>
    <w:rsid w:val="00C826EE"/>
    <w:rsid w:val="00C82B3B"/>
    <w:rsid w:val="00C82CB0"/>
    <w:rsid w:val="00C83948"/>
    <w:rsid w:val="00C83FC0"/>
    <w:rsid w:val="00C84351"/>
    <w:rsid w:val="00C848BA"/>
    <w:rsid w:val="00C84F98"/>
    <w:rsid w:val="00C852CD"/>
    <w:rsid w:val="00C85810"/>
    <w:rsid w:val="00C85898"/>
    <w:rsid w:val="00C85A8A"/>
    <w:rsid w:val="00C86A07"/>
    <w:rsid w:val="00C8799A"/>
    <w:rsid w:val="00C903B9"/>
    <w:rsid w:val="00C9072A"/>
    <w:rsid w:val="00C912F5"/>
    <w:rsid w:val="00C91C46"/>
    <w:rsid w:val="00C92372"/>
    <w:rsid w:val="00C93087"/>
    <w:rsid w:val="00C935C5"/>
    <w:rsid w:val="00C93944"/>
    <w:rsid w:val="00C9424C"/>
    <w:rsid w:val="00C94546"/>
    <w:rsid w:val="00C94660"/>
    <w:rsid w:val="00C94796"/>
    <w:rsid w:val="00C94C8D"/>
    <w:rsid w:val="00C951F5"/>
    <w:rsid w:val="00C955D7"/>
    <w:rsid w:val="00C95736"/>
    <w:rsid w:val="00C95F4E"/>
    <w:rsid w:val="00C96502"/>
    <w:rsid w:val="00C96D8A"/>
    <w:rsid w:val="00C96FF8"/>
    <w:rsid w:val="00C971AB"/>
    <w:rsid w:val="00C97C88"/>
    <w:rsid w:val="00CA043B"/>
    <w:rsid w:val="00CA062B"/>
    <w:rsid w:val="00CA0C6E"/>
    <w:rsid w:val="00CA0CFC"/>
    <w:rsid w:val="00CA1D40"/>
    <w:rsid w:val="00CA2076"/>
    <w:rsid w:val="00CA2AFD"/>
    <w:rsid w:val="00CA2BA3"/>
    <w:rsid w:val="00CA2E6A"/>
    <w:rsid w:val="00CA301A"/>
    <w:rsid w:val="00CA3981"/>
    <w:rsid w:val="00CA4024"/>
    <w:rsid w:val="00CA46A4"/>
    <w:rsid w:val="00CA4B8E"/>
    <w:rsid w:val="00CA4CB1"/>
    <w:rsid w:val="00CA57FE"/>
    <w:rsid w:val="00CA5A78"/>
    <w:rsid w:val="00CA6399"/>
    <w:rsid w:val="00CA64DD"/>
    <w:rsid w:val="00CA68D4"/>
    <w:rsid w:val="00CB0479"/>
    <w:rsid w:val="00CB0A16"/>
    <w:rsid w:val="00CB0CC8"/>
    <w:rsid w:val="00CB1696"/>
    <w:rsid w:val="00CB1DCD"/>
    <w:rsid w:val="00CB2774"/>
    <w:rsid w:val="00CB2A32"/>
    <w:rsid w:val="00CB4562"/>
    <w:rsid w:val="00CB47F9"/>
    <w:rsid w:val="00CB4E03"/>
    <w:rsid w:val="00CB5679"/>
    <w:rsid w:val="00CB5713"/>
    <w:rsid w:val="00CB5F3C"/>
    <w:rsid w:val="00CB68A2"/>
    <w:rsid w:val="00CB731B"/>
    <w:rsid w:val="00CB7F3B"/>
    <w:rsid w:val="00CC01EB"/>
    <w:rsid w:val="00CC03AE"/>
    <w:rsid w:val="00CC0A7F"/>
    <w:rsid w:val="00CC150E"/>
    <w:rsid w:val="00CC250D"/>
    <w:rsid w:val="00CC25FD"/>
    <w:rsid w:val="00CC2CA2"/>
    <w:rsid w:val="00CC31C4"/>
    <w:rsid w:val="00CC327F"/>
    <w:rsid w:val="00CC3697"/>
    <w:rsid w:val="00CC3D07"/>
    <w:rsid w:val="00CC41B7"/>
    <w:rsid w:val="00CC474A"/>
    <w:rsid w:val="00CC4C03"/>
    <w:rsid w:val="00CC52EC"/>
    <w:rsid w:val="00CC57D3"/>
    <w:rsid w:val="00CC5F28"/>
    <w:rsid w:val="00CC61AA"/>
    <w:rsid w:val="00CC6D64"/>
    <w:rsid w:val="00CC71A0"/>
    <w:rsid w:val="00CC75C2"/>
    <w:rsid w:val="00CC778A"/>
    <w:rsid w:val="00CC7F41"/>
    <w:rsid w:val="00CD0246"/>
    <w:rsid w:val="00CD05A3"/>
    <w:rsid w:val="00CD0842"/>
    <w:rsid w:val="00CD134D"/>
    <w:rsid w:val="00CD157B"/>
    <w:rsid w:val="00CD21B3"/>
    <w:rsid w:val="00CD2323"/>
    <w:rsid w:val="00CD23D6"/>
    <w:rsid w:val="00CD2656"/>
    <w:rsid w:val="00CD2ADC"/>
    <w:rsid w:val="00CD365A"/>
    <w:rsid w:val="00CD3F18"/>
    <w:rsid w:val="00CD442A"/>
    <w:rsid w:val="00CD45E3"/>
    <w:rsid w:val="00CD4B8D"/>
    <w:rsid w:val="00CD4F71"/>
    <w:rsid w:val="00CD5857"/>
    <w:rsid w:val="00CD5FFD"/>
    <w:rsid w:val="00CD688F"/>
    <w:rsid w:val="00CE02E6"/>
    <w:rsid w:val="00CE1043"/>
    <w:rsid w:val="00CE151A"/>
    <w:rsid w:val="00CE1EC6"/>
    <w:rsid w:val="00CE1F54"/>
    <w:rsid w:val="00CE24FA"/>
    <w:rsid w:val="00CE31E5"/>
    <w:rsid w:val="00CE3564"/>
    <w:rsid w:val="00CE36BB"/>
    <w:rsid w:val="00CE495D"/>
    <w:rsid w:val="00CE49BA"/>
    <w:rsid w:val="00CE4F45"/>
    <w:rsid w:val="00CE51F8"/>
    <w:rsid w:val="00CE628D"/>
    <w:rsid w:val="00CE6528"/>
    <w:rsid w:val="00CE67DA"/>
    <w:rsid w:val="00CE6804"/>
    <w:rsid w:val="00CE6B16"/>
    <w:rsid w:val="00CE6BB0"/>
    <w:rsid w:val="00CE6C89"/>
    <w:rsid w:val="00CE6F27"/>
    <w:rsid w:val="00CE79FE"/>
    <w:rsid w:val="00CE7E16"/>
    <w:rsid w:val="00CF010F"/>
    <w:rsid w:val="00CF072B"/>
    <w:rsid w:val="00CF0ADD"/>
    <w:rsid w:val="00CF0AFE"/>
    <w:rsid w:val="00CF0D20"/>
    <w:rsid w:val="00CF2363"/>
    <w:rsid w:val="00CF23EE"/>
    <w:rsid w:val="00CF28EE"/>
    <w:rsid w:val="00CF3159"/>
    <w:rsid w:val="00CF402D"/>
    <w:rsid w:val="00CF431B"/>
    <w:rsid w:val="00CF4820"/>
    <w:rsid w:val="00CF5388"/>
    <w:rsid w:val="00CF5577"/>
    <w:rsid w:val="00CF5DAF"/>
    <w:rsid w:val="00CF61B5"/>
    <w:rsid w:val="00CF62A8"/>
    <w:rsid w:val="00CF6DF4"/>
    <w:rsid w:val="00CF6EA7"/>
    <w:rsid w:val="00CF7684"/>
    <w:rsid w:val="00D0212E"/>
    <w:rsid w:val="00D0225B"/>
    <w:rsid w:val="00D02A19"/>
    <w:rsid w:val="00D04F7B"/>
    <w:rsid w:val="00D0512C"/>
    <w:rsid w:val="00D05456"/>
    <w:rsid w:val="00D05E29"/>
    <w:rsid w:val="00D06211"/>
    <w:rsid w:val="00D06DF6"/>
    <w:rsid w:val="00D06E9F"/>
    <w:rsid w:val="00D06FFF"/>
    <w:rsid w:val="00D0757E"/>
    <w:rsid w:val="00D07B7D"/>
    <w:rsid w:val="00D07E7E"/>
    <w:rsid w:val="00D113E7"/>
    <w:rsid w:val="00D116F0"/>
    <w:rsid w:val="00D119B8"/>
    <w:rsid w:val="00D11B26"/>
    <w:rsid w:val="00D122BD"/>
    <w:rsid w:val="00D12A77"/>
    <w:rsid w:val="00D12AB4"/>
    <w:rsid w:val="00D12E24"/>
    <w:rsid w:val="00D13CD4"/>
    <w:rsid w:val="00D13DBC"/>
    <w:rsid w:val="00D14332"/>
    <w:rsid w:val="00D15178"/>
    <w:rsid w:val="00D1522A"/>
    <w:rsid w:val="00D15B0C"/>
    <w:rsid w:val="00D167E6"/>
    <w:rsid w:val="00D16F9B"/>
    <w:rsid w:val="00D17611"/>
    <w:rsid w:val="00D17E36"/>
    <w:rsid w:val="00D200B1"/>
    <w:rsid w:val="00D201F2"/>
    <w:rsid w:val="00D20389"/>
    <w:rsid w:val="00D214CE"/>
    <w:rsid w:val="00D21901"/>
    <w:rsid w:val="00D21A5A"/>
    <w:rsid w:val="00D21DA4"/>
    <w:rsid w:val="00D22863"/>
    <w:rsid w:val="00D22A36"/>
    <w:rsid w:val="00D23502"/>
    <w:rsid w:val="00D24778"/>
    <w:rsid w:val="00D25322"/>
    <w:rsid w:val="00D25ADF"/>
    <w:rsid w:val="00D25BE6"/>
    <w:rsid w:val="00D25C2E"/>
    <w:rsid w:val="00D25FFA"/>
    <w:rsid w:val="00D26186"/>
    <w:rsid w:val="00D264A4"/>
    <w:rsid w:val="00D26DF4"/>
    <w:rsid w:val="00D26E87"/>
    <w:rsid w:val="00D27086"/>
    <w:rsid w:val="00D27715"/>
    <w:rsid w:val="00D27CDB"/>
    <w:rsid w:val="00D301B3"/>
    <w:rsid w:val="00D30458"/>
    <w:rsid w:val="00D30B67"/>
    <w:rsid w:val="00D30D2F"/>
    <w:rsid w:val="00D31529"/>
    <w:rsid w:val="00D3190D"/>
    <w:rsid w:val="00D3255F"/>
    <w:rsid w:val="00D3345B"/>
    <w:rsid w:val="00D334F0"/>
    <w:rsid w:val="00D33974"/>
    <w:rsid w:val="00D33C7E"/>
    <w:rsid w:val="00D34005"/>
    <w:rsid w:val="00D346EB"/>
    <w:rsid w:val="00D35DEF"/>
    <w:rsid w:val="00D35F0E"/>
    <w:rsid w:val="00D362D1"/>
    <w:rsid w:val="00D36FEC"/>
    <w:rsid w:val="00D3723B"/>
    <w:rsid w:val="00D377B1"/>
    <w:rsid w:val="00D37996"/>
    <w:rsid w:val="00D37DF7"/>
    <w:rsid w:val="00D405B2"/>
    <w:rsid w:val="00D40E5F"/>
    <w:rsid w:val="00D4101C"/>
    <w:rsid w:val="00D4115A"/>
    <w:rsid w:val="00D411AB"/>
    <w:rsid w:val="00D41BD7"/>
    <w:rsid w:val="00D41E32"/>
    <w:rsid w:val="00D42078"/>
    <w:rsid w:val="00D421C9"/>
    <w:rsid w:val="00D42CC1"/>
    <w:rsid w:val="00D42F6C"/>
    <w:rsid w:val="00D43A1F"/>
    <w:rsid w:val="00D44755"/>
    <w:rsid w:val="00D44B50"/>
    <w:rsid w:val="00D45EDA"/>
    <w:rsid w:val="00D45F80"/>
    <w:rsid w:val="00D46126"/>
    <w:rsid w:val="00D508A9"/>
    <w:rsid w:val="00D50DFF"/>
    <w:rsid w:val="00D512A4"/>
    <w:rsid w:val="00D5133C"/>
    <w:rsid w:val="00D5138A"/>
    <w:rsid w:val="00D51A7A"/>
    <w:rsid w:val="00D521C2"/>
    <w:rsid w:val="00D53401"/>
    <w:rsid w:val="00D5370C"/>
    <w:rsid w:val="00D53A72"/>
    <w:rsid w:val="00D54213"/>
    <w:rsid w:val="00D54416"/>
    <w:rsid w:val="00D54F96"/>
    <w:rsid w:val="00D5509A"/>
    <w:rsid w:val="00D5545B"/>
    <w:rsid w:val="00D557D8"/>
    <w:rsid w:val="00D56CC0"/>
    <w:rsid w:val="00D57027"/>
    <w:rsid w:val="00D578DF"/>
    <w:rsid w:val="00D60147"/>
    <w:rsid w:val="00D60291"/>
    <w:rsid w:val="00D60DEF"/>
    <w:rsid w:val="00D61D9D"/>
    <w:rsid w:val="00D6217D"/>
    <w:rsid w:val="00D6231B"/>
    <w:rsid w:val="00D625C5"/>
    <w:rsid w:val="00D62DFA"/>
    <w:rsid w:val="00D63ACC"/>
    <w:rsid w:val="00D663F0"/>
    <w:rsid w:val="00D66636"/>
    <w:rsid w:val="00D66949"/>
    <w:rsid w:val="00D672C4"/>
    <w:rsid w:val="00D67658"/>
    <w:rsid w:val="00D67A60"/>
    <w:rsid w:val="00D70016"/>
    <w:rsid w:val="00D70178"/>
    <w:rsid w:val="00D701D4"/>
    <w:rsid w:val="00D7100B"/>
    <w:rsid w:val="00D71336"/>
    <w:rsid w:val="00D71461"/>
    <w:rsid w:val="00D71471"/>
    <w:rsid w:val="00D71590"/>
    <w:rsid w:val="00D71AF4"/>
    <w:rsid w:val="00D71C56"/>
    <w:rsid w:val="00D73963"/>
    <w:rsid w:val="00D73C72"/>
    <w:rsid w:val="00D73DDB"/>
    <w:rsid w:val="00D7519D"/>
    <w:rsid w:val="00D75281"/>
    <w:rsid w:val="00D75B25"/>
    <w:rsid w:val="00D75D19"/>
    <w:rsid w:val="00D7657C"/>
    <w:rsid w:val="00D7676B"/>
    <w:rsid w:val="00D76BAD"/>
    <w:rsid w:val="00D76E8B"/>
    <w:rsid w:val="00D7706C"/>
    <w:rsid w:val="00D77359"/>
    <w:rsid w:val="00D77433"/>
    <w:rsid w:val="00D80F0E"/>
    <w:rsid w:val="00D810BB"/>
    <w:rsid w:val="00D81801"/>
    <w:rsid w:val="00D8205D"/>
    <w:rsid w:val="00D82646"/>
    <w:rsid w:val="00D82A69"/>
    <w:rsid w:val="00D83B93"/>
    <w:rsid w:val="00D844C1"/>
    <w:rsid w:val="00D846FB"/>
    <w:rsid w:val="00D847F9"/>
    <w:rsid w:val="00D84B28"/>
    <w:rsid w:val="00D84E58"/>
    <w:rsid w:val="00D85309"/>
    <w:rsid w:val="00D8567A"/>
    <w:rsid w:val="00D860C6"/>
    <w:rsid w:val="00D86512"/>
    <w:rsid w:val="00D86695"/>
    <w:rsid w:val="00D867A8"/>
    <w:rsid w:val="00D86A06"/>
    <w:rsid w:val="00D86ABB"/>
    <w:rsid w:val="00D86AD8"/>
    <w:rsid w:val="00D87080"/>
    <w:rsid w:val="00D87115"/>
    <w:rsid w:val="00D879C1"/>
    <w:rsid w:val="00D87D24"/>
    <w:rsid w:val="00D90453"/>
    <w:rsid w:val="00D90A07"/>
    <w:rsid w:val="00D90A77"/>
    <w:rsid w:val="00D90BA1"/>
    <w:rsid w:val="00D91911"/>
    <w:rsid w:val="00D919E3"/>
    <w:rsid w:val="00D91B8A"/>
    <w:rsid w:val="00D91D38"/>
    <w:rsid w:val="00D9376B"/>
    <w:rsid w:val="00D937CC"/>
    <w:rsid w:val="00D93E53"/>
    <w:rsid w:val="00D93EA5"/>
    <w:rsid w:val="00D93F56"/>
    <w:rsid w:val="00D9449B"/>
    <w:rsid w:val="00D94A33"/>
    <w:rsid w:val="00D94BC1"/>
    <w:rsid w:val="00D9550F"/>
    <w:rsid w:val="00D9562E"/>
    <w:rsid w:val="00D95B44"/>
    <w:rsid w:val="00D97CB3"/>
    <w:rsid w:val="00DA037D"/>
    <w:rsid w:val="00DA06CD"/>
    <w:rsid w:val="00DA182E"/>
    <w:rsid w:val="00DA18A4"/>
    <w:rsid w:val="00DA1E23"/>
    <w:rsid w:val="00DA30CC"/>
    <w:rsid w:val="00DA32AF"/>
    <w:rsid w:val="00DA33EF"/>
    <w:rsid w:val="00DA35AD"/>
    <w:rsid w:val="00DA3A33"/>
    <w:rsid w:val="00DA3EAD"/>
    <w:rsid w:val="00DA4370"/>
    <w:rsid w:val="00DA44F1"/>
    <w:rsid w:val="00DA477A"/>
    <w:rsid w:val="00DA4973"/>
    <w:rsid w:val="00DA5172"/>
    <w:rsid w:val="00DA5259"/>
    <w:rsid w:val="00DA545B"/>
    <w:rsid w:val="00DA5925"/>
    <w:rsid w:val="00DA67B4"/>
    <w:rsid w:val="00DA6B61"/>
    <w:rsid w:val="00DA6CF4"/>
    <w:rsid w:val="00DA70E8"/>
    <w:rsid w:val="00DA73AF"/>
    <w:rsid w:val="00DA7CFE"/>
    <w:rsid w:val="00DB0056"/>
    <w:rsid w:val="00DB016D"/>
    <w:rsid w:val="00DB0DD9"/>
    <w:rsid w:val="00DB30F4"/>
    <w:rsid w:val="00DB3165"/>
    <w:rsid w:val="00DB34B8"/>
    <w:rsid w:val="00DB38FF"/>
    <w:rsid w:val="00DB3A12"/>
    <w:rsid w:val="00DB3D95"/>
    <w:rsid w:val="00DB49CD"/>
    <w:rsid w:val="00DB59FC"/>
    <w:rsid w:val="00DB6CA0"/>
    <w:rsid w:val="00DB6E07"/>
    <w:rsid w:val="00DB73D7"/>
    <w:rsid w:val="00DB7934"/>
    <w:rsid w:val="00DB7ED2"/>
    <w:rsid w:val="00DC0D2B"/>
    <w:rsid w:val="00DC18B2"/>
    <w:rsid w:val="00DC1926"/>
    <w:rsid w:val="00DC1B1E"/>
    <w:rsid w:val="00DC1C01"/>
    <w:rsid w:val="00DC1E36"/>
    <w:rsid w:val="00DC274D"/>
    <w:rsid w:val="00DC2886"/>
    <w:rsid w:val="00DC2B8D"/>
    <w:rsid w:val="00DC390F"/>
    <w:rsid w:val="00DC3A85"/>
    <w:rsid w:val="00DC5DB6"/>
    <w:rsid w:val="00DC6928"/>
    <w:rsid w:val="00DC747E"/>
    <w:rsid w:val="00DC7C54"/>
    <w:rsid w:val="00DD0B8C"/>
    <w:rsid w:val="00DD1520"/>
    <w:rsid w:val="00DD18B5"/>
    <w:rsid w:val="00DD2301"/>
    <w:rsid w:val="00DD2520"/>
    <w:rsid w:val="00DD28FB"/>
    <w:rsid w:val="00DD30CB"/>
    <w:rsid w:val="00DD3791"/>
    <w:rsid w:val="00DD3820"/>
    <w:rsid w:val="00DD3A1E"/>
    <w:rsid w:val="00DD3D1C"/>
    <w:rsid w:val="00DD3EF2"/>
    <w:rsid w:val="00DD4752"/>
    <w:rsid w:val="00DD488F"/>
    <w:rsid w:val="00DD4D46"/>
    <w:rsid w:val="00DD4DAF"/>
    <w:rsid w:val="00DD521E"/>
    <w:rsid w:val="00DD57FF"/>
    <w:rsid w:val="00DD5948"/>
    <w:rsid w:val="00DD5AEB"/>
    <w:rsid w:val="00DD6294"/>
    <w:rsid w:val="00DD67E5"/>
    <w:rsid w:val="00DD6A57"/>
    <w:rsid w:val="00DD6A5E"/>
    <w:rsid w:val="00DD6A63"/>
    <w:rsid w:val="00DD6DE4"/>
    <w:rsid w:val="00DD7848"/>
    <w:rsid w:val="00DD7EAF"/>
    <w:rsid w:val="00DE0FBE"/>
    <w:rsid w:val="00DE1B18"/>
    <w:rsid w:val="00DE1D5F"/>
    <w:rsid w:val="00DE20F1"/>
    <w:rsid w:val="00DE21F5"/>
    <w:rsid w:val="00DE2445"/>
    <w:rsid w:val="00DE2792"/>
    <w:rsid w:val="00DE2EB4"/>
    <w:rsid w:val="00DE34E7"/>
    <w:rsid w:val="00DE357C"/>
    <w:rsid w:val="00DE38E9"/>
    <w:rsid w:val="00DE3A21"/>
    <w:rsid w:val="00DE3CE5"/>
    <w:rsid w:val="00DE4063"/>
    <w:rsid w:val="00DE4360"/>
    <w:rsid w:val="00DE472C"/>
    <w:rsid w:val="00DE4829"/>
    <w:rsid w:val="00DE6EB9"/>
    <w:rsid w:val="00DE7B6E"/>
    <w:rsid w:val="00DE7F9D"/>
    <w:rsid w:val="00DF074F"/>
    <w:rsid w:val="00DF12B3"/>
    <w:rsid w:val="00DF151A"/>
    <w:rsid w:val="00DF1A16"/>
    <w:rsid w:val="00DF1C08"/>
    <w:rsid w:val="00DF1E44"/>
    <w:rsid w:val="00DF21F4"/>
    <w:rsid w:val="00DF2583"/>
    <w:rsid w:val="00DF26B1"/>
    <w:rsid w:val="00DF2CE5"/>
    <w:rsid w:val="00DF2E7F"/>
    <w:rsid w:val="00DF3158"/>
    <w:rsid w:val="00DF3219"/>
    <w:rsid w:val="00DF3DA5"/>
    <w:rsid w:val="00DF45A1"/>
    <w:rsid w:val="00DF4FB9"/>
    <w:rsid w:val="00DF57F5"/>
    <w:rsid w:val="00DF6037"/>
    <w:rsid w:val="00DF7113"/>
    <w:rsid w:val="00E00775"/>
    <w:rsid w:val="00E0085F"/>
    <w:rsid w:val="00E011E9"/>
    <w:rsid w:val="00E01CA7"/>
    <w:rsid w:val="00E01F7A"/>
    <w:rsid w:val="00E02E95"/>
    <w:rsid w:val="00E033BA"/>
    <w:rsid w:val="00E03692"/>
    <w:rsid w:val="00E0382F"/>
    <w:rsid w:val="00E03980"/>
    <w:rsid w:val="00E041EC"/>
    <w:rsid w:val="00E047AD"/>
    <w:rsid w:val="00E054C6"/>
    <w:rsid w:val="00E058EE"/>
    <w:rsid w:val="00E06676"/>
    <w:rsid w:val="00E06A0D"/>
    <w:rsid w:val="00E06F9C"/>
    <w:rsid w:val="00E075DE"/>
    <w:rsid w:val="00E07AA3"/>
    <w:rsid w:val="00E07AB5"/>
    <w:rsid w:val="00E11DB0"/>
    <w:rsid w:val="00E1213E"/>
    <w:rsid w:val="00E128EB"/>
    <w:rsid w:val="00E12CBB"/>
    <w:rsid w:val="00E12D6C"/>
    <w:rsid w:val="00E12EDF"/>
    <w:rsid w:val="00E13299"/>
    <w:rsid w:val="00E1448C"/>
    <w:rsid w:val="00E147A2"/>
    <w:rsid w:val="00E14B7B"/>
    <w:rsid w:val="00E14D04"/>
    <w:rsid w:val="00E1520B"/>
    <w:rsid w:val="00E15B76"/>
    <w:rsid w:val="00E1663B"/>
    <w:rsid w:val="00E16B28"/>
    <w:rsid w:val="00E16D2F"/>
    <w:rsid w:val="00E17B40"/>
    <w:rsid w:val="00E17D6E"/>
    <w:rsid w:val="00E17F71"/>
    <w:rsid w:val="00E21224"/>
    <w:rsid w:val="00E22E87"/>
    <w:rsid w:val="00E2360B"/>
    <w:rsid w:val="00E23B81"/>
    <w:rsid w:val="00E23C52"/>
    <w:rsid w:val="00E23C67"/>
    <w:rsid w:val="00E23CEF"/>
    <w:rsid w:val="00E25073"/>
    <w:rsid w:val="00E250FA"/>
    <w:rsid w:val="00E25B09"/>
    <w:rsid w:val="00E26231"/>
    <w:rsid w:val="00E2631F"/>
    <w:rsid w:val="00E26729"/>
    <w:rsid w:val="00E26A6B"/>
    <w:rsid w:val="00E27665"/>
    <w:rsid w:val="00E278AC"/>
    <w:rsid w:val="00E27BEE"/>
    <w:rsid w:val="00E303AF"/>
    <w:rsid w:val="00E3052B"/>
    <w:rsid w:val="00E30807"/>
    <w:rsid w:val="00E31710"/>
    <w:rsid w:val="00E31C61"/>
    <w:rsid w:val="00E32188"/>
    <w:rsid w:val="00E323E7"/>
    <w:rsid w:val="00E32490"/>
    <w:rsid w:val="00E32616"/>
    <w:rsid w:val="00E328D8"/>
    <w:rsid w:val="00E32CE2"/>
    <w:rsid w:val="00E32D37"/>
    <w:rsid w:val="00E33C12"/>
    <w:rsid w:val="00E33F65"/>
    <w:rsid w:val="00E34142"/>
    <w:rsid w:val="00E3495E"/>
    <w:rsid w:val="00E34A32"/>
    <w:rsid w:val="00E3591A"/>
    <w:rsid w:val="00E35FEA"/>
    <w:rsid w:val="00E36E69"/>
    <w:rsid w:val="00E37667"/>
    <w:rsid w:val="00E406DA"/>
    <w:rsid w:val="00E40709"/>
    <w:rsid w:val="00E40ADA"/>
    <w:rsid w:val="00E40B89"/>
    <w:rsid w:val="00E415FC"/>
    <w:rsid w:val="00E4170E"/>
    <w:rsid w:val="00E419DD"/>
    <w:rsid w:val="00E41CC9"/>
    <w:rsid w:val="00E41D81"/>
    <w:rsid w:val="00E42F2A"/>
    <w:rsid w:val="00E4307E"/>
    <w:rsid w:val="00E43398"/>
    <w:rsid w:val="00E43559"/>
    <w:rsid w:val="00E43FB8"/>
    <w:rsid w:val="00E44214"/>
    <w:rsid w:val="00E44A83"/>
    <w:rsid w:val="00E44BFF"/>
    <w:rsid w:val="00E44C59"/>
    <w:rsid w:val="00E44E8D"/>
    <w:rsid w:val="00E4549D"/>
    <w:rsid w:val="00E45BF2"/>
    <w:rsid w:val="00E45DEA"/>
    <w:rsid w:val="00E469E5"/>
    <w:rsid w:val="00E47684"/>
    <w:rsid w:val="00E47FA6"/>
    <w:rsid w:val="00E50C4C"/>
    <w:rsid w:val="00E51829"/>
    <w:rsid w:val="00E51A0D"/>
    <w:rsid w:val="00E51E11"/>
    <w:rsid w:val="00E526E2"/>
    <w:rsid w:val="00E53BD5"/>
    <w:rsid w:val="00E54291"/>
    <w:rsid w:val="00E5459C"/>
    <w:rsid w:val="00E549C2"/>
    <w:rsid w:val="00E557B5"/>
    <w:rsid w:val="00E563A7"/>
    <w:rsid w:val="00E56BD8"/>
    <w:rsid w:val="00E56F3C"/>
    <w:rsid w:val="00E57B6A"/>
    <w:rsid w:val="00E57B77"/>
    <w:rsid w:val="00E60733"/>
    <w:rsid w:val="00E60952"/>
    <w:rsid w:val="00E61A4C"/>
    <w:rsid w:val="00E61E23"/>
    <w:rsid w:val="00E620A6"/>
    <w:rsid w:val="00E6210D"/>
    <w:rsid w:val="00E62171"/>
    <w:rsid w:val="00E62768"/>
    <w:rsid w:val="00E62966"/>
    <w:rsid w:val="00E6462C"/>
    <w:rsid w:val="00E649F9"/>
    <w:rsid w:val="00E65BCA"/>
    <w:rsid w:val="00E66365"/>
    <w:rsid w:val="00E672FB"/>
    <w:rsid w:val="00E676F9"/>
    <w:rsid w:val="00E70455"/>
    <w:rsid w:val="00E71702"/>
    <w:rsid w:val="00E719D3"/>
    <w:rsid w:val="00E71E37"/>
    <w:rsid w:val="00E720E5"/>
    <w:rsid w:val="00E720FE"/>
    <w:rsid w:val="00E72A86"/>
    <w:rsid w:val="00E72C29"/>
    <w:rsid w:val="00E730D2"/>
    <w:rsid w:val="00E73583"/>
    <w:rsid w:val="00E73996"/>
    <w:rsid w:val="00E74EE7"/>
    <w:rsid w:val="00E74FD9"/>
    <w:rsid w:val="00E76782"/>
    <w:rsid w:val="00E76956"/>
    <w:rsid w:val="00E77008"/>
    <w:rsid w:val="00E77030"/>
    <w:rsid w:val="00E779CB"/>
    <w:rsid w:val="00E80B80"/>
    <w:rsid w:val="00E814BC"/>
    <w:rsid w:val="00E81603"/>
    <w:rsid w:val="00E81A4E"/>
    <w:rsid w:val="00E82103"/>
    <w:rsid w:val="00E83D1B"/>
    <w:rsid w:val="00E84031"/>
    <w:rsid w:val="00E84AB4"/>
    <w:rsid w:val="00E84B48"/>
    <w:rsid w:val="00E84EBF"/>
    <w:rsid w:val="00E8590A"/>
    <w:rsid w:val="00E85F38"/>
    <w:rsid w:val="00E861A8"/>
    <w:rsid w:val="00E86216"/>
    <w:rsid w:val="00E869C0"/>
    <w:rsid w:val="00E86ED2"/>
    <w:rsid w:val="00E87629"/>
    <w:rsid w:val="00E87846"/>
    <w:rsid w:val="00E87853"/>
    <w:rsid w:val="00E90423"/>
    <w:rsid w:val="00E9047F"/>
    <w:rsid w:val="00E90630"/>
    <w:rsid w:val="00E91621"/>
    <w:rsid w:val="00E91C47"/>
    <w:rsid w:val="00E91D26"/>
    <w:rsid w:val="00E91D47"/>
    <w:rsid w:val="00E92935"/>
    <w:rsid w:val="00E93CE0"/>
    <w:rsid w:val="00E949D3"/>
    <w:rsid w:val="00E94C45"/>
    <w:rsid w:val="00E94C9C"/>
    <w:rsid w:val="00E957E1"/>
    <w:rsid w:val="00E95E9B"/>
    <w:rsid w:val="00E96473"/>
    <w:rsid w:val="00E96648"/>
    <w:rsid w:val="00E9686D"/>
    <w:rsid w:val="00E96BD9"/>
    <w:rsid w:val="00E97928"/>
    <w:rsid w:val="00E97A5E"/>
    <w:rsid w:val="00EA0284"/>
    <w:rsid w:val="00EA046C"/>
    <w:rsid w:val="00EA06E9"/>
    <w:rsid w:val="00EA0D57"/>
    <w:rsid w:val="00EA0E45"/>
    <w:rsid w:val="00EA1EAD"/>
    <w:rsid w:val="00EA1F92"/>
    <w:rsid w:val="00EA205B"/>
    <w:rsid w:val="00EA2486"/>
    <w:rsid w:val="00EA3682"/>
    <w:rsid w:val="00EA4907"/>
    <w:rsid w:val="00EA4974"/>
    <w:rsid w:val="00EA4A2E"/>
    <w:rsid w:val="00EA4C2C"/>
    <w:rsid w:val="00EA5618"/>
    <w:rsid w:val="00EA570D"/>
    <w:rsid w:val="00EA6303"/>
    <w:rsid w:val="00EA66D9"/>
    <w:rsid w:val="00EA67A1"/>
    <w:rsid w:val="00EA6872"/>
    <w:rsid w:val="00EA6B90"/>
    <w:rsid w:val="00EA6EA1"/>
    <w:rsid w:val="00EA7A0F"/>
    <w:rsid w:val="00EA7FDA"/>
    <w:rsid w:val="00EB04B5"/>
    <w:rsid w:val="00EB1073"/>
    <w:rsid w:val="00EB199B"/>
    <w:rsid w:val="00EB1E61"/>
    <w:rsid w:val="00EB210B"/>
    <w:rsid w:val="00EB269D"/>
    <w:rsid w:val="00EB2979"/>
    <w:rsid w:val="00EB2B62"/>
    <w:rsid w:val="00EB39F9"/>
    <w:rsid w:val="00EB3BCE"/>
    <w:rsid w:val="00EB47E5"/>
    <w:rsid w:val="00EB480C"/>
    <w:rsid w:val="00EB498A"/>
    <w:rsid w:val="00EB54B2"/>
    <w:rsid w:val="00EB5877"/>
    <w:rsid w:val="00EB5CAD"/>
    <w:rsid w:val="00EB621E"/>
    <w:rsid w:val="00EB65A1"/>
    <w:rsid w:val="00EB6633"/>
    <w:rsid w:val="00EB684B"/>
    <w:rsid w:val="00EB6D95"/>
    <w:rsid w:val="00EB7939"/>
    <w:rsid w:val="00EB7A37"/>
    <w:rsid w:val="00EB7C89"/>
    <w:rsid w:val="00EB7CD7"/>
    <w:rsid w:val="00EB7CFF"/>
    <w:rsid w:val="00EB7D0A"/>
    <w:rsid w:val="00EC0054"/>
    <w:rsid w:val="00EC0DD2"/>
    <w:rsid w:val="00EC0E73"/>
    <w:rsid w:val="00EC1543"/>
    <w:rsid w:val="00EC23B5"/>
    <w:rsid w:val="00EC2C2F"/>
    <w:rsid w:val="00EC2CF2"/>
    <w:rsid w:val="00EC3159"/>
    <w:rsid w:val="00EC323A"/>
    <w:rsid w:val="00EC34E3"/>
    <w:rsid w:val="00EC3D4A"/>
    <w:rsid w:val="00EC43D9"/>
    <w:rsid w:val="00EC4820"/>
    <w:rsid w:val="00EC52C7"/>
    <w:rsid w:val="00EC55F5"/>
    <w:rsid w:val="00EC5DD1"/>
    <w:rsid w:val="00EC70F7"/>
    <w:rsid w:val="00EC7EB7"/>
    <w:rsid w:val="00ED02EF"/>
    <w:rsid w:val="00ED053F"/>
    <w:rsid w:val="00ED1A2D"/>
    <w:rsid w:val="00ED241C"/>
    <w:rsid w:val="00ED28D4"/>
    <w:rsid w:val="00ED2F2E"/>
    <w:rsid w:val="00ED3A50"/>
    <w:rsid w:val="00ED44D1"/>
    <w:rsid w:val="00ED46D7"/>
    <w:rsid w:val="00ED542F"/>
    <w:rsid w:val="00ED56A7"/>
    <w:rsid w:val="00ED57AB"/>
    <w:rsid w:val="00ED6A8D"/>
    <w:rsid w:val="00ED6B2E"/>
    <w:rsid w:val="00ED710B"/>
    <w:rsid w:val="00ED7133"/>
    <w:rsid w:val="00ED78EF"/>
    <w:rsid w:val="00EE0223"/>
    <w:rsid w:val="00EE11F8"/>
    <w:rsid w:val="00EE1C45"/>
    <w:rsid w:val="00EE27E2"/>
    <w:rsid w:val="00EE2819"/>
    <w:rsid w:val="00EE2EC4"/>
    <w:rsid w:val="00EE33D3"/>
    <w:rsid w:val="00EE38B4"/>
    <w:rsid w:val="00EE392A"/>
    <w:rsid w:val="00EE3F23"/>
    <w:rsid w:val="00EE450F"/>
    <w:rsid w:val="00EE46F6"/>
    <w:rsid w:val="00EE59ED"/>
    <w:rsid w:val="00EE6168"/>
    <w:rsid w:val="00EE64FA"/>
    <w:rsid w:val="00EE6853"/>
    <w:rsid w:val="00EE6C9F"/>
    <w:rsid w:val="00EE7E5F"/>
    <w:rsid w:val="00EF04B9"/>
    <w:rsid w:val="00EF067D"/>
    <w:rsid w:val="00EF105D"/>
    <w:rsid w:val="00EF24F5"/>
    <w:rsid w:val="00EF2565"/>
    <w:rsid w:val="00EF27D0"/>
    <w:rsid w:val="00EF28B1"/>
    <w:rsid w:val="00EF2C41"/>
    <w:rsid w:val="00EF2DE8"/>
    <w:rsid w:val="00EF32F6"/>
    <w:rsid w:val="00EF36E5"/>
    <w:rsid w:val="00EF38E8"/>
    <w:rsid w:val="00EF4580"/>
    <w:rsid w:val="00EF503A"/>
    <w:rsid w:val="00EF539F"/>
    <w:rsid w:val="00EF662C"/>
    <w:rsid w:val="00EF6928"/>
    <w:rsid w:val="00F00C4E"/>
    <w:rsid w:val="00F01326"/>
    <w:rsid w:val="00F016E4"/>
    <w:rsid w:val="00F01B75"/>
    <w:rsid w:val="00F02297"/>
    <w:rsid w:val="00F023D3"/>
    <w:rsid w:val="00F0259B"/>
    <w:rsid w:val="00F03C06"/>
    <w:rsid w:val="00F04097"/>
    <w:rsid w:val="00F045E2"/>
    <w:rsid w:val="00F04B52"/>
    <w:rsid w:val="00F05409"/>
    <w:rsid w:val="00F0689B"/>
    <w:rsid w:val="00F06B5E"/>
    <w:rsid w:val="00F06E52"/>
    <w:rsid w:val="00F06F62"/>
    <w:rsid w:val="00F07EC3"/>
    <w:rsid w:val="00F100E0"/>
    <w:rsid w:val="00F10625"/>
    <w:rsid w:val="00F1079D"/>
    <w:rsid w:val="00F107E8"/>
    <w:rsid w:val="00F11209"/>
    <w:rsid w:val="00F1147E"/>
    <w:rsid w:val="00F11C39"/>
    <w:rsid w:val="00F11CEB"/>
    <w:rsid w:val="00F1248F"/>
    <w:rsid w:val="00F1264C"/>
    <w:rsid w:val="00F13573"/>
    <w:rsid w:val="00F13AB7"/>
    <w:rsid w:val="00F1432C"/>
    <w:rsid w:val="00F14673"/>
    <w:rsid w:val="00F1469A"/>
    <w:rsid w:val="00F1480E"/>
    <w:rsid w:val="00F149A3"/>
    <w:rsid w:val="00F153A2"/>
    <w:rsid w:val="00F15443"/>
    <w:rsid w:val="00F15BD1"/>
    <w:rsid w:val="00F1677E"/>
    <w:rsid w:val="00F16BB0"/>
    <w:rsid w:val="00F1767B"/>
    <w:rsid w:val="00F20D77"/>
    <w:rsid w:val="00F20E6E"/>
    <w:rsid w:val="00F210A3"/>
    <w:rsid w:val="00F211C1"/>
    <w:rsid w:val="00F21309"/>
    <w:rsid w:val="00F21537"/>
    <w:rsid w:val="00F21EEB"/>
    <w:rsid w:val="00F226EF"/>
    <w:rsid w:val="00F23077"/>
    <w:rsid w:val="00F234F2"/>
    <w:rsid w:val="00F23B62"/>
    <w:rsid w:val="00F24313"/>
    <w:rsid w:val="00F24A2F"/>
    <w:rsid w:val="00F252F7"/>
    <w:rsid w:val="00F25AC7"/>
    <w:rsid w:val="00F25F15"/>
    <w:rsid w:val="00F26171"/>
    <w:rsid w:val="00F261FF"/>
    <w:rsid w:val="00F2662F"/>
    <w:rsid w:val="00F26877"/>
    <w:rsid w:val="00F26C20"/>
    <w:rsid w:val="00F30562"/>
    <w:rsid w:val="00F30A69"/>
    <w:rsid w:val="00F30AD8"/>
    <w:rsid w:val="00F30CB3"/>
    <w:rsid w:val="00F315BC"/>
    <w:rsid w:val="00F3163A"/>
    <w:rsid w:val="00F31A97"/>
    <w:rsid w:val="00F31E33"/>
    <w:rsid w:val="00F320EB"/>
    <w:rsid w:val="00F32E30"/>
    <w:rsid w:val="00F3344A"/>
    <w:rsid w:val="00F3372C"/>
    <w:rsid w:val="00F33FEC"/>
    <w:rsid w:val="00F35842"/>
    <w:rsid w:val="00F36501"/>
    <w:rsid w:val="00F36694"/>
    <w:rsid w:val="00F367FB"/>
    <w:rsid w:val="00F36CD4"/>
    <w:rsid w:val="00F3767D"/>
    <w:rsid w:val="00F400F5"/>
    <w:rsid w:val="00F4093E"/>
    <w:rsid w:val="00F4170C"/>
    <w:rsid w:val="00F41879"/>
    <w:rsid w:val="00F41AD6"/>
    <w:rsid w:val="00F41B4F"/>
    <w:rsid w:val="00F41CFF"/>
    <w:rsid w:val="00F4243B"/>
    <w:rsid w:val="00F42646"/>
    <w:rsid w:val="00F42EA6"/>
    <w:rsid w:val="00F43598"/>
    <w:rsid w:val="00F43A0D"/>
    <w:rsid w:val="00F43A22"/>
    <w:rsid w:val="00F43F6D"/>
    <w:rsid w:val="00F4658D"/>
    <w:rsid w:val="00F4667C"/>
    <w:rsid w:val="00F46963"/>
    <w:rsid w:val="00F47047"/>
    <w:rsid w:val="00F50354"/>
    <w:rsid w:val="00F50392"/>
    <w:rsid w:val="00F50828"/>
    <w:rsid w:val="00F50AA7"/>
    <w:rsid w:val="00F50BC0"/>
    <w:rsid w:val="00F516EF"/>
    <w:rsid w:val="00F52F00"/>
    <w:rsid w:val="00F53002"/>
    <w:rsid w:val="00F541FA"/>
    <w:rsid w:val="00F54714"/>
    <w:rsid w:val="00F54BA2"/>
    <w:rsid w:val="00F558D4"/>
    <w:rsid w:val="00F55FFC"/>
    <w:rsid w:val="00F56F60"/>
    <w:rsid w:val="00F574F8"/>
    <w:rsid w:val="00F577C6"/>
    <w:rsid w:val="00F57800"/>
    <w:rsid w:val="00F603F5"/>
    <w:rsid w:val="00F604D4"/>
    <w:rsid w:val="00F60928"/>
    <w:rsid w:val="00F60A35"/>
    <w:rsid w:val="00F6185D"/>
    <w:rsid w:val="00F61F4B"/>
    <w:rsid w:val="00F62238"/>
    <w:rsid w:val="00F62391"/>
    <w:rsid w:val="00F62A2D"/>
    <w:rsid w:val="00F62C03"/>
    <w:rsid w:val="00F62D5E"/>
    <w:rsid w:val="00F63A0E"/>
    <w:rsid w:val="00F63CF0"/>
    <w:rsid w:val="00F642E8"/>
    <w:rsid w:val="00F64B72"/>
    <w:rsid w:val="00F64FC3"/>
    <w:rsid w:val="00F65A96"/>
    <w:rsid w:val="00F65B4B"/>
    <w:rsid w:val="00F66F43"/>
    <w:rsid w:val="00F70DE2"/>
    <w:rsid w:val="00F7113A"/>
    <w:rsid w:val="00F7132A"/>
    <w:rsid w:val="00F71783"/>
    <w:rsid w:val="00F721E8"/>
    <w:rsid w:val="00F721EA"/>
    <w:rsid w:val="00F72B0E"/>
    <w:rsid w:val="00F72BF8"/>
    <w:rsid w:val="00F72D40"/>
    <w:rsid w:val="00F72F42"/>
    <w:rsid w:val="00F731D2"/>
    <w:rsid w:val="00F73A5D"/>
    <w:rsid w:val="00F73C9D"/>
    <w:rsid w:val="00F73E94"/>
    <w:rsid w:val="00F740E5"/>
    <w:rsid w:val="00F743FE"/>
    <w:rsid w:val="00F747EF"/>
    <w:rsid w:val="00F74FA0"/>
    <w:rsid w:val="00F75320"/>
    <w:rsid w:val="00F75451"/>
    <w:rsid w:val="00F75913"/>
    <w:rsid w:val="00F75D82"/>
    <w:rsid w:val="00F76222"/>
    <w:rsid w:val="00F763DC"/>
    <w:rsid w:val="00F767A8"/>
    <w:rsid w:val="00F76D63"/>
    <w:rsid w:val="00F77748"/>
    <w:rsid w:val="00F77DB8"/>
    <w:rsid w:val="00F77E2A"/>
    <w:rsid w:val="00F8050A"/>
    <w:rsid w:val="00F8067F"/>
    <w:rsid w:val="00F80C8A"/>
    <w:rsid w:val="00F81169"/>
    <w:rsid w:val="00F82251"/>
    <w:rsid w:val="00F83339"/>
    <w:rsid w:val="00F83410"/>
    <w:rsid w:val="00F8345E"/>
    <w:rsid w:val="00F83651"/>
    <w:rsid w:val="00F84CA9"/>
    <w:rsid w:val="00F858A2"/>
    <w:rsid w:val="00F85A8A"/>
    <w:rsid w:val="00F85DB9"/>
    <w:rsid w:val="00F85E5F"/>
    <w:rsid w:val="00F8681C"/>
    <w:rsid w:val="00F86C07"/>
    <w:rsid w:val="00F870E1"/>
    <w:rsid w:val="00F87558"/>
    <w:rsid w:val="00F8775E"/>
    <w:rsid w:val="00F87A7C"/>
    <w:rsid w:val="00F9103A"/>
    <w:rsid w:val="00F912FF"/>
    <w:rsid w:val="00F938D7"/>
    <w:rsid w:val="00F9431A"/>
    <w:rsid w:val="00F94466"/>
    <w:rsid w:val="00F9465E"/>
    <w:rsid w:val="00F94CF3"/>
    <w:rsid w:val="00F94E66"/>
    <w:rsid w:val="00F957C9"/>
    <w:rsid w:val="00F96182"/>
    <w:rsid w:val="00F963DA"/>
    <w:rsid w:val="00F9643D"/>
    <w:rsid w:val="00F967F7"/>
    <w:rsid w:val="00F9702D"/>
    <w:rsid w:val="00F97BDC"/>
    <w:rsid w:val="00FA0311"/>
    <w:rsid w:val="00FA106A"/>
    <w:rsid w:val="00FA15C8"/>
    <w:rsid w:val="00FA2240"/>
    <w:rsid w:val="00FA27B3"/>
    <w:rsid w:val="00FA35F0"/>
    <w:rsid w:val="00FA560A"/>
    <w:rsid w:val="00FA5B44"/>
    <w:rsid w:val="00FA68B5"/>
    <w:rsid w:val="00FA7753"/>
    <w:rsid w:val="00FA77BD"/>
    <w:rsid w:val="00FB04B0"/>
    <w:rsid w:val="00FB188E"/>
    <w:rsid w:val="00FB20FB"/>
    <w:rsid w:val="00FB21C9"/>
    <w:rsid w:val="00FB240E"/>
    <w:rsid w:val="00FB280F"/>
    <w:rsid w:val="00FB3415"/>
    <w:rsid w:val="00FB35FD"/>
    <w:rsid w:val="00FB44B4"/>
    <w:rsid w:val="00FB4FC9"/>
    <w:rsid w:val="00FB5814"/>
    <w:rsid w:val="00FB599F"/>
    <w:rsid w:val="00FB6AE0"/>
    <w:rsid w:val="00FB791F"/>
    <w:rsid w:val="00FB7943"/>
    <w:rsid w:val="00FB7C6D"/>
    <w:rsid w:val="00FB7F47"/>
    <w:rsid w:val="00FC0372"/>
    <w:rsid w:val="00FC100B"/>
    <w:rsid w:val="00FC1B2C"/>
    <w:rsid w:val="00FC1F2F"/>
    <w:rsid w:val="00FC2034"/>
    <w:rsid w:val="00FC2109"/>
    <w:rsid w:val="00FC247E"/>
    <w:rsid w:val="00FC2DF9"/>
    <w:rsid w:val="00FC2EDD"/>
    <w:rsid w:val="00FC317E"/>
    <w:rsid w:val="00FC3FA0"/>
    <w:rsid w:val="00FC49E2"/>
    <w:rsid w:val="00FC503A"/>
    <w:rsid w:val="00FC58F4"/>
    <w:rsid w:val="00FC6803"/>
    <w:rsid w:val="00FC6D9B"/>
    <w:rsid w:val="00FC705B"/>
    <w:rsid w:val="00FC7517"/>
    <w:rsid w:val="00FC799F"/>
    <w:rsid w:val="00FC7B18"/>
    <w:rsid w:val="00FD0020"/>
    <w:rsid w:val="00FD007A"/>
    <w:rsid w:val="00FD11D9"/>
    <w:rsid w:val="00FD11F8"/>
    <w:rsid w:val="00FD1613"/>
    <w:rsid w:val="00FD22D4"/>
    <w:rsid w:val="00FD24B0"/>
    <w:rsid w:val="00FD3237"/>
    <w:rsid w:val="00FD36F8"/>
    <w:rsid w:val="00FD3917"/>
    <w:rsid w:val="00FD4326"/>
    <w:rsid w:val="00FD4BC6"/>
    <w:rsid w:val="00FD5554"/>
    <w:rsid w:val="00FD5C7D"/>
    <w:rsid w:val="00FD64EB"/>
    <w:rsid w:val="00FD6A99"/>
    <w:rsid w:val="00FD7A3D"/>
    <w:rsid w:val="00FD7C5E"/>
    <w:rsid w:val="00FE098C"/>
    <w:rsid w:val="00FE0AF5"/>
    <w:rsid w:val="00FE0D21"/>
    <w:rsid w:val="00FE162B"/>
    <w:rsid w:val="00FE21E9"/>
    <w:rsid w:val="00FE29CF"/>
    <w:rsid w:val="00FE2D16"/>
    <w:rsid w:val="00FE31B2"/>
    <w:rsid w:val="00FE3716"/>
    <w:rsid w:val="00FE4D74"/>
    <w:rsid w:val="00FE4F70"/>
    <w:rsid w:val="00FE4FCE"/>
    <w:rsid w:val="00FE559F"/>
    <w:rsid w:val="00FE6C1B"/>
    <w:rsid w:val="00FE712A"/>
    <w:rsid w:val="00FE721A"/>
    <w:rsid w:val="00FE7473"/>
    <w:rsid w:val="00FE77A6"/>
    <w:rsid w:val="00FE7B51"/>
    <w:rsid w:val="00FF0CD1"/>
    <w:rsid w:val="00FF0F4C"/>
    <w:rsid w:val="00FF1197"/>
    <w:rsid w:val="00FF12BE"/>
    <w:rsid w:val="00FF33A9"/>
    <w:rsid w:val="00FF34B4"/>
    <w:rsid w:val="00FF3582"/>
    <w:rsid w:val="00FF36DA"/>
    <w:rsid w:val="00FF3907"/>
    <w:rsid w:val="00FF3BC9"/>
    <w:rsid w:val="00FF4F68"/>
    <w:rsid w:val="00FF5044"/>
    <w:rsid w:val="00FF52DE"/>
    <w:rsid w:val="00FF565C"/>
    <w:rsid w:val="00FF5F0C"/>
    <w:rsid w:val="00FF601C"/>
    <w:rsid w:val="00FF61B2"/>
    <w:rsid w:val="00FF64BE"/>
    <w:rsid w:val="00FF70B5"/>
    <w:rsid w:val="00FF7189"/>
    <w:rsid w:val="00FF74A0"/>
    <w:rsid w:val="00FF7721"/>
    <w:rsid w:val="00FF7B45"/>
    <w:rsid w:val="00FF7F30"/>
    <w:rsid w:val="011A11A4"/>
    <w:rsid w:val="014B5B44"/>
    <w:rsid w:val="018C5F7F"/>
    <w:rsid w:val="01BE4069"/>
    <w:rsid w:val="01BE5800"/>
    <w:rsid w:val="01E144C8"/>
    <w:rsid w:val="01E46F65"/>
    <w:rsid w:val="02E536DD"/>
    <w:rsid w:val="03F06C42"/>
    <w:rsid w:val="041B3357"/>
    <w:rsid w:val="04C34346"/>
    <w:rsid w:val="04E30437"/>
    <w:rsid w:val="05F41FAA"/>
    <w:rsid w:val="063B78DC"/>
    <w:rsid w:val="065B747D"/>
    <w:rsid w:val="06E02A4D"/>
    <w:rsid w:val="074108D7"/>
    <w:rsid w:val="076E0F6D"/>
    <w:rsid w:val="07E84F31"/>
    <w:rsid w:val="0839529D"/>
    <w:rsid w:val="08B63BCD"/>
    <w:rsid w:val="09974C33"/>
    <w:rsid w:val="09B82947"/>
    <w:rsid w:val="0B5D4C2E"/>
    <w:rsid w:val="0B7A60DC"/>
    <w:rsid w:val="0BF958C7"/>
    <w:rsid w:val="0C3F3332"/>
    <w:rsid w:val="0C5A09A9"/>
    <w:rsid w:val="0CC55A09"/>
    <w:rsid w:val="0CDB719E"/>
    <w:rsid w:val="0CEE2B62"/>
    <w:rsid w:val="0E0812B7"/>
    <w:rsid w:val="0EAB6A73"/>
    <w:rsid w:val="0F4D0707"/>
    <w:rsid w:val="0FBA2A45"/>
    <w:rsid w:val="0FC41654"/>
    <w:rsid w:val="0FDE7285"/>
    <w:rsid w:val="118C2ED5"/>
    <w:rsid w:val="11AB1672"/>
    <w:rsid w:val="11B83D31"/>
    <w:rsid w:val="125E7A60"/>
    <w:rsid w:val="126B4AD8"/>
    <w:rsid w:val="12795B29"/>
    <w:rsid w:val="12F62B63"/>
    <w:rsid w:val="13696837"/>
    <w:rsid w:val="13B31AEC"/>
    <w:rsid w:val="13FE3FBA"/>
    <w:rsid w:val="140E1568"/>
    <w:rsid w:val="14404369"/>
    <w:rsid w:val="15190FE8"/>
    <w:rsid w:val="15C47445"/>
    <w:rsid w:val="16123557"/>
    <w:rsid w:val="175D674F"/>
    <w:rsid w:val="17CD2550"/>
    <w:rsid w:val="18114189"/>
    <w:rsid w:val="188172CF"/>
    <w:rsid w:val="18A920E9"/>
    <w:rsid w:val="18EE0096"/>
    <w:rsid w:val="18F06F2D"/>
    <w:rsid w:val="19337D29"/>
    <w:rsid w:val="19AD7F51"/>
    <w:rsid w:val="1A4F113B"/>
    <w:rsid w:val="1A710F7F"/>
    <w:rsid w:val="1B744165"/>
    <w:rsid w:val="1BA50D14"/>
    <w:rsid w:val="1BA677E7"/>
    <w:rsid w:val="1C625D30"/>
    <w:rsid w:val="1C73194E"/>
    <w:rsid w:val="1C7671E3"/>
    <w:rsid w:val="1C777601"/>
    <w:rsid w:val="1C8A493E"/>
    <w:rsid w:val="1CCB6998"/>
    <w:rsid w:val="1CD6623F"/>
    <w:rsid w:val="1CF90898"/>
    <w:rsid w:val="1CFA0FE7"/>
    <w:rsid w:val="1D8C69C4"/>
    <w:rsid w:val="1DDC4086"/>
    <w:rsid w:val="1E1C7C6C"/>
    <w:rsid w:val="1E786F00"/>
    <w:rsid w:val="1E8A1A8A"/>
    <w:rsid w:val="1F1F65F5"/>
    <w:rsid w:val="1F343C02"/>
    <w:rsid w:val="1FAC7E53"/>
    <w:rsid w:val="20517FE3"/>
    <w:rsid w:val="20CE2C18"/>
    <w:rsid w:val="20F45DCC"/>
    <w:rsid w:val="217C1DAF"/>
    <w:rsid w:val="218220DE"/>
    <w:rsid w:val="222C76C6"/>
    <w:rsid w:val="22466CF3"/>
    <w:rsid w:val="227708C5"/>
    <w:rsid w:val="22A344E7"/>
    <w:rsid w:val="22DE3197"/>
    <w:rsid w:val="230E0741"/>
    <w:rsid w:val="23F63E16"/>
    <w:rsid w:val="241430A6"/>
    <w:rsid w:val="243A32C2"/>
    <w:rsid w:val="24594F5D"/>
    <w:rsid w:val="25093A3B"/>
    <w:rsid w:val="25236D0D"/>
    <w:rsid w:val="252F645D"/>
    <w:rsid w:val="258858A9"/>
    <w:rsid w:val="26757E2C"/>
    <w:rsid w:val="26790701"/>
    <w:rsid w:val="26DD563E"/>
    <w:rsid w:val="273508EE"/>
    <w:rsid w:val="273B1BA5"/>
    <w:rsid w:val="27483692"/>
    <w:rsid w:val="276F6E45"/>
    <w:rsid w:val="278066D7"/>
    <w:rsid w:val="27827B0F"/>
    <w:rsid w:val="27886287"/>
    <w:rsid w:val="27F53526"/>
    <w:rsid w:val="27FA5E76"/>
    <w:rsid w:val="28690FE5"/>
    <w:rsid w:val="288E2BD2"/>
    <w:rsid w:val="28A21943"/>
    <w:rsid w:val="28DC50AB"/>
    <w:rsid w:val="28E55271"/>
    <w:rsid w:val="2923374B"/>
    <w:rsid w:val="29BD796F"/>
    <w:rsid w:val="2A24600D"/>
    <w:rsid w:val="2AAC3644"/>
    <w:rsid w:val="2B883049"/>
    <w:rsid w:val="2B8946FF"/>
    <w:rsid w:val="2C0A4741"/>
    <w:rsid w:val="2C922019"/>
    <w:rsid w:val="2CF86E08"/>
    <w:rsid w:val="2D9B15EF"/>
    <w:rsid w:val="2E304308"/>
    <w:rsid w:val="2EB26D79"/>
    <w:rsid w:val="2F7145F4"/>
    <w:rsid w:val="2FE83FB2"/>
    <w:rsid w:val="30580298"/>
    <w:rsid w:val="30646F90"/>
    <w:rsid w:val="30CB0402"/>
    <w:rsid w:val="322D6032"/>
    <w:rsid w:val="324D2681"/>
    <w:rsid w:val="33105381"/>
    <w:rsid w:val="34457450"/>
    <w:rsid w:val="35373F98"/>
    <w:rsid w:val="363B7932"/>
    <w:rsid w:val="365D1494"/>
    <w:rsid w:val="36D15C2A"/>
    <w:rsid w:val="36FA4BBC"/>
    <w:rsid w:val="371D61FE"/>
    <w:rsid w:val="374B5AC3"/>
    <w:rsid w:val="38187E4F"/>
    <w:rsid w:val="3820445B"/>
    <w:rsid w:val="38210467"/>
    <w:rsid w:val="38401B73"/>
    <w:rsid w:val="384B1D2A"/>
    <w:rsid w:val="3870241E"/>
    <w:rsid w:val="39780BBB"/>
    <w:rsid w:val="3986639D"/>
    <w:rsid w:val="39D617F2"/>
    <w:rsid w:val="39E428B1"/>
    <w:rsid w:val="3A6B4AD1"/>
    <w:rsid w:val="3B731AB5"/>
    <w:rsid w:val="3B833738"/>
    <w:rsid w:val="3B874762"/>
    <w:rsid w:val="3C2527C5"/>
    <w:rsid w:val="3CF00489"/>
    <w:rsid w:val="3D6F75C9"/>
    <w:rsid w:val="3DE90F01"/>
    <w:rsid w:val="3E266E35"/>
    <w:rsid w:val="3E9C77D5"/>
    <w:rsid w:val="3EB1337A"/>
    <w:rsid w:val="3F7F04D5"/>
    <w:rsid w:val="40A005F0"/>
    <w:rsid w:val="40FC0A56"/>
    <w:rsid w:val="410B53D9"/>
    <w:rsid w:val="417E1386"/>
    <w:rsid w:val="41F93B94"/>
    <w:rsid w:val="422B6BF4"/>
    <w:rsid w:val="42347713"/>
    <w:rsid w:val="43714941"/>
    <w:rsid w:val="43B00A8F"/>
    <w:rsid w:val="440356A1"/>
    <w:rsid w:val="45091B37"/>
    <w:rsid w:val="45511B47"/>
    <w:rsid w:val="45A15DDB"/>
    <w:rsid w:val="45AA2264"/>
    <w:rsid w:val="45B22926"/>
    <w:rsid w:val="4681712C"/>
    <w:rsid w:val="468B6718"/>
    <w:rsid w:val="471C758F"/>
    <w:rsid w:val="473B23EB"/>
    <w:rsid w:val="4782301F"/>
    <w:rsid w:val="47B32EAB"/>
    <w:rsid w:val="47C40E8C"/>
    <w:rsid w:val="48B1218F"/>
    <w:rsid w:val="48B14AB0"/>
    <w:rsid w:val="48D6123C"/>
    <w:rsid w:val="49150F51"/>
    <w:rsid w:val="49480BD4"/>
    <w:rsid w:val="497E0E3E"/>
    <w:rsid w:val="499F04DF"/>
    <w:rsid w:val="49CB3BFF"/>
    <w:rsid w:val="49D32399"/>
    <w:rsid w:val="4AA4619B"/>
    <w:rsid w:val="4AC7413B"/>
    <w:rsid w:val="4B284D77"/>
    <w:rsid w:val="4B756271"/>
    <w:rsid w:val="4BD44D46"/>
    <w:rsid w:val="4BEC1507"/>
    <w:rsid w:val="4CD363C9"/>
    <w:rsid w:val="4D7F6702"/>
    <w:rsid w:val="4DEA0BB0"/>
    <w:rsid w:val="4F123950"/>
    <w:rsid w:val="4F134C73"/>
    <w:rsid w:val="507519D9"/>
    <w:rsid w:val="50D40CD5"/>
    <w:rsid w:val="50EC442B"/>
    <w:rsid w:val="511300BE"/>
    <w:rsid w:val="51C4760A"/>
    <w:rsid w:val="52081BED"/>
    <w:rsid w:val="52127D7D"/>
    <w:rsid w:val="522A26AA"/>
    <w:rsid w:val="52412A63"/>
    <w:rsid w:val="5313442C"/>
    <w:rsid w:val="53763D4D"/>
    <w:rsid w:val="53F809FD"/>
    <w:rsid w:val="54135280"/>
    <w:rsid w:val="54315B48"/>
    <w:rsid w:val="5526139C"/>
    <w:rsid w:val="552B2D26"/>
    <w:rsid w:val="554E1470"/>
    <w:rsid w:val="556709D9"/>
    <w:rsid w:val="55986D51"/>
    <w:rsid w:val="55D42624"/>
    <w:rsid w:val="55FD30EB"/>
    <w:rsid w:val="56133CA0"/>
    <w:rsid w:val="56805FC1"/>
    <w:rsid w:val="56DD4ABD"/>
    <w:rsid w:val="5703231E"/>
    <w:rsid w:val="5709772C"/>
    <w:rsid w:val="57116442"/>
    <w:rsid w:val="578D3493"/>
    <w:rsid w:val="578E51A4"/>
    <w:rsid w:val="586A7A45"/>
    <w:rsid w:val="58914C8B"/>
    <w:rsid w:val="58E3423E"/>
    <w:rsid w:val="58F23ED5"/>
    <w:rsid w:val="5956205C"/>
    <w:rsid w:val="599E6CB8"/>
    <w:rsid w:val="59E031E2"/>
    <w:rsid w:val="5A3D43FE"/>
    <w:rsid w:val="5AA974E8"/>
    <w:rsid w:val="5AEC2D3D"/>
    <w:rsid w:val="5B1A22E7"/>
    <w:rsid w:val="5B8340E7"/>
    <w:rsid w:val="5B8D0599"/>
    <w:rsid w:val="5B937814"/>
    <w:rsid w:val="5BA627EA"/>
    <w:rsid w:val="5BAA125C"/>
    <w:rsid w:val="5C6E79F1"/>
    <w:rsid w:val="5C8657B1"/>
    <w:rsid w:val="5CA73484"/>
    <w:rsid w:val="5CE5499C"/>
    <w:rsid w:val="5D02548B"/>
    <w:rsid w:val="5D6879E4"/>
    <w:rsid w:val="5D77243C"/>
    <w:rsid w:val="5DDB0BD4"/>
    <w:rsid w:val="5E2F13E4"/>
    <w:rsid w:val="5E420235"/>
    <w:rsid w:val="5EC546B7"/>
    <w:rsid w:val="5EE01513"/>
    <w:rsid w:val="5EE34FC5"/>
    <w:rsid w:val="5F9B6257"/>
    <w:rsid w:val="5FA9036D"/>
    <w:rsid w:val="5FE20A6A"/>
    <w:rsid w:val="5FE80DF1"/>
    <w:rsid w:val="60394F33"/>
    <w:rsid w:val="607A028C"/>
    <w:rsid w:val="60DF4BB3"/>
    <w:rsid w:val="61154A97"/>
    <w:rsid w:val="61660BA5"/>
    <w:rsid w:val="61904268"/>
    <w:rsid w:val="61922827"/>
    <w:rsid w:val="61985AAE"/>
    <w:rsid w:val="619B21A0"/>
    <w:rsid w:val="61C95215"/>
    <w:rsid w:val="620863D2"/>
    <w:rsid w:val="62516C98"/>
    <w:rsid w:val="62537053"/>
    <w:rsid w:val="626058BD"/>
    <w:rsid w:val="62D70238"/>
    <w:rsid w:val="63181501"/>
    <w:rsid w:val="634E5810"/>
    <w:rsid w:val="63512CC8"/>
    <w:rsid w:val="635760E9"/>
    <w:rsid w:val="63A81226"/>
    <w:rsid w:val="63BF7C32"/>
    <w:rsid w:val="649015CE"/>
    <w:rsid w:val="64BB2AEF"/>
    <w:rsid w:val="650A079C"/>
    <w:rsid w:val="659C2D76"/>
    <w:rsid w:val="65E5355A"/>
    <w:rsid w:val="661D76C1"/>
    <w:rsid w:val="67241800"/>
    <w:rsid w:val="67317098"/>
    <w:rsid w:val="674A3D4F"/>
    <w:rsid w:val="679006E0"/>
    <w:rsid w:val="68084071"/>
    <w:rsid w:val="68184F01"/>
    <w:rsid w:val="6864772D"/>
    <w:rsid w:val="68832D46"/>
    <w:rsid w:val="68BC6A3B"/>
    <w:rsid w:val="68DE0C94"/>
    <w:rsid w:val="696C260A"/>
    <w:rsid w:val="6A121AD7"/>
    <w:rsid w:val="6A3C248C"/>
    <w:rsid w:val="6AD23B35"/>
    <w:rsid w:val="6AF822EC"/>
    <w:rsid w:val="6B045DFE"/>
    <w:rsid w:val="6B656D11"/>
    <w:rsid w:val="6C3226C6"/>
    <w:rsid w:val="6C545FF5"/>
    <w:rsid w:val="6C591BE2"/>
    <w:rsid w:val="6E0A4A26"/>
    <w:rsid w:val="6E5E1B6C"/>
    <w:rsid w:val="6EEF71D1"/>
    <w:rsid w:val="6F021A16"/>
    <w:rsid w:val="6F1D40CE"/>
    <w:rsid w:val="6FC876A3"/>
    <w:rsid w:val="7051517A"/>
    <w:rsid w:val="70D85BD1"/>
    <w:rsid w:val="713116C0"/>
    <w:rsid w:val="715B338A"/>
    <w:rsid w:val="715C2F64"/>
    <w:rsid w:val="716A7ADC"/>
    <w:rsid w:val="71CA7ECC"/>
    <w:rsid w:val="71DE2E53"/>
    <w:rsid w:val="721F39FF"/>
    <w:rsid w:val="726C5429"/>
    <w:rsid w:val="729E121E"/>
    <w:rsid w:val="72E23A7A"/>
    <w:rsid w:val="72F6179B"/>
    <w:rsid w:val="730A6F8F"/>
    <w:rsid w:val="73617222"/>
    <w:rsid w:val="738003CA"/>
    <w:rsid w:val="739D6F30"/>
    <w:rsid w:val="73C56EED"/>
    <w:rsid w:val="745D4ADD"/>
    <w:rsid w:val="74D53759"/>
    <w:rsid w:val="758D4AB4"/>
    <w:rsid w:val="75D12961"/>
    <w:rsid w:val="765941C5"/>
    <w:rsid w:val="77067347"/>
    <w:rsid w:val="773B6CD4"/>
    <w:rsid w:val="776C2BC3"/>
    <w:rsid w:val="77E30949"/>
    <w:rsid w:val="77F04406"/>
    <w:rsid w:val="77F16A53"/>
    <w:rsid w:val="77F9798C"/>
    <w:rsid w:val="783525A0"/>
    <w:rsid w:val="786F12BD"/>
    <w:rsid w:val="786F1AA9"/>
    <w:rsid w:val="7872551D"/>
    <w:rsid w:val="7920071D"/>
    <w:rsid w:val="79C52BC7"/>
    <w:rsid w:val="79C747F6"/>
    <w:rsid w:val="7A122D59"/>
    <w:rsid w:val="7A36659D"/>
    <w:rsid w:val="7A6027C1"/>
    <w:rsid w:val="7A854A12"/>
    <w:rsid w:val="7A8A0B42"/>
    <w:rsid w:val="7AF00718"/>
    <w:rsid w:val="7B237820"/>
    <w:rsid w:val="7B974622"/>
    <w:rsid w:val="7D100764"/>
    <w:rsid w:val="7D4E72F0"/>
    <w:rsid w:val="7DC66335"/>
    <w:rsid w:val="7E40063A"/>
    <w:rsid w:val="7E8A3E64"/>
    <w:rsid w:val="7E9219F9"/>
    <w:rsid w:val="7EF87B3E"/>
    <w:rsid w:val="7F924D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99"/>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65"/>
    <w:qFormat/>
    <w:uiPriority w:val="99"/>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66"/>
    <w:qFormat/>
    <w:uiPriority w:val="99"/>
    <w:pPr>
      <w:keepNext/>
      <w:keepLines/>
      <w:spacing w:before="260" w:beforeLines="0" w:after="260" w:afterLines="0" w:line="413" w:lineRule="auto"/>
      <w:outlineLvl w:val="2"/>
    </w:pPr>
    <w:rPr>
      <w:b/>
      <w:bCs/>
      <w:sz w:val="32"/>
      <w:szCs w:val="32"/>
    </w:rPr>
  </w:style>
  <w:style w:type="paragraph" w:styleId="5">
    <w:name w:val="heading 4"/>
    <w:basedOn w:val="1"/>
    <w:next w:val="1"/>
    <w:link w:val="67"/>
    <w:qFormat/>
    <w:uiPriority w:val="99"/>
    <w:pPr>
      <w:keepNext/>
      <w:keepLines/>
      <w:widowControl/>
      <w:spacing w:before="120" w:beforeLines="0" w:after="120" w:afterLines="0" w:line="360" w:lineRule="auto"/>
      <w:jc w:val="center"/>
      <w:outlineLvl w:val="3"/>
    </w:pPr>
    <w:rPr>
      <w:rFonts w:ascii="Arial" w:hAnsi="Arial" w:eastAsia="黑体"/>
      <w:kern w:val="0"/>
      <w:sz w:val="28"/>
      <w:szCs w:val="20"/>
    </w:rPr>
  </w:style>
  <w:style w:type="paragraph" w:styleId="6">
    <w:name w:val="heading 5"/>
    <w:basedOn w:val="1"/>
    <w:next w:val="7"/>
    <w:link w:val="68"/>
    <w:qFormat/>
    <w:uiPriority w:val="99"/>
    <w:pPr>
      <w:keepNext/>
      <w:keepLines/>
      <w:spacing w:before="280" w:after="290" w:line="372" w:lineRule="auto"/>
      <w:outlineLvl w:val="4"/>
    </w:pPr>
    <w:rPr>
      <w:b/>
      <w:sz w:val="28"/>
    </w:rPr>
  </w:style>
  <w:style w:type="paragraph" w:styleId="8">
    <w:name w:val="heading 6"/>
    <w:basedOn w:val="1"/>
    <w:next w:val="7"/>
    <w:link w:val="69"/>
    <w:qFormat/>
    <w:uiPriority w:val="9"/>
    <w:pPr>
      <w:keepNext/>
      <w:keepLines/>
      <w:spacing w:before="240" w:after="64" w:line="317" w:lineRule="auto"/>
      <w:outlineLvl w:val="5"/>
    </w:pPr>
    <w:rPr>
      <w:rFonts w:ascii="Arial" w:hAnsi="Arial" w:eastAsia="黑体"/>
      <w:b/>
      <w:sz w:val="24"/>
    </w:rPr>
  </w:style>
  <w:style w:type="paragraph" w:styleId="9">
    <w:name w:val="heading 7"/>
    <w:basedOn w:val="1"/>
    <w:next w:val="7"/>
    <w:link w:val="70"/>
    <w:qFormat/>
    <w:uiPriority w:val="9"/>
    <w:pPr>
      <w:keepNext/>
      <w:keepLines/>
      <w:spacing w:before="240" w:after="64" w:line="317" w:lineRule="auto"/>
      <w:outlineLvl w:val="6"/>
    </w:pPr>
    <w:rPr>
      <w:b/>
      <w:sz w:val="24"/>
    </w:rPr>
  </w:style>
  <w:style w:type="paragraph" w:styleId="10">
    <w:name w:val="heading 8"/>
    <w:basedOn w:val="1"/>
    <w:next w:val="7"/>
    <w:link w:val="71"/>
    <w:qFormat/>
    <w:uiPriority w:val="9"/>
    <w:pPr>
      <w:keepNext/>
      <w:keepLines/>
      <w:spacing w:before="240" w:after="64" w:line="317" w:lineRule="auto"/>
      <w:outlineLvl w:val="7"/>
    </w:pPr>
    <w:rPr>
      <w:rFonts w:ascii="Arial" w:hAnsi="Arial" w:eastAsia="黑体"/>
      <w:sz w:val="24"/>
    </w:rPr>
  </w:style>
  <w:style w:type="paragraph" w:styleId="11">
    <w:name w:val="heading 9"/>
    <w:basedOn w:val="1"/>
    <w:next w:val="7"/>
    <w:link w:val="72"/>
    <w:qFormat/>
    <w:uiPriority w:val="9"/>
    <w:pPr>
      <w:keepNext/>
      <w:keepLines/>
      <w:spacing w:before="240" w:after="64" w:line="317" w:lineRule="auto"/>
      <w:outlineLvl w:val="8"/>
    </w:pPr>
    <w:rPr>
      <w:rFonts w:ascii="Arial" w:hAnsi="Arial" w:eastAsia="黑体"/>
    </w:rPr>
  </w:style>
  <w:style w:type="character" w:default="1" w:styleId="56">
    <w:name w:val="Default Paragraph Font"/>
    <w:qFormat/>
    <w:uiPriority w:val="0"/>
  </w:style>
  <w:style w:type="table" w:default="1" w:styleId="54">
    <w:name w:val="Normal Table"/>
    <w:semiHidden/>
    <w:qFormat/>
    <w:uiPriority w:val="0"/>
    <w:tblPr>
      <w:tblCellMar>
        <w:top w:w="0" w:type="dxa"/>
        <w:left w:w="108" w:type="dxa"/>
        <w:bottom w:w="0" w:type="dxa"/>
        <w:right w:w="108" w:type="dxa"/>
      </w:tblCellMar>
    </w:tblPr>
  </w:style>
  <w:style w:type="paragraph" w:styleId="7">
    <w:name w:val="Normal Indent"/>
    <w:basedOn w:val="1"/>
    <w:link w:val="63"/>
    <w:qFormat/>
    <w:uiPriority w:val="0"/>
    <w:pPr>
      <w:ind w:firstLine="420"/>
    </w:pPr>
    <w:rPr>
      <w:szCs w:val="20"/>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39"/>
    <w:pPr>
      <w:tabs>
        <w:tab w:val="right" w:leader="dot" w:pos="9185"/>
      </w:tabs>
      <w:adjustRightInd w:val="0"/>
      <w:spacing w:line="312" w:lineRule="atLeast"/>
      <w:ind w:left="2520"/>
      <w:textAlignment w:val="baseline"/>
    </w:pPr>
    <w:rPr>
      <w:kern w:val="0"/>
      <w:szCs w:val="20"/>
    </w:rPr>
  </w:style>
  <w:style w:type="paragraph" w:styleId="14">
    <w:name w:val="List Number"/>
    <w:basedOn w:val="1"/>
    <w:qFormat/>
    <w:uiPriority w:val="0"/>
    <w:pPr>
      <w:widowControl/>
      <w:tabs>
        <w:tab w:val="left" w:pos="454"/>
        <w:tab w:val="left" w:pos="720"/>
        <w:tab w:val="left" w:pos="840"/>
      </w:tabs>
      <w:spacing w:after="156" w:afterLines="50"/>
      <w:ind w:left="454" w:hanging="284"/>
      <w:jc w:val="left"/>
    </w:pPr>
    <w:rPr>
      <w:kern w:val="0"/>
      <w:sz w:val="24"/>
      <w:szCs w:val="20"/>
    </w:rPr>
  </w:style>
  <w:style w:type="paragraph" w:styleId="15">
    <w:name w:val="caption"/>
    <w:basedOn w:val="1"/>
    <w:next w:val="1"/>
    <w:qFormat/>
    <w:uiPriority w:val="99"/>
    <w:pPr>
      <w:spacing w:before="152" w:beforeLines="0" w:after="160" w:afterLines="0"/>
    </w:pPr>
    <w:rPr>
      <w:rFonts w:ascii="Arial" w:hAnsi="Arial" w:eastAsia="黑体" w:cs="Arial"/>
      <w:sz w:val="20"/>
      <w:szCs w:val="20"/>
    </w:rPr>
  </w:style>
  <w:style w:type="paragraph" w:styleId="16">
    <w:name w:val="Document Map"/>
    <w:basedOn w:val="1"/>
    <w:link w:val="73"/>
    <w:qFormat/>
    <w:uiPriority w:val="99"/>
    <w:pPr>
      <w:shd w:val="clear" w:color="auto" w:fill="000080"/>
      <w:adjustRightInd w:val="0"/>
      <w:spacing w:line="312" w:lineRule="atLeast"/>
      <w:textAlignment w:val="baseline"/>
    </w:pPr>
    <w:rPr>
      <w:kern w:val="0"/>
      <w:szCs w:val="20"/>
    </w:rPr>
  </w:style>
  <w:style w:type="paragraph" w:styleId="17">
    <w:name w:val="annotation text"/>
    <w:basedOn w:val="1"/>
    <w:link w:val="74"/>
    <w:qFormat/>
    <w:uiPriority w:val="0"/>
    <w:pPr>
      <w:jc w:val="left"/>
    </w:pPr>
  </w:style>
  <w:style w:type="paragraph" w:styleId="18">
    <w:name w:val="Body Text 3"/>
    <w:basedOn w:val="1"/>
    <w:link w:val="75"/>
    <w:qFormat/>
    <w:uiPriority w:val="0"/>
    <w:pPr>
      <w:spacing w:line="500" w:lineRule="exact"/>
    </w:pPr>
    <w:rPr>
      <w:b/>
      <w:bCs/>
      <w:sz w:val="24"/>
    </w:rPr>
  </w:style>
  <w:style w:type="paragraph" w:styleId="19">
    <w:name w:val="Body Text"/>
    <w:basedOn w:val="1"/>
    <w:link w:val="76"/>
    <w:qFormat/>
    <w:uiPriority w:val="99"/>
    <w:pPr>
      <w:spacing w:line="380" w:lineRule="exact"/>
    </w:pPr>
    <w:rPr>
      <w:sz w:val="24"/>
    </w:rPr>
  </w:style>
  <w:style w:type="paragraph" w:styleId="20">
    <w:name w:val="Body Text Indent"/>
    <w:basedOn w:val="1"/>
    <w:link w:val="77"/>
    <w:qFormat/>
    <w:uiPriority w:val="99"/>
    <w:pPr>
      <w:ind w:firstLine="830" w:firstLineChars="352"/>
    </w:pPr>
    <w:rPr>
      <w:rFonts w:ascii="仿宋_GB2312" w:eastAsia="仿宋_GB2312"/>
      <w:sz w:val="32"/>
      <w:szCs w:val="20"/>
    </w:rPr>
  </w:style>
  <w:style w:type="paragraph" w:styleId="21">
    <w:name w:val="List Number 3"/>
    <w:basedOn w:val="1"/>
    <w:qFormat/>
    <w:uiPriority w:val="0"/>
    <w:pPr>
      <w:tabs>
        <w:tab w:val="left" w:pos="1200"/>
      </w:tabs>
      <w:ind w:left="1200" w:leftChars="400" w:hanging="360" w:hangingChars="200"/>
    </w:pPr>
  </w:style>
  <w:style w:type="paragraph" w:styleId="22">
    <w:name w:val="List 2"/>
    <w:basedOn w:val="1"/>
    <w:qFormat/>
    <w:uiPriority w:val="0"/>
    <w:pPr>
      <w:ind w:left="100" w:leftChars="200" w:hanging="200" w:hangingChars="200"/>
    </w:pPr>
    <w:rPr>
      <w:sz w:val="28"/>
    </w:rPr>
  </w:style>
  <w:style w:type="paragraph" w:styleId="23">
    <w:name w:val="Block Text"/>
    <w:basedOn w:val="1"/>
    <w:qFormat/>
    <w:uiPriority w:val="0"/>
    <w:pPr>
      <w:adjustRightInd w:val="0"/>
      <w:ind w:left="420" w:right="33"/>
      <w:jc w:val="left"/>
      <w:textAlignment w:val="baseline"/>
    </w:pPr>
    <w:rPr>
      <w:kern w:val="0"/>
      <w:sz w:val="24"/>
      <w:szCs w:val="20"/>
    </w:rPr>
  </w:style>
  <w:style w:type="paragraph" w:styleId="24">
    <w:name w:val="index 4"/>
    <w:basedOn w:val="1"/>
    <w:next w:val="1"/>
    <w:qFormat/>
    <w:uiPriority w:val="99"/>
    <w:pPr>
      <w:ind w:left="600" w:leftChars="600"/>
    </w:pPr>
  </w:style>
  <w:style w:type="paragraph" w:styleId="25">
    <w:name w:val="toc 5"/>
    <w:basedOn w:val="1"/>
    <w:next w:val="1"/>
    <w:qFormat/>
    <w:uiPriority w:val="39"/>
    <w:pPr>
      <w:tabs>
        <w:tab w:val="right" w:leader="dot" w:pos="9185"/>
      </w:tabs>
      <w:adjustRightInd w:val="0"/>
      <w:spacing w:line="312" w:lineRule="atLeast"/>
      <w:ind w:left="1680"/>
      <w:textAlignment w:val="baseline"/>
    </w:pPr>
    <w:rPr>
      <w:kern w:val="0"/>
      <w:szCs w:val="20"/>
    </w:rPr>
  </w:style>
  <w:style w:type="paragraph" w:styleId="26">
    <w:name w:val="toc 3"/>
    <w:basedOn w:val="1"/>
    <w:next w:val="1"/>
    <w:qFormat/>
    <w:uiPriority w:val="39"/>
    <w:pPr>
      <w:ind w:left="840" w:leftChars="400"/>
    </w:pPr>
  </w:style>
  <w:style w:type="paragraph" w:styleId="27">
    <w:name w:val="Plain Text"/>
    <w:basedOn w:val="1"/>
    <w:next w:val="1"/>
    <w:link w:val="78"/>
    <w:qFormat/>
    <w:uiPriority w:val="0"/>
    <w:rPr>
      <w:rFonts w:ascii="宋体" w:hAnsi="Courier New" w:cs="Courier New"/>
      <w:szCs w:val="21"/>
    </w:rPr>
  </w:style>
  <w:style w:type="paragraph" w:styleId="28">
    <w:name w:val="toc 8"/>
    <w:basedOn w:val="1"/>
    <w:next w:val="1"/>
    <w:qFormat/>
    <w:uiPriority w:val="39"/>
    <w:pPr>
      <w:tabs>
        <w:tab w:val="right" w:leader="dot" w:pos="9185"/>
      </w:tabs>
      <w:adjustRightInd w:val="0"/>
      <w:spacing w:line="312" w:lineRule="atLeast"/>
      <w:ind w:left="2940"/>
      <w:textAlignment w:val="baseline"/>
    </w:pPr>
    <w:rPr>
      <w:kern w:val="0"/>
      <w:szCs w:val="20"/>
    </w:rPr>
  </w:style>
  <w:style w:type="paragraph" w:styleId="29">
    <w:name w:val="Date"/>
    <w:basedOn w:val="1"/>
    <w:next w:val="1"/>
    <w:link w:val="79"/>
    <w:qFormat/>
    <w:uiPriority w:val="99"/>
    <w:pPr>
      <w:ind w:left="100" w:leftChars="2500"/>
    </w:pPr>
    <w:rPr>
      <w:rFonts w:ascii="宋体" w:hAnsi="Courier New"/>
      <w:szCs w:val="21"/>
    </w:rPr>
  </w:style>
  <w:style w:type="paragraph" w:styleId="30">
    <w:name w:val="Body Text Indent 2"/>
    <w:basedOn w:val="1"/>
    <w:link w:val="80"/>
    <w:qFormat/>
    <w:uiPriority w:val="99"/>
    <w:pPr>
      <w:ind w:firstLine="630"/>
    </w:pPr>
    <w:rPr>
      <w:sz w:val="32"/>
      <w:szCs w:val="20"/>
    </w:rPr>
  </w:style>
  <w:style w:type="paragraph" w:styleId="31">
    <w:name w:val="Balloon Text"/>
    <w:basedOn w:val="1"/>
    <w:link w:val="81"/>
    <w:qFormat/>
    <w:uiPriority w:val="99"/>
    <w:rPr>
      <w:sz w:val="18"/>
      <w:szCs w:val="18"/>
    </w:rPr>
  </w:style>
  <w:style w:type="paragraph" w:styleId="32">
    <w:name w:val="footer"/>
    <w:basedOn w:val="1"/>
    <w:link w:val="82"/>
    <w:qFormat/>
    <w:uiPriority w:val="99"/>
    <w:pPr>
      <w:tabs>
        <w:tab w:val="center" w:pos="4153"/>
        <w:tab w:val="right" w:pos="8306"/>
      </w:tabs>
      <w:snapToGrid w:val="0"/>
      <w:jc w:val="left"/>
    </w:pPr>
    <w:rPr>
      <w:sz w:val="18"/>
      <w:szCs w:val="18"/>
    </w:rPr>
  </w:style>
  <w:style w:type="paragraph" w:styleId="33">
    <w:name w:val="header"/>
    <w:basedOn w:val="1"/>
    <w:link w:val="83"/>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right" w:leader="dot" w:pos="8398"/>
      </w:tabs>
      <w:spacing w:before="120" w:beforeLines="0" w:after="120" w:afterLines="0"/>
      <w:ind w:firstLine="240" w:firstLineChars="100"/>
      <w:jc w:val="left"/>
    </w:pPr>
    <w:rPr>
      <w:rFonts w:ascii="宋体" w:hAnsi="宋体"/>
      <w:b/>
      <w:bCs/>
      <w:caps/>
      <w:sz w:val="24"/>
    </w:rPr>
  </w:style>
  <w:style w:type="paragraph" w:styleId="35">
    <w:name w:val="toc 4"/>
    <w:basedOn w:val="1"/>
    <w:next w:val="1"/>
    <w:qFormat/>
    <w:uiPriority w:val="39"/>
    <w:pPr>
      <w:tabs>
        <w:tab w:val="right" w:leader="dot" w:pos="9185"/>
      </w:tabs>
      <w:adjustRightInd w:val="0"/>
      <w:spacing w:line="312" w:lineRule="atLeast"/>
      <w:ind w:left="1260"/>
      <w:textAlignment w:val="baseline"/>
    </w:pPr>
    <w:rPr>
      <w:kern w:val="0"/>
      <w:szCs w:val="20"/>
    </w:rPr>
  </w:style>
  <w:style w:type="paragraph" w:styleId="36">
    <w:name w:val="Subtitle"/>
    <w:basedOn w:val="1"/>
    <w:next w:val="1"/>
    <w:link w:val="84"/>
    <w:qFormat/>
    <w:uiPriority w:val="11"/>
    <w:pPr>
      <w:spacing w:before="240" w:after="60" w:line="312" w:lineRule="auto"/>
      <w:jc w:val="center"/>
      <w:outlineLvl w:val="1"/>
    </w:pPr>
    <w:rPr>
      <w:rFonts w:ascii="Cambria" w:hAnsi="Cambria"/>
      <w:b/>
      <w:bCs/>
      <w:kern w:val="28"/>
      <w:sz w:val="32"/>
      <w:szCs w:val="32"/>
    </w:rPr>
  </w:style>
  <w:style w:type="paragraph" w:styleId="37">
    <w:name w:val="List"/>
    <w:basedOn w:val="1"/>
    <w:qFormat/>
    <w:uiPriority w:val="0"/>
    <w:pPr>
      <w:ind w:left="200" w:hanging="200" w:hangingChars="200"/>
    </w:pPr>
    <w:rPr>
      <w:sz w:val="28"/>
    </w:rPr>
  </w:style>
  <w:style w:type="paragraph" w:styleId="38">
    <w:name w:val="footnote text"/>
    <w:basedOn w:val="1"/>
    <w:link w:val="85"/>
    <w:qFormat/>
    <w:uiPriority w:val="99"/>
    <w:pPr>
      <w:adjustRightInd w:val="0"/>
      <w:spacing w:line="312" w:lineRule="atLeast"/>
      <w:jc w:val="left"/>
      <w:textAlignment w:val="baseline"/>
    </w:pPr>
    <w:rPr>
      <w:kern w:val="0"/>
      <w:sz w:val="18"/>
      <w:szCs w:val="20"/>
    </w:rPr>
  </w:style>
  <w:style w:type="paragraph" w:styleId="39">
    <w:name w:val="toc 6"/>
    <w:basedOn w:val="1"/>
    <w:next w:val="1"/>
    <w:qFormat/>
    <w:uiPriority w:val="39"/>
    <w:pPr>
      <w:tabs>
        <w:tab w:val="right" w:leader="dot" w:pos="9185"/>
      </w:tabs>
      <w:adjustRightInd w:val="0"/>
      <w:spacing w:line="312" w:lineRule="atLeast"/>
      <w:ind w:left="2100"/>
      <w:textAlignment w:val="baseline"/>
    </w:pPr>
    <w:rPr>
      <w:kern w:val="0"/>
      <w:szCs w:val="20"/>
    </w:rPr>
  </w:style>
  <w:style w:type="paragraph" w:styleId="40">
    <w:name w:val="List 5"/>
    <w:basedOn w:val="1"/>
    <w:qFormat/>
    <w:uiPriority w:val="0"/>
    <w:pPr>
      <w:ind w:left="2100" w:hanging="420"/>
    </w:pPr>
    <w:rPr>
      <w:szCs w:val="20"/>
    </w:rPr>
  </w:style>
  <w:style w:type="paragraph" w:styleId="41">
    <w:name w:val="Body Text Indent 3"/>
    <w:basedOn w:val="1"/>
    <w:link w:val="86"/>
    <w:qFormat/>
    <w:uiPriority w:val="0"/>
    <w:pPr>
      <w:spacing w:after="120" w:afterLines="0"/>
      <w:ind w:left="420" w:leftChars="200"/>
    </w:pPr>
    <w:rPr>
      <w:sz w:val="16"/>
      <w:szCs w:val="16"/>
    </w:rPr>
  </w:style>
  <w:style w:type="paragraph" w:styleId="42">
    <w:name w:val="toc 2"/>
    <w:basedOn w:val="1"/>
    <w:next w:val="1"/>
    <w:qFormat/>
    <w:uiPriority w:val="39"/>
    <w:pPr>
      <w:ind w:left="420" w:leftChars="200"/>
    </w:pPr>
  </w:style>
  <w:style w:type="paragraph" w:styleId="43">
    <w:name w:val="toc 9"/>
    <w:basedOn w:val="1"/>
    <w:next w:val="1"/>
    <w:qFormat/>
    <w:uiPriority w:val="39"/>
    <w:pPr>
      <w:tabs>
        <w:tab w:val="right" w:leader="dot" w:pos="9185"/>
      </w:tabs>
      <w:adjustRightInd w:val="0"/>
      <w:spacing w:line="312" w:lineRule="atLeast"/>
      <w:ind w:left="3360"/>
      <w:textAlignment w:val="baseline"/>
    </w:pPr>
    <w:rPr>
      <w:kern w:val="0"/>
      <w:szCs w:val="20"/>
    </w:rPr>
  </w:style>
  <w:style w:type="paragraph" w:styleId="44">
    <w:name w:val="Body Text 2"/>
    <w:basedOn w:val="1"/>
    <w:link w:val="87"/>
    <w:qFormat/>
    <w:uiPriority w:val="0"/>
    <w:pPr>
      <w:spacing w:after="120" w:afterLines="0" w:line="480" w:lineRule="auto"/>
    </w:pPr>
  </w:style>
  <w:style w:type="paragraph" w:styleId="45">
    <w:name w:val="List 4"/>
    <w:basedOn w:val="1"/>
    <w:qFormat/>
    <w:uiPriority w:val="0"/>
    <w:pPr>
      <w:ind w:left="100" w:leftChars="600" w:hanging="200" w:hangingChars="200"/>
    </w:pPr>
  </w:style>
  <w:style w:type="paragraph" w:styleId="46">
    <w:name w:val="List Continue 2"/>
    <w:basedOn w:val="1"/>
    <w:qFormat/>
    <w:uiPriority w:val="0"/>
    <w:pPr>
      <w:spacing w:after="120" w:afterLines="0"/>
      <w:ind w:left="840" w:leftChars="400"/>
    </w:pPr>
  </w:style>
  <w:style w:type="paragraph" w:styleId="47">
    <w:name w:val="HTML Preformatted"/>
    <w:basedOn w:val="1"/>
    <w:link w:val="8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9">
    <w:name w:val="index 1"/>
    <w:basedOn w:val="1"/>
    <w:next w:val="1"/>
    <w:qFormat/>
    <w:uiPriority w:val="0"/>
    <w:pPr>
      <w:spacing w:line="400" w:lineRule="exact"/>
      <w:ind w:firstLine="420" w:firstLineChars="200"/>
    </w:pPr>
    <w:rPr>
      <w:rFonts w:ascii="宋体" w:hAnsi="Courier New"/>
      <w:b/>
      <w:szCs w:val="20"/>
    </w:rPr>
  </w:style>
  <w:style w:type="paragraph" w:styleId="50">
    <w:name w:val="Title"/>
    <w:basedOn w:val="1"/>
    <w:link w:val="89"/>
    <w:qFormat/>
    <w:uiPriority w:val="99"/>
    <w:pPr>
      <w:jc w:val="center"/>
    </w:pPr>
    <w:rPr>
      <w:sz w:val="30"/>
    </w:rPr>
  </w:style>
  <w:style w:type="paragraph" w:styleId="51">
    <w:name w:val="annotation subject"/>
    <w:basedOn w:val="17"/>
    <w:next w:val="17"/>
    <w:link w:val="90"/>
    <w:qFormat/>
    <w:uiPriority w:val="99"/>
    <w:rPr>
      <w:b/>
      <w:bCs/>
    </w:rPr>
  </w:style>
  <w:style w:type="paragraph" w:styleId="52">
    <w:name w:val="Body Text First Indent"/>
    <w:basedOn w:val="19"/>
    <w:link w:val="91"/>
    <w:qFormat/>
    <w:uiPriority w:val="0"/>
    <w:pPr>
      <w:spacing w:after="120" w:afterLines="0" w:line="240" w:lineRule="auto"/>
      <w:ind w:firstLine="420" w:firstLineChars="100"/>
    </w:pPr>
    <w:rPr>
      <w:sz w:val="21"/>
    </w:rPr>
  </w:style>
  <w:style w:type="paragraph" w:styleId="53">
    <w:name w:val="Body Text First Indent 2"/>
    <w:basedOn w:val="20"/>
    <w:link w:val="92"/>
    <w:qFormat/>
    <w:uiPriority w:val="0"/>
    <w:pPr>
      <w:spacing w:after="120" w:afterLines="0"/>
      <w:ind w:left="420" w:leftChars="200" w:firstLine="420" w:firstLineChars="200"/>
    </w:pPr>
    <w:rPr>
      <w:rFonts w:ascii="Times New Roman" w:eastAsia="宋体"/>
      <w:sz w:val="21"/>
      <w:szCs w:val="24"/>
    </w:rPr>
  </w:style>
  <w:style w:type="table" w:styleId="55">
    <w:name w:val="Table Grid"/>
    <w:basedOn w:val="5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22"/>
    <w:rPr>
      <w:b/>
      <w:bCs/>
    </w:rPr>
  </w:style>
  <w:style w:type="character" w:styleId="58">
    <w:name w:val="page number"/>
    <w:basedOn w:val="56"/>
    <w:qFormat/>
    <w:uiPriority w:val="99"/>
  </w:style>
  <w:style w:type="character" w:styleId="59">
    <w:name w:val="FollowedHyperlink"/>
    <w:qFormat/>
    <w:uiPriority w:val="99"/>
    <w:rPr>
      <w:color w:val="800080"/>
      <w:u w:val="single"/>
    </w:rPr>
  </w:style>
  <w:style w:type="character" w:styleId="60">
    <w:name w:val="Emphasis"/>
    <w:qFormat/>
    <w:uiPriority w:val="99"/>
    <w:rPr>
      <w:i/>
      <w:iCs/>
    </w:rPr>
  </w:style>
  <w:style w:type="character" w:styleId="61">
    <w:name w:val="Hyperlink"/>
    <w:qFormat/>
    <w:uiPriority w:val="99"/>
    <w:rPr>
      <w:color w:val="0000FF"/>
      <w:u w:val="single"/>
    </w:rPr>
  </w:style>
  <w:style w:type="character" w:styleId="62">
    <w:name w:val="annotation reference"/>
    <w:qFormat/>
    <w:uiPriority w:val="0"/>
    <w:rPr>
      <w:sz w:val="21"/>
      <w:szCs w:val="21"/>
    </w:rPr>
  </w:style>
  <w:style w:type="character" w:customStyle="1" w:styleId="63">
    <w:name w:val="正文缩进 字符"/>
    <w:link w:val="7"/>
    <w:qFormat/>
    <w:uiPriority w:val="99"/>
    <w:rPr>
      <w:kern w:val="2"/>
      <w:sz w:val="21"/>
    </w:rPr>
  </w:style>
  <w:style w:type="character" w:customStyle="1" w:styleId="64">
    <w:name w:val="标题 1 Char"/>
    <w:link w:val="2"/>
    <w:qFormat/>
    <w:uiPriority w:val="99"/>
    <w:rPr>
      <w:rFonts w:eastAsia="宋体"/>
      <w:b/>
      <w:bCs/>
      <w:kern w:val="44"/>
      <w:sz w:val="44"/>
      <w:szCs w:val="44"/>
      <w:lang w:val="en-US" w:eastAsia="zh-CN" w:bidi="ar-SA"/>
    </w:rPr>
  </w:style>
  <w:style w:type="character" w:customStyle="1" w:styleId="65">
    <w:name w:val="标题 2 Char"/>
    <w:link w:val="3"/>
    <w:qFormat/>
    <w:uiPriority w:val="99"/>
    <w:rPr>
      <w:rFonts w:ascii="Arial" w:hAnsi="Arial" w:eastAsia="黑体"/>
      <w:b/>
      <w:bCs/>
      <w:kern w:val="2"/>
      <w:sz w:val="32"/>
      <w:szCs w:val="32"/>
    </w:rPr>
  </w:style>
  <w:style w:type="character" w:customStyle="1" w:styleId="66">
    <w:name w:val="标题 3 Char"/>
    <w:link w:val="4"/>
    <w:qFormat/>
    <w:uiPriority w:val="99"/>
    <w:rPr>
      <w:b/>
      <w:bCs/>
      <w:kern w:val="2"/>
      <w:sz w:val="32"/>
      <w:szCs w:val="32"/>
    </w:rPr>
  </w:style>
  <w:style w:type="character" w:customStyle="1" w:styleId="67">
    <w:name w:val="标题 4 Char"/>
    <w:link w:val="5"/>
    <w:qFormat/>
    <w:uiPriority w:val="99"/>
    <w:rPr>
      <w:rFonts w:ascii="Arial" w:hAnsi="Arial" w:eastAsia="黑体"/>
      <w:sz w:val="28"/>
    </w:rPr>
  </w:style>
  <w:style w:type="character" w:customStyle="1" w:styleId="68">
    <w:name w:val="标题 5 Char"/>
    <w:link w:val="6"/>
    <w:qFormat/>
    <w:uiPriority w:val="99"/>
    <w:rPr>
      <w:b/>
      <w:kern w:val="2"/>
      <w:sz w:val="28"/>
      <w:szCs w:val="24"/>
    </w:rPr>
  </w:style>
  <w:style w:type="character" w:customStyle="1" w:styleId="69">
    <w:name w:val="标题 6 Char"/>
    <w:link w:val="8"/>
    <w:qFormat/>
    <w:uiPriority w:val="9"/>
    <w:rPr>
      <w:rFonts w:ascii="Arial" w:hAnsi="Arial" w:eastAsia="黑体"/>
      <w:b/>
      <w:kern w:val="2"/>
      <w:sz w:val="24"/>
      <w:szCs w:val="24"/>
    </w:rPr>
  </w:style>
  <w:style w:type="character" w:customStyle="1" w:styleId="70">
    <w:name w:val="标题 7 Char"/>
    <w:link w:val="9"/>
    <w:qFormat/>
    <w:uiPriority w:val="9"/>
    <w:rPr>
      <w:b/>
      <w:kern w:val="2"/>
      <w:sz w:val="24"/>
      <w:szCs w:val="24"/>
    </w:rPr>
  </w:style>
  <w:style w:type="character" w:customStyle="1" w:styleId="71">
    <w:name w:val="标题 8 Char"/>
    <w:link w:val="10"/>
    <w:qFormat/>
    <w:uiPriority w:val="9"/>
    <w:rPr>
      <w:rFonts w:ascii="Arial" w:hAnsi="Arial" w:eastAsia="黑体"/>
      <w:kern w:val="2"/>
      <w:sz w:val="24"/>
      <w:szCs w:val="24"/>
    </w:rPr>
  </w:style>
  <w:style w:type="character" w:customStyle="1" w:styleId="72">
    <w:name w:val="标题 9 Char"/>
    <w:link w:val="11"/>
    <w:qFormat/>
    <w:uiPriority w:val="9"/>
    <w:rPr>
      <w:rFonts w:ascii="Arial" w:hAnsi="Arial" w:eastAsia="黑体"/>
      <w:kern w:val="2"/>
      <w:sz w:val="21"/>
      <w:szCs w:val="24"/>
    </w:rPr>
  </w:style>
  <w:style w:type="character" w:customStyle="1" w:styleId="73">
    <w:name w:val="文档结构图 Char"/>
    <w:link w:val="16"/>
    <w:qFormat/>
    <w:uiPriority w:val="99"/>
    <w:rPr>
      <w:sz w:val="21"/>
      <w:shd w:val="clear" w:color="auto" w:fill="000080"/>
    </w:rPr>
  </w:style>
  <w:style w:type="character" w:customStyle="1" w:styleId="74">
    <w:name w:val="批注文字 Char"/>
    <w:link w:val="17"/>
    <w:qFormat/>
    <w:uiPriority w:val="99"/>
    <w:rPr>
      <w:kern w:val="2"/>
      <w:sz w:val="21"/>
      <w:szCs w:val="24"/>
    </w:rPr>
  </w:style>
  <w:style w:type="character" w:customStyle="1" w:styleId="75">
    <w:name w:val="正文文本 3 Char"/>
    <w:link w:val="18"/>
    <w:qFormat/>
    <w:uiPriority w:val="0"/>
    <w:rPr>
      <w:b/>
      <w:bCs/>
      <w:kern w:val="2"/>
      <w:sz w:val="24"/>
      <w:szCs w:val="24"/>
    </w:rPr>
  </w:style>
  <w:style w:type="character" w:customStyle="1" w:styleId="76">
    <w:name w:val="正文文本 Char"/>
    <w:link w:val="19"/>
    <w:qFormat/>
    <w:uiPriority w:val="99"/>
    <w:rPr>
      <w:kern w:val="2"/>
      <w:sz w:val="24"/>
      <w:szCs w:val="24"/>
    </w:rPr>
  </w:style>
  <w:style w:type="character" w:customStyle="1" w:styleId="77">
    <w:name w:val="正文文本缩进 Char"/>
    <w:link w:val="20"/>
    <w:qFormat/>
    <w:uiPriority w:val="99"/>
    <w:rPr>
      <w:rFonts w:ascii="仿宋_GB2312" w:eastAsia="仿宋_GB2312"/>
      <w:kern w:val="2"/>
      <w:sz w:val="32"/>
    </w:rPr>
  </w:style>
  <w:style w:type="character" w:customStyle="1" w:styleId="78">
    <w:name w:val="纯文本 Char"/>
    <w:link w:val="27"/>
    <w:qFormat/>
    <w:uiPriority w:val="99"/>
    <w:rPr>
      <w:rFonts w:ascii="宋体" w:hAnsi="Courier New" w:eastAsia="宋体" w:cs="Courier New"/>
      <w:kern w:val="2"/>
      <w:sz w:val="21"/>
      <w:szCs w:val="21"/>
      <w:lang w:val="en-US" w:eastAsia="zh-CN" w:bidi="ar-SA"/>
    </w:rPr>
  </w:style>
  <w:style w:type="character" w:customStyle="1" w:styleId="79">
    <w:name w:val="日期 Char"/>
    <w:link w:val="29"/>
    <w:qFormat/>
    <w:uiPriority w:val="99"/>
    <w:rPr>
      <w:rFonts w:ascii="宋体" w:hAnsi="Courier New" w:cs="Courier New"/>
      <w:kern w:val="2"/>
      <w:sz w:val="21"/>
      <w:szCs w:val="21"/>
    </w:rPr>
  </w:style>
  <w:style w:type="character" w:customStyle="1" w:styleId="80">
    <w:name w:val="正文文本缩进 2 Char"/>
    <w:link w:val="30"/>
    <w:qFormat/>
    <w:uiPriority w:val="99"/>
    <w:rPr>
      <w:kern w:val="2"/>
      <w:sz w:val="32"/>
    </w:rPr>
  </w:style>
  <w:style w:type="character" w:customStyle="1" w:styleId="81">
    <w:name w:val="批注框文本 Char"/>
    <w:link w:val="31"/>
    <w:qFormat/>
    <w:uiPriority w:val="99"/>
    <w:rPr>
      <w:kern w:val="2"/>
      <w:sz w:val="18"/>
      <w:szCs w:val="18"/>
    </w:rPr>
  </w:style>
  <w:style w:type="character" w:customStyle="1" w:styleId="82">
    <w:name w:val="页脚 Char"/>
    <w:link w:val="32"/>
    <w:qFormat/>
    <w:uiPriority w:val="99"/>
    <w:rPr>
      <w:kern w:val="2"/>
      <w:sz w:val="18"/>
      <w:szCs w:val="18"/>
    </w:rPr>
  </w:style>
  <w:style w:type="character" w:customStyle="1" w:styleId="83">
    <w:name w:val="页眉 Char"/>
    <w:link w:val="33"/>
    <w:qFormat/>
    <w:uiPriority w:val="99"/>
    <w:rPr>
      <w:kern w:val="2"/>
      <w:sz w:val="18"/>
      <w:szCs w:val="18"/>
    </w:rPr>
  </w:style>
  <w:style w:type="character" w:customStyle="1" w:styleId="84">
    <w:name w:val="副标题 Char"/>
    <w:link w:val="36"/>
    <w:qFormat/>
    <w:uiPriority w:val="11"/>
    <w:rPr>
      <w:rFonts w:ascii="Cambria" w:hAnsi="Cambria"/>
      <w:b/>
      <w:bCs/>
      <w:kern w:val="28"/>
      <w:sz w:val="32"/>
      <w:szCs w:val="32"/>
    </w:rPr>
  </w:style>
  <w:style w:type="character" w:customStyle="1" w:styleId="85">
    <w:name w:val="脚注文本 Char"/>
    <w:link w:val="38"/>
    <w:qFormat/>
    <w:uiPriority w:val="99"/>
    <w:rPr>
      <w:sz w:val="18"/>
    </w:rPr>
  </w:style>
  <w:style w:type="character" w:customStyle="1" w:styleId="86">
    <w:name w:val="正文文本缩进 3 Char"/>
    <w:link w:val="41"/>
    <w:qFormat/>
    <w:uiPriority w:val="0"/>
    <w:rPr>
      <w:kern w:val="2"/>
      <w:sz w:val="16"/>
      <w:szCs w:val="16"/>
    </w:rPr>
  </w:style>
  <w:style w:type="character" w:customStyle="1" w:styleId="87">
    <w:name w:val="正文文本 2 Char"/>
    <w:link w:val="44"/>
    <w:qFormat/>
    <w:uiPriority w:val="0"/>
    <w:rPr>
      <w:kern w:val="2"/>
      <w:sz w:val="21"/>
      <w:szCs w:val="24"/>
    </w:rPr>
  </w:style>
  <w:style w:type="character" w:customStyle="1" w:styleId="88">
    <w:name w:val="HTML 预设格式 Char"/>
    <w:link w:val="47"/>
    <w:qFormat/>
    <w:uiPriority w:val="0"/>
    <w:rPr>
      <w:rFonts w:ascii="黑体" w:hAnsi="Courier New" w:eastAsia="黑体" w:cs="Courier New"/>
    </w:rPr>
  </w:style>
  <w:style w:type="character" w:customStyle="1" w:styleId="89">
    <w:name w:val="标题 Char"/>
    <w:link w:val="50"/>
    <w:qFormat/>
    <w:uiPriority w:val="99"/>
    <w:rPr>
      <w:kern w:val="2"/>
      <w:sz w:val="30"/>
      <w:szCs w:val="24"/>
    </w:rPr>
  </w:style>
  <w:style w:type="character" w:customStyle="1" w:styleId="90">
    <w:name w:val="批注主题 Char"/>
    <w:link w:val="51"/>
    <w:qFormat/>
    <w:uiPriority w:val="99"/>
    <w:rPr>
      <w:b/>
      <w:bCs/>
      <w:kern w:val="2"/>
      <w:sz w:val="21"/>
      <w:szCs w:val="24"/>
    </w:rPr>
  </w:style>
  <w:style w:type="character" w:customStyle="1" w:styleId="91">
    <w:name w:val="正文首行缩进 Char"/>
    <w:link w:val="52"/>
    <w:qFormat/>
    <w:uiPriority w:val="0"/>
    <w:rPr>
      <w:kern w:val="2"/>
      <w:sz w:val="21"/>
      <w:szCs w:val="24"/>
    </w:rPr>
  </w:style>
  <w:style w:type="character" w:customStyle="1" w:styleId="92">
    <w:name w:val="正文首行缩进 2 Char"/>
    <w:link w:val="53"/>
    <w:qFormat/>
    <w:uiPriority w:val="0"/>
    <w:rPr>
      <w:kern w:val="2"/>
      <w:sz w:val="21"/>
      <w:szCs w:val="24"/>
    </w:rPr>
  </w:style>
  <w:style w:type="character" w:customStyle="1" w:styleId="93">
    <w:name w:val="content2"/>
    <w:basedOn w:val="56"/>
    <w:qFormat/>
    <w:uiPriority w:val="0"/>
  </w:style>
  <w:style w:type="character" w:customStyle="1" w:styleId="94">
    <w:name w:val="case31"/>
    <w:qFormat/>
    <w:uiPriority w:val="0"/>
    <w:rPr>
      <w:rFonts w:hint="default" w:ascii="_x000B__x000C_" w:hAnsi="_x000B__x000C_"/>
      <w:sz w:val="21"/>
      <w:szCs w:val="21"/>
    </w:rPr>
  </w:style>
  <w:style w:type="character" w:customStyle="1" w:styleId="95">
    <w:name w:val="062"/>
    <w:qFormat/>
    <w:uiPriority w:val="0"/>
    <w:rPr>
      <w:rFonts w:ascii="宋体" w:hAnsi="宋体"/>
      <w:b/>
      <w:bCs/>
      <w:sz w:val="32"/>
    </w:rPr>
  </w:style>
  <w:style w:type="character" w:customStyle="1" w:styleId="96">
    <w:name w:val="f151"/>
    <w:qFormat/>
    <w:uiPriority w:val="0"/>
    <w:rPr>
      <w:sz w:val="23"/>
      <w:szCs w:val="23"/>
    </w:rPr>
  </w:style>
  <w:style w:type="character" w:customStyle="1" w:styleId="97">
    <w:name w:val="unnamed3"/>
    <w:basedOn w:val="56"/>
    <w:qFormat/>
    <w:uiPriority w:val="0"/>
  </w:style>
  <w:style w:type="character" w:customStyle="1" w:styleId="98">
    <w:name w:val="z-窗体顶端 Char"/>
    <w:link w:val="99"/>
    <w:qFormat/>
    <w:uiPriority w:val="0"/>
    <w:rPr>
      <w:rFonts w:ascii="Arial"/>
      <w:vanish/>
      <w:kern w:val="2"/>
      <w:sz w:val="16"/>
      <w:szCs w:val="24"/>
    </w:rPr>
  </w:style>
  <w:style w:type="paragraph" w:customStyle="1" w:styleId="99">
    <w:name w:val="_Style 98"/>
    <w:basedOn w:val="1"/>
    <w:next w:val="1"/>
    <w:link w:val="98"/>
    <w:qFormat/>
    <w:uiPriority w:val="0"/>
    <w:pPr>
      <w:pBdr>
        <w:bottom w:val="single" w:color="auto" w:sz="6" w:space="1"/>
      </w:pBdr>
      <w:jc w:val="center"/>
    </w:pPr>
    <w:rPr>
      <w:rFonts w:ascii="Arial"/>
      <w:vanish/>
      <w:sz w:val="16"/>
    </w:rPr>
  </w:style>
  <w:style w:type="character" w:customStyle="1" w:styleId="100">
    <w:name w:val="gray12"/>
    <w:basedOn w:val="56"/>
    <w:qFormat/>
    <w:uiPriority w:val="0"/>
  </w:style>
  <w:style w:type="character" w:customStyle="1" w:styleId="101">
    <w:name w:val="style11"/>
    <w:qFormat/>
    <w:uiPriority w:val="0"/>
    <w:rPr>
      <w:rFonts w:hint="default" w:ascii="Arial" w:hAnsi="Arial" w:cs="Arial"/>
    </w:rPr>
  </w:style>
  <w:style w:type="character" w:customStyle="1" w:styleId="102">
    <w:name w:val="纯文本 Char1"/>
    <w:qFormat/>
    <w:uiPriority w:val="99"/>
    <w:rPr>
      <w:rFonts w:ascii="宋体" w:hAnsi="Courier New" w:eastAsia="宋体" w:cs="Courier New"/>
      <w:kern w:val="2"/>
      <w:sz w:val="21"/>
      <w:szCs w:val="21"/>
      <w:lang w:val="en-US" w:eastAsia="zh-CN" w:bidi="ar-SA"/>
    </w:rPr>
  </w:style>
  <w:style w:type="character" w:customStyle="1" w:styleId="103">
    <w:name w:val="text11"/>
    <w:qFormat/>
    <w:uiPriority w:val="0"/>
    <w:rPr>
      <w:rFonts w:hint="default" w:ascii="Verdana" w:hAnsi="Verdana"/>
      <w:color w:val="4E4E4E"/>
      <w:sz w:val="18"/>
      <w:szCs w:val="18"/>
    </w:rPr>
  </w:style>
  <w:style w:type="character" w:customStyle="1" w:styleId="104">
    <w:name w:val="1ji Char"/>
    <w:link w:val="105"/>
    <w:qFormat/>
    <w:uiPriority w:val="0"/>
    <w:rPr>
      <w:rFonts w:ascii="宋体" w:hAnsi="宋体" w:eastAsia="宋体"/>
      <w:b/>
      <w:bCs/>
      <w:kern w:val="44"/>
      <w:sz w:val="36"/>
      <w:szCs w:val="44"/>
      <w:lang w:val="en-US" w:eastAsia="zh-CN" w:bidi="ar-SA"/>
    </w:rPr>
  </w:style>
  <w:style w:type="paragraph" w:customStyle="1" w:styleId="105">
    <w:name w:val="1ji"/>
    <w:basedOn w:val="2"/>
    <w:link w:val="104"/>
    <w:qFormat/>
    <w:uiPriority w:val="0"/>
    <w:pPr>
      <w:keepLines w:val="0"/>
      <w:widowControl/>
      <w:spacing w:before="0" w:beforeLines="0" w:after="0" w:afterLines="0" w:line="240" w:lineRule="auto"/>
      <w:jc w:val="center"/>
    </w:pPr>
    <w:rPr>
      <w:rFonts w:ascii="宋体" w:hAnsi="宋体"/>
      <w:sz w:val="36"/>
    </w:rPr>
  </w:style>
  <w:style w:type="character" w:customStyle="1" w:styleId="106">
    <w:name w:val="short_text1"/>
    <w:qFormat/>
    <w:uiPriority w:val="0"/>
    <w:rPr>
      <w:sz w:val="26"/>
    </w:rPr>
  </w:style>
  <w:style w:type="character" w:customStyle="1" w:styleId="107">
    <w:name w:val="mark8"/>
    <w:qFormat/>
    <w:uiPriority w:val="0"/>
    <w:rPr>
      <w:b/>
      <w:bCs/>
      <w:sz w:val="21"/>
      <w:szCs w:val="21"/>
    </w:rPr>
  </w:style>
  <w:style w:type="character" w:customStyle="1" w:styleId="108">
    <w:name w:val="white"/>
    <w:basedOn w:val="56"/>
    <w:qFormat/>
    <w:uiPriority w:val="0"/>
  </w:style>
  <w:style w:type="character" w:customStyle="1" w:styleId="109">
    <w:name w:val="graytext1"/>
    <w:qFormat/>
    <w:uiPriority w:val="0"/>
    <w:rPr>
      <w:color w:val="666666"/>
    </w:rPr>
  </w:style>
  <w:style w:type="character" w:customStyle="1" w:styleId="110">
    <w:name w:val="small"/>
    <w:basedOn w:val="56"/>
    <w:qFormat/>
    <w:uiPriority w:val="0"/>
  </w:style>
  <w:style w:type="character" w:customStyle="1" w:styleId="111">
    <w:name w:val="style21"/>
    <w:qFormat/>
    <w:uiPriority w:val="0"/>
    <w:rPr>
      <w:sz w:val="17"/>
      <w:szCs w:val="17"/>
    </w:rPr>
  </w:style>
  <w:style w:type="character" w:customStyle="1" w:styleId="112">
    <w:name w:val="1051"/>
    <w:qFormat/>
    <w:uiPriority w:val="0"/>
    <w:rPr>
      <w:sz w:val="21"/>
      <w:szCs w:val="21"/>
    </w:rPr>
  </w:style>
  <w:style w:type="character" w:customStyle="1" w:styleId="113">
    <w:name w:val="apple-converted-space"/>
    <w:qFormat/>
    <w:uiPriority w:val="0"/>
  </w:style>
  <w:style w:type="character" w:customStyle="1" w:styleId="114">
    <w:name w:val="font01"/>
    <w:qFormat/>
    <w:uiPriority w:val="0"/>
    <w:rPr>
      <w:rFonts w:hint="eastAsia" w:ascii="宋体" w:hAnsi="宋体" w:eastAsia="宋体"/>
      <w:color w:val="000000"/>
      <w:sz w:val="22"/>
      <w:szCs w:val="22"/>
      <w:u w:val="none"/>
    </w:rPr>
  </w:style>
  <w:style w:type="character" w:customStyle="1" w:styleId="115">
    <w:name w:val="标题3 Char"/>
    <w:link w:val="116"/>
    <w:qFormat/>
    <w:uiPriority w:val="0"/>
    <w:rPr>
      <w:rFonts w:ascii="宋体" w:hAnsi="宋体"/>
      <w:b/>
      <w:bCs/>
      <w:kern w:val="44"/>
      <w:sz w:val="24"/>
      <w:szCs w:val="24"/>
    </w:rPr>
  </w:style>
  <w:style w:type="paragraph" w:customStyle="1" w:styleId="116">
    <w:name w:val="标题3"/>
    <w:basedOn w:val="2"/>
    <w:link w:val="115"/>
    <w:qFormat/>
    <w:uiPriority w:val="0"/>
    <w:pPr>
      <w:spacing w:before="0" w:beforeLines="50" w:after="0" w:afterLines="50" w:line="400" w:lineRule="exact"/>
    </w:pPr>
    <w:rPr>
      <w:rFonts w:ascii="宋体" w:hAnsi="宋体"/>
      <w:sz w:val="24"/>
      <w:szCs w:val="24"/>
    </w:rPr>
  </w:style>
  <w:style w:type="paragraph" w:customStyle="1" w:styleId="117">
    <w:name w:val="Char"/>
    <w:basedOn w:val="1"/>
    <w:qFormat/>
    <w:uiPriority w:val="99"/>
    <w:pPr>
      <w:widowControl/>
      <w:spacing w:line="500" w:lineRule="exact"/>
      <w:outlineLvl w:val="2"/>
    </w:pPr>
    <w:rPr>
      <w:rFonts w:ascii="黑体" w:hAnsi="Verdana" w:eastAsia="黑体" w:cs="黑体"/>
      <w:kern w:val="0"/>
      <w:sz w:val="28"/>
      <w:szCs w:val="28"/>
      <w:lang w:eastAsia="en-US"/>
    </w:rPr>
  </w:style>
  <w:style w:type="paragraph" w:customStyle="1" w:styleId="118">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19">
    <w:name w:val="Char1"/>
    <w:basedOn w:val="1"/>
    <w:qFormat/>
    <w:uiPriority w:val="99"/>
    <w:rPr>
      <w:szCs w:val="21"/>
    </w:rPr>
  </w:style>
  <w:style w:type="paragraph" w:styleId="120">
    <w:name w:val="List Paragraph"/>
    <w:basedOn w:val="1"/>
    <w:qFormat/>
    <w:uiPriority w:val="34"/>
    <w:pPr>
      <w:ind w:firstLine="420" w:firstLineChars="200"/>
    </w:pPr>
    <w:rPr>
      <w:rFonts w:ascii="Calibri" w:hAnsi="Calibri"/>
      <w:szCs w:val="22"/>
    </w:rPr>
  </w:style>
  <w:style w:type="paragraph" w:customStyle="1" w:styleId="121">
    <w:name w:val="缺省文本"/>
    <w:basedOn w:val="1"/>
    <w:qFormat/>
    <w:uiPriority w:val="0"/>
    <w:pPr>
      <w:autoSpaceDE w:val="0"/>
      <w:autoSpaceDN w:val="0"/>
      <w:adjustRightInd w:val="0"/>
      <w:spacing w:line="360" w:lineRule="auto"/>
      <w:jc w:val="left"/>
    </w:pPr>
    <w:rPr>
      <w:kern w:val="0"/>
      <w:sz w:val="24"/>
      <w:szCs w:val="20"/>
    </w:rPr>
  </w:style>
  <w:style w:type="paragraph" w:customStyle="1" w:styleId="122">
    <w:name w:val="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3">
    <w:name w:val=" 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paragraph" w:customStyle="1" w:styleId="124">
    <w:name w:val="xl3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pPr>
    <w:rPr>
      <w:kern w:val="0"/>
      <w:szCs w:val="21"/>
    </w:rPr>
  </w:style>
  <w:style w:type="paragraph" w:customStyle="1" w:styleId="125">
    <w:name w:val="正文首行缩进两字符"/>
    <w:basedOn w:val="1"/>
    <w:qFormat/>
    <w:uiPriority w:val="0"/>
    <w:pPr>
      <w:spacing w:line="360" w:lineRule="auto"/>
      <w:ind w:firstLine="200" w:firstLineChars="200"/>
    </w:pPr>
  </w:style>
  <w:style w:type="paragraph" w:customStyle="1" w:styleId="126">
    <w:name w:val="样式 标题 2 + Times New Roman 四号 非加粗 段前: 5 磅 段后: 0 磅 行距: 固定值 20..."/>
    <w:basedOn w:val="3"/>
    <w:qFormat/>
    <w:uiPriority w:val="99"/>
    <w:pPr>
      <w:spacing w:before="100" w:beforeLines="0" w:after="0" w:afterLines="0" w:line="400" w:lineRule="exact"/>
    </w:pPr>
    <w:rPr>
      <w:rFonts w:ascii="Times New Roman" w:hAnsi="Times New Roman" w:cs="宋体"/>
      <w:b w:val="0"/>
      <w:bCs w:val="0"/>
      <w:sz w:val="28"/>
      <w:szCs w:val="20"/>
    </w:rPr>
  </w:style>
  <w:style w:type="paragraph" w:customStyle="1" w:styleId="127">
    <w:name w:val="表内文字"/>
    <w:basedOn w:val="1"/>
    <w:qFormat/>
    <w:uiPriority w:val="0"/>
    <w:pPr>
      <w:snapToGrid w:val="0"/>
      <w:spacing w:before="50" w:beforeLines="0" w:after="50" w:afterLines="0"/>
      <w:jc w:val="center"/>
    </w:pPr>
    <w:rPr>
      <w:rFonts w:ascii="仿宋_GB2312" w:hAnsi="宋体" w:eastAsia="仿宋_GB2312"/>
      <w:b/>
      <w:color w:val="000000"/>
      <w:sz w:val="32"/>
      <w:szCs w:val="32"/>
    </w:rPr>
  </w:style>
  <w:style w:type="paragraph" w:customStyle="1" w:styleId="128">
    <w:name w:val="Char Char Char"/>
    <w:basedOn w:val="1"/>
    <w:qFormat/>
    <w:uiPriority w:val="0"/>
    <w:rPr>
      <w:rFonts w:ascii="Tahoma" w:hAnsi="Tahoma"/>
      <w:sz w:val="24"/>
      <w:szCs w:val="20"/>
    </w:rPr>
  </w:style>
  <w:style w:type="paragraph" w:customStyle="1" w:styleId="129">
    <w:name w:val="样式 首行缩进:  2 字符"/>
    <w:basedOn w:val="1"/>
    <w:qFormat/>
    <w:uiPriority w:val="0"/>
    <w:pPr>
      <w:spacing w:line="400" w:lineRule="exact"/>
      <w:ind w:firstLine="200" w:firstLineChars="200"/>
    </w:pPr>
    <w:rPr>
      <w:rFonts w:cs="宋体"/>
      <w:sz w:val="24"/>
    </w:rPr>
  </w:style>
  <w:style w:type="paragraph" w:customStyle="1" w:styleId="130">
    <w:name w:val="表格"/>
    <w:basedOn w:val="1"/>
    <w:qFormat/>
    <w:uiPriority w:val="0"/>
    <w:pPr>
      <w:spacing w:line="400" w:lineRule="exact"/>
    </w:pPr>
    <w:rPr>
      <w:sz w:val="24"/>
    </w:rPr>
  </w:style>
  <w:style w:type="paragraph" w:customStyle="1" w:styleId="131">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2">
    <w:name w:val=" Char Char Char Char Char Char Char"/>
    <w:basedOn w:val="1"/>
    <w:qFormat/>
    <w:uiPriority w:val="0"/>
  </w:style>
  <w:style w:type="paragraph" w:customStyle="1" w:styleId="133">
    <w:name w:val=" Char Char Char"/>
    <w:basedOn w:val="16"/>
    <w:qFormat/>
    <w:uiPriority w:val="0"/>
    <w:pPr>
      <w:adjustRightInd/>
      <w:spacing w:line="240" w:lineRule="auto"/>
      <w:textAlignment w:val="auto"/>
    </w:pPr>
    <w:rPr>
      <w:rFonts w:ascii="Tahoma" w:hAnsi="Tahoma"/>
      <w:kern w:val="2"/>
      <w:sz w:val="24"/>
      <w:szCs w:val="24"/>
    </w:rPr>
  </w:style>
  <w:style w:type="paragraph" w:customStyle="1" w:styleId="134">
    <w:name w:val="样式1"/>
    <w:basedOn w:val="1"/>
    <w:qFormat/>
    <w:uiPriority w:val="99"/>
    <w:pPr>
      <w:spacing w:before="120" w:beforeLines="0" w:after="120" w:afterLines="0" w:line="300" w:lineRule="auto"/>
    </w:pPr>
    <w:rPr>
      <w:rFonts w:ascii="宋体" w:hAnsi="宋体"/>
      <w:b/>
      <w:sz w:val="24"/>
      <w:szCs w:val="20"/>
    </w:rPr>
  </w:style>
  <w:style w:type="paragraph" w:customStyle="1" w:styleId="135">
    <w:name w:val="xl26"/>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pPr>
    <w:rPr>
      <w:kern w:val="0"/>
      <w:szCs w:val="21"/>
    </w:rPr>
  </w:style>
  <w:style w:type="paragraph" w:customStyle="1" w:styleId="136">
    <w:name w:val="Char Char Char Char Char Char Char"/>
    <w:basedOn w:val="1"/>
    <w:qFormat/>
    <w:uiPriority w:val="99"/>
  </w:style>
  <w:style w:type="paragraph" w:customStyle="1" w:styleId="137">
    <w:name w:val="xl31"/>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kern w:val="0"/>
      <w:szCs w:val="21"/>
    </w:rPr>
  </w:style>
  <w:style w:type="paragraph" w:customStyle="1" w:styleId="138">
    <w:name w:val="次小点说明 Char"/>
    <w:basedOn w:val="7"/>
    <w:qFormat/>
    <w:uiPriority w:val="0"/>
    <w:pPr>
      <w:ind w:firstLine="0"/>
    </w:pPr>
    <w:rPr>
      <w:sz w:val="24"/>
      <w:szCs w:val="24"/>
    </w:rPr>
  </w:style>
  <w:style w:type="paragraph" w:customStyle="1" w:styleId="139">
    <w:name w:val="五号正文（标准）"/>
    <w:basedOn w:val="1"/>
    <w:qFormat/>
    <w:uiPriority w:val="0"/>
    <w:pPr>
      <w:spacing w:line="360" w:lineRule="auto"/>
      <w:ind w:right="55" w:firstLine="560" w:firstLineChars="200"/>
    </w:pPr>
    <w:rPr>
      <w:rFonts w:eastAsia="仿宋_GB2312"/>
      <w:sz w:val="28"/>
      <w:szCs w:val="20"/>
    </w:rPr>
  </w:style>
  <w:style w:type="paragraph" w:customStyle="1" w:styleId="140">
    <w:name w:val=" Char Char Char Char"/>
    <w:basedOn w:val="1"/>
    <w:qFormat/>
    <w:uiPriority w:val="0"/>
    <w:pPr>
      <w:widowControl/>
      <w:spacing w:after="160" w:afterLines="0" w:line="240" w:lineRule="exact"/>
      <w:jc w:val="left"/>
    </w:pPr>
    <w:rPr>
      <w:rFonts w:ascii="Verdana" w:hAnsi="Verdana" w:eastAsia="仿宋_GB2312"/>
      <w:kern w:val="0"/>
      <w:sz w:val="24"/>
      <w:szCs w:val="20"/>
      <w:lang w:eastAsia="en-US"/>
    </w:rPr>
  </w:style>
  <w:style w:type="paragraph" w:customStyle="1" w:styleId="141">
    <w:name w:val="Char2"/>
    <w:basedOn w:val="1"/>
    <w:qFormat/>
    <w:uiPriority w:val="0"/>
    <w:pPr>
      <w:widowControl/>
      <w:spacing w:after="160" w:line="240" w:lineRule="exact"/>
      <w:jc w:val="left"/>
    </w:pPr>
    <w:rPr>
      <w:rFonts w:ascii="Verdana" w:hAnsi="Verdana"/>
      <w:kern w:val="0"/>
      <w:szCs w:val="20"/>
      <w:lang w:eastAsia="en-US"/>
    </w:rPr>
  </w:style>
  <w:style w:type="paragraph" w:customStyle="1" w:styleId="142">
    <w:name w:val="默认段落字体 Para Char Char Char Char Char Char Char Char Char1 Char Char Char Char"/>
    <w:basedOn w:val="1"/>
    <w:qFormat/>
    <w:uiPriority w:val="0"/>
    <w:rPr>
      <w:rFonts w:ascii="Tahoma" w:hAnsi="Tahoma"/>
      <w:sz w:val="24"/>
      <w:szCs w:val="20"/>
    </w:rPr>
  </w:style>
  <w:style w:type="paragraph" w:customStyle="1" w:styleId="143">
    <w:name w:val="默认段落字体 Para Char1"/>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44">
    <w:name w:val="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5">
    <w:name w:val=" 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46">
    <w:name w:val=" Char"/>
    <w:basedOn w:val="1"/>
    <w:qFormat/>
    <w:uiPriority w:val="0"/>
    <w:pPr>
      <w:tabs>
        <w:tab w:val="left" w:pos="360"/>
      </w:tabs>
      <w:ind w:left="252" w:hanging="252" w:hangingChars="140"/>
    </w:pPr>
    <w:rPr>
      <w:rFonts w:ascii="宋体"/>
      <w:sz w:val="18"/>
      <w:szCs w:val="18"/>
    </w:rPr>
  </w:style>
  <w:style w:type="paragraph" w:customStyle="1" w:styleId="147">
    <w:name w:val="图"/>
    <w:basedOn w:val="1"/>
    <w:qFormat/>
    <w:uiPriority w:val="0"/>
    <w:pPr>
      <w:keepNext/>
      <w:adjustRightInd w:val="0"/>
      <w:snapToGrid w:val="0"/>
      <w:spacing w:before="60" w:beforeLines="0" w:after="60" w:afterLines="0" w:line="300" w:lineRule="auto"/>
      <w:jc w:val="center"/>
    </w:pPr>
    <w:rPr>
      <w:spacing w:val="20"/>
      <w:kern w:val="0"/>
      <w:sz w:val="24"/>
      <w:szCs w:val="20"/>
    </w:rPr>
  </w:style>
  <w:style w:type="paragraph" w:customStyle="1" w:styleId="148">
    <w:name w:val=" Char Char Char Char Char Char1 Char"/>
    <w:basedOn w:val="1"/>
    <w:qFormat/>
    <w:uiPriority w:val="0"/>
    <w:pPr>
      <w:widowControl/>
      <w:spacing w:after="160" w:afterLines="0" w:line="240" w:lineRule="exact"/>
      <w:jc w:val="left"/>
    </w:pPr>
    <w:rPr>
      <w:rFonts w:ascii="Arial" w:hAnsi="Arial" w:eastAsia="Times New Roman" w:cs="Verdana"/>
      <w:b/>
      <w:kern w:val="0"/>
      <w:sz w:val="24"/>
      <w:szCs w:val="20"/>
      <w:lang w:eastAsia="en-US"/>
    </w:rPr>
  </w:style>
  <w:style w:type="paragraph" w:customStyle="1" w:styleId="149">
    <w:name w:val="Char Char Char1"/>
    <w:basedOn w:val="16"/>
    <w:qFormat/>
    <w:uiPriority w:val="0"/>
    <w:pPr>
      <w:adjustRightInd/>
      <w:spacing w:line="240" w:lineRule="auto"/>
      <w:textAlignment w:val="auto"/>
    </w:pPr>
    <w:rPr>
      <w:rFonts w:ascii="Tahoma" w:hAnsi="Tahoma"/>
      <w:kern w:val="2"/>
      <w:sz w:val="24"/>
      <w:szCs w:val="24"/>
    </w:rPr>
  </w:style>
  <w:style w:type="paragraph" w:customStyle="1" w:styleId="150">
    <w:name w:val="F2"/>
    <w:basedOn w:val="1"/>
    <w:qFormat/>
    <w:uiPriority w:val="0"/>
    <w:pPr>
      <w:autoSpaceDE w:val="0"/>
      <w:autoSpaceDN w:val="0"/>
      <w:adjustRightInd w:val="0"/>
      <w:ind w:firstLine="601"/>
      <w:textAlignment w:val="baseline"/>
    </w:pPr>
    <w:rPr>
      <w:kern w:val="0"/>
      <w:sz w:val="24"/>
      <w:szCs w:val="20"/>
    </w:rPr>
  </w:style>
  <w:style w:type="paragraph" w:customStyle="1" w:styleId="151">
    <w:name w:val="xl21"/>
    <w:basedOn w:val="1"/>
    <w:qFormat/>
    <w:uiPriority w:val="0"/>
    <w:pPr>
      <w:widowControl/>
      <w:spacing w:before="100" w:beforeLines="0" w:beforeAutospacing="1" w:after="100" w:afterLines="0" w:afterAutospacing="1"/>
      <w:jc w:val="center"/>
    </w:pPr>
    <w:rPr>
      <w:rFonts w:ascii="宋体" w:hAnsi="宋体"/>
      <w:b/>
      <w:bCs/>
      <w:kern w:val="0"/>
      <w:sz w:val="28"/>
      <w:szCs w:val="28"/>
    </w:rPr>
  </w:style>
  <w:style w:type="paragraph" w:customStyle="1" w:styleId="152">
    <w:name w:val="List Paragraph1"/>
    <w:basedOn w:val="1"/>
    <w:qFormat/>
    <w:uiPriority w:val="0"/>
    <w:pPr>
      <w:ind w:firstLine="420" w:firstLineChars="200"/>
    </w:pPr>
    <w:rPr>
      <w:rFonts w:ascii="Calibri" w:hAnsi="Calibri"/>
      <w:szCs w:val="22"/>
    </w:rPr>
  </w:style>
  <w:style w:type="paragraph" w:customStyle="1" w:styleId="153">
    <w:name w:val="普通 (Web)"/>
    <w:basedOn w:val="1"/>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54">
    <w:name w:val="a9"/>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155">
    <w:name w:val="_Style 154"/>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156">
    <w:name w:val="默认段落字体 Para Char"/>
    <w:basedOn w:val="1"/>
    <w:qFormat/>
    <w:uiPriority w:val="0"/>
    <w:pPr>
      <w:adjustRightInd w:val="0"/>
      <w:spacing w:line="360" w:lineRule="auto"/>
    </w:pPr>
    <w:rPr>
      <w:kern w:val="0"/>
      <w:sz w:val="24"/>
      <w:szCs w:val="20"/>
    </w:rPr>
  </w:style>
  <w:style w:type="paragraph" w:customStyle="1" w:styleId="157">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b/>
      <w:bCs/>
      <w:kern w:val="0"/>
      <w:sz w:val="24"/>
    </w:rPr>
  </w:style>
  <w:style w:type="paragraph" w:customStyle="1" w:styleId="15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59">
    <w:name w:val="tgt1"/>
    <w:basedOn w:val="1"/>
    <w:qFormat/>
    <w:uiPriority w:val="0"/>
    <w:pPr>
      <w:widowControl/>
      <w:spacing w:after="150" w:afterLines="0"/>
      <w:jc w:val="left"/>
    </w:pPr>
    <w:rPr>
      <w:rFonts w:ascii="宋体" w:hAnsi="宋体" w:cs="宋体"/>
      <w:kern w:val="0"/>
      <w:sz w:val="24"/>
    </w:rPr>
  </w:style>
  <w:style w:type="paragraph" w:customStyle="1" w:styleId="160">
    <w:name w:val="样式 标题 3 + (中文) 黑体 小四 非加粗 段前: 7.8 磅 段后: 0 磅 行距: 固定值 20 磅"/>
    <w:basedOn w:val="4"/>
    <w:qFormat/>
    <w:uiPriority w:val="99"/>
    <w:pPr>
      <w:spacing w:before="0" w:beforeLines="0" w:after="0" w:afterLines="0" w:line="400" w:lineRule="exact"/>
    </w:pPr>
    <w:rPr>
      <w:rFonts w:eastAsia="黑体" w:cs="宋体"/>
      <w:b w:val="0"/>
      <w:bCs w:val="0"/>
      <w:sz w:val="24"/>
      <w:szCs w:val="20"/>
    </w:rPr>
  </w:style>
  <w:style w:type="paragraph" w:customStyle="1" w:styleId="161">
    <w:name w:val="正文段"/>
    <w:basedOn w:val="1"/>
    <w:qFormat/>
    <w:uiPriority w:val="0"/>
    <w:pPr>
      <w:widowControl/>
      <w:snapToGrid w:val="0"/>
      <w:spacing w:after="156" w:afterLines="50"/>
      <w:ind w:firstLine="200" w:firstLineChars="200"/>
    </w:pPr>
    <w:rPr>
      <w:kern w:val="0"/>
      <w:sz w:val="24"/>
      <w:szCs w:val="20"/>
    </w:rPr>
  </w:style>
  <w:style w:type="paragraph" w:customStyle="1" w:styleId="162">
    <w:name w:val="1"/>
    <w:basedOn w:val="1"/>
    <w:next w:val="27"/>
    <w:qFormat/>
    <w:uiPriority w:val="99"/>
    <w:rPr>
      <w:rFonts w:ascii="宋体" w:hAnsi="Courier New"/>
      <w:szCs w:val="20"/>
    </w:rPr>
  </w:style>
  <w:style w:type="paragraph" w:customStyle="1" w:styleId="163">
    <w:name w:val="Char Char Char Char Char Char Char Char Char Char Char Char Char"/>
    <w:basedOn w:val="16"/>
    <w:qFormat/>
    <w:uiPriority w:val="0"/>
    <w:pPr>
      <w:adjustRightInd/>
      <w:spacing w:line="240" w:lineRule="auto"/>
      <w:textAlignment w:val="auto"/>
    </w:pPr>
    <w:rPr>
      <w:rFonts w:ascii="Tahoma" w:hAnsi="Tahoma"/>
      <w:kern w:val="2"/>
      <w:sz w:val="24"/>
      <w:szCs w:val="24"/>
    </w:rPr>
  </w:style>
  <w:style w:type="paragraph" w:customStyle="1" w:styleId="164">
    <w:name w:val="2ji"/>
    <w:basedOn w:val="3"/>
    <w:qFormat/>
    <w:uiPriority w:val="0"/>
    <w:pPr>
      <w:adjustRightInd w:val="0"/>
      <w:spacing w:before="0" w:beforeLines="0" w:after="0" w:afterLines="0" w:line="360" w:lineRule="auto"/>
      <w:textAlignment w:val="baseline"/>
    </w:pPr>
    <w:rPr>
      <w:rFonts w:ascii="宋体" w:hAnsi="宋体" w:eastAsia="宋体"/>
      <w:kern w:val="0"/>
      <w:sz w:val="21"/>
      <w:szCs w:val="21"/>
    </w:rPr>
  </w:style>
  <w:style w:type="paragraph" w:customStyle="1" w:styleId="165">
    <w:name w:val="2-2ji"/>
    <w:basedOn w:val="3"/>
    <w:qFormat/>
    <w:uiPriority w:val="99"/>
    <w:pPr>
      <w:adjustRightInd w:val="0"/>
      <w:spacing w:before="0" w:beforeLines="0" w:after="0" w:afterLines="0" w:line="360" w:lineRule="auto"/>
      <w:jc w:val="center"/>
      <w:textAlignment w:val="baseline"/>
    </w:pPr>
    <w:rPr>
      <w:rFonts w:ascii="宋体" w:hAnsi="宋体" w:eastAsia="宋体"/>
      <w:bCs w:val="0"/>
      <w:kern w:val="0"/>
      <w:sz w:val="36"/>
    </w:rPr>
  </w:style>
  <w:style w:type="paragraph" w:customStyle="1" w:styleId="166">
    <w:name w:val="444"/>
    <w:basedOn w:val="1"/>
    <w:qFormat/>
    <w:uiPriority w:val="0"/>
    <w:pPr>
      <w:adjustRightInd w:val="0"/>
      <w:spacing w:line="312" w:lineRule="atLeast"/>
      <w:jc w:val="center"/>
      <w:textAlignment w:val="baseline"/>
    </w:pPr>
    <w:rPr>
      <w:b/>
      <w:kern w:val="0"/>
      <w:sz w:val="36"/>
      <w:szCs w:val="36"/>
    </w:rPr>
  </w:style>
  <w:style w:type="paragraph" w:customStyle="1" w:styleId="167">
    <w:name w:val=" Char2"/>
    <w:basedOn w:val="1"/>
    <w:qFormat/>
    <w:uiPriority w:val="0"/>
    <w:pPr>
      <w:widowControl/>
      <w:spacing w:after="160" w:afterLines="0" w:line="240" w:lineRule="exact"/>
      <w:jc w:val="left"/>
    </w:pPr>
    <w:rPr>
      <w:rFonts w:ascii="Verdana" w:hAnsi="Verdana"/>
      <w:kern w:val="0"/>
      <w:szCs w:val="20"/>
      <w:lang w:eastAsia="en-US"/>
    </w:rPr>
  </w:style>
  <w:style w:type="paragraph" w:customStyle="1" w:styleId="168">
    <w:name w:val="Char Char Char Char Char Char1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9">
    <w:name w:val="Char3"/>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17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_Style 170"/>
    <w:unhideWhenUsed/>
    <w:qFormat/>
    <w:uiPriority w:val="99"/>
    <w:rPr>
      <w:rFonts w:ascii="Times New Roman" w:hAnsi="Times New Roman" w:eastAsia="宋体" w:cs="Times New Roman"/>
      <w:kern w:val="2"/>
      <w:sz w:val="21"/>
      <w:szCs w:val="24"/>
      <w:lang w:val="en-US" w:eastAsia="zh-CN" w:bidi="ar-SA"/>
    </w:rPr>
  </w:style>
  <w:style w:type="character" w:customStyle="1" w:styleId="172">
    <w:name w:val="Char Char18"/>
    <w:qFormat/>
    <w:uiPriority w:val="99"/>
    <w:rPr>
      <w:rFonts w:ascii="Times New Roman" w:hAnsi="Times New Roman" w:eastAsia="宋体" w:cs="Times New Roman"/>
      <w:b/>
      <w:bCs/>
      <w:sz w:val="28"/>
      <w:szCs w:val="28"/>
    </w:rPr>
  </w:style>
  <w:style w:type="character" w:customStyle="1" w:styleId="173">
    <w:name w:val="标题4 Char Char"/>
    <w:link w:val="174"/>
    <w:qFormat/>
    <w:uiPriority w:val="99"/>
    <w:rPr>
      <w:rFonts w:ascii="Arial" w:hAnsi="Arial"/>
      <w:b/>
      <w:bCs/>
      <w:sz w:val="24"/>
      <w:szCs w:val="32"/>
    </w:rPr>
  </w:style>
  <w:style w:type="paragraph" w:customStyle="1" w:styleId="174">
    <w:name w:val="标题4"/>
    <w:basedOn w:val="3"/>
    <w:next w:val="24"/>
    <w:link w:val="173"/>
    <w:qFormat/>
    <w:uiPriority w:val="99"/>
    <w:rPr>
      <w:rFonts w:eastAsia="宋体"/>
      <w:kern w:val="0"/>
      <w:sz w:val="24"/>
    </w:rPr>
  </w:style>
  <w:style w:type="character" w:customStyle="1" w:styleId="175">
    <w:name w:val="批注框文本 Char1"/>
    <w:qFormat/>
    <w:uiPriority w:val="99"/>
    <w:rPr>
      <w:kern w:val="2"/>
      <w:sz w:val="18"/>
      <w:szCs w:val="18"/>
    </w:rPr>
  </w:style>
  <w:style w:type="character" w:customStyle="1" w:styleId="176">
    <w:name w:val="批注文字 Char Char"/>
    <w:qFormat/>
    <w:uiPriority w:val="99"/>
    <w:rPr>
      <w:rFonts w:ascii="宋体" w:hAnsi="Times New Roman" w:eastAsia="宋体" w:cs="Times New Roman"/>
      <w:sz w:val="28"/>
      <w:szCs w:val="20"/>
    </w:rPr>
  </w:style>
  <w:style w:type="character" w:customStyle="1" w:styleId="177">
    <w:name w:val="日期 Char1"/>
    <w:qFormat/>
    <w:uiPriority w:val="99"/>
    <w:rPr>
      <w:kern w:val="2"/>
      <w:sz w:val="21"/>
      <w:szCs w:val="22"/>
    </w:rPr>
  </w:style>
  <w:style w:type="character" w:customStyle="1" w:styleId="178">
    <w:name w:val="正文文本 Char1"/>
    <w:qFormat/>
    <w:uiPriority w:val="99"/>
    <w:rPr>
      <w:kern w:val="2"/>
      <w:sz w:val="21"/>
      <w:szCs w:val="22"/>
    </w:rPr>
  </w:style>
  <w:style w:type="character" w:customStyle="1" w:styleId="179">
    <w:name w:val="文档结构图 Char1"/>
    <w:qFormat/>
    <w:uiPriority w:val="99"/>
    <w:rPr>
      <w:rFonts w:ascii="宋体"/>
      <w:kern w:val="2"/>
      <w:sz w:val="18"/>
      <w:szCs w:val="18"/>
    </w:rPr>
  </w:style>
  <w:style w:type="character" w:customStyle="1" w:styleId="180">
    <w:name w:val="_Style 179"/>
    <w:qFormat/>
    <w:uiPriority w:val="0"/>
    <w:rPr>
      <w:b/>
      <w:bCs/>
      <w:smallCaps/>
      <w:color w:val="C0504D"/>
      <w:spacing w:val="5"/>
      <w:u w:val="single"/>
    </w:rPr>
  </w:style>
  <w:style w:type="character" w:customStyle="1" w:styleId="181">
    <w:name w:val="明显引用 Char"/>
    <w:link w:val="182"/>
    <w:qFormat/>
    <w:uiPriority w:val="99"/>
    <w:rPr>
      <w:b/>
      <w:bCs/>
      <w:i/>
      <w:iCs/>
      <w:color w:val="4F81BD"/>
      <w:kern w:val="2"/>
      <w:sz w:val="21"/>
      <w:szCs w:val="22"/>
    </w:rPr>
  </w:style>
  <w:style w:type="paragraph" w:styleId="182">
    <w:name w:val="Intense Quote"/>
    <w:basedOn w:val="1"/>
    <w:next w:val="1"/>
    <w:link w:val="181"/>
    <w:qFormat/>
    <w:uiPriority w:val="99"/>
    <w:pPr>
      <w:pBdr>
        <w:bottom w:val="single" w:color="4F81BD" w:sz="4" w:space="4"/>
      </w:pBdr>
      <w:spacing w:before="200" w:after="280"/>
      <w:ind w:left="936" w:right="936"/>
    </w:pPr>
    <w:rPr>
      <w:b/>
      <w:bCs/>
      <w:i/>
      <w:iCs/>
      <w:color w:val="4F81BD"/>
      <w:szCs w:val="22"/>
    </w:rPr>
  </w:style>
  <w:style w:type="character" w:customStyle="1" w:styleId="183">
    <w:name w:val="st1"/>
    <w:basedOn w:val="56"/>
    <w:qFormat/>
    <w:uiPriority w:val="0"/>
  </w:style>
  <w:style w:type="character" w:customStyle="1" w:styleId="184">
    <w:name w:val="_Style 183"/>
    <w:qFormat/>
    <w:uiPriority w:val="0"/>
    <w:rPr>
      <w:b/>
      <w:bCs/>
      <w:i/>
      <w:iCs/>
      <w:color w:val="4F81BD"/>
    </w:rPr>
  </w:style>
  <w:style w:type="character" w:customStyle="1" w:styleId="185">
    <w:name w:val="_Style 184"/>
    <w:qFormat/>
    <w:uiPriority w:val="0"/>
    <w:rPr>
      <w:b/>
      <w:bCs/>
      <w:smallCaps/>
      <w:spacing w:val="5"/>
    </w:rPr>
  </w:style>
  <w:style w:type="character" w:customStyle="1" w:styleId="186">
    <w:name w:val="_Style 185"/>
    <w:qFormat/>
    <w:uiPriority w:val="0"/>
    <w:rPr>
      <w:smallCaps/>
      <w:color w:val="C0504D"/>
      <w:u w:val="single"/>
    </w:rPr>
  </w:style>
  <w:style w:type="character" w:customStyle="1" w:styleId="187">
    <w:name w:val="textcontents"/>
    <w:qFormat/>
    <w:uiPriority w:val="99"/>
    <w:rPr>
      <w:rFonts w:cs="Times New Roman"/>
    </w:rPr>
  </w:style>
  <w:style w:type="character" w:customStyle="1" w:styleId="188">
    <w:name w:val="标题5 Char Char"/>
    <w:link w:val="189"/>
    <w:qFormat/>
    <w:uiPriority w:val="99"/>
    <w:rPr>
      <w:rFonts w:ascii="Arial" w:hAnsi="Arial"/>
      <w:b/>
      <w:bCs/>
      <w:sz w:val="24"/>
      <w:szCs w:val="32"/>
    </w:rPr>
  </w:style>
  <w:style w:type="paragraph" w:customStyle="1" w:styleId="189">
    <w:name w:val="标题5"/>
    <w:basedOn w:val="4"/>
    <w:link w:val="188"/>
    <w:qFormat/>
    <w:uiPriority w:val="99"/>
    <w:rPr>
      <w:rFonts w:ascii="Arial" w:hAnsi="Arial"/>
      <w:kern w:val="0"/>
      <w:sz w:val="24"/>
    </w:rPr>
  </w:style>
  <w:style w:type="character" w:customStyle="1" w:styleId="190">
    <w:name w:val="_Style 189"/>
    <w:qFormat/>
    <w:uiPriority w:val="0"/>
    <w:rPr>
      <w:i/>
      <w:iCs/>
      <w:color w:val="808080"/>
    </w:rPr>
  </w:style>
  <w:style w:type="character" w:customStyle="1" w:styleId="191">
    <w:name w:val="批注主题 Char1"/>
    <w:qFormat/>
    <w:uiPriority w:val="99"/>
    <w:rPr>
      <w:b/>
      <w:bCs/>
      <w:kern w:val="2"/>
      <w:sz w:val="21"/>
      <w:szCs w:val="22"/>
    </w:rPr>
  </w:style>
  <w:style w:type="character" w:customStyle="1" w:styleId="192">
    <w:name w:val="引用 Char"/>
    <w:link w:val="193"/>
    <w:qFormat/>
    <w:uiPriority w:val="99"/>
    <w:rPr>
      <w:i/>
      <w:iCs/>
      <w:color w:val="000000"/>
      <w:kern w:val="2"/>
      <w:sz w:val="21"/>
      <w:szCs w:val="22"/>
    </w:rPr>
  </w:style>
  <w:style w:type="paragraph" w:styleId="193">
    <w:name w:val="Quote"/>
    <w:basedOn w:val="1"/>
    <w:next w:val="1"/>
    <w:link w:val="192"/>
    <w:qFormat/>
    <w:uiPriority w:val="99"/>
    <w:rPr>
      <w:i/>
      <w:iCs/>
      <w:color w:val="000000"/>
      <w:szCs w:val="22"/>
    </w:rPr>
  </w:style>
  <w:style w:type="character" w:customStyle="1" w:styleId="194">
    <w:name w:val="副标题 Char1"/>
    <w:qFormat/>
    <w:uiPriority w:val="0"/>
    <w:rPr>
      <w:rFonts w:ascii="Cambria" w:hAnsi="Cambria" w:cs="Times New Roman"/>
      <w:b/>
      <w:bCs/>
      <w:kern w:val="28"/>
      <w:sz w:val="32"/>
      <w:szCs w:val="32"/>
    </w:rPr>
  </w:style>
  <w:style w:type="character" w:customStyle="1" w:styleId="195">
    <w:name w:val="引用 Char1"/>
    <w:qFormat/>
    <w:uiPriority w:val="99"/>
    <w:rPr>
      <w:i/>
      <w:iCs/>
      <w:color w:val="000000"/>
      <w:kern w:val="2"/>
      <w:sz w:val="21"/>
      <w:szCs w:val="24"/>
    </w:rPr>
  </w:style>
  <w:style w:type="paragraph" w:customStyle="1" w:styleId="196">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styleId="197">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98">
    <w:name w:val="明显引用 Char1"/>
    <w:qFormat/>
    <w:uiPriority w:val="99"/>
    <w:rPr>
      <w:b/>
      <w:bCs/>
      <w:i/>
      <w:iCs/>
      <w:color w:val="4F81BD"/>
      <w:kern w:val="2"/>
      <w:sz w:val="21"/>
      <w:szCs w:val="24"/>
    </w:rPr>
  </w:style>
  <w:style w:type="paragraph" w:customStyle="1" w:styleId="199">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200">
    <w:name w:val="4"/>
    <w:basedOn w:val="1"/>
    <w:next w:val="27"/>
    <w:qFormat/>
    <w:uiPriority w:val="0"/>
    <w:rPr>
      <w:rFonts w:ascii="宋体" w:hAnsi="Courier New" w:cs="Courier New"/>
      <w:szCs w:val="21"/>
    </w:rPr>
  </w:style>
  <w:style w:type="paragraph" w:customStyle="1" w:styleId="201">
    <w:name w:val="Char Char Char Char1"/>
    <w:basedOn w:val="1"/>
    <w:qFormat/>
    <w:uiPriority w:val="0"/>
    <w:pPr>
      <w:ind w:firstLine="200" w:firstLineChars="200"/>
    </w:pPr>
    <w:rPr>
      <w:rFonts w:ascii="宋体" w:hAnsi="宋体" w:cs="宋体"/>
      <w:sz w:val="24"/>
    </w:rPr>
  </w:style>
  <w:style w:type="character" w:customStyle="1" w:styleId="202">
    <w:name w:val="Heading 3 Char1"/>
    <w:qFormat/>
    <w:uiPriority w:val="99"/>
    <w:rPr>
      <w:rFonts w:eastAsia="宋体"/>
      <w:b/>
      <w:bCs/>
      <w:kern w:val="2"/>
      <w:sz w:val="24"/>
      <w:szCs w:val="32"/>
      <w:lang w:val="en-US" w:eastAsia="zh-CN" w:bidi="ar-SA"/>
    </w:rPr>
  </w:style>
  <w:style w:type="character" w:customStyle="1" w:styleId="203">
    <w:name w:val="Balloon Text Char"/>
    <w:qFormat/>
    <w:uiPriority w:val="99"/>
    <w:rPr>
      <w:sz w:val="18"/>
      <w:lang w:bidi="ar-SA"/>
    </w:rPr>
  </w:style>
  <w:style w:type="character" w:customStyle="1" w:styleId="204">
    <w:name w:val="Char Char20"/>
    <w:qFormat/>
    <w:uiPriority w:val="99"/>
    <w:rPr>
      <w:rFonts w:ascii="Times New Roman" w:hAnsi="Times New Roman" w:eastAsia="宋体" w:cs="Times New Roman"/>
      <w:b/>
      <w:bCs/>
      <w:sz w:val="24"/>
      <w:szCs w:val="32"/>
    </w:rPr>
  </w:style>
  <w:style w:type="character" w:customStyle="1" w:styleId="205">
    <w:name w:val="Footer Char"/>
    <w:qFormat/>
    <w:uiPriority w:val="99"/>
    <w:rPr>
      <w:rFonts w:eastAsia="宋体"/>
      <w:kern w:val="2"/>
      <w:sz w:val="18"/>
      <w:szCs w:val="18"/>
      <w:lang w:val="en-US" w:eastAsia="zh-CN" w:bidi="ar-SA"/>
    </w:rPr>
  </w:style>
  <w:style w:type="character" w:customStyle="1" w:styleId="206">
    <w:name w:val="Body Text Indent 2 Char"/>
    <w:qFormat/>
    <w:uiPriority w:val="99"/>
    <w:rPr>
      <w:rFonts w:eastAsia="宋体"/>
      <w:kern w:val="2"/>
      <w:sz w:val="21"/>
      <w:szCs w:val="24"/>
      <w:lang w:val="en-US" w:eastAsia="zh-CN" w:bidi="ar-SA"/>
    </w:rPr>
  </w:style>
  <w:style w:type="character" w:customStyle="1" w:styleId="207">
    <w:name w:val="Comment Text Char"/>
    <w:qFormat/>
    <w:uiPriority w:val="99"/>
    <w:rPr>
      <w:rFonts w:cs="Times New Roman"/>
      <w:sz w:val="24"/>
      <w:szCs w:val="24"/>
    </w:rPr>
  </w:style>
  <w:style w:type="character" w:customStyle="1" w:styleId="208">
    <w:name w:val="Char Char23"/>
    <w:qFormat/>
    <w:uiPriority w:val="99"/>
    <w:rPr>
      <w:rFonts w:eastAsia="宋体"/>
      <w:b/>
      <w:bCs/>
      <w:kern w:val="44"/>
      <w:sz w:val="32"/>
      <w:szCs w:val="44"/>
      <w:lang w:val="en-US" w:eastAsia="zh-CN" w:bidi="ar-SA"/>
    </w:rPr>
  </w:style>
  <w:style w:type="character" w:customStyle="1" w:styleId="209">
    <w:name w:val="标题 Char2"/>
    <w:qFormat/>
    <w:uiPriority w:val="99"/>
    <w:rPr>
      <w:rFonts w:ascii="Cambria" w:hAnsi="Cambria" w:eastAsia="宋体" w:cs="Times New Roman"/>
      <w:b/>
      <w:bCs/>
      <w:sz w:val="32"/>
      <w:szCs w:val="32"/>
    </w:rPr>
  </w:style>
  <w:style w:type="character" w:customStyle="1" w:styleId="210">
    <w:name w:val="Char Char22"/>
    <w:qFormat/>
    <w:uiPriority w:val="99"/>
    <w:rPr>
      <w:rFonts w:ascii="Times New Roman" w:hAnsi="Times New Roman" w:eastAsia="宋体" w:cs="Times New Roman"/>
      <w:b/>
      <w:bCs/>
      <w:kern w:val="44"/>
      <w:sz w:val="32"/>
      <w:szCs w:val="44"/>
    </w:rPr>
  </w:style>
  <w:style w:type="character" w:customStyle="1" w:styleId="211">
    <w:name w:val="Heading 1 Char"/>
    <w:qFormat/>
    <w:uiPriority w:val="99"/>
    <w:rPr>
      <w:rFonts w:eastAsia="宋体"/>
      <w:b/>
      <w:bCs/>
      <w:kern w:val="44"/>
      <w:sz w:val="32"/>
      <w:szCs w:val="44"/>
      <w:lang w:val="en-US" w:eastAsia="zh-CN" w:bidi="ar-SA"/>
    </w:rPr>
  </w:style>
  <w:style w:type="character" w:customStyle="1" w:styleId="212">
    <w:name w:val="Char Char9"/>
    <w:qFormat/>
    <w:uiPriority w:val="99"/>
    <w:rPr>
      <w:rFonts w:eastAsia="宋体"/>
      <w:b/>
      <w:bCs/>
      <w:kern w:val="44"/>
      <w:sz w:val="32"/>
      <w:szCs w:val="44"/>
      <w:lang w:val="en-US" w:eastAsia="zh-CN" w:bidi="ar-SA"/>
    </w:rPr>
  </w:style>
  <w:style w:type="character" w:customStyle="1" w:styleId="213">
    <w:name w:val="Char Char21"/>
    <w:qFormat/>
    <w:uiPriority w:val="99"/>
    <w:rPr>
      <w:rFonts w:ascii="Arial" w:hAnsi="Arial" w:eastAsia="黑体" w:cs="Times New Roman"/>
      <w:b/>
      <w:bCs/>
      <w:sz w:val="32"/>
      <w:szCs w:val="32"/>
    </w:rPr>
  </w:style>
  <w:style w:type="character" w:customStyle="1" w:styleId="214">
    <w:name w:val="Comment Subject Char"/>
    <w:qFormat/>
    <w:uiPriority w:val="99"/>
    <w:rPr>
      <w:b/>
      <w:sz w:val="24"/>
      <w:lang w:bidi="ar-SA"/>
    </w:rPr>
  </w:style>
  <w:style w:type="character" w:customStyle="1" w:styleId="215">
    <w:name w:val="Title Char"/>
    <w:qFormat/>
    <w:uiPriority w:val="99"/>
    <w:rPr>
      <w:rFonts w:ascii="Cambria" w:hAnsi="Cambria"/>
      <w:b/>
      <w:sz w:val="32"/>
      <w:lang w:bidi="ar-SA"/>
    </w:rPr>
  </w:style>
  <w:style w:type="character" w:customStyle="1" w:styleId="216">
    <w:name w:val="Heading 5 Char"/>
    <w:qFormat/>
    <w:uiPriority w:val="99"/>
    <w:rPr>
      <w:rFonts w:eastAsia="宋体"/>
      <w:b/>
      <w:bCs/>
      <w:kern w:val="2"/>
      <w:sz w:val="28"/>
      <w:szCs w:val="28"/>
      <w:lang w:val="en-US" w:eastAsia="zh-CN" w:bidi="ar-SA"/>
    </w:rPr>
  </w:style>
  <w:style w:type="character" w:customStyle="1" w:styleId="217">
    <w:name w:val="Body Text Indent Char"/>
    <w:qFormat/>
    <w:uiPriority w:val="99"/>
    <w:rPr>
      <w:rFonts w:ascii="宋体" w:hAnsi="宋体" w:eastAsia="宋体"/>
      <w:kern w:val="2"/>
      <w:sz w:val="21"/>
      <w:lang w:val="en-US" w:eastAsia="zh-CN" w:bidi="ar-SA"/>
    </w:rPr>
  </w:style>
  <w:style w:type="character" w:customStyle="1" w:styleId="218">
    <w:name w:val="Footnote Text Char"/>
    <w:qFormat/>
    <w:uiPriority w:val="99"/>
    <w:rPr>
      <w:rFonts w:eastAsia="宋体"/>
      <w:sz w:val="18"/>
      <w:lang w:val="en-US" w:eastAsia="zh-CN" w:bidi="ar-SA"/>
    </w:rPr>
  </w:style>
  <w:style w:type="character" w:customStyle="1" w:styleId="219">
    <w:name w:val="批注文字 Char1"/>
    <w:qFormat/>
    <w:uiPriority w:val="99"/>
    <w:rPr>
      <w:rFonts w:ascii="Times New Roman" w:hAnsi="Times New Roman" w:eastAsia="宋体" w:cs="Times New Roman"/>
      <w:szCs w:val="24"/>
    </w:rPr>
  </w:style>
  <w:style w:type="character" w:customStyle="1" w:styleId="220">
    <w:name w:val="标题 Char1"/>
    <w:qFormat/>
    <w:uiPriority w:val="99"/>
    <w:rPr>
      <w:rFonts w:ascii="Cambria" w:hAnsi="Cambria" w:eastAsia="宋体" w:cs="Times New Roman"/>
      <w:b/>
      <w:bCs/>
      <w:sz w:val="32"/>
      <w:szCs w:val="32"/>
    </w:rPr>
  </w:style>
  <w:style w:type="character" w:customStyle="1" w:styleId="221">
    <w:name w:val="Document Map Char"/>
    <w:qFormat/>
    <w:uiPriority w:val="99"/>
    <w:rPr>
      <w:rFonts w:eastAsia="宋体"/>
      <w:kern w:val="2"/>
      <w:sz w:val="21"/>
      <w:szCs w:val="24"/>
      <w:lang w:val="en-US" w:eastAsia="zh-CN" w:bidi="ar-SA"/>
    </w:rPr>
  </w:style>
  <w:style w:type="character" w:customStyle="1" w:styleId="222">
    <w:name w:val="Date Char"/>
    <w:qFormat/>
    <w:uiPriority w:val="99"/>
    <w:rPr>
      <w:rFonts w:eastAsia="宋体"/>
      <w:kern w:val="2"/>
      <w:sz w:val="21"/>
      <w:szCs w:val="24"/>
      <w:lang w:val="en-US" w:eastAsia="zh-CN" w:bidi="ar-SA"/>
    </w:rPr>
  </w:style>
  <w:style w:type="character" w:customStyle="1" w:styleId="223">
    <w:name w:val="Char Char181"/>
    <w:qFormat/>
    <w:uiPriority w:val="99"/>
    <w:rPr>
      <w:b/>
      <w:bCs/>
      <w:kern w:val="44"/>
      <w:sz w:val="44"/>
      <w:szCs w:val="44"/>
    </w:rPr>
  </w:style>
  <w:style w:type="character" w:customStyle="1" w:styleId="224">
    <w:name w:val="Header Char"/>
    <w:qFormat/>
    <w:uiPriority w:val="99"/>
    <w:rPr>
      <w:rFonts w:eastAsia="宋体"/>
      <w:kern w:val="2"/>
      <w:sz w:val="18"/>
      <w:szCs w:val="18"/>
      <w:lang w:val="en-US" w:eastAsia="zh-CN" w:bidi="ar-SA"/>
    </w:rPr>
  </w:style>
  <w:style w:type="character" w:customStyle="1" w:styleId="225">
    <w:name w:val="Char Char19"/>
    <w:qFormat/>
    <w:uiPriority w:val="99"/>
    <w:rPr>
      <w:rFonts w:ascii="Arial" w:hAnsi="Arial" w:eastAsia="宋体" w:cs="Times New Roman"/>
      <w:b/>
      <w:bCs/>
      <w:szCs w:val="28"/>
    </w:rPr>
  </w:style>
  <w:style w:type="character" w:customStyle="1" w:styleId="226">
    <w:name w:val="批注文字 Char2"/>
    <w:qFormat/>
    <w:uiPriority w:val="0"/>
    <w:rPr>
      <w:kern w:val="2"/>
      <w:sz w:val="21"/>
      <w:szCs w:val="24"/>
      <w:lang w:bidi="ar-SA"/>
    </w:rPr>
  </w:style>
  <w:style w:type="character" w:customStyle="1" w:styleId="227">
    <w:name w:val="Plain Text Char"/>
    <w:qFormat/>
    <w:uiPriority w:val="99"/>
    <w:rPr>
      <w:rFonts w:ascii="宋体" w:hAnsi="Courier New" w:eastAsia="宋体"/>
      <w:sz w:val="24"/>
      <w:lang w:bidi="ar-SA"/>
    </w:rPr>
  </w:style>
  <w:style w:type="character" w:customStyle="1" w:styleId="228">
    <w:name w:val="Heading 2 Char"/>
    <w:qFormat/>
    <w:uiPriority w:val="99"/>
    <w:rPr>
      <w:rFonts w:ascii="Arial" w:hAnsi="Arial" w:eastAsia="黑体"/>
      <w:b/>
      <w:bCs/>
      <w:kern w:val="2"/>
      <w:sz w:val="32"/>
      <w:szCs w:val="32"/>
      <w:lang w:val="en-US" w:eastAsia="zh-CN" w:bidi="ar-SA"/>
    </w:rPr>
  </w:style>
  <w:style w:type="character" w:customStyle="1" w:styleId="229">
    <w:name w:val="Heading 3 Char"/>
    <w:qFormat/>
    <w:uiPriority w:val="99"/>
    <w:rPr>
      <w:rFonts w:cs="Times New Roman"/>
      <w:b/>
      <w:bCs/>
      <w:kern w:val="2"/>
      <w:sz w:val="32"/>
      <w:szCs w:val="32"/>
    </w:rPr>
  </w:style>
  <w:style w:type="character" w:customStyle="1" w:styleId="230">
    <w:name w:val="Comment Text Char1"/>
    <w:qFormat/>
    <w:uiPriority w:val="99"/>
    <w:rPr>
      <w:sz w:val="24"/>
      <w:lang w:bidi="ar-SA"/>
    </w:rPr>
  </w:style>
  <w:style w:type="character" w:customStyle="1" w:styleId="231">
    <w:name w:val="Char Char24"/>
    <w:qFormat/>
    <w:uiPriority w:val="99"/>
    <w:rPr>
      <w:rFonts w:eastAsia="宋体"/>
      <w:b/>
      <w:bCs/>
      <w:kern w:val="44"/>
      <w:sz w:val="32"/>
      <w:szCs w:val="44"/>
      <w:lang w:val="en-US" w:eastAsia="zh-CN" w:bidi="ar-SA"/>
    </w:rPr>
  </w:style>
  <w:style w:type="character" w:customStyle="1" w:styleId="232">
    <w:name w:val="Char Char91"/>
    <w:qFormat/>
    <w:uiPriority w:val="99"/>
    <w:rPr>
      <w:rFonts w:eastAsia="宋体"/>
      <w:b/>
      <w:bCs/>
      <w:kern w:val="44"/>
      <w:sz w:val="32"/>
      <w:szCs w:val="44"/>
      <w:lang w:val="en-US" w:eastAsia="zh-CN" w:bidi="ar-SA"/>
    </w:rPr>
  </w:style>
  <w:style w:type="character" w:customStyle="1" w:styleId="233">
    <w:name w:val="Char Char6"/>
    <w:qFormat/>
    <w:uiPriority w:val="99"/>
    <w:rPr>
      <w:rFonts w:eastAsia="宋体"/>
      <w:b/>
      <w:bCs/>
      <w:kern w:val="44"/>
      <w:sz w:val="32"/>
      <w:szCs w:val="44"/>
      <w:lang w:val="en-US" w:eastAsia="zh-CN" w:bidi="ar-SA"/>
    </w:rPr>
  </w:style>
  <w:style w:type="character" w:customStyle="1" w:styleId="234">
    <w:name w:val="Heading 4 Char"/>
    <w:qFormat/>
    <w:uiPriority w:val="99"/>
    <w:rPr>
      <w:rFonts w:ascii="Arial" w:hAnsi="Arial" w:eastAsia="宋体"/>
      <w:b/>
      <w:bCs/>
      <w:kern w:val="2"/>
      <w:sz w:val="21"/>
      <w:szCs w:val="28"/>
      <w:lang w:val="en-US" w:eastAsia="zh-CN" w:bidi="ar-SA"/>
    </w:rPr>
  </w:style>
  <w:style w:type="paragraph" w:customStyle="1" w:styleId="235">
    <w:name w:val="无间隔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6">
    <w:name w:val="列出段落1"/>
    <w:basedOn w:val="1"/>
    <w:qFormat/>
    <w:uiPriority w:val="99"/>
    <w:pPr>
      <w:ind w:firstLine="420" w:firstLineChars="200"/>
    </w:pPr>
    <w:rPr>
      <w:rFonts w:ascii="Calibri" w:hAnsi="Calibri"/>
      <w:szCs w:val="22"/>
    </w:rPr>
  </w:style>
  <w:style w:type="character" w:customStyle="1" w:styleId="237">
    <w:name w:val="明显引用 Char2"/>
    <w:qFormat/>
    <w:uiPriority w:val="30"/>
    <w:rPr>
      <w:rFonts w:ascii="Times New Roman" w:hAnsi="Times New Roman" w:eastAsia="宋体" w:cs="Times New Roman"/>
      <w:b/>
      <w:bCs/>
      <w:i/>
      <w:iCs/>
      <w:color w:val="4F81BD"/>
      <w:szCs w:val="24"/>
    </w:rPr>
  </w:style>
  <w:style w:type="character" w:customStyle="1" w:styleId="238">
    <w:name w:val="脚注文本 Char1"/>
    <w:qFormat/>
    <w:uiPriority w:val="99"/>
    <w:rPr>
      <w:kern w:val="2"/>
      <w:sz w:val="18"/>
      <w:szCs w:val="18"/>
    </w:rPr>
  </w:style>
  <w:style w:type="character" w:customStyle="1" w:styleId="239">
    <w:name w:val="批注框文本 Char2"/>
    <w:semiHidden/>
    <w:qFormat/>
    <w:uiPriority w:val="99"/>
    <w:rPr>
      <w:rFonts w:ascii="Times New Roman" w:hAnsi="Times New Roman" w:eastAsia="宋体" w:cs="Times New Roman"/>
      <w:sz w:val="18"/>
      <w:szCs w:val="18"/>
    </w:rPr>
  </w:style>
  <w:style w:type="character" w:customStyle="1" w:styleId="240">
    <w:name w:val="标题 Char3"/>
    <w:qFormat/>
    <w:uiPriority w:val="10"/>
    <w:rPr>
      <w:rFonts w:ascii="Cambria" w:hAnsi="Cambria" w:eastAsia="宋体" w:cs="Times New Roman"/>
      <w:b/>
      <w:bCs/>
      <w:sz w:val="32"/>
      <w:szCs w:val="32"/>
    </w:rPr>
  </w:style>
  <w:style w:type="character" w:customStyle="1" w:styleId="241">
    <w:name w:val="文档结构图 Char2"/>
    <w:semiHidden/>
    <w:qFormat/>
    <w:uiPriority w:val="99"/>
    <w:rPr>
      <w:rFonts w:ascii="宋体" w:hAnsi="Times New Roman" w:eastAsia="宋体" w:cs="Times New Roman"/>
      <w:sz w:val="18"/>
      <w:szCs w:val="18"/>
    </w:rPr>
  </w:style>
  <w:style w:type="character" w:customStyle="1" w:styleId="242">
    <w:name w:val="页脚 Char1"/>
    <w:semiHidden/>
    <w:qFormat/>
    <w:uiPriority w:val="99"/>
    <w:rPr>
      <w:rFonts w:ascii="Times New Roman" w:hAnsi="Times New Roman" w:eastAsia="宋体" w:cs="Times New Roman"/>
      <w:sz w:val="18"/>
      <w:szCs w:val="18"/>
    </w:rPr>
  </w:style>
  <w:style w:type="character" w:customStyle="1" w:styleId="243">
    <w:name w:val="正文文本 Char2"/>
    <w:semiHidden/>
    <w:qFormat/>
    <w:uiPriority w:val="99"/>
    <w:rPr>
      <w:rFonts w:ascii="Times New Roman" w:hAnsi="Times New Roman" w:eastAsia="宋体" w:cs="Times New Roman"/>
      <w:szCs w:val="24"/>
    </w:rPr>
  </w:style>
  <w:style w:type="character" w:customStyle="1" w:styleId="244">
    <w:name w:val="批注文字 Char3"/>
    <w:semiHidden/>
    <w:qFormat/>
    <w:uiPriority w:val="99"/>
    <w:rPr>
      <w:rFonts w:ascii="Times New Roman" w:hAnsi="Times New Roman" w:eastAsia="宋体" w:cs="Times New Roman"/>
      <w:szCs w:val="24"/>
    </w:rPr>
  </w:style>
  <w:style w:type="character" w:customStyle="1" w:styleId="245">
    <w:name w:val="批注主题 Char2"/>
    <w:semiHidden/>
    <w:qFormat/>
    <w:uiPriority w:val="99"/>
    <w:rPr>
      <w:rFonts w:ascii="Times New Roman" w:hAnsi="Times New Roman" w:eastAsia="宋体" w:cs="Times New Roman"/>
      <w:b/>
      <w:bCs/>
      <w:szCs w:val="24"/>
    </w:rPr>
  </w:style>
  <w:style w:type="character" w:customStyle="1" w:styleId="246">
    <w:name w:val="日期 Char2"/>
    <w:semiHidden/>
    <w:qFormat/>
    <w:uiPriority w:val="99"/>
    <w:rPr>
      <w:rFonts w:ascii="Times New Roman" w:hAnsi="Times New Roman" w:eastAsia="宋体" w:cs="Times New Roman"/>
      <w:szCs w:val="24"/>
    </w:rPr>
  </w:style>
  <w:style w:type="paragraph" w:customStyle="1" w:styleId="247">
    <w:name w:val="p0"/>
    <w:basedOn w:val="1"/>
    <w:qFormat/>
    <w:uiPriority w:val="99"/>
    <w:pPr>
      <w:widowControl/>
    </w:pPr>
    <w:rPr>
      <w:rFonts w:ascii="Calibri" w:hAnsi="Calibri" w:cs="宋体"/>
      <w:kern w:val="0"/>
      <w:szCs w:val="21"/>
    </w:rPr>
  </w:style>
  <w:style w:type="paragraph" w:customStyle="1" w:styleId="248">
    <w:name w:val="_Style 37"/>
    <w:basedOn w:val="1"/>
    <w:next w:val="1"/>
    <w:qFormat/>
    <w:uiPriority w:val="99"/>
  </w:style>
  <w:style w:type="character" w:customStyle="1" w:styleId="249">
    <w:name w:val="页眉 Char1"/>
    <w:semiHidden/>
    <w:qFormat/>
    <w:uiPriority w:val="99"/>
    <w:rPr>
      <w:rFonts w:ascii="Times New Roman" w:hAnsi="Times New Roman" w:eastAsia="宋体" w:cs="Times New Roman"/>
      <w:sz w:val="18"/>
      <w:szCs w:val="18"/>
    </w:rPr>
  </w:style>
  <w:style w:type="character" w:customStyle="1" w:styleId="250">
    <w:name w:val="纯文本 Char2"/>
    <w:semiHidden/>
    <w:qFormat/>
    <w:uiPriority w:val="99"/>
    <w:rPr>
      <w:rFonts w:ascii="宋体" w:hAnsi="Courier New" w:eastAsia="宋体" w:cs="Courier New"/>
      <w:szCs w:val="21"/>
    </w:rPr>
  </w:style>
  <w:style w:type="character" w:customStyle="1" w:styleId="251">
    <w:name w:val="正文文本缩进 Char1"/>
    <w:semiHidden/>
    <w:qFormat/>
    <w:uiPriority w:val="99"/>
    <w:rPr>
      <w:rFonts w:ascii="Times New Roman" w:hAnsi="Times New Roman" w:eastAsia="宋体" w:cs="Times New Roman"/>
      <w:szCs w:val="24"/>
    </w:rPr>
  </w:style>
  <w:style w:type="character" w:customStyle="1" w:styleId="252">
    <w:name w:val="引用 Char2"/>
    <w:qFormat/>
    <w:uiPriority w:val="29"/>
    <w:rPr>
      <w:rFonts w:ascii="Times New Roman" w:hAnsi="Times New Roman" w:eastAsia="宋体" w:cs="Times New Roman"/>
      <w:i/>
      <w:iCs/>
      <w:color w:val="000000"/>
      <w:szCs w:val="24"/>
    </w:rPr>
  </w:style>
  <w:style w:type="paragraph" w:customStyle="1" w:styleId="253">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254">
    <w:name w:val="正文文本缩进 2 Char1"/>
    <w:semiHidden/>
    <w:qFormat/>
    <w:uiPriority w:val="99"/>
    <w:rPr>
      <w:rFonts w:ascii="Times New Roman" w:hAnsi="Times New Roman" w:eastAsia="宋体" w:cs="Times New Roman"/>
      <w:szCs w:val="24"/>
    </w:rPr>
  </w:style>
  <w:style w:type="paragraph" w:customStyle="1" w:styleId="255">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6">
    <w:name w:val="正文_1"/>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257">
    <w:name w:val="批注文字 字符"/>
    <w:qFormat/>
    <w:locked/>
    <w:uiPriority w:val="0"/>
    <w:rPr>
      <w:rFonts w:eastAsia="宋体"/>
      <w:kern w:val="2"/>
      <w:sz w:val="24"/>
      <w:szCs w:val="24"/>
      <w:lang w:val="en-US" w:eastAsia="zh-CN"/>
    </w:rPr>
  </w:style>
  <w:style w:type="character" w:customStyle="1" w:styleId="258">
    <w:name w:val="标题 7 字符"/>
    <w:qFormat/>
    <w:uiPriority w:val="9"/>
    <w:rPr>
      <w:b/>
      <w:bCs/>
      <w:kern w:val="2"/>
      <w:sz w:val="24"/>
      <w:szCs w:val="24"/>
    </w:rPr>
  </w:style>
  <w:style w:type="character" w:customStyle="1" w:styleId="259">
    <w:name w:val="明显引用 字符"/>
    <w:qFormat/>
    <w:uiPriority w:val="0"/>
    <w:rPr>
      <w:b/>
      <w:bCs/>
      <w:i/>
      <w:iCs/>
      <w:color w:val="4F81BD"/>
      <w:kern w:val="2"/>
      <w:sz w:val="21"/>
      <w:szCs w:val="22"/>
    </w:rPr>
  </w:style>
  <w:style w:type="character" w:customStyle="1" w:styleId="260">
    <w:name w:val="标题 1 字符"/>
    <w:qFormat/>
    <w:uiPriority w:val="99"/>
    <w:rPr>
      <w:b/>
      <w:bCs/>
      <w:kern w:val="44"/>
      <w:sz w:val="44"/>
      <w:szCs w:val="44"/>
    </w:rPr>
  </w:style>
  <w:style w:type="character" w:customStyle="1" w:styleId="261">
    <w:name w:val="日期 字符"/>
    <w:qFormat/>
    <w:uiPriority w:val="99"/>
    <w:rPr>
      <w:rFonts w:ascii="宋体" w:hAnsi="Times New Roman"/>
      <w:sz w:val="28"/>
    </w:rPr>
  </w:style>
  <w:style w:type="character" w:customStyle="1" w:styleId="262">
    <w:name w:val="页眉 字符"/>
    <w:qFormat/>
    <w:uiPriority w:val="99"/>
    <w:rPr>
      <w:kern w:val="2"/>
      <w:sz w:val="18"/>
      <w:szCs w:val="18"/>
    </w:rPr>
  </w:style>
  <w:style w:type="character" w:customStyle="1" w:styleId="263">
    <w:name w:val="文档结构图 字符"/>
    <w:qFormat/>
    <w:uiPriority w:val="99"/>
    <w:rPr>
      <w:rFonts w:ascii="Times New Roman" w:hAnsi="Times New Roman"/>
      <w:szCs w:val="24"/>
      <w:shd w:val="clear" w:color="auto" w:fill="000080"/>
    </w:rPr>
  </w:style>
  <w:style w:type="character" w:customStyle="1" w:styleId="264">
    <w:name w:val="引用 字符"/>
    <w:qFormat/>
    <w:uiPriority w:val="0"/>
    <w:rPr>
      <w:i/>
      <w:iCs/>
      <w:color w:val="000000"/>
      <w:kern w:val="2"/>
      <w:sz w:val="21"/>
      <w:szCs w:val="22"/>
    </w:rPr>
  </w:style>
  <w:style w:type="character" w:customStyle="1" w:styleId="265">
    <w:name w:val="标题 5 字符"/>
    <w:qFormat/>
    <w:uiPriority w:val="99"/>
    <w:rPr>
      <w:b/>
      <w:bCs/>
      <w:kern w:val="2"/>
      <w:sz w:val="28"/>
      <w:szCs w:val="28"/>
    </w:rPr>
  </w:style>
  <w:style w:type="character" w:customStyle="1" w:styleId="266">
    <w:name w:val="正文文本 字符"/>
    <w:qFormat/>
    <w:uiPriority w:val="99"/>
    <w:rPr>
      <w:rFonts w:ascii="Times New Roman" w:hAnsi="Times New Roman"/>
    </w:rPr>
  </w:style>
  <w:style w:type="character" w:customStyle="1" w:styleId="267">
    <w:name w:val="批注框文本 字符"/>
    <w:qFormat/>
    <w:uiPriority w:val="99"/>
    <w:rPr>
      <w:rFonts w:ascii="宋体" w:hAnsi="Times New Roman"/>
      <w:sz w:val="18"/>
      <w:szCs w:val="18"/>
    </w:rPr>
  </w:style>
  <w:style w:type="character" w:customStyle="1" w:styleId="268">
    <w:name w:val="标题 8 字符"/>
    <w:qFormat/>
    <w:uiPriority w:val="9"/>
    <w:rPr>
      <w:rFonts w:ascii="Cambria" w:hAnsi="Cambria" w:eastAsia="宋体" w:cs="Times New Roman"/>
      <w:kern w:val="2"/>
      <w:sz w:val="24"/>
      <w:szCs w:val="24"/>
    </w:rPr>
  </w:style>
  <w:style w:type="character" w:customStyle="1" w:styleId="269">
    <w:name w:val="批注主题 字符"/>
    <w:qFormat/>
    <w:uiPriority w:val="99"/>
    <w:rPr>
      <w:rFonts w:ascii="宋体" w:hAnsi="Times New Roman"/>
      <w:b/>
      <w:bCs/>
      <w:sz w:val="28"/>
    </w:rPr>
  </w:style>
  <w:style w:type="character" w:customStyle="1" w:styleId="270">
    <w:name w:val="标题 4 字符"/>
    <w:qFormat/>
    <w:uiPriority w:val="99"/>
    <w:rPr>
      <w:rFonts w:ascii="Cambria" w:hAnsi="Cambria" w:eastAsia="宋体" w:cs="Times New Roman"/>
      <w:b/>
      <w:bCs/>
      <w:kern w:val="2"/>
      <w:sz w:val="28"/>
      <w:szCs w:val="28"/>
    </w:rPr>
  </w:style>
  <w:style w:type="character" w:customStyle="1" w:styleId="271">
    <w:name w:val="标题 9 字符"/>
    <w:qFormat/>
    <w:uiPriority w:val="9"/>
    <w:rPr>
      <w:rFonts w:ascii="Cambria" w:hAnsi="Cambria" w:eastAsia="宋体" w:cs="Times New Roman"/>
      <w:kern w:val="2"/>
      <w:sz w:val="21"/>
      <w:szCs w:val="21"/>
    </w:rPr>
  </w:style>
  <w:style w:type="character" w:customStyle="1" w:styleId="272">
    <w:name w:val="标题 2 字符"/>
    <w:qFormat/>
    <w:uiPriority w:val="99"/>
    <w:rPr>
      <w:rFonts w:ascii="Cambria" w:hAnsi="Cambria" w:eastAsia="宋体" w:cs="Times New Roman"/>
      <w:b/>
      <w:bCs/>
      <w:kern w:val="2"/>
      <w:sz w:val="32"/>
      <w:szCs w:val="32"/>
    </w:rPr>
  </w:style>
  <w:style w:type="character" w:customStyle="1" w:styleId="273">
    <w:name w:val="标题 3 字符"/>
    <w:qFormat/>
    <w:uiPriority w:val="99"/>
    <w:rPr>
      <w:b/>
      <w:bCs/>
      <w:kern w:val="2"/>
      <w:sz w:val="32"/>
      <w:szCs w:val="32"/>
    </w:rPr>
  </w:style>
  <w:style w:type="character" w:customStyle="1" w:styleId="274">
    <w:name w:val="标题 字符"/>
    <w:qFormat/>
    <w:uiPriority w:val="99"/>
    <w:rPr>
      <w:rFonts w:ascii="Cambria" w:hAnsi="Cambria" w:cs="Times New Roman"/>
      <w:b/>
      <w:bCs/>
      <w:kern w:val="2"/>
      <w:sz w:val="32"/>
      <w:szCs w:val="32"/>
    </w:rPr>
  </w:style>
  <w:style w:type="character" w:customStyle="1" w:styleId="275">
    <w:name w:val="标题 6 字符"/>
    <w:qFormat/>
    <w:uiPriority w:val="9"/>
    <w:rPr>
      <w:rFonts w:ascii="Cambria" w:hAnsi="Cambria" w:eastAsia="宋体" w:cs="Times New Roman"/>
      <w:b/>
      <w:bCs/>
      <w:kern w:val="2"/>
      <w:sz w:val="24"/>
      <w:szCs w:val="24"/>
    </w:rPr>
  </w:style>
  <w:style w:type="character" w:customStyle="1" w:styleId="276">
    <w:name w:val="副标题 字符"/>
    <w:qFormat/>
    <w:uiPriority w:val="11"/>
    <w:rPr>
      <w:rFonts w:ascii="Cambria" w:hAnsi="Cambria" w:cs="Times New Roman"/>
      <w:b/>
      <w:bCs/>
      <w:kern w:val="28"/>
      <w:sz w:val="32"/>
      <w:szCs w:val="32"/>
    </w:rPr>
  </w:style>
  <w:style w:type="character" w:customStyle="1" w:styleId="277">
    <w:name w:val="页脚 字符"/>
    <w:qFormat/>
    <w:uiPriority w:val="99"/>
    <w:rPr>
      <w:kern w:val="2"/>
      <w:sz w:val="18"/>
      <w:szCs w:val="18"/>
    </w:rPr>
  </w:style>
  <w:style w:type="character" w:customStyle="1" w:styleId="278">
    <w:name w:val="不明显参考1"/>
    <w:qFormat/>
    <w:uiPriority w:val="99"/>
    <w:rPr>
      <w:smallCaps/>
      <w:color w:val="auto"/>
      <w:u w:val="single"/>
    </w:rPr>
  </w:style>
  <w:style w:type="character" w:customStyle="1" w:styleId="279">
    <w:name w:val="明显参考1"/>
    <w:qFormat/>
    <w:uiPriority w:val="99"/>
    <w:rPr>
      <w:b/>
      <w:bCs/>
      <w:smallCaps/>
      <w:color w:val="auto"/>
      <w:spacing w:val="5"/>
      <w:u w:val="single"/>
    </w:rPr>
  </w:style>
  <w:style w:type="character" w:customStyle="1" w:styleId="280">
    <w:name w:val="明显强调1"/>
    <w:qFormat/>
    <w:uiPriority w:val="99"/>
    <w:rPr>
      <w:b/>
      <w:bCs/>
      <w:i/>
      <w:iCs/>
      <w:color w:val="4F81BD"/>
    </w:rPr>
  </w:style>
  <w:style w:type="character" w:customStyle="1" w:styleId="281">
    <w:name w:val="书籍标题1"/>
    <w:qFormat/>
    <w:uiPriority w:val="99"/>
    <w:rPr>
      <w:b/>
      <w:bCs/>
      <w:smallCaps/>
      <w:spacing w:val="5"/>
    </w:rPr>
  </w:style>
  <w:style w:type="character" w:customStyle="1" w:styleId="282">
    <w:name w:val="不明显强调1"/>
    <w:qFormat/>
    <w:uiPriority w:val="99"/>
    <w:rPr>
      <w:i/>
      <w:iCs/>
      <w:color w:val="808080"/>
    </w:rPr>
  </w:style>
  <w:style w:type="paragraph" w:customStyle="1" w:styleId="283">
    <w:name w:val="TOC 标题1"/>
    <w:basedOn w:val="2"/>
    <w:next w:val="1"/>
    <w:qFormat/>
    <w:uiPriority w:val="99"/>
    <w:pPr>
      <w:outlineLvl w:val="9"/>
    </w:pPr>
    <w:rPr>
      <w:rFonts w:ascii="Calibri" w:hAnsi="Calibri" w:eastAsia="黑体" w:cs="Calibri"/>
      <w:lang w:val="zh-CN"/>
    </w:rPr>
  </w:style>
  <w:style w:type="paragraph" w:customStyle="1" w:styleId="284">
    <w:name w:val="列出段落2"/>
    <w:basedOn w:val="1"/>
    <w:qFormat/>
    <w:uiPriority w:val="99"/>
    <w:pPr>
      <w:ind w:firstLine="420" w:firstLineChars="200"/>
    </w:pPr>
    <w:rPr>
      <w:rFonts w:ascii="Calibri" w:hAnsi="Calibri" w:cs="Calibri"/>
      <w:szCs w:val="21"/>
    </w:rPr>
  </w:style>
  <w:style w:type="paragraph" w:customStyle="1" w:styleId="285">
    <w:name w:val="引用1"/>
    <w:basedOn w:val="1"/>
    <w:next w:val="1"/>
    <w:qFormat/>
    <w:uiPriority w:val="99"/>
    <w:rPr>
      <w:i/>
      <w:iCs/>
      <w:color w:val="000000"/>
      <w:kern w:val="0"/>
      <w:sz w:val="20"/>
      <w:szCs w:val="20"/>
    </w:rPr>
  </w:style>
  <w:style w:type="paragraph" w:customStyle="1" w:styleId="286">
    <w:name w:val="无间隔1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7">
    <w:name w:val="修订1"/>
    <w:qFormat/>
    <w:uiPriority w:val="99"/>
    <w:rPr>
      <w:rFonts w:ascii="Times New Roman" w:hAnsi="Times New Roman" w:eastAsia="宋体" w:cs="Times New Roman"/>
      <w:kern w:val="2"/>
      <w:sz w:val="21"/>
      <w:szCs w:val="21"/>
      <w:lang w:val="en-US" w:eastAsia="zh-CN" w:bidi="ar-SA"/>
    </w:rPr>
  </w:style>
  <w:style w:type="paragraph" w:customStyle="1" w:styleId="288">
    <w:name w:val="明显引用1"/>
    <w:basedOn w:val="1"/>
    <w:next w:val="1"/>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289">
    <w:name w:val="纯文本 字符"/>
    <w:qFormat/>
    <w:uiPriority w:val="0"/>
    <w:rPr>
      <w:rFonts w:ascii="宋体" w:hAnsi="Courier New" w:cs="宋体"/>
      <w:kern w:val="2"/>
      <w:sz w:val="24"/>
      <w:szCs w:val="24"/>
    </w:rPr>
  </w:style>
  <w:style w:type="character" w:customStyle="1" w:styleId="290">
    <w:name w:val="批注文字 字符1"/>
    <w:qFormat/>
    <w:uiPriority w:val="0"/>
    <w:rPr>
      <w:kern w:val="2"/>
      <w:sz w:val="21"/>
      <w:szCs w:val="22"/>
    </w:rPr>
  </w:style>
  <w:style w:type="paragraph" w:customStyle="1" w:styleId="291">
    <w:name w:val="正文_0_0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292">
    <w:name w:val="_Style 291"/>
    <w:unhideWhenUsed/>
    <w:qFormat/>
    <w:uiPriority w:val="99"/>
    <w:rPr>
      <w:color w:val="605E5C"/>
      <w:shd w:val="clear" w:color="auto" w:fill="E1DFDD"/>
    </w:rPr>
  </w:style>
  <w:style w:type="character" w:customStyle="1" w:styleId="293">
    <w:name w:val="纯文本 字符1"/>
    <w:qFormat/>
    <w:uiPriority w:val="99"/>
    <w:rPr>
      <w:rFonts w:ascii="宋体" w:hAnsi="Courier New" w:eastAsia="宋体" w:cs="Courier New"/>
      <w:kern w:val="2"/>
      <w:sz w:val="21"/>
      <w:szCs w:val="21"/>
      <w:lang w:val="en-US" w:eastAsia="zh-CN" w:bidi="ar-SA"/>
    </w:rPr>
  </w:style>
  <w:style w:type="character" w:customStyle="1" w:styleId="294">
    <w:name w:val="页眉 字符1"/>
    <w:qFormat/>
    <w:uiPriority w:val="99"/>
    <w:rPr>
      <w:sz w:val="18"/>
      <w:szCs w:val="18"/>
    </w:rPr>
  </w:style>
  <w:style w:type="character" w:customStyle="1" w:styleId="295">
    <w:name w:val="文档结构图 字符1"/>
    <w:qFormat/>
    <w:uiPriority w:val="99"/>
    <w:rPr>
      <w:shd w:val="clear" w:color="auto" w:fill="000080"/>
    </w:rPr>
  </w:style>
  <w:style w:type="character" w:customStyle="1" w:styleId="296">
    <w:name w:val="批注文字 字符2"/>
    <w:qFormat/>
    <w:uiPriority w:val="0"/>
    <w:rPr>
      <w:szCs w:val="24"/>
    </w:rPr>
  </w:style>
  <w:style w:type="character" w:customStyle="1" w:styleId="297">
    <w:name w:val="标题 字符1"/>
    <w:qFormat/>
    <w:uiPriority w:val="99"/>
    <w:rPr>
      <w:sz w:val="30"/>
      <w:szCs w:val="24"/>
    </w:rPr>
  </w:style>
  <w:style w:type="character" w:customStyle="1" w:styleId="298">
    <w:name w:val="标题 6 字符1"/>
    <w:qFormat/>
    <w:uiPriority w:val="0"/>
    <w:rPr>
      <w:rFonts w:ascii="Arial" w:hAnsi="Arial" w:eastAsia="黑体" w:cs="Times New Roman"/>
      <w:b/>
      <w:sz w:val="24"/>
      <w:szCs w:val="24"/>
    </w:rPr>
  </w:style>
  <w:style w:type="character" w:customStyle="1" w:styleId="299">
    <w:name w:val="正文文本 字符1"/>
    <w:qFormat/>
    <w:uiPriority w:val="99"/>
    <w:rPr>
      <w:sz w:val="24"/>
      <w:szCs w:val="24"/>
    </w:rPr>
  </w:style>
  <w:style w:type="character" w:customStyle="1" w:styleId="300">
    <w:name w:val="批注主题 字符1"/>
    <w:qFormat/>
    <w:uiPriority w:val="99"/>
    <w:rPr>
      <w:b/>
      <w:bCs/>
      <w:szCs w:val="24"/>
    </w:rPr>
  </w:style>
  <w:style w:type="character" w:customStyle="1" w:styleId="301">
    <w:name w:val="标题 1 字符1"/>
    <w:qFormat/>
    <w:uiPriority w:val="0"/>
    <w:rPr>
      <w:rFonts w:ascii="Times New Roman" w:hAnsi="Times New Roman" w:eastAsia="宋体" w:cs="Times New Roman"/>
      <w:b/>
      <w:bCs/>
      <w:kern w:val="44"/>
      <w:sz w:val="44"/>
      <w:szCs w:val="44"/>
    </w:rPr>
  </w:style>
  <w:style w:type="character" w:customStyle="1" w:styleId="302">
    <w:name w:val="标题 2 字符1"/>
    <w:qFormat/>
    <w:uiPriority w:val="0"/>
    <w:rPr>
      <w:rFonts w:ascii="Arial" w:hAnsi="Arial" w:eastAsia="黑体" w:cs="Times New Roman"/>
      <w:b/>
      <w:bCs/>
      <w:sz w:val="32"/>
      <w:szCs w:val="32"/>
    </w:rPr>
  </w:style>
  <w:style w:type="character" w:customStyle="1" w:styleId="303">
    <w:name w:val="标题 4 字符1"/>
    <w:qFormat/>
    <w:uiPriority w:val="0"/>
    <w:rPr>
      <w:rFonts w:ascii="Arial" w:hAnsi="Arial" w:eastAsia="黑体" w:cs="Times New Roman"/>
      <w:kern w:val="0"/>
      <w:sz w:val="28"/>
      <w:szCs w:val="20"/>
    </w:rPr>
  </w:style>
  <w:style w:type="character" w:customStyle="1" w:styleId="304">
    <w:name w:val="页脚 字符1"/>
    <w:qFormat/>
    <w:uiPriority w:val="99"/>
    <w:rPr>
      <w:sz w:val="18"/>
      <w:szCs w:val="18"/>
    </w:rPr>
  </w:style>
  <w:style w:type="character" w:customStyle="1" w:styleId="305">
    <w:name w:val="日期 字符1"/>
    <w:qFormat/>
    <w:uiPriority w:val="99"/>
    <w:rPr>
      <w:rFonts w:ascii="宋体" w:hAnsi="Courier New" w:cs="Courier New"/>
      <w:szCs w:val="21"/>
    </w:rPr>
  </w:style>
  <w:style w:type="character" w:customStyle="1" w:styleId="306">
    <w:name w:val="正文文本缩进 字符1"/>
    <w:qFormat/>
    <w:uiPriority w:val="99"/>
    <w:rPr>
      <w:rFonts w:ascii="仿宋_GB2312" w:eastAsia="仿宋_GB2312"/>
      <w:sz w:val="32"/>
    </w:rPr>
  </w:style>
  <w:style w:type="character" w:customStyle="1" w:styleId="307">
    <w:name w:val="标题 8 字符1"/>
    <w:qFormat/>
    <w:uiPriority w:val="0"/>
    <w:rPr>
      <w:rFonts w:ascii="Arial" w:hAnsi="Arial" w:eastAsia="黑体" w:cs="Times New Roman"/>
      <w:sz w:val="24"/>
      <w:szCs w:val="24"/>
    </w:rPr>
  </w:style>
  <w:style w:type="character" w:customStyle="1" w:styleId="308">
    <w:name w:val="正文文本缩进 2 字符1"/>
    <w:qFormat/>
    <w:uiPriority w:val="99"/>
    <w:rPr>
      <w:sz w:val="32"/>
    </w:rPr>
  </w:style>
  <w:style w:type="character" w:customStyle="1" w:styleId="309">
    <w:name w:val="z-窗体顶端 字符1"/>
    <w:qFormat/>
    <w:uiPriority w:val="0"/>
    <w:rPr>
      <w:rFonts w:ascii="Arial"/>
      <w:vanish/>
      <w:sz w:val="16"/>
      <w:szCs w:val="24"/>
    </w:rPr>
  </w:style>
  <w:style w:type="character" w:customStyle="1" w:styleId="310">
    <w:name w:val="正文文本 3 字符1"/>
    <w:qFormat/>
    <w:uiPriority w:val="0"/>
    <w:rPr>
      <w:b/>
      <w:bCs/>
      <w:sz w:val="24"/>
      <w:szCs w:val="24"/>
    </w:rPr>
  </w:style>
  <w:style w:type="character" w:customStyle="1" w:styleId="311">
    <w:name w:val="标题 7 字符1"/>
    <w:qFormat/>
    <w:uiPriority w:val="0"/>
    <w:rPr>
      <w:rFonts w:ascii="Times New Roman" w:hAnsi="Times New Roman" w:eastAsia="宋体" w:cs="Times New Roman"/>
      <w:b/>
      <w:sz w:val="24"/>
      <w:szCs w:val="24"/>
    </w:rPr>
  </w:style>
  <w:style w:type="character" w:customStyle="1" w:styleId="312">
    <w:name w:val="正文文本首行缩进 2 字符1"/>
    <w:qFormat/>
    <w:uiPriority w:val="0"/>
    <w:rPr>
      <w:kern w:val="2"/>
      <w:sz w:val="21"/>
      <w:szCs w:val="24"/>
    </w:rPr>
  </w:style>
  <w:style w:type="character" w:customStyle="1" w:styleId="313">
    <w:name w:val="正文文本缩进 3 字符1"/>
    <w:qFormat/>
    <w:uiPriority w:val="0"/>
    <w:rPr>
      <w:sz w:val="16"/>
      <w:szCs w:val="16"/>
    </w:rPr>
  </w:style>
  <w:style w:type="character" w:customStyle="1" w:styleId="314">
    <w:name w:val="标题 5 字符1"/>
    <w:qFormat/>
    <w:uiPriority w:val="0"/>
    <w:rPr>
      <w:rFonts w:ascii="Times New Roman" w:hAnsi="Times New Roman" w:eastAsia="宋体" w:cs="Times New Roman"/>
      <w:b/>
      <w:sz w:val="28"/>
      <w:szCs w:val="24"/>
    </w:rPr>
  </w:style>
  <w:style w:type="character" w:customStyle="1" w:styleId="315">
    <w:name w:val="批注框文本 字符1"/>
    <w:qFormat/>
    <w:uiPriority w:val="99"/>
    <w:rPr>
      <w:sz w:val="18"/>
      <w:szCs w:val="18"/>
    </w:rPr>
  </w:style>
  <w:style w:type="character" w:customStyle="1" w:styleId="316">
    <w:name w:val="标题 3 字符1"/>
    <w:qFormat/>
    <w:uiPriority w:val="0"/>
    <w:rPr>
      <w:rFonts w:ascii="Times New Roman" w:hAnsi="Times New Roman" w:eastAsia="宋体" w:cs="Times New Roman"/>
      <w:b/>
      <w:bCs/>
      <w:sz w:val="32"/>
      <w:szCs w:val="32"/>
    </w:rPr>
  </w:style>
  <w:style w:type="character" w:customStyle="1" w:styleId="317">
    <w:name w:val="标题 9 字符1"/>
    <w:qFormat/>
    <w:uiPriority w:val="0"/>
    <w:rPr>
      <w:rFonts w:ascii="Arial" w:hAnsi="Arial" w:eastAsia="黑体" w:cs="Times New Roman"/>
      <w:szCs w:val="24"/>
    </w:rPr>
  </w:style>
  <w:style w:type="character" w:customStyle="1" w:styleId="318">
    <w:name w:val="正文文本首行缩进 字符1"/>
    <w:qFormat/>
    <w:uiPriority w:val="0"/>
    <w:rPr>
      <w:kern w:val="2"/>
      <w:sz w:val="21"/>
      <w:szCs w:val="24"/>
    </w:rPr>
  </w:style>
  <w:style w:type="character" w:customStyle="1" w:styleId="319">
    <w:name w:val="正文文本 2 字符1"/>
    <w:qFormat/>
    <w:uiPriority w:val="0"/>
    <w:rPr>
      <w:szCs w:val="24"/>
    </w:rPr>
  </w:style>
  <w:style w:type="character" w:customStyle="1" w:styleId="320">
    <w:name w:val="HTML 预设格式 字符1"/>
    <w:qFormat/>
    <w:uiPriority w:val="0"/>
    <w:rPr>
      <w:rFonts w:ascii="黑体" w:hAnsi="Courier New" w:eastAsia="黑体" w:cs="Courier New"/>
    </w:rPr>
  </w:style>
  <w:style w:type="paragraph" w:customStyle="1" w:styleId="321">
    <w:name w:val="3"/>
    <w:basedOn w:val="1"/>
    <w:next w:val="120"/>
    <w:qFormat/>
    <w:uiPriority w:val="0"/>
    <w:pPr>
      <w:ind w:firstLine="420" w:firstLineChars="200"/>
    </w:pPr>
    <w:rPr>
      <w:rFonts w:ascii="Calibri" w:hAnsi="Calibri"/>
      <w:szCs w:val="22"/>
    </w:rPr>
  </w:style>
  <w:style w:type="character" w:customStyle="1" w:styleId="322">
    <w:name w:val="正文文本缩进 2 字符"/>
    <w:qFormat/>
    <w:uiPriority w:val="99"/>
    <w:rPr>
      <w:rFonts w:ascii="Times New Roman" w:hAnsi="Times New Roman" w:eastAsia="宋体" w:cs="Times New Roman"/>
      <w:szCs w:val="24"/>
    </w:rPr>
  </w:style>
  <w:style w:type="character" w:customStyle="1" w:styleId="323">
    <w:name w:val="正文文本缩进 字符"/>
    <w:qFormat/>
    <w:uiPriority w:val="99"/>
    <w:rPr>
      <w:rFonts w:ascii="Times New Roman" w:hAnsi="Times New Roman" w:eastAsia="宋体" w:cs="Times New Roman"/>
      <w:szCs w:val="24"/>
    </w:rPr>
  </w:style>
  <w:style w:type="character" w:customStyle="1" w:styleId="324">
    <w:name w:val="正文文本 3 字符"/>
    <w:semiHidden/>
    <w:qFormat/>
    <w:uiPriority w:val="99"/>
    <w:rPr>
      <w:rFonts w:ascii="Times New Roman" w:hAnsi="Times New Roman" w:eastAsia="宋体" w:cs="Times New Roman"/>
      <w:sz w:val="16"/>
      <w:szCs w:val="16"/>
    </w:rPr>
  </w:style>
  <w:style w:type="character" w:customStyle="1" w:styleId="325">
    <w:name w:val="HTML 预设格式 字符"/>
    <w:semiHidden/>
    <w:qFormat/>
    <w:uiPriority w:val="99"/>
    <w:rPr>
      <w:rFonts w:ascii="Courier New" w:hAnsi="Courier New" w:eastAsia="宋体" w:cs="Courier New"/>
      <w:sz w:val="20"/>
      <w:szCs w:val="20"/>
    </w:rPr>
  </w:style>
  <w:style w:type="character" w:customStyle="1" w:styleId="326">
    <w:name w:val="正文文本 2 字符"/>
    <w:semiHidden/>
    <w:qFormat/>
    <w:uiPriority w:val="99"/>
    <w:rPr>
      <w:rFonts w:ascii="Times New Roman" w:hAnsi="Times New Roman" w:eastAsia="宋体" w:cs="Times New Roman"/>
      <w:szCs w:val="24"/>
    </w:rPr>
  </w:style>
  <w:style w:type="character" w:customStyle="1" w:styleId="327">
    <w:name w:val="正文文本缩进 3 字符"/>
    <w:semiHidden/>
    <w:qFormat/>
    <w:uiPriority w:val="99"/>
    <w:rPr>
      <w:rFonts w:ascii="Times New Roman" w:hAnsi="Times New Roman" w:eastAsia="宋体" w:cs="Times New Roman"/>
      <w:sz w:val="16"/>
      <w:szCs w:val="16"/>
    </w:rPr>
  </w:style>
  <w:style w:type="paragraph" w:customStyle="1" w:styleId="328">
    <w:name w:val="Char Char Char Char Char Char Char Char Char Char Char Char Char Char Char Char1"/>
    <w:basedOn w:val="1"/>
    <w:qFormat/>
    <w:uiPriority w:val="0"/>
    <w:pPr>
      <w:tabs>
        <w:tab w:val="left" w:pos="360"/>
      </w:tabs>
      <w:spacing w:line="360" w:lineRule="auto"/>
      <w:ind w:left="482" w:firstLine="200" w:firstLineChars="200"/>
    </w:pPr>
    <w:rPr>
      <w:rFonts w:ascii="宋体"/>
      <w:sz w:val="24"/>
    </w:rPr>
  </w:style>
  <w:style w:type="paragraph" w:customStyle="1" w:styleId="329">
    <w:name w:val="Char Char Char2"/>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0">
    <w:name w:val="Char Char Char Char Char Char Char1"/>
    <w:basedOn w:val="1"/>
    <w:qFormat/>
    <w:uiPriority w:val="99"/>
  </w:style>
  <w:style w:type="paragraph" w:customStyle="1" w:styleId="331">
    <w:name w:val="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32">
    <w:name w:val="Char4"/>
    <w:basedOn w:val="1"/>
    <w:qFormat/>
    <w:uiPriority w:val="0"/>
    <w:pPr>
      <w:tabs>
        <w:tab w:val="left" w:pos="360"/>
      </w:tabs>
      <w:ind w:left="252" w:hanging="252" w:hangingChars="140"/>
    </w:pPr>
    <w:rPr>
      <w:rFonts w:ascii="宋体"/>
      <w:sz w:val="18"/>
      <w:szCs w:val="18"/>
    </w:rPr>
  </w:style>
  <w:style w:type="character" w:customStyle="1" w:styleId="333">
    <w:name w:val="z-窗体顶端 字符"/>
    <w:semiHidden/>
    <w:qFormat/>
    <w:uiPriority w:val="99"/>
    <w:rPr>
      <w:rFonts w:ascii="Arial" w:hAnsi="Arial" w:eastAsia="宋体" w:cs="Arial"/>
      <w:vanish/>
      <w:sz w:val="16"/>
      <w:szCs w:val="16"/>
    </w:rPr>
  </w:style>
  <w:style w:type="paragraph" w:customStyle="1" w:styleId="334">
    <w:name w:val="Char Char Char Char Char Char Char Char Char Char Char Char Char1"/>
    <w:basedOn w:val="16"/>
    <w:qFormat/>
    <w:uiPriority w:val="0"/>
    <w:pPr>
      <w:adjustRightInd/>
      <w:spacing w:line="240" w:lineRule="auto"/>
      <w:textAlignment w:val="auto"/>
    </w:pPr>
    <w:rPr>
      <w:rFonts w:ascii="Tahoma" w:hAnsi="Tahoma" w:eastAsia="等线" w:cs="Times New Roman"/>
      <w:kern w:val="2"/>
      <w:sz w:val="24"/>
      <w:szCs w:val="24"/>
    </w:rPr>
  </w:style>
  <w:style w:type="paragraph" w:customStyle="1" w:styleId="335">
    <w:name w:val="Char21"/>
    <w:basedOn w:val="1"/>
    <w:qFormat/>
    <w:uiPriority w:val="0"/>
    <w:pPr>
      <w:widowControl/>
      <w:spacing w:after="160" w:line="240" w:lineRule="exact"/>
      <w:jc w:val="left"/>
    </w:pPr>
    <w:rPr>
      <w:rFonts w:ascii="Verdana" w:hAnsi="Verdana"/>
      <w:kern w:val="0"/>
      <w:szCs w:val="20"/>
      <w:lang w:eastAsia="en-US"/>
    </w:rPr>
  </w:style>
  <w:style w:type="paragraph" w:customStyle="1" w:styleId="336">
    <w:name w:val="Char Char Char Char Char Char1 Char1"/>
    <w:basedOn w:val="1"/>
    <w:qFormat/>
    <w:uiPriority w:val="0"/>
    <w:pPr>
      <w:widowControl/>
      <w:spacing w:after="160" w:line="240" w:lineRule="exact"/>
      <w:jc w:val="left"/>
    </w:pPr>
    <w:rPr>
      <w:rFonts w:ascii="Arial" w:hAnsi="Arial" w:eastAsia="Times New Roman" w:cs="Verdana"/>
      <w:b/>
      <w:kern w:val="0"/>
      <w:sz w:val="24"/>
      <w:szCs w:val="20"/>
      <w:lang w:eastAsia="en-US"/>
    </w:rPr>
  </w:style>
  <w:style w:type="character" w:customStyle="1" w:styleId="337">
    <w:name w:val="明显引用 字符1"/>
    <w:qFormat/>
    <w:uiPriority w:val="99"/>
    <w:rPr>
      <w:b/>
      <w:bCs/>
      <w:i/>
      <w:iCs/>
      <w:color w:val="4F81BD"/>
    </w:rPr>
  </w:style>
  <w:style w:type="character" w:customStyle="1" w:styleId="338">
    <w:name w:val="副标题 字符1"/>
    <w:qFormat/>
    <w:uiPriority w:val="11"/>
    <w:rPr>
      <w:rFonts w:ascii="Cambria" w:hAnsi="Cambria"/>
      <w:b/>
      <w:bCs/>
      <w:kern w:val="28"/>
      <w:sz w:val="32"/>
      <w:szCs w:val="32"/>
    </w:rPr>
  </w:style>
  <w:style w:type="character" w:customStyle="1" w:styleId="339">
    <w:name w:val="引用 字符1"/>
    <w:qFormat/>
    <w:uiPriority w:val="99"/>
    <w:rPr>
      <w:i/>
      <w:iCs/>
      <w:color w:val="000000"/>
    </w:rPr>
  </w:style>
  <w:style w:type="character" w:customStyle="1" w:styleId="340">
    <w:name w:val="脚注文本 字符1"/>
    <w:qFormat/>
    <w:uiPriority w:val="99"/>
    <w:rPr>
      <w:sz w:val="18"/>
    </w:rPr>
  </w:style>
  <w:style w:type="character" w:customStyle="1" w:styleId="341">
    <w:name w:val="脚注文本 字符"/>
    <w:qFormat/>
    <w:uiPriority w:val="99"/>
    <w:rPr>
      <w:rFonts w:ascii="Times New Roman" w:hAnsi="Times New Roman" w:eastAsia="宋体" w:cs="Times New Roman"/>
      <w:sz w:val="18"/>
      <w:szCs w:val="18"/>
    </w:rPr>
  </w:style>
  <w:style w:type="character" w:customStyle="1" w:styleId="342">
    <w:name w:val="正文文本首行缩进 2 字符"/>
    <w:semiHidden/>
    <w:qFormat/>
    <w:uiPriority w:val="99"/>
  </w:style>
  <w:style w:type="character" w:customStyle="1" w:styleId="343">
    <w:name w:val="正文文本首行缩进 字符"/>
    <w:semiHidden/>
    <w:qFormat/>
    <w:uiPriority w:val="99"/>
    <w:rPr>
      <w:rFonts w:ascii="Times New Roman" w:hAnsi="Times New Roman" w:eastAsia="宋体" w:cs="Times New Roman"/>
      <w:szCs w:val="24"/>
    </w:rPr>
  </w:style>
  <w:style w:type="paragraph" w:customStyle="1" w:styleId="344">
    <w:name w:val="Body text|1"/>
    <w:basedOn w:val="1"/>
    <w:qFormat/>
    <w:uiPriority w:val="0"/>
    <w:pPr>
      <w:spacing w:line="360" w:lineRule="auto"/>
      <w:ind w:firstLine="400"/>
    </w:pPr>
    <w:rPr>
      <w:rFonts w:ascii="宋体" w:hAnsi="宋体" w:cs="宋体"/>
      <w:szCs w:val="20"/>
      <w:lang w:val="zh-CN" w:bidi="zh-CN"/>
    </w:rPr>
  </w:style>
  <w:style w:type="paragraph" w:customStyle="1" w:styleId="345">
    <w:name w:val="Table Text"/>
    <w:basedOn w:val="1"/>
    <w:qFormat/>
    <w:uiPriority w:val="0"/>
    <w:rPr>
      <w:rFonts w:ascii="Arial" w:hAnsi="Arial" w:eastAsia="Arial" w:cs="Arial"/>
      <w:szCs w:val="21"/>
      <w:lang w:eastAsia="en-US"/>
    </w:rPr>
  </w:style>
  <w:style w:type="table" w:customStyle="1" w:styleId="346">
    <w:name w:val="Table Normal"/>
    <w:qFormat/>
    <w:uiPriority w:val="0"/>
    <w:rPr>
      <w:rFonts w:ascii="等线" w:hAnsi="等线" w:eastAsia="等线" w:cs="Times New Roman"/>
    </w:rPr>
    <w:tblPr>
      <w:tblCellMar>
        <w:top w:w="0" w:type="dxa"/>
        <w:left w:w="0" w:type="dxa"/>
        <w:bottom w:w="0" w:type="dxa"/>
        <w:right w:w="0" w:type="dxa"/>
      </w:tblCellMar>
    </w:tblPr>
  </w:style>
  <w:style w:type="paragraph" w:customStyle="1" w:styleId="347">
    <w:name w:val="Table Paragraph"/>
    <w:basedOn w:val="1"/>
    <w:qFormat/>
    <w:uiPriority w:val="0"/>
    <w:rPr>
      <w:rFonts w:ascii="Times New Roman" w:hAnsi="Times New Roman" w:eastAsia="宋体" w:cs="Times New Roman"/>
    </w:rPr>
  </w:style>
  <w:style w:type="paragraph" w:customStyle="1" w:styleId="348">
    <w:name w:val="正文_2"/>
    <w:next w:val="34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9">
    <w:name w:val="页脚_0"/>
    <w:basedOn w:val="348"/>
    <w:next w:val="348"/>
    <w:qFormat/>
    <w:uiPriority w:val="99"/>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image" Target="media/image3.wmf"/><Relationship Id="rId22" Type="http://schemas.openxmlformats.org/officeDocument/2006/relationships/oleObject" Target="embeddings/oleObject1.bin"/><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148</Pages>
  <Words>7891</Words>
  <Characters>8789</Characters>
  <Lines>710</Lines>
  <Paragraphs>200</Paragraphs>
  <TotalTime>28</TotalTime>
  <ScaleCrop>false</ScaleCrop>
  <LinksUpToDate>false</LinksUpToDate>
  <CharactersWithSpaces>8941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2019-10-11T08:12:00Z</dcterms:created>
  <dc:creator>微软用户</dc:creator>
  <cp:lastModifiedBy>堇儿</cp:lastModifiedBy>
  <cp:lastPrinted>2016-03-22T07:52:00Z</cp:lastPrinted>
  <dcterms:modified xsi:type="dcterms:W3CDTF">2026-09-11T09:39:00Z</dcterms:modified>
  <dc:title>桂财采〔2009〕 号</dc:title>
  <cp:revision>701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Subject">
    <vt:lpwstr/>
  </property>
  <property fmtid="{D5CDD505-2E9C-101B-9397-08002B2CF9AE}" pid="4" name="Keywords">
    <vt:lpwstr/>
  </property>
  <property fmtid="{D5CDD505-2E9C-101B-9397-08002B2CF9AE}" pid="5" name="_Author">
    <vt:lpwstr>微软用户</vt:lpwstr>
  </property>
  <property fmtid="{D5CDD505-2E9C-101B-9397-08002B2CF9AE}" pid="6" name="_Category">
    <vt:lpwstr/>
  </property>
  <property fmtid="{D5CDD505-2E9C-101B-9397-08002B2CF9AE}" pid="7" name="Slides">
    <vt:lpwstr>0</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0x010100766A5C3ADF4EA94E9357209EBD74570E</vt:lpwstr>
  </property>
  <property fmtid="{D5CDD505-2E9C-101B-9397-08002B2CF9AE}" pid="13" name="ICV">
    <vt:lpwstr>9661CBED6F6F47F0B50F7C1CB593F25E_13</vt:lpwstr>
  </property>
  <property fmtid="{D5CDD505-2E9C-101B-9397-08002B2CF9AE}" pid="14" name="KSOTemplateDocerSaveRecord">
    <vt:lpwstr>eyJoZGlkIjoiNWFiZGI3MjdlMTI5ZDUyYjExZmYzM2IyZWZkN2JmNWUiLCJ1c2VySWQiOiI1NjYzODExNzYifQ==</vt:lpwstr>
  </property>
</Properties>
</file>