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D7EC7">
      <w:pPr>
        <w:tabs>
          <w:tab w:val="left" w:pos="7897"/>
        </w:tabs>
        <w:spacing w:before="120" w:beforeLines="50" w:line="360" w:lineRule="auto"/>
        <w:jc w:val="left"/>
        <w:rPr>
          <w:rFonts w:hint="eastAsia" w:ascii="宋体" w:hAnsi="宋体" w:eastAsia="宋体" w:cs="宋体"/>
          <w:color w:val="auto"/>
          <w:sz w:val="52"/>
          <w:szCs w:val="52"/>
          <w:highlight w:val="none"/>
          <w:lang w:val="en-US" w:eastAsia="zh-CN"/>
        </w:rPr>
      </w:pPr>
    </w:p>
    <w:p w14:paraId="0F50C949">
      <w:pPr>
        <w:tabs>
          <w:tab w:val="left" w:pos="7897"/>
        </w:tabs>
        <w:spacing w:before="120" w:beforeLines="50" w:line="360" w:lineRule="auto"/>
        <w:jc w:val="left"/>
        <w:rPr>
          <w:rFonts w:hint="eastAsia"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val="en-US" w:eastAsia="zh-CN"/>
        </w:rPr>
        <w:tab/>
      </w:r>
      <w:r>
        <w:rPr>
          <w:rFonts w:hint="eastAsia" w:ascii="宋体" w:hAnsi="宋体" w:eastAsia="宋体" w:cs="宋体"/>
          <w:color w:val="auto"/>
          <w:sz w:val="52"/>
          <w:szCs w:val="52"/>
          <w:highlight w:val="none"/>
          <w:lang w:val="en-US" w:eastAsia="zh-CN"/>
        </w:rPr>
        <w:tab/>
      </w:r>
      <w:r>
        <w:rPr>
          <w:rFonts w:hint="eastAsia" w:ascii="宋体" w:hAnsi="宋体" w:eastAsia="宋体" w:cs="宋体"/>
          <w:color w:val="auto"/>
          <w:sz w:val="52"/>
          <w:szCs w:val="52"/>
          <w:highlight w:val="none"/>
          <w:lang w:eastAsia="zh-CN"/>
        </w:rPr>
        <w:tab/>
      </w:r>
    </w:p>
    <w:p w14:paraId="31A95E5B">
      <w:pPr>
        <w:spacing w:before="120"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38E60CA0">
      <w:pPr>
        <w:spacing w:before="120" w:beforeLines="50" w:line="360" w:lineRule="auto"/>
        <w:jc w:val="center"/>
        <w:rPr>
          <w:rFonts w:hint="eastAsia" w:ascii="宋体" w:hAnsi="宋体" w:eastAsia="宋体" w:cs="宋体"/>
          <w:color w:val="auto"/>
          <w:sz w:val="36"/>
          <w:szCs w:val="36"/>
          <w:highlight w:val="none"/>
        </w:rPr>
      </w:pPr>
    </w:p>
    <w:p w14:paraId="29DBA090">
      <w:pPr>
        <w:snapToGrid w:val="0"/>
        <w:spacing w:before="120"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7A54B789">
      <w:pPr>
        <w:spacing w:before="240" w:beforeLines="100" w:after="120" w:afterLines="50"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（全流程电子化评标）</w:t>
      </w:r>
    </w:p>
    <w:p w14:paraId="09BB3504">
      <w:pPr>
        <w:spacing w:line="360" w:lineRule="auto"/>
        <w:rPr>
          <w:rFonts w:hint="eastAsia" w:ascii="宋体" w:hAnsi="宋体" w:eastAsia="宋体" w:cs="宋体"/>
          <w:b/>
          <w:color w:val="auto"/>
          <w:sz w:val="32"/>
          <w:szCs w:val="32"/>
          <w:highlight w:val="none"/>
        </w:rPr>
      </w:pPr>
    </w:p>
    <w:p w14:paraId="7DCA5D6B">
      <w:pPr>
        <w:spacing w:line="360" w:lineRule="auto"/>
        <w:jc w:val="center"/>
        <w:rPr>
          <w:rFonts w:hint="eastAsia" w:ascii="宋体" w:hAnsi="宋体" w:eastAsia="宋体" w:cs="宋体"/>
          <w:b/>
          <w:color w:val="auto"/>
          <w:sz w:val="32"/>
          <w:szCs w:val="32"/>
          <w:highlight w:val="none"/>
        </w:rPr>
      </w:pPr>
    </w:p>
    <w:p w14:paraId="225751C7">
      <w:pPr>
        <w:snapToGrid w:val="0"/>
        <w:spacing w:before="50" w:after="120" w:line="360" w:lineRule="auto"/>
        <w:ind w:firstLine="1684" w:firstLineChars="559"/>
        <w:rPr>
          <w:rFonts w:hint="eastAsia" w:ascii="宋体" w:hAnsi="宋体" w:eastAsia="宋体" w:cs="宋体"/>
          <w:b/>
          <w:bCs/>
          <w:color w:val="auto"/>
          <w:kern w:val="0"/>
          <w:sz w:val="30"/>
          <w:szCs w:val="30"/>
          <w:highlight w:val="none"/>
        </w:rPr>
      </w:pPr>
    </w:p>
    <w:p w14:paraId="76D93077">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rPr>
        <w:t>项目</w:t>
      </w:r>
      <w:r>
        <w:rPr>
          <w:rFonts w:hint="eastAsia" w:ascii="宋体" w:hAnsi="宋体" w:eastAsia="宋体" w:cs="宋体"/>
          <w:b/>
          <w:bCs/>
          <w:color w:val="auto"/>
          <w:w w:val="95"/>
          <w:kern w:val="0"/>
          <w:sz w:val="30"/>
          <w:szCs w:val="30"/>
          <w:highlight w:val="none"/>
        </w:rPr>
        <w:t>名称</w:t>
      </w:r>
      <w:r>
        <w:rPr>
          <w:rFonts w:hint="eastAsia" w:ascii="宋体" w:hAnsi="宋体" w:eastAsia="宋体" w:cs="宋体"/>
          <w:b/>
          <w:bCs/>
          <w:color w:val="auto"/>
          <w:kern w:val="0"/>
          <w:sz w:val="30"/>
          <w:szCs w:val="30"/>
          <w:highlight w:val="none"/>
        </w:rPr>
        <w:t>：</w:t>
      </w:r>
      <w:bookmarkStart w:id="0" w:name="OLE_LINK1"/>
      <w:r>
        <w:rPr>
          <w:rFonts w:hint="eastAsia" w:ascii="宋体" w:hAnsi="宋体" w:cs="宋体"/>
          <w:b/>
          <w:bCs/>
          <w:color w:val="auto"/>
          <w:kern w:val="0"/>
          <w:sz w:val="30"/>
          <w:szCs w:val="30"/>
          <w:highlight w:val="none"/>
          <w:lang w:eastAsia="zh-CN"/>
        </w:rPr>
        <w:t>南宁市可利大道第一幼儿园教学楼维修工程</w:t>
      </w:r>
    </w:p>
    <w:bookmarkEnd w:id="0"/>
    <w:p w14:paraId="62CCEC39">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rPr>
        <w:t>项目</w:t>
      </w:r>
      <w:r>
        <w:rPr>
          <w:rFonts w:hint="eastAsia" w:ascii="宋体" w:hAnsi="宋体" w:eastAsia="宋体" w:cs="宋体"/>
          <w:b/>
          <w:bCs/>
          <w:color w:val="auto"/>
          <w:kern w:val="0"/>
          <w:sz w:val="30"/>
          <w:szCs w:val="30"/>
          <w:highlight w:val="none"/>
          <w:lang w:eastAsia="zh-CN"/>
        </w:rPr>
        <w:t>编号：</w:t>
      </w:r>
      <w:r>
        <w:rPr>
          <w:rFonts w:hint="eastAsia" w:ascii="宋体" w:hAnsi="宋体" w:cs="宋体"/>
          <w:b/>
          <w:bCs/>
          <w:color w:val="auto"/>
          <w:kern w:val="0"/>
          <w:sz w:val="30"/>
          <w:szCs w:val="30"/>
          <w:highlight w:val="none"/>
          <w:lang w:eastAsia="zh-CN"/>
        </w:rPr>
        <w:t>NNZC2026-C2-070047-GXGG</w:t>
      </w:r>
    </w:p>
    <w:p w14:paraId="5B934EF5">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所属行政区划：南宁市西乡塘区</w:t>
      </w:r>
    </w:p>
    <w:p w14:paraId="31FEE9D7">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采购人：</w:t>
      </w:r>
      <w:r>
        <w:rPr>
          <w:rFonts w:hint="eastAsia" w:ascii="宋体" w:hAnsi="宋体" w:cs="宋体"/>
          <w:b/>
          <w:bCs/>
          <w:color w:val="auto"/>
          <w:kern w:val="0"/>
          <w:sz w:val="30"/>
          <w:szCs w:val="30"/>
          <w:highlight w:val="none"/>
          <w:lang w:eastAsia="zh-CN"/>
        </w:rPr>
        <w:t>南宁市可利大道第一幼儿园</w:t>
      </w:r>
    </w:p>
    <w:p w14:paraId="2E3A3366">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采购代理机构：广西桂工建设管理咨询有限公司</w:t>
      </w:r>
    </w:p>
    <w:p w14:paraId="4CC3C09E">
      <w:pPr>
        <w:snapToGrid w:val="0"/>
        <w:spacing w:before="50" w:after="120" w:line="360" w:lineRule="auto"/>
        <w:jc w:val="center"/>
        <w:rPr>
          <w:rFonts w:hint="eastAsia" w:ascii="宋体" w:hAnsi="宋体" w:eastAsia="宋体" w:cs="宋体"/>
          <w:b/>
          <w:bCs/>
          <w:color w:val="auto"/>
          <w:w w:val="95"/>
          <w:kern w:val="0"/>
          <w:sz w:val="30"/>
          <w:szCs w:val="30"/>
          <w:highlight w:val="none"/>
          <w:lang w:eastAsia="zh-CN"/>
        </w:rPr>
      </w:pPr>
    </w:p>
    <w:p w14:paraId="1D15A4AE">
      <w:pPr>
        <w:snapToGrid w:val="0"/>
        <w:spacing w:before="50" w:after="120" w:line="360" w:lineRule="auto"/>
        <w:jc w:val="center"/>
        <w:rPr>
          <w:rFonts w:hint="eastAsia" w:ascii="宋体" w:hAnsi="宋体" w:eastAsia="宋体" w:cs="宋体"/>
          <w:b/>
          <w:bCs/>
          <w:color w:val="auto"/>
          <w:w w:val="95"/>
          <w:sz w:val="30"/>
          <w:szCs w:val="30"/>
          <w:highlight w:val="none"/>
        </w:rPr>
        <w:sectPr>
          <w:headerReference r:id="rId3" w:type="default"/>
          <w:footerReference r:id="rId4" w:type="default"/>
          <w:footerReference r:id="rId5" w:type="even"/>
          <w:pgSz w:w="11911" w:h="16838"/>
          <w:pgMar w:top="1134" w:right="1134" w:bottom="1134" w:left="1134" w:header="720" w:footer="720" w:gutter="0"/>
          <w:pgBorders>
            <w:top w:val="none" w:sz="0" w:space="0"/>
            <w:left w:val="none" w:sz="0" w:space="0"/>
            <w:bottom w:val="none" w:sz="0" w:space="0"/>
            <w:right w:val="none" w:sz="0" w:space="0"/>
          </w:pgBorders>
          <w:pgNumType w:start="1"/>
          <w:cols w:space="720" w:num="1"/>
          <w:titlePg/>
          <w:docGrid w:linePitch="331" w:charSpace="0"/>
        </w:sectPr>
      </w:pPr>
      <w:r>
        <w:rPr>
          <w:rFonts w:hint="eastAsia" w:ascii="宋体" w:hAnsi="宋体" w:eastAsia="宋体" w:cs="宋体"/>
          <w:b/>
          <w:bCs/>
          <w:color w:val="auto"/>
          <w:w w:val="95"/>
          <w:kern w:val="0"/>
          <w:sz w:val="30"/>
          <w:szCs w:val="30"/>
          <w:highlight w:val="none"/>
          <w:lang w:eastAsia="zh-CN"/>
        </w:rPr>
        <w:t>202</w:t>
      </w:r>
      <w:r>
        <w:rPr>
          <w:rFonts w:hint="eastAsia" w:ascii="宋体" w:hAnsi="宋体" w:eastAsia="宋体" w:cs="宋体"/>
          <w:b/>
          <w:bCs/>
          <w:color w:val="auto"/>
          <w:w w:val="95"/>
          <w:kern w:val="0"/>
          <w:sz w:val="30"/>
          <w:szCs w:val="30"/>
          <w:highlight w:val="none"/>
          <w:lang w:val="en-US" w:eastAsia="zh-CN"/>
        </w:rPr>
        <w:t>6</w:t>
      </w:r>
      <w:r>
        <w:rPr>
          <w:rFonts w:hint="eastAsia" w:ascii="宋体" w:hAnsi="宋体" w:eastAsia="宋体" w:cs="宋体"/>
          <w:b/>
          <w:bCs/>
          <w:color w:val="auto"/>
          <w:w w:val="95"/>
          <w:kern w:val="0"/>
          <w:sz w:val="30"/>
          <w:szCs w:val="30"/>
          <w:highlight w:val="none"/>
          <w:lang w:eastAsia="zh-CN"/>
        </w:rPr>
        <w:t>年</w:t>
      </w:r>
      <w:r>
        <w:rPr>
          <w:rFonts w:hint="eastAsia" w:ascii="宋体" w:hAnsi="宋体" w:cs="宋体"/>
          <w:b/>
          <w:bCs/>
          <w:color w:val="auto"/>
          <w:w w:val="95"/>
          <w:kern w:val="0"/>
          <w:sz w:val="30"/>
          <w:szCs w:val="30"/>
          <w:highlight w:val="none"/>
          <w:lang w:val="en-US" w:eastAsia="zh-CN"/>
        </w:rPr>
        <w:t>08</w:t>
      </w:r>
      <w:r>
        <w:rPr>
          <w:rFonts w:hint="eastAsia" w:ascii="宋体" w:hAnsi="宋体" w:eastAsia="宋体" w:cs="宋体"/>
          <w:b/>
          <w:bCs/>
          <w:color w:val="auto"/>
          <w:w w:val="95"/>
          <w:kern w:val="0"/>
          <w:sz w:val="30"/>
          <w:szCs w:val="30"/>
          <w:highlight w:val="none"/>
          <w:lang w:eastAsia="zh-CN"/>
        </w:rPr>
        <w:t>月</w:t>
      </w:r>
    </w:p>
    <w:p w14:paraId="43ED7C0A">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497AB91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color w:val="auto"/>
          <w:sz w:val="28"/>
          <w:szCs w:val="28"/>
          <w:highlight w:val="none"/>
        </w:rPr>
      </w:pPr>
    </w:p>
    <w:p w14:paraId="312C46F5">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"1-1"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_Toc10019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第一章</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竞争性磋商公告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_Toc10019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18B856C">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_Toc22255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第二章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_Toc22255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F4457E8">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_Toc9332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第三章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_Toc9332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13</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5C44D933">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_Toc21081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_Toc21081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A4FDAF0">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_Toc15809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_Toc15809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3D215DC7">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_Toc13046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第六章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_Toc13046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73</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60C49E67">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_Toc10491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第七章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工程量清单、图纸</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_Toc10491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78</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4C1700E5">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_Toc4654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 xml:space="preserve">第八章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质疑、投诉材料格式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_Toc4654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79</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89FDB7B">
      <w:pPr>
        <w:pStyle w:val="26"/>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highlight w:val="none"/>
        </w:rPr>
      </w:pPr>
      <w:r>
        <w:rPr>
          <w:rFonts w:hint="eastAsia" w:ascii="宋体" w:hAnsi="宋体" w:eastAsia="宋体" w:cs="宋体"/>
          <w:bCs/>
          <w:color w:val="auto"/>
          <w:sz w:val="28"/>
          <w:szCs w:val="28"/>
          <w:highlight w:val="none"/>
        </w:rPr>
        <w:fldChar w:fldCharType="end"/>
      </w:r>
    </w:p>
    <w:p w14:paraId="5BE5B2F1">
      <w:pPr>
        <w:spacing w:line="400" w:lineRule="exact"/>
        <w:jc w:val="left"/>
        <w:rPr>
          <w:rFonts w:hint="eastAsia" w:ascii="宋体" w:hAnsi="宋体" w:eastAsia="宋体" w:cs="宋体"/>
          <w:b/>
          <w:color w:val="auto"/>
          <w:sz w:val="32"/>
          <w:szCs w:val="32"/>
          <w:highlight w:val="none"/>
        </w:rPr>
      </w:pPr>
    </w:p>
    <w:p w14:paraId="3A70DD02">
      <w:pPr>
        <w:spacing w:line="400" w:lineRule="exact"/>
        <w:jc w:val="center"/>
        <w:rPr>
          <w:rFonts w:hint="eastAsia" w:ascii="宋体" w:hAnsi="宋体" w:eastAsia="宋体" w:cs="宋体"/>
          <w:b/>
          <w:color w:val="auto"/>
          <w:sz w:val="32"/>
          <w:szCs w:val="32"/>
          <w:highlight w:val="none"/>
        </w:rPr>
      </w:pPr>
    </w:p>
    <w:p w14:paraId="454480BF">
      <w:pPr>
        <w:spacing w:line="400" w:lineRule="exact"/>
        <w:jc w:val="center"/>
        <w:rPr>
          <w:rFonts w:hint="eastAsia" w:ascii="宋体" w:hAnsi="宋体" w:eastAsia="宋体" w:cs="宋体"/>
          <w:b/>
          <w:color w:val="auto"/>
          <w:sz w:val="32"/>
          <w:szCs w:val="32"/>
          <w:highlight w:val="none"/>
        </w:rPr>
      </w:pPr>
    </w:p>
    <w:p w14:paraId="601F2B34">
      <w:pPr>
        <w:spacing w:line="400" w:lineRule="exact"/>
        <w:jc w:val="center"/>
        <w:rPr>
          <w:rFonts w:hint="eastAsia" w:ascii="宋体" w:hAnsi="宋体" w:eastAsia="宋体" w:cs="宋体"/>
          <w:b/>
          <w:color w:val="auto"/>
          <w:sz w:val="32"/>
          <w:szCs w:val="32"/>
          <w:highlight w:val="none"/>
        </w:rPr>
      </w:pPr>
    </w:p>
    <w:p w14:paraId="6FCDB5B5">
      <w:pPr>
        <w:spacing w:line="400" w:lineRule="exact"/>
        <w:jc w:val="center"/>
        <w:rPr>
          <w:rFonts w:hint="eastAsia" w:ascii="宋体" w:hAnsi="宋体" w:eastAsia="宋体" w:cs="宋体"/>
          <w:b/>
          <w:color w:val="auto"/>
          <w:sz w:val="32"/>
          <w:szCs w:val="32"/>
          <w:highlight w:val="none"/>
        </w:rPr>
      </w:pPr>
    </w:p>
    <w:p w14:paraId="14111F99">
      <w:pPr>
        <w:spacing w:line="400" w:lineRule="exact"/>
        <w:rPr>
          <w:rFonts w:hint="eastAsia" w:ascii="宋体" w:hAnsi="宋体" w:eastAsia="宋体" w:cs="宋体"/>
          <w:b/>
          <w:color w:val="auto"/>
          <w:sz w:val="32"/>
          <w:szCs w:val="32"/>
          <w:highlight w:val="none"/>
        </w:rPr>
        <w:sectPr>
          <w:headerReference r:id="rId7" w:type="first"/>
          <w:footerReference r:id="rId9" w:type="first"/>
          <w:headerReference r:id="rId6" w:type="default"/>
          <w:footerReference r:id="rId8" w:type="default"/>
          <w:pgSz w:w="11911" w:h="16838"/>
          <w:pgMar w:top="1134" w:right="1134" w:bottom="1134" w:left="1134" w:header="720" w:footer="720" w:gutter="0"/>
          <w:pgBorders>
            <w:top w:val="none" w:sz="0" w:space="0"/>
            <w:left w:val="none" w:sz="0" w:space="0"/>
            <w:bottom w:val="none" w:sz="0" w:space="0"/>
            <w:right w:val="none" w:sz="0" w:space="0"/>
          </w:pgBorders>
          <w:pgNumType w:start="1"/>
          <w:cols w:space="720" w:num="1"/>
          <w:docGrid w:linePitch="312" w:charSpace="0"/>
        </w:sectPr>
      </w:pPr>
    </w:p>
    <w:p w14:paraId="4DD55FBE">
      <w:pPr>
        <w:pStyle w:val="2"/>
        <w:spacing w:before="0" w:after="0" w:line="240" w:lineRule="auto"/>
        <w:jc w:val="center"/>
        <w:rPr>
          <w:rFonts w:hint="eastAsia" w:ascii="宋体" w:hAnsi="宋体" w:eastAsia="宋体" w:cs="宋体"/>
          <w:b/>
          <w:bCs w:val="0"/>
          <w:color w:val="auto"/>
          <w:sz w:val="32"/>
          <w:szCs w:val="32"/>
          <w:highlight w:val="none"/>
        </w:rPr>
      </w:pPr>
      <w:bookmarkStart w:id="1" w:name="_Toc27000"/>
      <w:bookmarkStart w:id="2" w:name="_Toc11382"/>
      <w:bookmarkStart w:id="3" w:name="OLE_LINK30"/>
      <w:bookmarkStart w:id="4" w:name="_Toc12242"/>
      <w:bookmarkStart w:id="5" w:name="_Toc11989"/>
      <w:bookmarkStart w:id="6" w:name="_Toc15624"/>
      <w:bookmarkStart w:id="7" w:name="_Toc10019"/>
      <w:r>
        <w:rPr>
          <w:rFonts w:hint="eastAsia" w:ascii="宋体" w:hAnsi="宋体" w:cs="宋体"/>
          <w:b/>
          <w:bCs w:val="0"/>
          <w:color w:val="auto"/>
          <w:sz w:val="32"/>
          <w:szCs w:val="32"/>
          <w:highlight w:val="none"/>
          <w:lang w:val="en-US" w:eastAsia="zh-CN"/>
        </w:rPr>
        <w:t xml:space="preserve">第一章 </w:t>
      </w:r>
      <w:r>
        <w:rPr>
          <w:rFonts w:hint="eastAsia" w:ascii="宋体" w:hAnsi="宋体" w:eastAsia="宋体" w:cs="宋体"/>
          <w:b/>
          <w:bCs w:val="0"/>
          <w:color w:val="auto"/>
          <w:sz w:val="32"/>
          <w:szCs w:val="32"/>
          <w:highlight w:val="none"/>
        </w:rPr>
        <w:t>竞争性磋商公告</w:t>
      </w:r>
      <w:bookmarkEnd w:id="1"/>
      <w:bookmarkEnd w:id="2"/>
      <w:bookmarkEnd w:id="3"/>
      <w:bookmarkEnd w:id="4"/>
      <w:bookmarkEnd w:id="5"/>
      <w:bookmarkEnd w:id="6"/>
      <w:bookmarkEnd w:id="7"/>
    </w:p>
    <w:p w14:paraId="0A7DBED4">
      <w:pPr>
        <w:jc w:val="center"/>
        <w:rPr>
          <w:rFonts w:hint="eastAsia" w:ascii="宋体" w:hAnsi="宋体" w:eastAsia="宋体" w:cs="宋体"/>
          <w:color w:val="auto"/>
          <w:highlight w:val="none"/>
        </w:rPr>
      </w:pPr>
      <w:r>
        <w:rPr>
          <w:rFonts w:hint="eastAsia" w:ascii="宋体" w:hAnsi="宋体" w:eastAsia="宋体" w:cs="宋体"/>
          <w:b/>
          <w:bCs/>
          <w:color w:val="auto"/>
          <w:sz w:val="28"/>
          <w:szCs w:val="28"/>
          <w:highlight w:val="none"/>
          <w:lang w:eastAsia="zh-CN"/>
        </w:rPr>
        <w:t>广西桂工建设管理咨询有限公司</w:t>
      </w:r>
      <w:r>
        <w:rPr>
          <w:rFonts w:hint="eastAsia" w:ascii="宋体" w:hAnsi="宋体" w:eastAsia="宋体" w:cs="宋体"/>
          <w:b/>
          <w:bCs/>
          <w:color w:val="auto"/>
          <w:sz w:val="28"/>
          <w:szCs w:val="28"/>
          <w:highlight w:val="none"/>
        </w:rPr>
        <w:t>关于</w:t>
      </w:r>
      <w:r>
        <w:rPr>
          <w:rFonts w:hint="eastAsia" w:ascii="宋体" w:hAnsi="宋体" w:cs="宋体"/>
          <w:b/>
          <w:bCs/>
          <w:color w:val="auto"/>
          <w:sz w:val="28"/>
          <w:szCs w:val="28"/>
          <w:highlight w:val="none"/>
          <w:lang w:eastAsia="zh-CN"/>
        </w:rPr>
        <w:t>南宁市可利大道第一幼儿园教学楼维修工程</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NNZC2026-C2-070047-GXGG</w:t>
      </w:r>
      <w:r>
        <w:rPr>
          <w:rFonts w:hint="eastAsia" w:ascii="宋体" w:hAnsi="宋体" w:eastAsia="宋体" w:cs="宋体"/>
          <w:b/>
          <w:bCs/>
          <w:color w:val="auto"/>
          <w:sz w:val="28"/>
          <w:szCs w:val="28"/>
          <w:highlight w:val="none"/>
        </w:rPr>
        <w:t>）竞争性磋商公告</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E0B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34A1E597">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概况</w:t>
            </w:r>
          </w:p>
          <w:p w14:paraId="46CE55C6">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 w:val="24"/>
                <w:highlight w:val="none"/>
              </w:rPr>
            </w:pPr>
            <w:r>
              <w:rPr>
                <w:rFonts w:hint="eastAsia" w:ascii="宋体" w:hAnsi="宋体" w:cs="宋体"/>
                <w:color w:val="auto"/>
                <w:szCs w:val="21"/>
                <w:highlight w:val="none"/>
                <w:u w:val="single"/>
                <w:lang w:eastAsia="zh-CN"/>
              </w:rPr>
              <w:t>南宁市可利大道第一幼儿园教学楼维修工程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项目的潜在投标人应在“广西政府采购云平台”（https://www.gcy.zfcg.gxzf.gov.cn/）获取（下载）</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08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28</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13</w:t>
            </w:r>
            <w:r>
              <w:rPr>
                <w:rFonts w:hint="eastAsia" w:ascii="宋体" w:hAnsi="宋体" w:eastAsia="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rPr>
              <w:t>分00秒</w:t>
            </w:r>
            <w:r>
              <w:rPr>
                <w:rFonts w:hint="eastAsia" w:ascii="宋体" w:hAnsi="宋体" w:eastAsia="宋体" w:cs="宋体"/>
                <w:color w:val="auto"/>
                <w:szCs w:val="21"/>
                <w:highlight w:val="none"/>
              </w:rPr>
              <w:t>（北京时间）前</w:t>
            </w:r>
            <w:r>
              <w:rPr>
                <w:rFonts w:hint="eastAsia" w:ascii="宋体" w:hAnsi="宋体" w:eastAsia="宋体" w:cs="宋体"/>
                <w:color w:val="auto"/>
                <w:szCs w:val="21"/>
                <w:highlight w:val="none"/>
                <w:lang w:val="en-US" w:eastAsia="zh-CN"/>
              </w:rPr>
              <w:t>提交响应</w:t>
            </w:r>
            <w:r>
              <w:rPr>
                <w:rFonts w:hint="eastAsia" w:ascii="宋体" w:hAnsi="宋体" w:eastAsia="宋体" w:cs="宋体"/>
                <w:color w:val="auto"/>
                <w:szCs w:val="21"/>
                <w:highlight w:val="none"/>
              </w:rPr>
              <w:t>文件。</w:t>
            </w:r>
          </w:p>
        </w:tc>
      </w:tr>
    </w:tbl>
    <w:p w14:paraId="7683F5E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一、项目基本情况</w:t>
      </w:r>
    </w:p>
    <w:p w14:paraId="0E3E46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项目编号：</w:t>
      </w:r>
      <w:r>
        <w:rPr>
          <w:rFonts w:hint="eastAsia" w:ascii="宋体" w:hAnsi="宋体" w:cs="宋体"/>
          <w:color w:val="auto"/>
          <w:szCs w:val="21"/>
          <w:highlight w:val="none"/>
          <w:lang w:eastAsia="zh-CN"/>
        </w:rPr>
        <w:t>NNZC2026-C2-070047-GXGG</w:t>
      </w:r>
    </w:p>
    <w:p w14:paraId="4E58286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项目名称：</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南宁市可利大道第一幼儿园教学楼维修工程</w:t>
      </w:r>
    </w:p>
    <w:p w14:paraId="6C1DC7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采购方式：竞争性磋商</w:t>
      </w:r>
    </w:p>
    <w:p w14:paraId="5EAB74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default" w:ascii="宋体" w:hAnsi="宋体" w:eastAsia="宋体" w:cs="宋体"/>
          <w:i w:val="0"/>
          <w:iCs w:val="0"/>
          <w:caps w:val="0"/>
          <w:color w:val="auto"/>
          <w:spacing w:val="0"/>
          <w:sz w:val="21"/>
          <w:szCs w:val="21"/>
          <w:highlight w:val="none"/>
          <w:lang w:val="en-US"/>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预算总金额（元）：</w:t>
      </w:r>
      <w:r>
        <w:rPr>
          <w:rFonts w:hint="eastAsia" w:ascii="宋体" w:hAnsi="宋体" w:cs="宋体"/>
          <w:i w:val="0"/>
          <w:iCs w:val="0"/>
          <w:caps w:val="0"/>
          <w:color w:val="auto"/>
          <w:spacing w:val="0"/>
          <w:kern w:val="0"/>
          <w:sz w:val="21"/>
          <w:szCs w:val="21"/>
          <w:highlight w:val="none"/>
          <w:shd w:val="clear" w:color="auto" w:fill="FFFFFF"/>
          <w:lang w:val="en-US" w:eastAsia="zh-CN" w:bidi="ar"/>
        </w:rPr>
        <w:t>798365.79</w:t>
      </w:r>
    </w:p>
    <w:p w14:paraId="269045B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采购需求：</w:t>
      </w:r>
    </w:p>
    <w:p w14:paraId="58240BE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标项名称:</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南宁市可利大道第一幼儿园教学楼维修工程</w:t>
      </w:r>
    </w:p>
    <w:p w14:paraId="4BC3692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数量:1</w:t>
      </w:r>
    </w:p>
    <w:p w14:paraId="56BA641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预算金额（元）：</w:t>
      </w:r>
      <w:r>
        <w:rPr>
          <w:rFonts w:hint="eastAsia" w:ascii="宋体" w:hAnsi="宋体" w:cs="宋体"/>
          <w:i w:val="0"/>
          <w:iCs w:val="0"/>
          <w:caps w:val="0"/>
          <w:color w:val="auto"/>
          <w:spacing w:val="0"/>
          <w:kern w:val="0"/>
          <w:sz w:val="21"/>
          <w:szCs w:val="21"/>
          <w:highlight w:val="none"/>
          <w:shd w:val="clear" w:color="auto" w:fill="FFFFFF"/>
          <w:lang w:val="en-US" w:eastAsia="zh-CN" w:bidi="ar"/>
        </w:rPr>
        <w:t>798365.79</w:t>
      </w:r>
    </w:p>
    <w:p w14:paraId="31E492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简要规格描述或项目基本概况介绍、用途：</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南宁市可利大道第一幼儿园教学楼维修工程</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，拟维修幼儿园教学楼，共三层，改造面积约为800平方米。具体内容详见工程量清单及图纸</w:t>
      </w:r>
      <w:r>
        <w:rPr>
          <w:rFonts w:hint="eastAsia" w:ascii="宋体" w:hAnsi="宋体" w:cs="宋体"/>
          <w:i w:val="0"/>
          <w:iCs w:val="0"/>
          <w:caps w:val="0"/>
          <w:color w:val="auto"/>
          <w:spacing w:val="0"/>
          <w:kern w:val="0"/>
          <w:sz w:val="21"/>
          <w:szCs w:val="21"/>
          <w:highlight w:val="none"/>
          <w:shd w:val="clear" w:color="auto" w:fill="FFFFFF"/>
          <w:lang w:val="en-US" w:eastAsia="zh-CN" w:bidi="ar"/>
        </w:rPr>
        <w:t>。</w:t>
      </w:r>
    </w:p>
    <w:p w14:paraId="2CCFD15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default" w:ascii="宋体" w:hAnsi="宋体" w:eastAsia="宋体" w:cs="宋体"/>
          <w:b/>
          <w:bCs/>
          <w:i w:val="0"/>
          <w:iCs w:val="0"/>
          <w:caps w:val="0"/>
          <w:color w:val="auto"/>
          <w:spacing w:val="0"/>
          <w:kern w:val="0"/>
          <w:sz w:val="21"/>
          <w:szCs w:val="21"/>
          <w:highlight w:val="yellow"/>
          <w:shd w:val="clear" w:color="auto" w:fill="FFFFFF"/>
          <w:lang w:val="en-US" w:eastAsia="zh-CN" w:bidi="ar"/>
        </w:rPr>
      </w:pPr>
      <w:r>
        <w:rPr>
          <w:rFonts w:hint="eastAsia" w:ascii="宋体" w:hAnsi="宋体" w:eastAsia="宋体" w:cs="宋体"/>
          <w:b/>
          <w:bCs/>
          <w:i w:val="0"/>
          <w:iCs w:val="0"/>
          <w:caps w:val="0"/>
          <w:color w:val="auto"/>
          <w:spacing w:val="0"/>
          <w:kern w:val="0"/>
          <w:sz w:val="21"/>
          <w:szCs w:val="21"/>
          <w:highlight w:val="yellow"/>
          <w:shd w:val="clear" w:color="auto" w:fill="FFFFFF"/>
          <w:lang w:val="en-US" w:eastAsia="zh-CN" w:bidi="ar"/>
        </w:rPr>
        <w:t>最高限价（如有）：</w:t>
      </w:r>
      <w:r>
        <w:rPr>
          <w:rFonts w:hint="eastAsia" w:ascii="宋体" w:hAnsi="宋体" w:cs="宋体"/>
          <w:b/>
          <w:bCs/>
          <w:i w:val="0"/>
          <w:iCs w:val="0"/>
          <w:caps w:val="0"/>
          <w:color w:val="auto"/>
          <w:spacing w:val="0"/>
          <w:kern w:val="0"/>
          <w:sz w:val="21"/>
          <w:szCs w:val="21"/>
          <w:highlight w:val="yellow"/>
          <w:shd w:val="clear" w:color="auto" w:fill="FFFFFF"/>
          <w:lang w:val="en-US" w:eastAsia="zh-CN" w:bidi="ar"/>
        </w:rPr>
        <w:t>758447.50</w:t>
      </w:r>
    </w:p>
    <w:p w14:paraId="35E77EB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合同履约期限：</w:t>
      </w:r>
      <w:r>
        <w:rPr>
          <w:rFonts w:hint="eastAsia" w:ascii="宋体" w:hAnsi="宋体" w:cs="宋体"/>
          <w:i w:val="0"/>
          <w:iCs w:val="0"/>
          <w:caps w:val="0"/>
          <w:color w:val="auto"/>
          <w:spacing w:val="0"/>
          <w:kern w:val="0"/>
          <w:sz w:val="21"/>
          <w:szCs w:val="21"/>
          <w:highlight w:val="none"/>
          <w:shd w:val="clear" w:color="auto" w:fill="FFFFFF"/>
          <w:lang w:val="en-US" w:eastAsia="zh-CN" w:bidi="ar"/>
        </w:rPr>
        <w:t>60个日历天内完工</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w:t>
      </w:r>
    </w:p>
    <w:p w14:paraId="265875E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本标项（否）接受联合体投标</w:t>
      </w:r>
    </w:p>
    <w:p w14:paraId="07D966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5601"/>
        </w:tabs>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备注：</w:t>
      </w:r>
    </w:p>
    <w:p w14:paraId="15B59B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二、</w:t>
      </w:r>
      <w:bookmarkStart w:id="8" w:name="OLE_LINK7"/>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申请人的资格要求</w:t>
      </w:r>
      <w:bookmarkEnd w:id="8"/>
    </w:p>
    <w:p w14:paraId="3966B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1.满足《中华人民共和国政府采购法》第二十二条规定；</w:t>
      </w:r>
    </w:p>
    <w:p w14:paraId="4061C4B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firstLineChars="0"/>
        <w:jc w:val="left"/>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2.落实政府采购政策需满足的资格要求：</w:t>
      </w:r>
      <w:r>
        <w:rPr>
          <w:rFonts w:hint="eastAsia" w:ascii="宋体" w:hAnsi="宋体" w:eastAsia="宋体" w:cs="宋体"/>
          <w:i w:val="0"/>
          <w:iCs w:val="0"/>
          <w:color w:val="auto"/>
          <w:szCs w:val="21"/>
          <w:highlight w:val="none"/>
          <w:u w:val="single"/>
          <w:lang w:val="en-US" w:eastAsia="zh-CN"/>
        </w:rPr>
        <w:t>本项目为专门面向中小企业采购的项目</w:t>
      </w:r>
      <w:r>
        <w:rPr>
          <w:rFonts w:hint="eastAsia" w:ascii="宋体" w:hAnsi="宋体" w:eastAsia="宋体" w:cs="宋体"/>
          <w:i w:val="0"/>
          <w:iCs w:val="0"/>
          <w:caps w:val="0"/>
          <w:color w:val="auto"/>
          <w:spacing w:val="0"/>
          <w:sz w:val="21"/>
          <w:szCs w:val="21"/>
          <w:highlight w:val="none"/>
          <w:shd w:val="clear" w:color="auto" w:fill="FFFFFF"/>
        </w:rPr>
        <w:t>（供应商应为中小微企业、监狱企业、残疾人福利性单位)</w:t>
      </w:r>
    </w:p>
    <w:p w14:paraId="1ECF507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本项目的特定资格要求：具有建筑工程施工总承包三级及以上资质，且具有有效的安全生产许可证，并在人员、设备、资金等方面具备相应的施工能力的企业，其中拟派项目经理须具有建筑工程专业贰级以上（含贰级）注册建造师执业资格，且具有有效的安全生产考核合格证书（B类）。</w:t>
      </w:r>
    </w:p>
    <w:p w14:paraId="024E7A4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三、获取采购文件</w:t>
      </w:r>
    </w:p>
    <w:p w14:paraId="5E924F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时间：/至 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日，每天上午00:00至12:00，下午12:00至23:59（北京时间，法定节假日除外）。</w:t>
      </w:r>
    </w:p>
    <w:p w14:paraId="76299C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地点（网址）：</w:t>
      </w:r>
      <w:r>
        <w:rPr>
          <w:rFonts w:hint="eastAsia" w:ascii="宋体" w:hAnsi="宋体" w:eastAsia="宋体" w:cs="宋体"/>
          <w:color w:val="auto"/>
          <w:szCs w:val="21"/>
          <w:highlight w:val="none"/>
        </w:rPr>
        <w:t>“广西政府采购云平台”（https://www.gcy.zfcg.gxzf.gov.cn/）</w:t>
      </w:r>
    </w:p>
    <w:p w14:paraId="211E325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方式:网上下载。本项目不发放纸质采购文件，供应商可自行在广西政府采购云平台（https://www.gcy.zfcg.gxzf.gov.cn）下载采购文件（操作路径：登录广西政府采购云平台-项目采购-获取采购文件-找到本项目-点击“申请获取采购文件”）。</w:t>
      </w:r>
    </w:p>
    <w:p w14:paraId="5E601DC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售价（元）：0</w:t>
      </w:r>
    </w:p>
    <w:p w14:paraId="56D8C7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四、响应文件提交</w:t>
      </w:r>
    </w:p>
    <w:p w14:paraId="6CCAF0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1.首次响应文件提交截止时间（北京时间）：2026年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w:t>
      </w:r>
      <w:r>
        <w:rPr>
          <w:rFonts w:hint="eastAsia" w:ascii="宋体" w:hAnsi="宋体" w:cs="宋体"/>
          <w:i w:val="0"/>
          <w:iCs w:val="0"/>
          <w:caps w:val="0"/>
          <w:color w:val="auto"/>
          <w:spacing w:val="0"/>
          <w:kern w:val="0"/>
          <w:sz w:val="21"/>
          <w:szCs w:val="21"/>
          <w:highlight w:val="none"/>
          <w:shd w:val="clear" w:color="auto" w:fill="FFFFFF"/>
          <w:lang w:val="en-US" w:eastAsia="zh-CN" w:bidi="ar"/>
        </w:rPr>
        <w:t>13</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w:t>
      </w:r>
      <w:r>
        <w:rPr>
          <w:rFonts w:hint="eastAsia" w:ascii="宋体" w:hAnsi="宋体" w:cs="宋体"/>
          <w:i w:val="0"/>
          <w:iCs w:val="0"/>
          <w:caps w:val="0"/>
          <w:color w:val="auto"/>
          <w:spacing w:val="0"/>
          <w:kern w:val="0"/>
          <w:sz w:val="21"/>
          <w:szCs w:val="21"/>
          <w:highlight w:val="none"/>
          <w:shd w:val="clear" w:color="auto" w:fill="FFFFFF"/>
          <w:lang w:val="en-US" w:eastAsia="zh-CN" w:bidi="ar"/>
        </w:rPr>
        <w:t>0</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0分（北京时间）。</w:t>
      </w:r>
    </w:p>
    <w:p w14:paraId="6129215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2.首次响应文件提交地点：</w:t>
      </w:r>
      <w:r>
        <w:rPr>
          <w:rFonts w:hint="eastAsia" w:ascii="宋体" w:hAnsi="宋体" w:eastAsia="宋体" w:cs="宋体"/>
          <w:color w:val="auto"/>
          <w:szCs w:val="21"/>
          <w:highlight w:val="none"/>
        </w:rPr>
        <w:t>本项目为南宁市全流程电子化项目，通过“广西政府采购云平台”（https：//www.gcy.zfcg.gxzf.gov.cn）实行在线电子响应</w:t>
      </w:r>
      <w:r>
        <w:rPr>
          <w:rFonts w:hint="eastAsia" w:ascii="宋体" w:hAnsi="宋体" w:cs="宋体"/>
          <w:color w:val="auto"/>
          <w:szCs w:val="21"/>
          <w:highlight w:val="none"/>
          <w:lang w:eastAsia="zh-CN"/>
        </w:rPr>
        <w:t>。</w:t>
      </w:r>
    </w:p>
    <w:p w14:paraId="286DEC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五、开启（首次响应文件开启时间）</w:t>
      </w:r>
    </w:p>
    <w:p w14:paraId="06AD6CA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时间（北京时间）：2026年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w:t>
      </w:r>
      <w:r>
        <w:rPr>
          <w:rFonts w:hint="eastAsia" w:ascii="宋体" w:hAnsi="宋体" w:cs="宋体"/>
          <w:i w:val="0"/>
          <w:iCs w:val="0"/>
          <w:caps w:val="0"/>
          <w:color w:val="auto"/>
          <w:spacing w:val="0"/>
          <w:kern w:val="0"/>
          <w:sz w:val="21"/>
          <w:szCs w:val="21"/>
          <w:highlight w:val="none"/>
          <w:shd w:val="clear" w:color="auto" w:fill="FFFFFF"/>
          <w:lang w:val="en-US" w:eastAsia="zh-CN" w:bidi="ar"/>
        </w:rPr>
        <w:t>13</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w:t>
      </w:r>
      <w:r>
        <w:rPr>
          <w:rFonts w:hint="eastAsia" w:ascii="宋体" w:hAnsi="宋体" w:cs="宋体"/>
          <w:i w:val="0"/>
          <w:iCs w:val="0"/>
          <w:caps w:val="0"/>
          <w:color w:val="auto"/>
          <w:spacing w:val="0"/>
          <w:kern w:val="0"/>
          <w:sz w:val="21"/>
          <w:szCs w:val="21"/>
          <w:highlight w:val="none"/>
          <w:shd w:val="clear" w:color="auto" w:fill="FFFFFF"/>
          <w:lang w:val="en-US" w:eastAsia="zh-CN" w:bidi="ar"/>
        </w:rPr>
        <w:t>0</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0（北京时间）</w:t>
      </w:r>
    </w:p>
    <w:p w14:paraId="3F5EB6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xml:space="preserve">地点：“广西政府采购云平台”（https：//www.gcy.zfcg.gxzf.gov.cn） </w:t>
      </w:r>
    </w:p>
    <w:p w14:paraId="2E73436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六、公告期限</w:t>
      </w:r>
    </w:p>
    <w:p w14:paraId="5B94274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自本公告发布之日起5个工作日。</w:t>
      </w:r>
    </w:p>
    <w:p w14:paraId="10EE2E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七、其他补充事宜</w:t>
      </w:r>
    </w:p>
    <w:p w14:paraId="48627B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1.磋商保证金：本项目不收取磋商保证金</w:t>
      </w:r>
    </w:p>
    <w:p w14:paraId="0EF28F7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2.采购意向公开链接：https://zfcg.gxzf.gov.cn/site/detail?categoryCode=ZcyAnnouncement&amp;parentId=66485&amp;articleId=B6nwu4yfD3TmVnrCrH4K0A==</w:t>
      </w:r>
    </w:p>
    <w:p w14:paraId="45A31D9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3.网上查询地址</w:t>
      </w:r>
    </w:p>
    <w:p w14:paraId="64CEE0A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http://www.ccgp.gov.cn (中国政府采购网),http://zfcg.gxzf.gov.cn (广西政府采购网) , http://ggzy.jgswj.gxzf.gov.cn/nnggzy(全国公共资源交易平台(广西·南宁))</w:t>
      </w:r>
    </w:p>
    <w:p w14:paraId="5A11AE8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4.本项目需要落实的政府采购政策</w:t>
      </w:r>
    </w:p>
    <w:p w14:paraId="69F1139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（1）政府采购促进中小企业发展。</w:t>
      </w:r>
    </w:p>
    <w:p w14:paraId="2EF655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（2）政府采购支持采用本国产品的政策。</w:t>
      </w:r>
    </w:p>
    <w:p w14:paraId="30D36F8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（3）强制采购节能产品；优先采购节能产品、环境标志产品。</w:t>
      </w:r>
    </w:p>
    <w:p w14:paraId="16D209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（4）政府采购促进残疾人就业政策。</w:t>
      </w:r>
    </w:p>
    <w:p w14:paraId="175D7C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（5）政府采购支持监狱企业发展。</w:t>
      </w:r>
    </w:p>
    <w:p w14:paraId="73BBCC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4CE7AD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6. 若对项目采购电子交易系统操作有疑问，可登录广西政府采购云平台（https://www.gcy.zfcg.gxzf.gov.cn/），点击右侧咨询小采，获取采小蜜智能服务管家帮助，或拨打广西政府采购云平台服务热线95763获取热线服务帮助。</w:t>
      </w:r>
    </w:p>
    <w:p w14:paraId="78F42F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7.注意事项：</w:t>
      </w:r>
    </w:p>
    <w:p w14:paraId="4BF4B0F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响应文件提交方式：本项目为南宁市全流程电子化项目，通过广西政府采购云平台（https://www.gcy.zfcg.gxzf.gov.cn/）实行在线电子响应，供应商应先安装广西政府采购云平台新版客户端（请自行前往广西政府采购云平台进行下载），并按照本项目采购文件和广西政府采购云平台的要求编制、加密后在响应文件提交截止时间前通过网络上传至南宁市广西政府采购云平台，供应商在广西政府采购云平台提交电子版响应文件时，请填写参加远程采购活动经办人联系方式。</w:t>
      </w:r>
    </w:p>
    <w:p w14:paraId="00D1C6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（2）未进行网上注册并办理数字证书（CA认证）的供应商将无法参与本项目政府采购活动，潜在供应商应当在响应文件提交截止时间前，完成电子交易平台上的CA数字证书办理及响应文件的提交。</w:t>
      </w:r>
    </w:p>
    <w:p w14:paraId="7938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（3）为确保网上操作合法、有效和安全，请供应商确保在电子响应过程中能够对相关数据电文进行加密和使用电子签章，妥善保管CA数字证书并使用有效的CA数字证书参与整个采购活动。</w:t>
      </w:r>
    </w:p>
    <w:p w14:paraId="12F7515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DF69A8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CA证书在线解密：首次响应文件开启时，须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0115D2E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（5）供应商需要在具备有摄像头及语音功能且互联网网络状况良好的电脑登录广西政府采购云平台远程开标大厅参与本次磋商，否则后果自负。</w:t>
      </w:r>
    </w:p>
    <w:p w14:paraId="47C69D5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8.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1369F52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八、凡对本次采购提出询问，请按以下方式联系</w:t>
      </w:r>
    </w:p>
    <w:p w14:paraId="08D86368">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C646488">
      <w:pPr>
        <w:spacing w:line="360" w:lineRule="auto"/>
        <w:ind w:firstLine="630" w:firstLineChars="3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w:t>
      </w:r>
      <w:r>
        <w:rPr>
          <w:rFonts w:hint="eastAsia" w:ascii="宋体" w:hAnsi="宋体" w:cs="宋体"/>
          <w:color w:val="auto"/>
          <w:szCs w:val="21"/>
          <w:highlight w:val="none"/>
          <w:lang w:eastAsia="zh-CN"/>
        </w:rPr>
        <w:t>南宁市可利大道第一幼儿园</w:t>
      </w:r>
    </w:p>
    <w:p w14:paraId="4D959956">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地址：南宁市西乡塘区安武大道20号</w:t>
      </w:r>
    </w:p>
    <w:p w14:paraId="2533B5D9">
      <w:pPr>
        <w:spacing w:line="360" w:lineRule="auto"/>
        <w:ind w:firstLine="630" w:firstLineChars="3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lang w:eastAsia="zh-CN"/>
        </w:rPr>
        <w:t>联系</w:t>
      </w:r>
      <w:r>
        <w:rPr>
          <w:rFonts w:hint="eastAsia" w:ascii="宋体" w:hAnsi="宋体" w:eastAsia="宋体" w:cs="宋体"/>
          <w:color w:val="auto"/>
          <w:szCs w:val="21"/>
          <w:highlight w:val="none"/>
          <w:lang w:val="en-US" w:eastAsia="zh-CN"/>
        </w:rPr>
        <w:t>人及</w:t>
      </w:r>
      <w:r>
        <w:rPr>
          <w:rFonts w:hint="eastAsia" w:ascii="宋体" w:hAnsi="宋体" w:eastAsia="宋体" w:cs="宋体"/>
          <w:color w:val="auto"/>
          <w:szCs w:val="21"/>
          <w:highlight w:val="none"/>
          <w:lang w:eastAsia="zh-CN"/>
        </w:rPr>
        <w:t>电话</w:t>
      </w:r>
      <w:bookmarkStart w:id="9" w:name="OLE_LINK2"/>
      <w:r>
        <w:rPr>
          <w:rFonts w:hint="eastAsia" w:ascii="宋体" w:hAnsi="宋体" w:eastAsia="宋体" w:cs="宋体"/>
          <w:color w:val="auto"/>
          <w:szCs w:val="21"/>
          <w:highlight w:val="none"/>
          <w:lang w:eastAsia="zh-CN"/>
        </w:rPr>
        <w:t>：</w:t>
      </w:r>
      <w:r>
        <w:rPr>
          <w:rFonts w:hint="eastAsia" w:ascii="宋体" w:hAnsi="宋体" w:cs="宋体"/>
          <w:color w:val="auto"/>
          <w:highlight w:val="none"/>
          <w:lang w:val="en-US" w:eastAsia="zh-CN"/>
        </w:rPr>
        <w:t>蒙莉  0771-3921299</w:t>
      </w:r>
    </w:p>
    <w:bookmarkEnd w:id="9"/>
    <w:p w14:paraId="4B8D2CB2">
      <w:pPr>
        <w:numPr>
          <w:ilvl w:val="0"/>
          <w:numId w:val="1"/>
        </w:num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采购代理机构信息</w:t>
      </w:r>
    </w:p>
    <w:p w14:paraId="42467F5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广西桂工建设管理咨询有限公司</w:t>
      </w:r>
      <w:r>
        <w:rPr>
          <w:rFonts w:hint="eastAsia" w:ascii="宋体" w:hAnsi="宋体" w:eastAsia="宋体" w:cs="宋体"/>
          <w:color w:val="auto"/>
          <w:szCs w:val="21"/>
          <w:highlight w:val="none"/>
        </w:rPr>
        <w:t xml:space="preserve"> </w:t>
      </w:r>
    </w:p>
    <w:p w14:paraId="500709E7">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地址：中国（广西）自由贸易试验区南宁片区庆歌路20号富雅•国际商务大厦B栋十三层1301</w:t>
      </w:r>
    </w:p>
    <w:p w14:paraId="13AADBE8">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黄开西、方丽文、冯丽婷、唐电生</w:t>
      </w:r>
    </w:p>
    <w:p w14:paraId="57216EB7">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val="en-US" w:eastAsia="zh-CN"/>
        </w:rPr>
        <w:t>0771-5533898</w:t>
      </w:r>
    </w:p>
    <w:p w14:paraId="26E69516">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531F0F0">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57BD6665">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925675F">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249BF8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C3247E7">
      <w:pPr>
        <w:pStyle w:val="2"/>
        <w:spacing w:before="0" w:after="0" w:line="240" w:lineRule="auto"/>
        <w:jc w:val="center"/>
        <w:rPr>
          <w:rFonts w:hint="eastAsia" w:ascii="宋体" w:hAnsi="宋体" w:eastAsia="宋体" w:cs="宋体"/>
          <w:b/>
          <w:bCs w:val="0"/>
          <w:color w:val="auto"/>
          <w:sz w:val="32"/>
          <w:szCs w:val="32"/>
          <w:highlight w:val="none"/>
        </w:rPr>
      </w:pPr>
      <w:bookmarkStart w:id="10" w:name="_Toc22255"/>
      <w:bookmarkStart w:id="11" w:name="_Toc11093"/>
      <w:bookmarkStart w:id="12" w:name="_Toc7184"/>
      <w:bookmarkStart w:id="13" w:name="_Toc25520"/>
      <w:bookmarkStart w:id="14" w:name="_Toc9127"/>
      <w:bookmarkStart w:id="15" w:name="_Toc22760"/>
      <w:r>
        <w:rPr>
          <w:rFonts w:hint="eastAsia" w:ascii="宋体" w:hAnsi="宋体" w:eastAsia="宋体" w:cs="宋体"/>
          <w:b/>
          <w:bCs w:val="0"/>
          <w:color w:val="auto"/>
          <w:sz w:val="32"/>
          <w:szCs w:val="32"/>
          <w:highlight w:val="none"/>
        </w:rPr>
        <w:t>第二章 采购需求</w:t>
      </w:r>
      <w:bookmarkEnd w:id="10"/>
      <w:bookmarkEnd w:id="11"/>
      <w:bookmarkEnd w:id="12"/>
      <w:bookmarkEnd w:id="13"/>
      <w:bookmarkEnd w:id="14"/>
    </w:p>
    <w:bookmarkEnd w:id="15"/>
    <w:p w14:paraId="6F057969">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6857B92F">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p>
    <w:p w14:paraId="471F8AB0">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（1）本竞争性磋商文件所称中小企业必须符合《政府采购促进中小企业发展管理办法》（财库〔2020〕46号）的规定。</w:t>
      </w:r>
    </w:p>
    <w:p w14:paraId="60C0CD2C">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有效期内的节能产品认证证书复印件（加盖供应商公章），</w:t>
      </w:r>
      <w:r>
        <w:rPr>
          <w:rFonts w:hint="eastAsia" w:ascii="宋体" w:hAnsi="宋体" w:eastAsia="宋体" w:cs="宋体"/>
          <w:b/>
          <w:bCs/>
          <w:color w:val="auto"/>
          <w:szCs w:val="21"/>
          <w:highlight w:val="none"/>
        </w:rPr>
        <w:t>否则响应文件按无效处理</w:t>
      </w:r>
      <w:r>
        <w:rPr>
          <w:rFonts w:hint="eastAsia" w:ascii="宋体" w:hAnsi="宋体" w:eastAsia="宋体" w:cs="宋体"/>
          <w:color w:val="auto"/>
          <w:szCs w:val="21"/>
          <w:highlight w:val="none"/>
        </w:rPr>
        <w:t xml:space="preserve">。如本项目包含的配套货物属于品目清单内非标注“★”的产品时，应优先采购，具体详见“第四章 </w:t>
      </w:r>
      <w:r>
        <w:rPr>
          <w:rStyle w:val="35"/>
          <w:rFonts w:hint="eastAsia" w:ascii="宋体" w:hAnsi="宋体" w:eastAsia="宋体" w:cs="宋体"/>
          <w:color w:val="auto"/>
          <w:highlight w:val="none"/>
        </w:rPr>
        <w:t>评审程序、评审方法和评审标准</w:t>
      </w:r>
      <w:r>
        <w:rPr>
          <w:rFonts w:hint="eastAsia" w:ascii="宋体" w:hAnsi="宋体" w:eastAsia="宋体" w:cs="宋体"/>
          <w:color w:val="auto"/>
          <w:szCs w:val="21"/>
          <w:highlight w:val="none"/>
        </w:rPr>
        <w:t>”。</w:t>
      </w:r>
    </w:p>
    <w:p w14:paraId="2AC03927">
      <w:pPr>
        <w:spacing w:line="420" w:lineRule="exact"/>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2.“实质性要求”是指磋商文件中已经指明不满足则响应文件按无效响应处理的条款，或者不能负偏离的条款，或者采购需求中带“▲”的条款。</w:t>
      </w:r>
    </w:p>
    <w:p w14:paraId="7503780B">
      <w:pPr>
        <w:pStyle w:val="11"/>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3. </w:t>
      </w:r>
      <w:r>
        <w:rPr>
          <w:rFonts w:hint="eastAsia" w:ascii="宋体" w:hAnsi="宋体" w:eastAsia="宋体" w:cs="宋体"/>
          <w:color w:val="auto"/>
          <w:highlight w:val="none"/>
        </w:rPr>
        <w:t>如竞标产品存在侵犯他人的知识产权或者专利成果行为的，应承担相应法律责任。</w:t>
      </w:r>
    </w:p>
    <w:p w14:paraId="11EFB6D5">
      <w:pPr>
        <w:tabs>
          <w:tab w:val="left" w:pos="180"/>
          <w:tab w:val="left" w:pos="1620"/>
        </w:tabs>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4.采购内容所属行业：</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建筑业</w:t>
      </w:r>
      <w:r>
        <w:rPr>
          <w:rFonts w:hint="eastAsia" w:ascii="宋体" w:hAnsi="宋体" w:eastAsia="宋体" w:cs="宋体"/>
          <w:color w:val="auto"/>
          <w:highlight w:val="none"/>
          <w:u w:val="single"/>
          <w:lang w:val="en-US" w:eastAsia="zh-CN"/>
        </w:rPr>
        <w:t xml:space="preserve"> </w:t>
      </w:r>
    </w:p>
    <w:tbl>
      <w:tblPr>
        <w:tblStyle w:val="29"/>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458"/>
        <w:gridCol w:w="675"/>
        <w:gridCol w:w="651"/>
        <w:gridCol w:w="6984"/>
        <w:gridCol w:w="914"/>
      </w:tblGrid>
      <w:tr w14:paraId="7C7B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6"/>
            <w:tcBorders>
              <w:top w:val="single" w:color="auto" w:sz="4" w:space="0"/>
              <w:left w:val="single" w:color="auto" w:sz="4" w:space="0"/>
              <w:bottom w:val="single" w:color="auto" w:sz="4" w:space="0"/>
              <w:right w:val="single" w:color="auto" w:sz="4" w:space="0"/>
            </w:tcBorders>
            <w:noWrap w:val="0"/>
            <w:vAlign w:val="center"/>
          </w:tcPr>
          <w:p w14:paraId="0474DA24">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w:t>
            </w:r>
          </w:p>
        </w:tc>
      </w:tr>
      <w:tr w14:paraId="42B6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vMerge w:val="restart"/>
            <w:tcBorders>
              <w:top w:val="single" w:color="auto" w:sz="4" w:space="0"/>
            </w:tcBorders>
            <w:noWrap w:val="0"/>
            <w:vAlign w:val="center"/>
          </w:tcPr>
          <w:p w14:paraId="7174E9AB">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需求一览表</w:t>
            </w:r>
          </w:p>
        </w:tc>
        <w:tc>
          <w:tcPr>
            <w:tcW w:w="458" w:type="dxa"/>
            <w:tcBorders>
              <w:top w:val="single" w:color="auto" w:sz="4" w:space="0"/>
            </w:tcBorders>
            <w:noWrap w:val="0"/>
            <w:vAlign w:val="center"/>
          </w:tcPr>
          <w:p w14:paraId="7CB3970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5" w:type="dxa"/>
            <w:tcBorders>
              <w:top w:val="single" w:color="auto" w:sz="4" w:space="0"/>
            </w:tcBorders>
            <w:noWrap w:val="0"/>
            <w:vAlign w:val="center"/>
          </w:tcPr>
          <w:p w14:paraId="456A18E6">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651" w:type="dxa"/>
            <w:tcBorders>
              <w:top w:val="single" w:color="auto" w:sz="4" w:space="0"/>
            </w:tcBorders>
            <w:noWrap w:val="0"/>
            <w:vAlign w:val="center"/>
          </w:tcPr>
          <w:p w14:paraId="12F1D10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14:paraId="71DCA88A">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及单位</w:t>
            </w:r>
          </w:p>
          <w:p w14:paraId="6BDDC79C">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p>
        </w:tc>
        <w:tc>
          <w:tcPr>
            <w:tcW w:w="6984" w:type="dxa"/>
            <w:tcBorders>
              <w:top w:val="single" w:color="auto" w:sz="4" w:space="0"/>
            </w:tcBorders>
            <w:noWrap w:val="0"/>
            <w:vAlign w:val="center"/>
          </w:tcPr>
          <w:p w14:paraId="5E8E3126">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c>
          <w:tcPr>
            <w:tcW w:w="914" w:type="dxa"/>
            <w:tcBorders>
              <w:top w:val="single" w:color="auto" w:sz="4" w:space="0"/>
            </w:tcBorders>
            <w:noWrap w:val="0"/>
            <w:vAlign w:val="center"/>
          </w:tcPr>
          <w:p w14:paraId="33034EC7">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2603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23" w:type="dxa"/>
            <w:vMerge w:val="continue"/>
            <w:noWrap w:val="0"/>
            <w:vAlign w:val="center"/>
          </w:tcPr>
          <w:p w14:paraId="451BA65F">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p>
        </w:tc>
        <w:tc>
          <w:tcPr>
            <w:tcW w:w="458" w:type="dxa"/>
            <w:noWrap w:val="0"/>
            <w:vAlign w:val="center"/>
          </w:tcPr>
          <w:p w14:paraId="54C79C67">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5" w:type="dxa"/>
            <w:noWrap w:val="0"/>
            <w:vAlign w:val="center"/>
          </w:tcPr>
          <w:p w14:paraId="43896F87">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南宁市可利大道第一幼儿园教学楼维修工程</w:t>
            </w:r>
          </w:p>
        </w:tc>
        <w:tc>
          <w:tcPr>
            <w:tcW w:w="651" w:type="dxa"/>
            <w:noWrap w:val="0"/>
            <w:vAlign w:val="center"/>
          </w:tcPr>
          <w:p w14:paraId="3DE3C48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6984" w:type="dxa"/>
            <w:noWrap w:val="0"/>
            <w:vAlign w:val="center"/>
          </w:tcPr>
          <w:p w14:paraId="71415B93">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一、项目概况</w:t>
            </w:r>
          </w:p>
          <w:p w14:paraId="32F24B32">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工程名称：</w:t>
            </w:r>
            <w:r>
              <w:rPr>
                <w:rFonts w:hint="eastAsia" w:ascii="宋体" w:hAnsi="宋体" w:cs="宋体"/>
                <w:color w:val="auto"/>
                <w:szCs w:val="21"/>
                <w:highlight w:val="none"/>
                <w:lang w:eastAsia="zh-CN"/>
              </w:rPr>
              <w:t>南宁市可利大道第一幼儿园教学楼维修工程</w:t>
            </w:r>
          </w:p>
          <w:p w14:paraId="5E113611">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建设地点：</w:t>
            </w:r>
            <w:r>
              <w:rPr>
                <w:rFonts w:hint="eastAsia" w:ascii="宋体" w:hAnsi="宋体" w:cs="宋体"/>
                <w:color w:val="auto"/>
                <w:szCs w:val="21"/>
                <w:highlight w:val="none"/>
                <w:lang w:eastAsia="zh-CN"/>
              </w:rPr>
              <w:t>南宁市可利大道第一幼儿园</w:t>
            </w:r>
            <w:r>
              <w:rPr>
                <w:rFonts w:hint="eastAsia" w:ascii="宋体" w:hAnsi="宋体" w:eastAsia="宋体" w:cs="宋体"/>
                <w:color w:val="auto"/>
                <w:szCs w:val="21"/>
                <w:highlight w:val="none"/>
              </w:rPr>
              <w:t>内。</w:t>
            </w:r>
          </w:p>
          <w:p w14:paraId="72884A60">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本项目规模及采购范围：</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南宁市可利大道第一幼儿园教学楼维修工程</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，拟维修幼儿园教学楼，共三层，改造面积约为800平方米。具体内容详见工程量清单及图纸</w:t>
            </w:r>
            <w:r>
              <w:rPr>
                <w:rFonts w:hint="eastAsia" w:ascii="宋体" w:hAnsi="宋体" w:eastAsia="宋体" w:cs="宋体"/>
                <w:color w:val="auto"/>
                <w:sz w:val="21"/>
                <w:szCs w:val="21"/>
                <w:highlight w:val="none"/>
              </w:rPr>
              <w:t>。</w:t>
            </w:r>
          </w:p>
          <w:p w14:paraId="31E59299">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二、质量标准</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达到国家有关施工质量验收规范的合格标准。</w:t>
            </w:r>
          </w:p>
          <w:p w14:paraId="08B2A12D">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▲三、服务要求：</w:t>
            </w:r>
          </w:p>
          <w:p w14:paraId="30C89372">
            <w:pPr>
              <w:keepNext w:val="0"/>
              <w:keepLines w:val="0"/>
              <w:pageBreakBefore w:val="0"/>
              <w:widowControl w:val="0"/>
              <w:numPr>
                <w:ilvl w:val="0"/>
                <w:numId w:val="0"/>
              </w:numPr>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成交人应提供有固定为本项目服务的专业施工团队及机械设施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拟派项目经理须具有建筑工程专业贰级以上（含贰级）注册建造师执业资格，且具有有效的安全生产考核合格证书（B类）；供应商拟派专职安全生产管理人员须具有有效的安全生产考核合格证书（C类）</w:t>
            </w:r>
            <w:r>
              <w:rPr>
                <w:rFonts w:hint="eastAsia" w:ascii="宋体" w:hAnsi="宋体" w:eastAsia="宋体" w:cs="宋体"/>
                <w:color w:val="auto"/>
                <w:sz w:val="21"/>
                <w:szCs w:val="21"/>
                <w:highlight w:val="none"/>
              </w:rPr>
              <w:t>。</w:t>
            </w:r>
          </w:p>
          <w:p w14:paraId="19F5A8C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2、成交人须确保自身人员、第三方人员、设备、周边建筑物等所有与项目相关的安全，为施工人员配备安全帽等安全器械，项目实施过程中出现的安全事故一律由成交人负责，承担一切法律责任和赔偿责任。</w:t>
            </w:r>
          </w:p>
          <w:p w14:paraId="2797FFA7">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人应建立完善作业班组，制定岗位职责以及各岗位规范、操作规程、管理制度（包括节假日值班制度、防汛防台期间的值班制度和应急工作制度）。进场前，岗位规范、操作规程、管理制度须报采购人审批备案。采购人与成交人派驻服务人员不发生任何劳动和雇佣关系，派驻服务人员由成交人自行管理。成交人应重视劳动关系，建立完善的管理措施及风险预案，避免项目实施过程中发生劳资纠纷，成交人须承担由此产生的一切经济及法律责任。</w:t>
            </w:r>
          </w:p>
          <w:p w14:paraId="58588CD2">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4.成交人施工如损坏相关管线、邻近建筑物、构筑物，所发生的费用由成交人承担。如因成交人的施工损害行为，导致采购人承担连带责任的，成交人按采购人的责任数额赔偿给采购人。</w:t>
            </w:r>
          </w:p>
          <w:p w14:paraId="6932D6CA">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、安全施工的要求</w:t>
            </w:r>
            <w:r>
              <w:rPr>
                <w:rFonts w:hint="eastAsia" w:ascii="宋体" w:hAnsi="宋体" w:eastAsia="宋体" w:cs="宋体"/>
                <w:b/>
                <w:bCs/>
                <w:color w:val="auto"/>
                <w:sz w:val="21"/>
                <w:szCs w:val="21"/>
                <w:highlight w:val="none"/>
                <w:lang w:eastAsia="zh-CN"/>
              </w:rPr>
              <w:t>：</w:t>
            </w:r>
          </w:p>
          <w:p w14:paraId="41A7D6DD">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执行《广西壮族自治区建筑工程安全文明施工费使用管理细则》的有关规定，供应商应确保施工工程各项安全防护、文明施工措施落实到位。</w:t>
            </w:r>
          </w:p>
          <w:p w14:paraId="0F8CA713">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、文明施工的要求</w:t>
            </w:r>
            <w:r>
              <w:rPr>
                <w:rFonts w:hint="eastAsia" w:ascii="宋体" w:hAnsi="宋体" w:eastAsia="宋体" w:cs="宋体"/>
                <w:b/>
                <w:bCs/>
                <w:color w:val="auto"/>
                <w:sz w:val="21"/>
                <w:szCs w:val="21"/>
                <w:highlight w:val="none"/>
                <w:lang w:eastAsia="zh-CN"/>
              </w:rPr>
              <w:t>：</w:t>
            </w:r>
          </w:p>
          <w:p w14:paraId="4D69D05E">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按照国家有关安全生产、环境保护、消防等方面的法律、行政法规、标准等规定。</w:t>
            </w:r>
          </w:p>
          <w:p w14:paraId="382BB6DA">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、技术标准和要求</w:t>
            </w:r>
            <w:r>
              <w:rPr>
                <w:rFonts w:hint="eastAsia" w:ascii="宋体" w:hAnsi="宋体" w:eastAsia="宋体" w:cs="宋体"/>
                <w:b/>
                <w:bCs/>
                <w:color w:val="auto"/>
                <w:sz w:val="21"/>
                <w:szCs w:val="21"/>
                <w:highlight w:val="none"/>
                <w:lang w:eastAsia="zh-CN"/>
              </w:rPr>
              <w:t>：</w:t>
            </w:r>
          </w:p>
          <w:p w14:paraId="7DC7794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按国家行业和地方现行标准、规范和规程等执行。</w:t>
            </w:r>
          </w:p>
        </w:tc>
        <w:tc>
          <w:tcPr>
            <w:tcW w:w="914" w:type="dxa"/>
            <w:noWrap w:val="0"/>
            <w:vAlign w:val="center"/>
          </w:tcPr>
          <w:p w14:paraId="2B1D2450">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建筑业</w:t>
            </w:r>
          </w:p>
        </w:tc>
      </w:tr>
      <w:tr w14:paraId="4272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noWrap w:val="0"/>
            <w:vAlign w:val="center"/>
          </w:tcPr>
          <w:p w14:paraId="345B6D16">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682" w:type="dxa"/>
            <w:gridSpan w:val="5"/>
            <w:noWrap w:val="0"/>
            <w:vAlign w:val="top"/>
          </w:tcPr>
          <w:p w14:paraId="4EE63A5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一、合同签订期：自成交通知书发出之日起25日内。</w:t>
            </w:r>
          </w:p>
          <w:p w14:paraId="7158A20C">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二、工期：</w:t>
            </w:r>
            <w:r>
              <w:rPr>
                <w:rFonts w:hint="eastAsia" w:ascii="宋体" w:hAnsi="宋体" w:cs="宋体"/>
                <w:i w:val="0"/>
                <w:iCs w:val="0"/>
                <w:caps w:val="0"/>
                <w:color w:val="auto"/>
                <w:spacing w:val="0"/>
                <w:kern w:val="0"/>
                <w:sz w:val="21"/>
                <w:szCs w:val="21"/>
                <w:highlight w:val="none"/>
                <w:shd w:val="clear" w:color="auto" w:fill="FFFFFF"/>
                <w:lang w:val="en-US" w:eastAsia="zh-CN" w:bidi="ar"/>
              </w:rPr>
              <w:t>60个日历天内完工</w:t>
            </w:r>
            <w:r>
              <w:rPr>
                <w:rFonts w:hint="eastAsia" w:ascii="宋体" w:hAnsi="宋体" w:eastAsia="宋体" w:cs="宋体"/>
                <w:color w:val="auto"/>
                <w:sz w:val="21"/>
                <w:szCs w:val="21"/>
                <w:highlight w:val="none"/>
              </w:rPr>
              <w:t>。</w:t>
            </w:r>
          </w:p>
          <w:p w14:paraId="7E06089C">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三、验收标准、规范：</w:t>
            </w:r>
          </w:p>
          <w:p w14:paraId="1F9A768E">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1.根据采购人的要求和国家现行的有关的工程建设标准、技术规范及强制性标准条文等有关规范标准。</w:t>
            </w:r>
          </w:p>
          <w:p w14:paraId="301A69D9">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2.验收过程中所产生的一切费用均由成交人承担。报价时应考虑相关费用。</w:t>
            </w:r>
          </w:p>
          <w:p w14:paraId="59780D67">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四、售后服务要求</w:t>
            </w:r>
          </w:p>
          <w:p w14:paraId="452C9F12">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1.工程质量保修要求：2年，质量保修期从工程实际竣工验收通过之日算起。</w:t>
            </w:r>
          </w:p>
          <w:p w14:paraId="135163C1">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（1）双方根据国家有关规定，按法律、行政法规或国家关于工程质量保修的有关规定，对交付采购人使用的工程质量保修期为工程实际竣工验收通过之日起2年，应承担质量保修责任。</w:t>
            </w:r>
          </w:p>
          <w:p w14:paraId="55B3D2CA">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（2）在工程质量保修期期限内发生质量问题，必须在收到质保通知后的1个日历天内整改完毕。</w:t>
            </w:r>
          </w:p>
          <w:p w14:paraId="2F7DC596">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（3）在没有明文规定下，参照建设工程质量保修条例，双方协商为设计文件规定的该工程的合理使用年限内保修。</w:t>
            </w:r>
          </w:p>
          <w:p w14:paraId="1D7C8CD8">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2.涉及货物部分成交产品必须是全新、未使用过的产品。产品包装必须是未经使用的全新的合格产品，并按照原厂标准包装规格供货，不接受散装或拆包装件。</w:t>
            </w:r>
          </w:p>
          <w:p w14:paraId="35721829">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3.其余部分按合同相关条款执行。</w:t>
            </w:r>
          </w:p>
          <w:p w14:paraId="5D70AA9D">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五、竞标报价</w:t>
            </w:r>
          </w:p>
          <w:p w14:paraId="06285160">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color w:val="auto"/>
                <w:szCs w:val="21"/>
                <w:highlight w:val="none"/>
              </w:rPr>
              <w:t>采用工程量清单报价方式，供应商已标价工程量清单（包含首次报价、最后报价）的项目编码、项目名称及项目特征描述、计量单位、工程量须与采购工程量清单一致的，</w:t>
            </w:r>
            <w:r>
              <w:rPr>
                <w:rFonts w:hint="eastAsia" w:ascii="宋体" w:hAnsi="宋体" w:eastAsia="宋体" w:cs="宋体"/>
                <w:b/>
                <w:bCs/>
                <w:color w:val="auto"/>
                <w:szCs w:val="21"/>
                <w:highlight w:val="none"/>
              </w:rPr>
              <w:t>否则竞标无效</w:t>
            </w:r>
            <w:r>
              <w:rPr>
                <w:rFonts w:hint="eastAsia" w:ascii="宋体" w:hAnsi="宋体" w:eastAsia="宋体" w:cs="宋体"/>
                <w:color w:val="auto"/>
                <w:szCs w:val="21"/>
                <w:highlight w:val="none"/>
              </w:rPr>
              <w:t>；最终报价不得高于最高限价。本项目采用二次报价方式，竞标人的最终报价如有变动，则必须以工程量清单报价表的格式编制提交，竞标人须提前做好相关准备并按时递交最终报价文件，</w:t>
            </w:r>
            <w:r>
              <w:rPr>
                <w:rFonts w:hint="eastAsia" w:ascii="宋体" w:hAnsi="宋体" w:eastAsia="宋体" w:cs="宋体"/>
                <w:b/>
                <w:bCs/>
                <w:color w:val="auto"/>
                <w:szCs w:val="21"/>
                <w:highlight w:val="none"/>
              </w:rPr>
              <w:t>否则报价无效</w:t>
            </w:r>
            <w:r>
              <w:rPr>
                <w:rFonts w:hint="eastAsia" w:ascii="宋体" w:hAnsi="宋体" w:eastAsia="宋体" w:cs="宋体"/>
                <w:color w:val="auto"/>
                <w:szCs w:val="21"/>
                <w:highlight w:val="none"/>
              </w:rPr>
              <w:t>。</w:t>
            </w:r>
          </w:p>
          <w:p w14:paraId="5B2FBD49">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（2）报价必须包含以下部分，包括：</w:t>
            </w:r>
          </w:p>
          <w:p w14:paraId="6490E779">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履行合同的最终价格，为实施和完成合同工程所需的劳务、材料、机械、质检（自检）、安装、缺陷修复、管理、保险、税费、利润等费用，以及合同明示或暗示的所有责任、义务和一般风险。</w:t>
            </w:r>
          </w:p>
          <w:p w14:paraId="3788C85B">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六、付款方式及条件：</w:t>
            </w:r>
          </w:p>
          <w:p w14:paraId="0B6EAE1F">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双方约定的工程款（进度款）的支付方式：工程进度款按进度申请支付，合同价款内的进度款支付额为当期实际完成工程量价款的80%，发包人在每期已完成的工程价款中扣留20%作为保留金，保留金限额为合同价款的20%。合同价款外的进度款支付额为当期实际完成工程量价款的60%。工程竣工结算经审核后，工程款支付至97%。</w:t>
            </w:r>
          </w:p>
          <w:p w14:paraId="63391D3E">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2.建设单位按工程价款的3%作为工程质量保修金，待工程质量保修期满后无息返还给施工单位。</w:t>
            </w:r>
          </w:p>
          <w:p w14:paraId="76344A29">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工程竣工验收合格，结算金额经城区</w:t>
            </w:r>
            <w:r>
              <w:rPr>
                <w:rFonts w:hint="eastAsia" w:ascii="宋体" w:hAnsi="宋体" w:cs="宋体"/>
                <w:color w:val="auto"/>
                <w:kern w:val="2"/>
                <w:sz w:val="21"/>
                <w:szCs w:val="21"/>
                <w:highlight w:val="none"/>
                <w:lang w:val="en-US" w:eastAsia="zh-CN" w:bidi="ar-SA"/>
              </w:rPr>
              <w:t>财政</w:t>
            </w:r>
            <w:r>
              <w:rPr>
                <w:rFonts w:hint="eastAsia" w:ascii="宋体" w:hAnsi="宋体" w:eastAsia="宋体" w:cs="宋体"/>
                <w:color w:val="auto"/>
                <w:kern w:val="2"/>
                <w:sz w:val="21"/>
                <w:szCs w:val="21"/>
                <w:highlight w:val="none"/>
                <w:lang w:val="en-US" w:eastAsia="zh-CN" w:bidi="ar-SA"/>
              </w:rPr>
              <w:t>部门对审核结论提出审核意见后，15个工作日内，付97%的工程款，余下3%的工程款的在质保期满后（具体已按照签订的工程质量保修书）后15个工作日内付清给承包人。</w:t>
            </w:r>
          </w:p>
          <w:p w14:paraId="1388B3EA">
            <w:pPr>
              <w:numPr>
                <w:ilvl w:val="0"/>
                <w:numId w:val="0"/>
              </w:num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七、</w:t>
            </w:r>
            <w:r>
              <w:rPr>
                <w:rFonts w:hint="eastAsia" w:ascii="宋体" w:hAnsi="宋体" w:eastAsia="宋体" w:cs="宋体"/>
                <w:color w:val="auto"/>
                <w:szCs w:val="21"/>
                <w:highlight w:val="none"/>
              </w:rPr>
              <w:t>其他：</w:t>
            </w:r>
          </w:p>
          <w:p w14:paraId="0E423EB3">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响应报价是履行合同的最终价格，必须包含满足本次响应全部采购需求所应提供的服务包括：货物的价格；货物的标准附件、备品备件、专用工具的价格；运输、装卸、调试、培训、技术支持、售后服务、配合费、货物保护等费用；必要的保险费用和各项税费；包括安装和检测费；安装需要的土建内容。</w:t>
            </w:r>
          </w:p>
        </w:tc>
      </w:tr>
      <w:tr w14:paraId="4694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noWrap w:val="0"/>
            <w:vAlign w:val="center"/>
          </w:tcPr>
          <w:p w14:paraId="5C9B9135">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其他说明</w:t>
            </w:r>
          </w:p>
        </w:tc>
        <w:tc>
          <w:tcPr>
            <w:tcW w:w="9682" w:type="dxa"/>
            <w:gridSpan w:val="5"/>
            <w:noWrap w:val="0"/>
            <w:vAlign w:val="center"/>
          </w:tcPr>
          <w:p w14:paraId="10FC2F3A">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一、进口产品说明</w:t>
            </w:r>
          </w:p>
          <w:p w14:paraId="244F6852">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本分标不涉及进口产品。</w:t>
            </w:r>
          </w:p>
          <w:p w14:paraId="37C2947C">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二、与本分标有关的图纸、工程量清单及其获取方式</w:t>
            </w:r>
          </w:p>
          <w:p w14:paraId="2A8386DD">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资料名称：具体详见采购文件附件。</w:t>
            </w:r>
          </w:p>
          <w:p w14:paraId="542FDEA3">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网上下载。供应商可自行在“广西政府采购云平台”（https：//www.gcy.zfcg.gxzf.gov.cn）下载相关资料，方式同采购文件获取方式（操作路径：登录“广西政府采购云平台”-项目采购-获取采购文件-找到本项目-点击“申请获取工程量清单、图纸”）。</w:t>
            </w:r>
          </w:p>
        </w:tc>
      </w:tr>
    </w:tbl>
    <w:p w14:paraId="52EA505D">
      <w:pPr>
        <w:spacing w:line="428" w:lineRule="exact"/>
        <w:rPr>
          <w:rFonts w:hint="eastAsia" w:ascii="宋体" w:hAnsi="宋体" w:eastAsia="宋体" w:cs="宋体"/>
          <w:color w:val="auto"/>
          <w:sz w:val="32"/>
          <w:szCs w:val="32"/>
          <w:highlight w:val="none"/>
        </w:rPr>
      </w:pPr>
    </w:p>
    <w:p w14:paraId="545BF1CF">
      <w:pPr>
        <w:spacing w:line="428" w:lineRule="exact"/>
        <w:rPr>
          <w:rFonts w:hint="eastAsia" w:ascii="宋体" w:hAnsi="宋体" w:eastAsia="宋体" w:cs="宋体"/>
          <w:color w:val="auto"/>
          <w:sz w:val="32"/>
          <w:szCs w:val="32"/>
          <w:highlight w:val="none"/>
        </w:rPr>
      </w:pPr>
    </w:p>
    <w:p w14:paraId="57C92162">
      <w:pPr>
        <w:spacing w:line="428" w:lineRule="exact"/>
        <w:ind w:left="119"/>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7C00111E">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9"/>
        <w:tblW w:w="9358" w:type="dxa"/>
        <w:jc w:val="center"/>
        <w:tblLayout w:type="autofit"/>
        <w:tblCellMar>
          <w:top w:w="0" w:type="dxa"/>
          <w:left w:w="108" w:type="dxa"/>
          <w:bottom w:w="0" w:type="dxa"/>
          <w:right w:w="108" w:type="dxa"/>
        </w:tblCellMar>
      </w:tblPr>
      <w:tblGrid>
        <w:gridCol w:w="779"/>
        <w:gridCol w:w="1116"/>
        <w:gridCol w:w="1516"/>
        <w:gridCol w:w="1612"/>
        <w:gridCol w:w="4335"/>
      </w:tblGrid>
      <w:tr w14:paraId="5BD2F41A">
        <w:tblPrEx>
          <w:tblCellMar>
            <w:top w:w="0" w:type="dxa"/>
            <w:left w:w="108" w:type="dxa"/>
            <w:bottom w:w="0" w:type="dxa"/>
            <w:right w:w="108" w:type="dxa"/>
          </w:tblCellMar>
        </w:tblPrEx>
        <w:trPr>
          <w:trHeight w:val="555" w:hRule="atLeast"/>
          <w:jc w:val="center"/>
        </w:trPr>
        <w:tc>
          <w:tcPr>
            <w:tcW w:w="779" w:type="dxa"/>
            <w:tcBorders>
              <w:top w:val="single" w:color="000000" w:sz="8" w:space="0"/>
              <w:left w:val="single" w:color="000000" w:sz="8" w:space="0"/>
              <w:bottom w:val="single" w:color="000000" w:sz="8" w:space="0"/>
              <w:right w:val="single" w:color="000000" w:sz="8" w:space="0"/>
            </w:tcBorders>
            <w:noWrap w:val="0"/>
            <w:vAlign w:val="top"/>
          </w:tcPr>
          <w:p w14:paraId="28DC8C54">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56B704A6">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tcBorders>
              <w:top w:val="single" w:color="000000" w:sz="8" w:space="0"/>
              <w:left w:val="nil"/>
              <w:bottom w:val="single" w:color="000000" w:sz="8" w:space="0"/>
              <w:right w:val="single" w:color="000000" w:sz="8" w:space="0"/>
            </w:tcBorders>
            <w:noWrap w:val="0"/>
            <w:vAlign w:val="center"/>
          </w:tcPr>
          <w:p w14:paraId="2F46DE59">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2584A7A0">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065BB7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F3EBEA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0FDFB8B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22B0F0D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9DF9FA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3BEEA371">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5EAE598">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359C588">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D2EE07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6FD52DB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C5AD12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48DFAFB">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B6EE5E5">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1442F9B">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EA4FF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65BB201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73F9EE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4B0EC4CA">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7B504A2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03423B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0728336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227DB3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tcBorders>
              <w:top w:val="nil"/>
              <w:left w:val="nil"/>
              <w:bottom w:val="single" w:color="000000" w:sz="8" w:space="0"/>
              <w:right w:val="single" w:color="000000" w:sz="8" w:space="0"/>
            </w:tcBorders>
            <w:noWrap w:val="0"/>
            <w:vAlign w:val="center"/>
          </w:tcPr>
          <w:p w14:paraId="7DDF013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0DCF377">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2912149F">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790CC2C">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1F8B0E9">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170853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tcBorders>
              <w:top w:val="nil"/>
              <w:left w:val="nil"/>
              <w:bottom w:val="single" w:color="000000" w:sz="8" w:space="0"/>
              <w:right w:val="single" w:color="000000" w:sz="8" w:space="0"/>
            </w:tcBorders>
            <w:noWrap w:val="0"/>
            <w:vAlign w:val="center"/>
          </w:tcPr>
          <w:p w14:paraId="03A709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5E8AF52">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EB4416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260CC8D">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A6FF497">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799178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tcBorders>
              <w:top w:val="nil"/>
              <w:left w:val="nil"/>
              <w:bottom w:val="single" w:color="000000" w:sz="8" w:space="0"/>
              <w:right w:val="single" w:color="000000" w:sz="8" w:space="0"/>
            </w:tcBorders>
            <w:noWrap w:val="0"/>
            <w:vAlign w:val="center"/>
          </w:tcPr>
          <w:p w14:paraId="46D7E9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6D0F33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2235B7D">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4BCAAA1">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C8368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3DAE2E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tcBorders>
              <w:top w:val="nil"/>
              <w:left w:val="nil"/>
              <w:bottom w:val="single" w:color="000000" w:sz="8" w:space="0"/>
              <w:right w:val="single" w:color="000000" w:sz="8" w:space="0"/>
            </w:tcBorders>
            <w:noWrap w:val="0"/>
            <w:vAlign w:val="center"/>
          </w:tcPr>
          <w:p w14:paraId="1891115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58FD5609">
        <w:tblPrEx>
          <w:tblCellMar>
            <w:top w:w="0" w:type="dxa"/>
            <w:left w:w="108" w:type="dxa"/>
            <w:bottom w:w="0" w:type="dxa"/>
            <w:right w:w="108" w:type="dxa"/>
          </w:tblCellMar>
        </w:tblPrEx>
        <w:trPr>
          <w:trHeight w:val="97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2B44A3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FF70B59">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29CCB0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453272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tcBorders>
              <w:top w:val="nil"/>
              <w:left w:val="nil"/>
              <w:bottom w:val="single" w:color="000000" w:sz="8" w:space="0"/>
              <w:right w:val="single" w:color="000000" w:sz="8" w:space="0"/>
            </w:tcBorders>
            <w:noWrap w:val="0"/>
            <w:vAlign w:val="center"/>
          </w:tcPr>
          <w:p w14:paraId="323B175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53E9B7B">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85897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4D7FB01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212F1F1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41BF6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BB8F89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22D8262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3B5D1E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236AFF7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72FA35A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BF633C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D434D0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910ACF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40FEE2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59C2488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3C72EC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50EB79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ACAAF1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62757044">
        <w:tblPrEx>
          <w:tblCellMar>
            <w:top w:w="0" w:type="dxa"/>
            <w:left w:w="108" w:type="dxa"/>
            <w:bottom w:w="0" w:type="dxa"/>
            <w:right w:w="108" w:type="dxa"/>
          </w:tblCellMar>
        </w:tblPrEx>
        <w:trPr>
          <w:trHeight w:val="73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11F3CCD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082207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1DC04F1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0CCBBF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tcBorders>
              <w:top w:val="nil"/>
              <w:left w:val="nil"/>
              <w:bottom w:val="single" w:color="000000" w:sz="8" w:space="0"/>
              <w:right w:val="single" w:color="000000" w:sz="8" w:space="0"/>
            </w:tcBorders>
            <w:noWrap w:val="0"/>
            <w:vAlign w:val="center"/>
          </w:tcPr>
          <w:p w14:paraId="17DBB34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40A615EE">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A9E48AE">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A0DB3DD">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95436A0">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CB604D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tcBorders>
              <w:top w:val="nil"/>
              <w:left w:val="nil"/>
              <w:bottom w:val="single" w:color="000000" w:sz="8" w:space="0"/>
              <w:right w:val="single" w:color="000000" w:sz="8" w:space="0"/>
            </w:tcBorders>
            <w:noWrap w:val="0"/>
            <w:vAlign w:val="center"/>
          </w:tcPr>
          <w:p w14:paraId="5C9893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7B69FF75">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F9CDA3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AD2E6C0">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9DF125D">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E03C2E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tcBorders>
              <w:top w:val="nil"/>
              <w:left w:val="nil"/>
              <w:bottom w:val="single" w:color="000000" w:sz="8" w:space="0"/>
              <w:right w:val="single" w:color="000000" w:sz="8" w:space="0"/>
            </w:tcBorders>
            <w:noWrap w:val="0"/>
            <w:vAlign w:val="center"/>
          </w:tcPr>
          <w:p w14:paraId="5A2A37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0039CDAC">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568876DF">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9E8F885">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582568D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532FE8A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tcBorders>
              <w:top w:val="nil"/>
              <w:left w:val="nil"/>
              <w:bottom w:val="single" w:color="000000" w:sz="8" w:space="0"/>
              <w:right w:val="single" w:color="000000" w:sz="8" w:space="0"/>
            </w:tcBorders>
            <w:noWrap w:val="0"/>
            <w:vAlign w:val="center"/>
          </w:tcPr>
          <w:p w14:paraId="5B05DF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8271861">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40062C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F1AB60B">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9078953">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B3EC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tcBorders>
              <w:top w:val="nil"/>
              <w:left w:val="nil"/>
              <w:bottom w:val="single" w:color="000000" w:sz="8" w:space="0"/>
              <w:right w:val="single" w:color="000000" w:sz="8" w:space="0"/>
            </w:tcBorders>
            <w:noWrap w:val="0"/>
            <w:vAlign w:val="center"/>
          </w:tcPr>
          <w:p w14:paraId="445F38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2727DE3D">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1ABE8B8">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72F6F7">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BBEBFB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79C7CF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tcBorders>
              <w:top w:val="nil"/>
              <w:left w:val="nil"/>
              <w:bottom w:val="single" w:color="000000" w:sz="8" w:space="0"/>
              <w:right w:val="single" w:color="000000" w:sz="8" w:space="0"/>
            </w:tcBorders>
            <w:noWrap w:val="0"/>
            <w:vAlign w:val="center"/>
          </w:tcPr>
          <w:p w14:paraId="6F44C86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2822B400">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5001B00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37A2454">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823BD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16EF79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tcBorders>
              <w:top w:val="nil"/>
              <w:left w:val="nil"/>
              <w:bottom w:val="single" w:color="000000" w:sz="8" w:space="0"/>
              <w:right w:val="single" w:color="000000" w:sz="8" w:space="0"/>
            </w:tcBorders>
            <w:noWrap w:val="0"/>
            <w:vAlign w:val="center"/>
          </w:tcPr>
          <w:p w14:paraId="33BB5F6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456DE1D0">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A0F9D8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21429E3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0A17311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12CA879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4AB240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309E117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43846CF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6A19EF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7927829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3F581B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058040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7783B30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65C2311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3A2FDB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251C0E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399F9B1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4B456BB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07CF0FE7">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9166B2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77D983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4F1E4DF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3AE442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09B078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4FC6D919">
        <w:tblPrEx>
          <w:tblCellMar>
            <w:top w:w="0" w:type="dxa"/>
            <w:left w:w="108" w:type="dxa"/>
            <w:bottom w:w="0" w:type="dxa"/>
            <w:right w:w="108" w:type="dxa"/>
          </w:tblCellMar>
        </w:tblPrEx>
        <w:trPr>
          <w:trHeight w:val="97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10531D07">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C48FB22">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61EE6C4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105C0C0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tcBorders>
              <w:top w:val="nil"/>
              <w:left w:val="nil"/>
              <w:bottom w:val="single" w:color="000000" w:sz="8" w:space="0"/>
              <w:right w:val="single" w:color="000000" w:sz="8" w:space="0"/>
            </w:tcBorders>
            <w:noWrap w:val="0"/>
            <w:vAlign w:val="center"/>
          </w:tcPr>
          <w:p w14:paraId="70FED6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5C6692BE">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7B6095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1E8C91">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12DB579">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EA33F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tcBorders>
              <w:top w:val="nil"/>
              <w:left w:val="nil"/>
              <w:bottom w:val="single" w:color="000000" w:sz="8" w:space="0"/>
              <w:right w:val="single" w:color="000000" w:sz="8" w:space="0"/>
            </w:tcBorders>
            <w:noWrap w:val="0"/>
            <w:vAlign w:val="center"/>
          </w:tcPr>
          <w:p w14:paraId="2742279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3244DAE3">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F73EB2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83DAA16">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4ACF768">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C46DD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tcBorders>
              <w:top w:val="nil"/>
              <w:left w:val="nil"/>
              <w:bottom w:val="single" w:color="000000" w:sz="8" w:space="0"/>
              <w:right w:val="single" w:color="000000" w:sz="8" w:space="0"/>
            </w:tcBorders>
            <w:noWrap w:val="0"/>
            <w:vAlign w:val="center"/>
          </w:tcPr>
          <w:p w14:paraId="40DA746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1E392ED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0D9D274">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35163A0">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3E7322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6D36558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5C491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545085A3">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2556BE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8D8F94D">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67A5C6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6B09C29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tcBorders>
              <w:top w:val="nil"/>
              <w:left w:val="nil"/>
              <w:bottom w:val="single" w:color="000000" w:sz="8" w:space="0"/>
              <w:right w:val="single" w:color="000000" w:sz="8" w:space="0"/>
            </w:tcBorders>
            <w:noWrap w:val="0"/>
            <w:vAlign w:val="center"/>
          </w:tcPr>
          <w:p w14:paraId="35D5FCD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06F3FCD3">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6DE2F46">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73A2930">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CB03E97">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FE3A2B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tcBorders>
              <w:top w:val="nil"/>
              <w:left w:val="nil"/>
              <w:bottom w:val="single" w:color="000000" w:sz="8" w:space="0"/>
              <w:right w:val="single" w:color="000000" w:sz="8" w:space="0"/>
            </w:tcBorders>
            <w:noWrap w:val="0"/>
            <w:vAlign w:val="center"/>
          </w:tcPr>
          <w:p w14:paraId="110203B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1D65F9C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48587F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2A6A1EC">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4380BC1">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A4C31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tcBorders>
              <w:top w:val="nil"/>
              <w:left w:val="nil"/>
              <w:bottom w:val="single" w:color="000000" w:sz="8" w:space="0"/>
              <w:right w:val="single" w:color="000000" w:sz="8" w:space="0"/>
            </w:tcBorders>
            <w:noWrap w:val="0"/>
            <w:vAlign w:val="center"/>
          </w:tcPr>
          <w:p w14:paraId="39957F0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7963115F">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B23CB8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F633351">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757DAEB">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14CDC7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tcBorders>
              <w:top w:val="nil"/>
              <w:left w:val="nil"/>
              <w:bottom w:val="single" w:color="000000" w:sz="8" w:space="0"/>
              <w:right w:val="single" w:color="000000" w:sz="8" w:space="0"/>
            </w:tcBorders>
            <w:noWrap w:val="0"/>
            <w:vAlign w:val="center"/>
          </w:tcPr>
          <w:p w14:paraId="5031C40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725397C8">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00E54B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6FFB6A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139F7B4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233FA6D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0A5E99F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7FBF249F">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BB68CC7">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7BB50C7">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829344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7A91051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565180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5DC63CEE">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540132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70A31F0">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710BB0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02A3E24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131B4D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E787651">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E77F03B">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8C26D7D">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165BCC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7B62A34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B47A00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768B47F9">
        <w:tblPrEx>
          <w:tblCellMar>
            <w:top w:w="0" w:type="dxa"/>
            <w:left w:w="108" w:type="dxa"/>
            <w:bottom w:w="0" w:type="dxa"/>
            <w:right w:w="108" w:type="dxa"/>
          </w:tblCellMar>
        </w:tblPrEx>
        <w:trPr>
          <w:trHeight w:val="73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344E9B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677AD22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0B9CDE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5099839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51E35F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2E68839E">
        <w:tblPrEx>
          <w:tblCellMar>
            <w:top w:w="0" w:type="dxa"/>
            <w:left w:w="108" w:type="dxa"/>
            <w:bottom w:w="0" w:type="dxa"/>
            <w:right w:w="108" w:type="dxa"/>
          </w:tblCellMar>
        </w:tblPrEx>
        <w:trPr>
          <w:trHeight w:val="97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66D7FF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070D77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7DAF9AA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3C6CD5D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tcBorders>
              <w:top w:val="nil"/>
              <w:left w:val="nil"/>
              <w:bottom w:val="single" w:color="000000" w:sz="8" w:space="0"/>
              <w:right w:val="single" w:color="000000" w:sz="8" w:space="0"/>
            </w:tcBorders>
            <w:noWrap w:val="0"/>
            <w:vAlign w:val="center"/>
          </w:tcPr>
          <w:p w14:paraId="019D84B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FF47D86">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566171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1F99C8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51DE0E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60B338D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821E95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24EA49C5">
        <w:tblPrEx>
          <w:tblCellMar>
            <w:top w:w="0" w:type="dxa"/>
            <w:left w:w="108" w:type="dxa"/>
            <w:bottom w:w="0" w:type="dxa"/>
            <w:right w:w="108" w:type="dxa"/>
          </w:tblCellMar>
        </w:tblPrEx>
        <w:trPr>
          <w:trHeight w:val="28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F55B6B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E9876D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5EECEDF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009148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4666BD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36A49BC7">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A01794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77782F3">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97B53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33F4082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80F611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7713FFC5">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4F6B196">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CCFC38">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CB24BC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4B9D5D7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4F93EB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24A728C6">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0B2B962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3676DD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7EF299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2D358C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9A848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1199CC64">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6A5FDC4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390663A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6BDFDC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3CFB0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82495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2FFDE792">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3AD9EA5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3DEA371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7B436B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BE678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8525BC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280D0E87">
      <w:pPr>
        <w:pStyle w:val="13"/>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52871795">
      <w:pPr>
        <w:pStyle w:val="17"/>
        <w:jc w:val="left"/>
        <w:rPr>
          <w:rFonts w:hint="eastAsia" w:ascii="宋体" w:hAnsi="宋体" w:eastAsia="宋体" w:cs="宋体"/>
          <w:color w:val="auto"/>
          <w:sz w:val="32"/>
          <w:szCs w:val="32"/>
          <w:highlight w:val="none"/>
        </w:rPr>
      </w:pPr>
      <w:r>
        <w:rPr>
          <w:rFonts w:hint="eastAsia" w:ascii="宋体" w:hAnsi="宋体" w:eastAsia="宋体" w:cs="宋体"/>
          <w:color w:val="auto"/>
          <w:highlight w:val="none"/>
        </w:rPr>
        <w:t xml:space="preserve">    2.以“★”标注的为政府强制采购产品。</w:t>
      </w: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附件2：</w:t>
      </w:r>
    </w:p>
    <w:p w14:paraId="2EB291BC">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9"/>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0A7A075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E4704E9">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75BDA6B7">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002AD72D">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140D0BAD">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6BDB2C7A">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433E39A0">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24BF1E5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00FF485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74F378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D03A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4D26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550BBC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511CB3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5E10E5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B8BE36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6C6462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23C0E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286A7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A78388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9DD94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84BA6E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281FC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DF77F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7060C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9FBEA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295653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2D2ACD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7F47C9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F89D18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45BA705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00D5F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22B3A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3A577CB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FF922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4B44E3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C3D5411">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538A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7B7E1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E04A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7C9375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4CC407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1453EEA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4E8B82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E86B3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CC63D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0150A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7412516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02899F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6774C4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444F2C">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0DA26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90EFA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77B86B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0816D54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7B6799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56EDBC4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C8EAC0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6F2330B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A27C90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178674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14153B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6E14D7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B9D085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9DDD1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BAD9B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673B8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B30EC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D9244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E590D3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9741A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0866CE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0545B9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187B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60E84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634B7B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97198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1164C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C6072CF">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AC097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72312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53E2A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20043AF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6D4C46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406B49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8A1A59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7B3FA1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0EAB2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FBF4C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02EDF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9301D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3CB72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0F015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7934A5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6890D3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159296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52A62A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18035D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619318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CC5656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69DD2D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DE80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3E5CE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12D3FB1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F3C795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860F01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42CA13">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390464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D959D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CD4C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4FE3B2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6F4EDF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4EB2A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281CAB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4DC3D5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5DDC7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5F6E2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C6685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BE2CB9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9C4FD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04F46C6">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0735F8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AAF74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731A5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147DA85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B255F1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12950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31C4E2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3D0AFC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606CD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B3025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0C2CA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74771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DF420C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45A4398">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1BD780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3A967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82FA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72EAA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EE80D0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B420E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D86552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7A5F2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A2745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FC26C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08320E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EDB2F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05485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FFC352C">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E197C4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41AE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9708EB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7CBFED3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54A3A2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282397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93D680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536011A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71C3B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AC9B29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48325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8E0822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CDC2F2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E3DF5F">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69CD6A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647DAC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65073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7C7C578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0E48B4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46D43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76C9D5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378D766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40806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3A0FA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30B07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1931C9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0E7A6AA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453CE">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43AC40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AA4A79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643C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02007D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617E99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3A7337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493E30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386A394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EDADD6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9666E1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5FE3F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39C747D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33BB2C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3668D9">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5853F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FF1BCE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0122F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0669E7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6AE6F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79A579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6482C8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74558F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5B32F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640A2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B81B30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DC5B1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22E603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F90437">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7D59C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99792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953EE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6DE2C05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BE0CB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B60A24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0D9005F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18FE71F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B1B2F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5E4C1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B8581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B8E6FB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313CDE18">
      <w:pPr>
        <w:spacing w:line="5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F002F00">
      <w:pPr>
        <w:widowControl/>
        <w:jc w:val="left"/>
        <w:rPr>
          <w:rFonts w:hint="eastAsia" w:ascii="宋体" w:hAnsi="宋体" w:eastAsia="宋体" w:cs="宋体"/>
          <w:color w:val="auto"/>
          <w:kern w:val="0"/>
          <w:sz w:val="20"/>
          <w:szCs w:val="21"/>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5D5E279D">
      <w:pPr>
        <w:pStyle w:val="2"/>
        <w:spacing w:line="480" w:lineRule="auto"/>
        <w:jc w:val="center"/>
        <w:rPr>
          <w:rFonts w:hint="eastAsia" w:ascii="宋体" w:hAnsi="宋体" w:eastAsia="宋体" w:cs="宋体"/>
          <w:b/>
          <w:bCs/>
          <w:color w:val="auto"/>
          <w:highlight w:val="none"/>
        </w:rPr>
      </w:pPr>
      <w:bookmarkStart w:id="16" w:name="_Toc13614"/>
      <w:bookmarkStart w:id="17" w:name="_Toc9239"/>
      <w:bookmarkStart w:id="18" w:name="_Toc7704"/>
      <w:bookmarkStart w:id="19" w:name="_Toc24174"/>
      <w:bookmarkStart w:id="20" w:name="_Toc9332"/>
      <w:bookmarkStart w:id="21" w:name="_Toc3319"/>
      <w:r>
        <w:rPr>
          <w:rFonts w:hint="eastAsia" w:ascii="宋体" w:hAnsi="宋体" w:eastAsia="宋体" w:cs="宋体"/>
          <w:b/>
          <w:bCs w:val="0"/>
          <w:color w:val="auto"/>
          <w:sz w:val="32"/>
          <w:szCs w:val="32"/>
          <w:highlight w:val="none"/>
        </w:rPr>
        <w:t>第三章 供应商须知</w:t>
      </w:r>
      <w:bookmarkEnd w:id="16"/>
      <w:bookmarkEnd w:id="17"/>
      <w:bookmarkEnd w:id="18"/>
      <w:bookmarkEnd w:id="19"/>
      <w:bookmarkEnd w:id="20"/>
      <w:bookmarkEnd w:id="21"/>
    </w:p>
    <w:p w14:paraId="13498B5A">
      <w:pPr>
        <w:pStyle w:val="3"/>
        <w:jc w:val="center"/>
        <w:rPr>
          <w:rFonts w:hint="eastAsia" w:ascii="宋体" w:hAnsi="宋体" w:eastAsia="宋体" w:cs="宋体"/>
          <w:b/>
          <w:bCs/>
          <w:color w:val="auto"/>
          <w:sz w:val="32"/>
          <w:szCs w:val="32"/>
          <w:highlight w:val="none"/>
        </w:rPr>
      </w:pPr>
      <w:bookmarkStart w:id="22" w:name="_Toc30660"/>
      <w:bookmarkStart w:id="23" w:name="_Toc9482"/>
      <w:r>
        <w:rPr>
          <w:rFonts w:hint="eastAsia" w:ascii="宋体" w:hAnsi="宋体" w:eastAsia="宋体" w:cs="宋体"/>
          <w:b w:val="0"/>
          <w:bCs/>
          <w:color w:val="auto"/>
          <w:highlight w:val="none"/>
        </w:rPr>
        <w:t>第一节 供应商须知前附表</w:t>
      </w:r>
      <w:bookmarkEnd w:id="22"/>
      <w:bookmarkEnd w:id="23"/>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2321"/>
        <w:gridCol w:w="7080"/>
      </w:tblGrid>
      <w:tr w14:paraId="66475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3" w:type="dxa"/>
            <w:noWrap w:val="0"/>
            <w:vAlign w:val="top"/>
          </w:tcPr>
          <w:p w14:paraId="0BCC787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21" w:type="dxa"/>
            <w:noWrap w:val="0"/>
            <w:vAlign w:val="center"/>
          </w:tcPr>
          <w:p w14:paraId="7F9181D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7080" w:type="dxa"/>
            <w:noWrap w:val="0"/>
            <w:vAlign w:val="top"/>
          </w:tcPr>
          <w:p w14:paraId="3022639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7E98D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A46B8F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21" w:type="dxa"/>
            <w:noWrap w:val="0"/>
            <w:vAlign w:val="center"/>
          </w:tcPr>
          <w:p w14:paraId="6B0C67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7080" w:type="dxa"/>
            <w:noWrap w:val="0"/>
            <w:vAlign w:val="top"/>
          </w:tcPr>
          <w:p w14:paraId="2146DF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B3B7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61CE68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21" w:type="dxa"/>
            <w:noWrap w:val="0"/>
            <w:vAlign w:val="center"/>
          </w:tcPr>
          <w:p w14:paraId="13BD37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7080" w:type="dxa"/>
            <w:noWrap w:val="0"/>
            <w:vAlign w:val="center"/>
          </w:tcPr>
          <w:p w14:paraId="33438EC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3DE8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049BD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21" w:type="dxa"/>
            <w:noWrap w:val="0"/>
            <w:vAlign w:val="center"/>
          </w:tcPr>
          <w:p w14:paraId="5EE24F1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7080" w:type="dxa"/>
            <w:noWrap w:val="0"/>
            <w:vAlign w:val="center"/>
          </w:tcPr>
          <w:p w14:paraId="057C6CE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E7BF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1CF83D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321" w:type="dxa"/>
            <w:noWrap w:val="0"/>
            <w:vAlign w:val="center"/>
          </w:tcPr>
          <w:p w14:paraId="2238AF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7080" w:type="dxa"/>
            <w:noWrap w:val="0"/>
            <w:vAlign w:val="center"/>
          </w:tcPr>
          <w:p w14:paraId="171F27C3">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☑不允许分包</w:t>
            </w:r>
          </w:p>
          <w:p w14:paraId="19F0920E">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□允许分包</w:t>
            </w:r>
          </w:p>
          <w:p w14:paraId="68866ABF">
            <w:pPr>
              <w:pStyle w:val="11"/>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w:t>
            </w:r>
          </w:p>
          <w:p w14:paraId="730FE159">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w:t>
            </w:r>
          </w:p>
        </w:tc>
      </w:tr>
      <w:tr w14:paraId="7AB4C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35290E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21" w:type="dxa"/>
            <w:noWrap w:val="0"/>
            <w:vAlign w:val="center"/>
          </w:tcPr>
          <w:p w14:paraId="712C49A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7080" w:type="dxa"/>
            <w:noWrap w:val="0"/>
            <w:vAlign w:val="center"/>
          </w:tcPr>
          <w:p w14:paraId="7B39D768">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供应商为法人或者其他组织的提供其营业执照等证明文件复印件（如营业执照或者事业单位法人证书或者执业许可证等），供应商为自然人的提供其有效身份证正反面复印件；</w:t>
            </w:r>
            <w:r>
              <w:rPr>
                <w:rFonts w:hint="eastAsia" w:ascii="宋体" w:hAnsi="宋体" w:eastAsia="宋体" w:cs="宋体"/>
                <w:b/>
                <w:color w:val="auto"/>
                <w:szCs w:val="21"/>
                <w:highlight w:val="none"/>
              </w:rPr>
              <w:t>（必须提供，否则响应文件按无效响应处理）</w:t>
            </w:r>
          </w:p>
          <w:p w14:paraId="2F968D9F">
            <w:pPr>
              <w:spacing w:line="360" w:lineRule="auto"/>
              <w:ind w:firstLine="411" w:firstLineChars="196"/>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w:t>
            </w:r>
            <w:r>
              <w:rPr>
                <w:rFonts w:hint="eastAsia" w:ascii="宋体" w:hAnsi="宋体" w:eastAsia="宋体" w:cs="宋体"/>
                <w:color w:val="auto"/>
                <w:szCs w:val="21"/>
                <w:highlight w:val="none"/>
                <w:u w:val="none"/>
                <w:lang w:val="en-US" w:eastAsia="zh-CN"/>
              </w:rPr>
              <w:t>前半年内任意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23BC0E6C">
            <w:pPr>
              <w:spacing w:line="360" w:lineRule="auto"/>
              <w:ind w:firstLine="411" w:firstLineChars="196"/>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none"/>
                <w:lang w:val="en-US" w:eastAsia="zh-CN"/>
              </w:rPr>
              <w:t>为</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w:t>
            </w:r>
            <w:r>
              <w:rPr>
                <w:rFonts w:hint="eastAsia" w:ascii="宋体" w:hAnsi="宋体" w:eastAsia="宋体" w:cs="宋体"/>
                <w:color w:val="auto"/>
                <w:szCs w:val="21"/>
                <w:highlight w:val="none"/>
                <w:u w:val="none"/>
                <w:lang w:val="en-US" w:eastAsia="zh-CN"/>
              </w:rPr>
              <w:t>前半年内任意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749157C5">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u w:val="none"/>
              </w:rPr>
              <w:t>[</w:t>
            </w:r>
            <w:bookmarkStart w:id="76" w:name="_GoBack"/>
            <w:bookmarkEnd w:id="76"/>
            <w:r>
              <w:rPr>
                <w:rFonts w:hint="eastAsia" w:ascii="宋体" w:hAnsi="宋体" w:eastAsia="宋体" w:cs="宋体"/>
                <w:color w:val="auto"/>
                <w:szCs w:val="21"/>
                <w:highlight w:val="none"/>
                <w:u w:val="none"/>
                <w:lang w:val="en-US" w:eastAsia="zh-CN"/>
              </w:rPr>
              <w:t>2025年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p>
          <w:p w14:paraId="6B0F9C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5.供应商直接控股、管理关系信息表（格式后附）；</w:t>
            </w:r>
            <w:r>
              <w:rPr>
                <w:rFonts w:hint="eastAsia" w:ascii="宋体" w:hAnsi="宋体" w:eastAsia="宋体" w:cs="宋体"/>
                <w:b/>
                <w:color w:val="auto"/>
                <w:szCs w:val="21"/>
                <w:highlight w:val="none"/>
              </w:rPr>
              <w:t>（必须提供，否则响应文件按无效响应处理）</w:t>
            </w:r>
          </w:p>
          <w:p w14:paraId="172547A6">
            <w:pPr>
              <w:spacing w:line="360" w:lineRule="auto"/>
              <w:ind w:firstLine="411" w:firstLineChars="196"/>
              <w:rPr>
                <w:rFonts w:hint="eastAsia" w:ascii="宋体" w:hAnsi="宋体" w:eastAsia="宋体" w:cs="宋体"/>
                <w:b/>
                <w:color w:val="auto"/>
                <w:szCs w:val="21"/>
                <w:highlight w:val="none"/>
              </w:rPr>
            </w:pPr>
            <w:bookmarkStart w:id="24" w:name="OLE_LINK28"/>
            <w:r>
              <w:rPr>
                <w:rFonts w:hint="eastAsia" w:ascii="宋体" w:hAnsi="宋体" w:eastAsia="宋体" w:cs="宋体"/>
                <w:color w:val="auto"/>
                <w:szCs w:val="21"/>
                <w:highlight w:val="none"/>
              </w:rPr>
              <w:t>6.资格声明函</w:t>
            </w:r>
            <w:bookmarkEnd w:id="24"/>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F40CC50">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本项目的特定资格要求：具有建筑工程施工总承包三级及以上资质，且具有有效的安全生产许可证，并在人员、设备、资金等方面具备相应的施工能力的企业，其中拟派项目经理须具有建筑工程专业贰级以上（含贰级）注册建造师执业资格，且具有有效的安全生产考核合格证书（B类）</w:t>
            </w:r>
            <w:r>
              <w:rPr>
                <w:rFonts w:hint="eastAsia" w:ascii="宋体" w:hAnsi="宋体" w:eastAsia="宋体" w:cs="宋体"/>
                <w:color w:val="auto"/>
                <w:szCs w:val="21"/>
                <w:highlight w:val="none"/>
                <w:lang w:eastAsia="zh-CN"/>
              </w:rPr>
              <w:t>；</w:t>
            </w:r>
            <w:r>
              <w:rPr>
                <w:rFonts w:hint="eastAsia" w:ascii="宋体" w:hAnsi="宋体" w:eastAsia="宋体" w:cs="宋体"/>
                <w:b/>
                <w:bCs/>
                <w:color w:val="auto"/>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b/>
                <w:bCs/>
                <w:color w:val="auto"/>
                <w:highlight w:val="none"/>
              </w:rPr>
              <w:t>）</w:t>
            </w:r>
          </w:p>
          <w:p w14:paraId="17065BA2">
            <w:pPr>
              <w:snapToGrid w:val="0"/>
              <w:spacing w:line="380" w:lineRule="exact"/>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0F3FC29A">
            <w:pPr>
              <w:snapToGrid w:val="0"/>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.除竞争性磋商文件规定必须提供以外，供应商认为需要提供的其他证明材料。</w:t>
            </w:r>
          </w:p>
          <w:p w14:paraId="0A23329D">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727CFA4">
            <w:pPr>
              <w:spacing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1.以上标明“必须提供”材料复印件的，必须加盖供应商CA签章，否则电子响应文件作无效处理。</w:t>
            </w:r>
          </w:p>
          <w:p w14:paraId="06284336">
            <w:pPr>
              <w:spacing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774B5B65">
            <w:pPr>
              <w:pStyle w:val="11"/>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3.以上材料未附格式的，由供应商自行拟定。</w:t>
            </w:r>
          </w:p>
        </w:tc>
      </w:tr>
      <w:tr w14:paraId="7CB30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64C747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21" w:type="dxa"/>
            <w:noWrap w:val="0"/>
            <w:vAlign w:val="center"/>
          </w:tcPr>
          <w:p w14:paraId="59CF9112">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7080" w:type="dxa"/>
            <w:noWrap w:val="0"/>
            <w:vAlign w:val="center"/>
          </w:tcPr>
          <w:p w14:paraId="33D2B7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响应函</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35A51D24">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响应函</w:t>
            </w:r>
            <w:r>
              <w:rPr>
                <w:rFonts w:hint="eastAsia" w:ascii="宋体" w:hAnsi="宋体" w:eastAsia="宋体" w:cs="宋体"/>
                <w:color w:val="auto"/>
                <w:szCs w:val="21"/>
                <w:highlight w:val="none"/>
                <w:lang w:val="en-US" w:eastAsia="zh-CN"/>
              </w:rPr>
              <w:t>附录</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6A0579F">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响应报价表</w:t>
            </w:r>
            <w:r>
              <w:rPr>
                <w:rFonts w:hint="eastAsia" w:ascii="宋体" w:hAnsi="宋体" w:eastAsia="宋体" w:cs="宋体"/>
                <w:b w:val="0"/>
                <w:bCs/>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0A1F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p>
          <w:p w14:paraId="01F41F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5.供应商认为需要提供的其他有关资料。</w:t>
            </w:r>
          </w:p>
        </w:tc>
      </w:tr>
      <w:tr w14:paraId="6D170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6A5CCB4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12.1.3</w:t>
            </w:r>
          </w:p>
        </w:tc>
        <w:tc>
          <w:tcPr>
            <w:tcW w:w="2321" w:type="dxa"/>
            <w:noWrap w:val="0"/>
            <w:vAlign w:val="center"/>
          </w:tcPr>
          <w:p w14:paraId="4E45E087">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商务技术文件</w:t>
            </w:r>
            <w:r>
              <w:rPr>
                <w:rFonts w:hint="eastAsia" w:ascii="宋体" w:hAnsi="宋体" w:eastAsia="宋体" w:cs="宋体"/>
                <w:b/>
                <w:bCs/>
                <w:color w:val="auto"/>
                <w:szCs w:val="21"/>
                <w:highlight w:val="none"/>
                <w:lang w:val="en-US" w:eastAsia="zh-CN"/>
              </w:rPr>
              <w:t>组成</w:t>
            </w:r>
          </w:p>
        </w:tc>
        <w:tc>
          <w:tcPr>
            <w:tcW w:w="7080" w:type="dxa"/>
            <w:noWrap w:val="0"/>
            <w:vAlign w:val="center"/>
          </w:tcPr>
          <w:p w14:paraId="53581689">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（必须提供，否则响应文件按无效响应处理）</w:t>
            </w:r>
          </w:p>
          <w:p w14:paraId="5C7A4E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2.法定代表人身份证明书及法定代表人有效身份证正反面复印件（格式后附）；</w:t>
            </w:r>
            <w:r>
              <w:rPr>
                <w:rFonts w:hint="eastAsia" w:ascii="宋体" w:hAnsi="宋体" w:eastAsia="宋体" w:cs="宋体"/>
                <w:b/>
                <w:color w:val="auto"/>
                <w:szCs w:val="21"/>
                <w:highlight w:val="none"/>
              </w:rPr>
              <w:t>（必须提供，否则响应文件按无效响应处理）</w:t>
            </w:r>
          </w:p>
          <w:p w14:paraId="788D0BAA">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3.授权委托书及委托代理人有效身份证正反面复印件（格式后附）；</w:t>
            </w:r>
            <w:r>
              <w:rPr>
                <w:rFonts w:hint="eastAsia" w:ascii="宋体" w:hAnsi="宋体" w:eastAsia="宋体" w:cs="宋体"/>
                <w:b/>
                <w:color w:val="auto"/>
                <w:szCs w:val="21"/>
                <w:highlight w:val="none"/>
              </w:rPr>
              <w:t>（必须提供，否则响应文件按无效响应处理）</w:t>
            </w:r>
          </w:p>
          <w:p w14:paraId="69846A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4.磋商保证金提交凭证；</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如有</w:t>
            </w:r>
            <w:r>
              <w:rPr>
                <w:rFonts w:hint="eastAsia" w:ascii="宋体" w:hAnsi="宋体" w:eastAsia="宋体" w:cs="宋体"/>
                <w:b/>
                <w:color w:val="auto"/>
                <w:szCs w:val="21"/>
                <w:highlight w:val="none"/>
              </w:rPr>
              <w:t>）</w:t>
            </w:r>
          </w:p>
          <w:p w14:paraId="5F38B0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（必须提供，否则响应文件按无效响应处理）</w:t>
            </w:r>
          </w:p>
          <w:p w14:paraId="464529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6.建设工程项目管理承诺书（格式后附）；</w:t>
            </w:r>
            <w:r>
              <w:rPr>
                <w:rFonts w:hint="eastAsia" w:ascii="宋体" w:hAnsi="宋体" w:eastAsia="宋体" w:cs="宋体"/>
                <w:b/>
                <w:color w:val="auto"/>
                <w:szCs w:val="21"/>
                <w:highlight w:val="none"/>
              </w:rPr>
              <w:t>（必须提供，否则响应文件按无效响应处理）</w:t>
            </w:r>
          </w:p>
          <w:p w14:paraId="69FDE1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技术需求偏离表（格式后附）；</w:t>
            </w:r>
            <w:r>
              <w:rPr>
                <w:rFonts w:hint="eastAsia" w:ascii="宋体" w:hAnsi="宋体" w:eastAsia="宋体" w:cs="宋体"/>
                <w:b/>
                <w:color w:val="auto"/>
                <w:szCs w:val="21"/>
                <w:highlight w:val="none"/>
              </w:rPr>
              <w:t>（必须提供，否则响应文件按无效响应处理）</w:t>
            </w:r>
          </w:p>
          <w:p w14:paraId="2BB831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.施工组织设计（格式自拟）；</w:t>
            </w:r>
            <w:r>
              <w:rPr>
                <w:rFonts w:hint="eastAsia" w:ascii="宋体" w:hAnsi="宋体" w:eastAsia="宋体" w:cs="宋体"/>
                <w:b/>
                <w:color w:val="auto"/>
                <w:szCs w:val="21"/>
                <w:highlight w:val="none"/>
              </w:rPr>
              <w:t>（必须提供，否则响应文件按无效响应处理）</w:t>
            </w:r>
          </w:p>
          <w:p w14:paraId="1D308E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.项目管理机构配备情况表及主要人员简历表（格式自拟）；</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 xml:space="preserve"> </w:t>
            </w:r>
          </w:p>
          <w:p w14:paraId="09F44A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.供应商认为需要提供的其他有关资料。</w:t>
            </w:r>
          </w:p>
          <w:p w14:paraId="78D6B281">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注：1.以上标明“必须提供”材料复印件的，必须加盖供应商CA签章，否则电子响应文件作无效处理。</w:t>
            </w:r>
          </w:p>
          <w:p w14:paraId="7FE4BC5F">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2521E304">
            <w:pPr>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rPr>
              <w:t>3.以上材料未附格式的，由供应商自行拟定。</w:t>
            </w:r>
          </w:p>
        </w:tc>
      </w:tr>
      <w:tr w14:paraId="4A1F4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64921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21" w:type="dxa"/>
            <w:noWrap w:val="0"/>
            <w:vAlign w:val="center"/>
          </w:tcPr>
          <w:p w14:paraId="3F93BB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7080" w:type="dxa"/>
            <w:noWrap w:val="0"/>
            <w:vAlign w:val="center"/>
          </w:tcPr>
          <w:p w14:paraId="3F35E80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响应文件格式”编写（第五章未附格式的，由供应商自行拟定），并在规定加盖公章处加盖公章，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24C155F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2.响应文件电子版密封方式：电子响应文件通过平台有效CA加密后在“广西政府采购云平台”平台投送。</w:t>
            </w:r>
          </w:p>
        </w:tc>
      </w:tr>
      <w:tr w14:paraId="27240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F048122">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15.1</w:t>
            </w:r>
          </w:p>
        </w:tc>
        <w:tc>
          <w:tcPr>
            <w:tcW w:w="2321" w:type="dxa"/>
            <w:noWrap w:val="0"/>
            <w:vAlign w:val="center"/>
          </w:tcPr>
          <w:p w14:paraId="790F636E">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工程量清单的填写方式</w:t>
            </w:r>
          </w:p>
        </w:tc>
        <w:tc>
          <w:tcPr>
            <w:tcW w:w="7080" w:type="dxa"/>
            <w:noWrap w:val="0"/>
            <w:vAlign w:val="center"/>
          </w:tcPr>
          <w:p w14:paraId="268A7FAA">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□供应商按照采购人提供的工程量固化清单电子文件填写工程量清单。</w:t>
            </w:r>
          </w:p>
          <w:p w14:paraId="4BAECEF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☑供应商按照采购人提供的工程量清单编写工程量清单。</w:t>
            </w:r>
          </w:p>
        </w:tc>
      </w:tr>
      <w:tr w14:paraId="161F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BD91E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21" w:type="dxa"/>
            <w:noWrap w:val="0"/>
            <w:vAlign w:val="center"/>
          </w:tcPr>
          <w:p w14:paraId="45B787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响应报价的价格构成</w:t>
            </w:r>
          </w:p>
        </w:tc>
        <w:tc>
          <w:tcPr>
            <w:tcW w:w="7080" w:type="dxa"/>
            <w:noWrap w:val="0"/>
            <w:vAlign w:val="center"/>
          </w:tcPr>
          <w:p w14:paraId="7227B982">
            <w:pPr>
              <w:spacing w:line="360" w:lineRule="auto"/>
              <w:contextualSpacing/>
              <w:jc w:val="lef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竞标报价是履行合同的最终价格，包括为实施和完成合同工程所需的劳务、材料、机械、质检（自检）、缺陷修复、管理、保险、税费、利润和</w:t>
            </w:r>
            <w:r>
              <w:rPr>
                <w:rFonts w:hint="eastAsia" w:ascii="宋体" w:hAnsi="宋体" w:eastAsia="宋体" w:cs="宋体"/>
                <w:b w:val="0"/>
                <w:bCs/>
                <w:color w:val="auto"/>
                <w:highlight w:val="none"/>
              </w:rPr>
              <w:t>验收费用</w:t>
            </w:r>
            <w:r>
              <w:rPr>
                <w:rFonts w:hint="eastAsia" w:ascii="宋体" w:hAnsi="宋体" w:eastAsia="宋体" w:cs="宋体"/>
                <w:b w:val="0"/>
                <w:bCs/>
                <w:color w:val="auto"/>
                <w:szCs w:val="21"/>
                <w:highlight w:val="none"/>
              </w:rPr>
              <w:t>等</w:t>
            </w:r>
            <w:r>
              <w:rPr>
                <w:rFonts w:hint="eastAsia" w:ascii="宋体" w:hAnsi="宋体" w:eastAsia="宋体" w:cs="宋体"/>
                <w:color w:val="auto"/>
                <w:szCs w:val="21"/>
                <w:highlight w:val="none"/>
              </w:rPr>
              <w:t>费用，以及合同明示或暗示的所有责任、义务和一般风险。</w:t>
            </w:r>
          </w:p>
        </w:tc>
      </w:tr>
      <w:tr w14:paraId="20C80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5FF338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w:t>
            </w:r>
          </w:p>
        </w:tc>
        <w:tc>
          <w:tcPr>
            <w:tcW w:w="2321" w:type="dxa"/>
            <w:noWrap w:val="0"/>
            <w:vAlign w:val="center"/>
          </w:tcPr>
          <w:p w14:paraId="1BD035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供应商的响应报价要求</w:t>
            </w:r>
          </w:p>
        </w:tc>
        <w:tc>
          <w:tcPr>
            <w:tcW w:w="7080" w:type="dxa"/>
            <w:noWrap w:val="0"/>
            <w:vAlign w:val="center"/>
          </w:tcPr>
          <w:p w14:paraId="0B84BAC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1.本项目增值税计税方法：☑一般计税法         □简易计税法</w:t>
            </w:r>
          </w:p>
          <w:p w14:paraId="6ED5A48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【备注：根据《关于全面推开营业税改征增值税试点的通知》（财税〔2016〕36号）、《关于建筑服务等营改增试点政策的通知》（财税〔2017〕58号）文件规定选择】</w:t>
            </w:r>
          </w:p>
          <w:p w14:paraId="6962FFF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2.本项目采用工程量清单报价方式，供应商应依据竞争性磋商文件、采购人提供的工程量清单</w:t>
            </w:r>
            <w:r>
              <w:rPr>
                <w:rFonts w:hint="eastAsia" w:ascii="宋体" w:hAnsi="宋体" w:eastAsia="宋体" w:cs="宋体"/>
                <w:color w:val="auto"/>
                <w:szCs w:val="21"/>
                <w:highlight w:val="none"/>
              </w:rPr>
              <w:t>编写</w:t>
            </w:r>
            <w:r>
              <w:rPr>
                <w:rFonts w:hint="eastAsia" w:ascii="宋体" w:hAnsi="宋体" w:eastAsia="宋体" w:cs="宋体"/>
                <w:color w:val="auto"/>
                <w:szCs w:val="21"/>
                <w:highlight w:val="none"/>
                <w:lang w:eastAsia="zh-CN"/>
              </w:rPr>
              <w:t>已标价</w:t>
            </w:r>
            <w:r>
              <w:rPr>
                <w:rFonts w:hint="eastAsia" w:ascii="宋体" w:hAnsi="宋体" w:eastAsia="宋体" w:cs="宋体"/>
                <w:color w:val="auto"/>
                <w:szCs w:val="21"/>
                <w:highlight w:val="none"/>
              </w:rPr>
              <w:t>工程量清单</w:t>
            </w:r>
            <w:r>
              <w:rPr>
                <w:rFonts w:hint="eastAsia" w:ascii="宋体" w:hAnsi="宋体" w:eastAsia="宋体" w:cs="宋体"/>
                <w:color w:val="auto"/>
                <w:highlight w:val="none"/>
              </w:rPr>
              <w:t>。</w:t>
            </w:r>
          </w:p>
          <w:p w14:paraId="537E9245">
            <w:pPr>
              <w:snapToGrid w:val="0"/>
              <w:spacing w:line="360" w:lineRule="auto"/>
              <w:jc w:val="left"/>
              <w:rPr>
                <w:rFonts w:hint="eastAsia" w:ascii="宋体" w:hAnsi="宋体" w:eastAsia="宋体" w:cs="宋体"/>
                <w:b/>
                <w:bCs/>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b/>
                <w:bCs/>
                <w:color w:val="auto"/>
                <w:highlight w:val="none"/>
              </w:rPr>
              <w:t>响应报价（包含首次报价、最后报价）应提交相应的已标价工程量清单，最后报价</w:t>
            </w:r>
            <w:r>
              <w:rPr>
                <w:rFonts w:hint="eastAsia" w:ascii="宋体" w:hAnsi="宋体" w:eastAsia="宋体" w:cs="宋体"/>
                <w:b/>
                <w:bCs/>
                <w:color w:val="auto"/>
                <w:szCs w:val="21"/>
                <w:highlight w:val="none"/>
              </w:rPr>
              <w:t>不得以总价下浮的方式做最后报价，</w:t>
            </w:r>
            <w:r>
              <w:rPr>
                <w:rFonts w:hint="eastAsia" w:ascii="宋体" w:hAnsi="宋体" w:eastAsia="宋体" w:cs="宋体"/>
                <w:b/>
                <w:bCs/>
                <w:color w:val="auto"/>
                <w:highlight w:val="none"/>
              </w:rPr>
              <w:t>否则响应文件按无效响应处理。</w:t>
            </w:r>
          </w:p>
          <w:p w14:paraId="2369AD7C">
            <w:pPr>
              <w:snapToGrid w:val="0"/>
              <w:spacing w:line="360" w:lineRule="auto"/>
              <w:jc w:val="left"/>
              <w:rPr>
                <w:rFonts w:hint="eastAsia" w:ascii="宋体" w:hAnsi="宋体" w:eastAsia="宋体" w:cs="宋体"/>
                <w:color w:val="auto"/>
                <w:highlight w:val="none"/>
              </w:rPr>
            </w:pPr>
            <w:r>
              <w:rPr>
                <w:rFonts w:hint="eastAsia" w:ascii="宋体" w:hAnsi="宋体" w:eastAsia="宋体" w:cs="宋体"/>
                <w:b/>
                <w:bCs/>
                <w:color w:val="auto"/>
                <w:highlight w:val="none"/>
              </w:rPr>
              <w:t>重要提示：</w:t>
            </w:r>
            <w:r>
              <w:rPr>
                <w:rFonts w:hint="eastAsia" w:ascii="宋体" w:hAnsi="宋体" w:eastAsia="宋体" w:cs="宋体"/>
                <w:b/>
                <w:bCs/>
                <w:color w:val="auto"/>
                <w:szCs w:val="21"/>
                <w:highlight w:val="none"/>
              </w:rPr>
              <w:t>最后报价有时间限制，供应商须按竞争性磋商文件“第五章 响应文件格式”内容提前准备最后报价表、已标价工程量清单并按时提交最后报价，以免耽误最后报价</w:t>
            </w:r>
            <w:r>
              <w:rPr>
                <w:rFonts w:hint="eastAsia" w:ascii="宋体" w:hAnsi="宋体" w:eastAsia="宋体" w:cs="宋体"/>
                <w:b/>
                <w:bCs/>
                <w:color w:val="auto"/>
                <w:szCs w:val="21"/>
                <w:highlight w:val="none"/>
                <w:lang w:val="zh-CN"/>
              </w:rPr>
              <w:t>。</w:t>
            </w:r>
          </w:p>
        </w:tc>
      </w:tr>
      <w:tr w14:paraId="1AB14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DD12C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21" w:type="dxa"/>
            <w:noWrap w:val="0"/>
            <w:vAlign w:val="center"/>
          </w:tcPr>
          <w:p w14:paraId="2F97870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7080" w:type="dxa"/>
            <w:noWrap w:val="0"/>
            <w:vAlign w:val="center"/>
          </w:tcPr>
          <w:p w14:paraId="27865896">
            <w:pPr>
              <w:pStyle w:val="10"/>
              <w:widowControl w:val="0"/>
              <w:tabs>
                <w:tab w:val="clear" w:pos="454"/>
              </w:tabs>
              <w:snapToGrid w:val="0"/>
              <w:spacing w:afterLines="0" w:line="360" w:lineRule="auto"/>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43250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A5B219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21" w:type="dxa"/>
            <w:noWrap w:val="0"/>
            <w:vAlign w:val="center"/>
          </w:tcPr>
          <w:p w14:paraId="08C4F3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7080" w:type="dxa"/>
            <w:noWrap w:val="0"/>
            <w:vAlign w:val="center"/>
          </w:tcPr>
          <w:p w14:paraId="768D7A86">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磋商保证金。</w:t>
            </w:r>
          </w:p>
          <w:p w14:paraId="1BF220F3">
            <w:pPr>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磋商保证金，相关要求如下：</w:t>
            </w:r>
          </w:p>
          <w:p w14:paraId="355C03B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1.磋商保证金的缴纳方式：详见竞争性磋商公告。</w:t>
            </w:r>
          </w:p>
          <w:p w14:paraId="61B6594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2.磋商保证金的金额：详见竞争性磋商公告。</w:t>
            </w:r>
          </w:p>
          <w:p w14:paraId="4CEC0CC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3.磋商保证金采用银行转账缴纳方式的，在首次响应文件提交截止时间前交至采购代理机构指定账户并且到账，供应商应将银行转账底单的复印件作为磋商保证金提交凭证，放置于商务文件中，</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0194B28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保证金采用支票、汇票、本票或者金融机构、担保机构出具的保函等缴纳方式的，供应商应将支票、汇票、本票或者金融机构、担保机构出具的保函等的复印件作为磋商保证金提交凭证，放置于商务文件中，</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。供应商必须在</w:t>
            </w:r>
            <w:r>
              <w:rPr>
                <w:rFonts w:hint="eastAsia" w:ascii="宋体" w:hAnsi="宋体" w:eastAsia="宋体" w:cs="宋体"/>
                <w:color w:val="auto"/>
                <w:kern w:val="0"/>
                <w:szCs w:val="21"/>
                <w:highlight w:val="none"/>
              </w:rPr>
              <w:t>首次响应文件提交截止时间前</w:t>
            </w:r>
            <w:r>
              <w:rPr>
                <w:rFonts w:hint="eastAsia" w:ascii="宋体" w:hAnsi="宋体" w:eastAsia="宋体" w:cs="宋体"/>
                <w:color w:val="auto"/>
                <w:szCs w:val="21"/>
                <w:highlight w:val="none"/>
              </w:rPr>
              <w:t>将支票、汇票、本票或者金融机构、担保机构出具的保函等原件提交给采购代理机构，由采购代理机构向供应商出具回执，并妥善保管。</w:t>
            </w:r>
          </w:p>
          <w:p w14:paraId="00F8FB8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5.磋商保证金指定账户：详见竞争性磋商公告。</w:t>
            </w:r>
          </w:p>
          <w:p w14:paraId="1F105967">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6.供应商为联合体的，可以由联合体中的一方或者多方共同缴纳磋商保证金，其缴纳的磋商保证金对联合体各方均具有约束力。</w:t>
            </w:r>
          </w:p>
          <w:p w14:paraId="2446641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53575C1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1.磋商保证金在首次响应文件提交截止时间后提交的，或者不按规定缴纳方式缴纳的，或者未足额缴纳的（包含保函额度不足的），视为无效磋商保证金。</w:t>
            </w:r>
          </w:p>
          <w:p w14:paraId="5C285E95">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2.供应商采用现金方式或者从个人账户（自然人竞标除外）转出的磋商保证金，视为无效磋商保证金。</w:t>
            </w:r>
          </w:p>
          <w:p w14:paraId="402B3DB0">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3.支票、汇票或者本票出现无效或者背书情形的，视为无效磋商保证金。</w:t>
            </w:r>
          </w:p>
          <w:p w14:paraId="1B6CE0FF">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4.保函有效期低于竞标有效期的，视为无效磋商保证金。</w:t>
            </w:r>
          </w:p>
          <w:p w14:paraId="51D0B6B1">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5.采用金融、担保机构出具保函的，必须为无条件保函，否则视为无效磋商保证金。</w:t>
            </w:r>
          </w:p>
        </w:tc>
      </w:tr>
      <w:tr w14:paraId="1F125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restart"/>
            <w:noWrap w:val="0"/>
            <w:vAlign w:val="center"/>
          </w:tcPr>
          <w:p w14:paraId="3EF635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21" w:type="dxa"/>
            <w:noWrap w:val="0"/>
            <w:vAlign w:val="center"/>
          </w:tcPr>
          <w:p w14:paraId="29E47CB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p>
          <w:p w14:paraId="31BF994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提交截止时间</w:t>
            </w:r>
          </w:p>
        </w:tc>
        <w:tc>
          <w:tcPr>
            <w:tcW w:w="7080" w:type="dxa"/>
            <w:noWrap w:val="0"/>
            <w:vAlign w:val="center"/>
          </w:tcPr>
          <w:p w14:paraId="2698E9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1D76B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continue"/>
            <w:noWrap w:val="0"/>
            <w:vAlign w:val="center"/>
          </w:tcPr>
          <w:p w14:paraId="455E122D">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559DBE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p>
          <w:p w14:paraId="34906B7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开启时间</w:t>
            </w:r>
          </w:p>
        </w:tc>
        <w:tc>
          <w:tcPr>
            <w:tcW w:w="7080" w:type="dxa"/>
            <w:noWrap w:val="0"/>
            <w:vAlign w:val="center"/>
          </w:tcPr>
          <w:p w14:paraId="60BAE6E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61171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Merge w:val="continue"/>
            <w:noWrap w:val="0"/>
            <w:vAlign w:val="center"/>
          </w:tcPr>
          <w:p w14:paraId="70C18B94">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33FC48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7080" w:type="dxa"/>
            <w:noWrap w:val="0"/>
            <w:vAlign w:val="center"/>
          </w:tcPr>
          <w:p w14:paraId="42DA0C58">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7355C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6DFE6F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21" w:type="dxa"/>
            <w:noWrap w:val="0"/>
            <w:vAlign w:val="center"/>
          </w:tcPr>
          <w:p w14:paraId="32DF7A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7080" w:type="dxa"/>
            <w:noWrap w:val="0"/>
            <w:vAlign w:val="center"/>
          </w:tcPr>
          <w:p w14:paraId="744168D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0BCBF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1122E0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321" w:type="dxa"/>
            <w:noWrap w:val="0"/>
            <w:vAlign w:val="center"/>
          </w:tcPr>
          <w:p w14:paraId="5348F8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7080" w:type="dxa"/>
            <w:noWrap w:val="0"/>
            <w:vAlign w:val="center"/>
          </w:tcPr>
          <w:p w14:paraId="0B16BC0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647C1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3" w:type="dxa"/>
            <w:vMerge w:val="restart"/>
            <w:noWrap w:val="0"/>
            <w:vAlign w:val="center"/>
          </w:tcPr>
          <w:p w14:paraId="63097E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w:t>
            </w:r>
          </w:p>
        </w:tc>
        <w:tc>
          <w:tcPr>
            <w:tcW w:w="2321" w:type="dxa"/>
            <w:noWrap w:val="0"/>
            <w:vAlign w:val="center"/>
          </w:tcPr>
          <w:p w14:paraId="2CA9EDB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7080" w:type="dxa"/>
            <w:noWrap w:val="0"/>
            <w:vAlign w:val="center"/>
          </w:tcPr>
          <w:p w14:paraId="57EA6658">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p w14:paraId="4E5C7AD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tc>
      </w:tr>
      <w:tr w14:paraId="6BF97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7729CFF3">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52821B5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7080" w:type="dxa"/>
            <w:noWrap w:val="0"/>
            <w:vAlign w:val="center"/>
          </w:tcPr>
          <w:p w14:paraId="6E7A96D8">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□按照提交首次响应文件的顺序，通知磋商时，若某供应商不在通知现场时，该供应商排序到最后磋商，按照签到的顺序由其下一位供应商先参与磋商。</w:t>
            </w:r>
          </w:p>
          <w:p w14:paraId="12B5F42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☑随机排序。</w:t>
            </w:r>
          </w:p>
          <w:p w14:paraId="4F9C0924">
            <w:pPr>
              <w:pStyle w:val="11"/>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参与磋商前，磋商小组如有要求，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6CF2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6D75B5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321" w:type="dxa"/>
            <w:noWrap w:val="0"/>
            <w:vAlign w:val="center"/>
          </w:tcPr>
          <w:p w14:paraId="46BDD8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7080" w:type="dxa"/>
            <w:noWrap w:val="0"/>
            <w:vAlign w:val="center"/>
          </w:tcPr>
          <w:p w14:paraId="389D74F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履约保证金。</w:t>
            </w:r>
          </w:p>
          <w:p w14:paraId="47105689">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履约保证金，相关要求如下：</w:t>
            </w:r>
          </w:p>
          <w:p w14:paraId="00E82B71">
            <w:pPr>
              <w:spacing w:line="360" w:lineRule="auto"/>
              <w:rPr>
                <w:rFonts w:hint="eastAsia" w:ascii="宋体" w:hAnsi="宋体" w:eastAsia="宋体" w:cs="宋体"/>
                <w:i/>
                <w:iCs/>
                <w:color w:val="auto"/>
                <w:szCs w:val="21"/>
                <w:highlight w:val="none"/>
              </w:rPr>
            </w:pPr>
            <w:r>
              <w:rPr>
                <w:rFonts w:hint="eastAsia" w:ascii="宋体" w:hAnsi="宋体" w:eastAsia="宋体" w:cs="宋体"/>
                <w:color w:val="auto"/>
                <w:szCs w:val="21"/>
                <w:highlight w:val="none"/>
              </w:rPr>
              <w:t>1.履约保证金金额：按项目成交总金额的</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87AB19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w:t>
            </w:r>
            <w:r>
              <w:rPr>
                <w:rFonts w:hint="eastAsia" w:ascii="宋体" w:hAnsi="宋体" w:eastAsia="宋体" w:cs="宋体"/>
                <w:color w:val="auto"/>
                <w:kern w:val="0"/>
                <w:szCs w:val="21"/>
                <w:highlight w:val="none"/>
                <w:u w:val="single"/>
              </w:rPr>
              <w:t>签订合同</w:t>
            </w:r>
            <w:r>
              <w:rPr>
                <w:rFonts w:hint="eastAsia" w:ascii="宋体" w:hAnsi="宋体" w:eastAsia="宋体" w:cs="宋体"/>
                <w:color w:val="auto"/>
                <w:szCs w:val="21"/>
                <w:highlight w:val="none"/>
                <w:u w:val="single"/>
              </w:rPr>
              <w:t>前</w:t>
            </w:r>
            <w:r>
              <w:rPr>
                <w:rFonts w:hint="eastAsia" w:ascii="宋体" w:hAnsi="宋体" w:eastAsia="宋体" w:cs="宋体"/>
                <w:color w:val="auto"/>
                <w:szCs w:val="21"/>
                <w:highlight w:val="none"/>
              </w:rPr>
              <w:t>以银行转账、支票、汇票、本票或者金融机构、担保机构出具的保函等非现金方式向</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采购人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提交。</w:t>
            </w:r>
          </w:p>
          <w:p w14:paraId="43F0CFD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成交供应商向采购人提交完整的验收资料后，可向采购人申请退还履约保证金 </w:t>
            </w:r>
            <w:r>
              <w:rPr>
                <w:rFonts w:hint="eastAsia" w:ascii="宋体" w:hAnsi="宋体" w:eastAsia="宋体" w:cs="宋体"/>
                <w:color w:val="auto"/>
                <w:szCs w:val="21"/>
                <w:highlight w:val="none"/>
              </w:rPr>
              <w:t>。</w:t>
            </w:r>
          </w:p>
          <w:p w14:paraId="07D6C23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14:paraId="54E783C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1C5D011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519394E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p>
          <w:p w14:paraId="72CDB08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开户行行号：</w:t>
            </w:r>
            <w:r>
              <w:rPr>
                <w:rFonts w:hint="eastAsia" w:ascii="宋体" w:hAnsi="宋体" w:eastAsia="宋体" w:cs="宋体"/>
                <w:color w:val="auto"/>
                <w:szCs w:val="21"/>
                <w:highlight w:val="none"/>
                <w:u w:val="single"/>
              </w:rPr>
              <w:t xml:space="preserve">              </w:t>
            </w:r>
          </w:p>
          <w:p w14:paraId="110DBA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E258E2D">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14:paraId="6D85B0CE">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.采用金融、担保机构出具保函的，必须为无条件保函，否则视为未按规定提交履约保证金。</w:t>
            </w:r>
          </w:p>
          <w:p w14:paraId="0B7FFBA2">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.供应商为联合体的，可由联合体任意一方或者联合体各方共同提交的履约保证金，视为有效履约保证金。</w:t>
            </w:r>
            <w:r>
              <w:rPr>
                <w:rFonts w:hint="eastAsia" w:ascii="宋体" w:hAnsi="宋体" w:eastAsia="宋体" w:cs="宋体"/>
                <w:color w:val="auto"/>
                <w:szCs w:val="21"/>
                <w:highlight w:val="none"/>
              </w:rPr>
              <w:t xml:space="preserve"> </w:t>
            </w:r>
          </w:p>
        </w:tc>
      </w:tr>
      <w:tr w14:paraId="21909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417A4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321" w:type="dxa"/>
            <w:noWrap w:val="0"/>
            <w:vAlign w:val="center"/>
          </w:tcPr>
          <w:p w14:paraId="737DB7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7080" w:type="dxa"/>
            <w:noWrap w:val="0"/>
            <w:vAlign w:val="center"/>
          </w:tcPr>
          <w:p w14:paraId="703957A5">
            <w:pPr>
              <w:snapToGrid w:val="0"/>
              <w:spacing w:line="360" w:lineRule="auto"/>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使用的有效CA证书加盖单位电子公章</w:t>
            </w:r>
          </w:p>
          <w:p w14:paraId="02BF5C28">
            <w:pPr>
              <w:autoSpaceDE w:val="0"/>
              <w:autoSpaceDN w:val="0"/>
              <w:snapToGrid w:val="0"/>
              <w:spacing w:line="360" w:lineRule="auto"/>
              <w:textAlignment w:val="bottom"/>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tc>
      </w:tr>
      <w:tr w14:paraId="1F9AB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0"/>
            <w:vAlign w:val="center"/>
          </w:tcPr>
          <w:p w14:paraId="6E736C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321" w:type="dxa"/>
            <w:noWrap w:val="0"/>
            <w:vAlign w:val="center"/>
          </w:tcPr>
          <w:p w14:paraId="23EB2AEE">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7080" w:type="dxa"/>
            <w:noWrap w:val="0"/>
            <w:vAlign w:val="center"/>
          </w:tcPr>
          <w:p w14:paraId="60858F88">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6B4AD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631ECC8E">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3D2CD3A7">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w:t>
            </w:r>
          </w:p>
          <w:p w14:paraId="283285FF">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及联系方式</w:t>
            </w:r>
          </w:p>
        </w:tc>
        <w:tc>
          <w:tcPr>
            <w:tcW w:w="7080" w:type="dxa"/>
            <w:noWrap w:val="0"/>
            <w:vAlign w:val="center"/>
          </w:tcPr>
          <w:p w14:paraId="2F4692AB">
            <w:pPr>
              <w:snapToGrid w:val="0"/>
              <w:spacing w:line="380" w:lineRule="exac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名称：</w:t>
            </w:r>
            <w:r>
              <w:rPr>
                <w:rFonts w:hint="eastAsia" w:ascii="宋体" w:hAnsi="宋体" w:cs="宋体"/>
                <w:color w:val="auto"/>
                <w:szCs w:val="21"/>
                <w:highlight w:val="none"/>
                <w:lang w:eastAsia="zh-CN"/>
              </w:rPr>
              <w:t>南宁市可利大道第一幼儿园</w:t>
            </w:r>
          </w:p>
          <w:p w14:paraId="0DA0741A">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szCs w:val="21"/>
                <w:highlight w:val="none"/>
                <w:lang w:eastAsia="zh-CN"/>
              </w:rPr>
              <w:t>南宁市西乡塘区安武大道20号</w:t>
            </w:r>
          </w:p>
          <w:p w14:paraId="49707EB5">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联系电话：蒙莉  0771-3921299</w:t>
            </w:r>
          </w:p>
          <w:p w14:paraId="64DACE12">
            <w:pPr>
              <w:snapToGrid w:val="0"/>
              <w:spacing w:line="38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（2）名称：</w:t>
            </w:r>
            <w:r>
              <w:rPr>
                <w:rFonts w:hint="eastAsia" w:ascii="宋体" w:hAnsi="宋体" w:eastAsia="宋体" w:cs="宋体"/>
                <w:color w:val="auto"/>
                <w:szCs w:val="21"/>
                <w:highlight w:val="none"/>
                <w:lang w:eastAsia="zh-CN"/>
              </w:rPr>
              <w:t>广西桂工建设管理咨询有限公司</w:t>
            </w:r>
          </w:p>
          <w:p w14:paraId="140826F5">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联系电话：0771-5533898</w:t>
            </w:r>
          </w:p>
          <w:p w14:paraId="2D5D6398">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通讯地址：中国（广西）自由贸易试验区南宁片区庆歌路20号富雅•国际商务大厦B栋十三层1301</w:t>
            </w:r>
          </w:p>
        </w:tc>
      </w:tr>
      <w:tr w14:paraId="18B62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77377FDE">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4E8A0C50">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现场提交质疑</w:t>
            </w:r>
          </w:p>
          <w:p w14:paraId="4C23A04E">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办理业务时间</w:t>
            </w:r>
          </w:p>
        </w:tc>
        <w:tc>
          <w:tcPr>
            <w:tcW w:w="7080" w:type="dxa"/>
            <w:noWrap w:val="0"/>
            <w:vAlign w:val="center"/>
          </w:tcPr>
          <w:p w14:paraId="4C2ECF05">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质疑期内每个工作日（北京时间）上午</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p>
        </w:tc>
      </w:tr>
      <w:tr w14:paraId="23E1D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A1413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321" w:type="dxa"/>
            <w:noWrap w:val="0"/>
            <w:vAlign w:val="center"/>
          </w:tcPr>
          <w:p w14:paraId="31EF57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7080" w:type="dxa"/>
            <w:noWrap w:val="0"/>
            <w:vAlign w:val="center"/>
          </w:tcPr>
          <w:p w14:paraId="4DB475EC">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1、受理方式：纸质方式受理，投诉书正、副本（经过质疑的事项才可投诉）。</w:t>
            </w:r>
          </w:p>
          <w:p w14:paraId="7A051D9C">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通讯方式</w:t>
            </w:r>
          </w:p>
          <w:p w14:paraId="5BAFFAE3">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名称：南宁市西乡塘区人民政府采购管理办公室</w:t>
            </w:r>
          </w:p>
          <w:p w14:paraId="68ACF888">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地址：南宁市西乡塘区衡阳西路11号</w:t>
            </w:r>
          </w:p>
          <w:p w14:paraId="52A52658">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联系电话：0771-3130365</w:t>
            </w:r>
          </w:p>
        </w:tc>
      </w:tr>
      <w:tr w14:paraId="712D1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9A384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321" w:type="dxa"/>
            <w:noWrap w:val="0"/>
            <w:vAlign w:val="center"/>
          </w:tcPr>
          <w:p w14:paraId="42BBCBE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7080" w:type="dxa"/>
            <w:noWrap w:val="0"/>
            <w:vAlign w:val="center"/>
          </w:tcPr>
          <w:p w14:paraId="5EAFE5B6">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是否收取采购代理服务理费：</w:t>
            </w:r>
          </w:p>
          <w:p w14:paraId="3A3E46C7">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☑是    □ 否</w:t>
            </w:r>
          </w:p>
          <w:p w14:paraId="76C3122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2.采购代理服务费支付方式：</w:t>
            </w:r>
          </w:p>
          <w:p w14:paraId="0F0C6E76">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☑本项目采购代理服务费由成交供应商在签订合同前，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kern w:val="0"/>
                <w:szCs w:val="21"/>
                <w:highlight w:val="none"/>
              </w:rPr>
              <w:t>一次性向采购代理机构支付。</w:t>
            </w:r>
          </w:p>
          <w:p w14:paraId="0B47134F">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kern w:val="0"/>
                <w:szCs w:val="21"/>
                <w:highlight w:val="none"/>
                <w:u w:val="single"/>
              </w:rPr>
              <w:t xml:space="preserve">   </w:t>
            </w:r>
            <w:r>
              <w:rPr>
                <w:rFonts w:hint="eastAsia" w:ascii="宋体" w:hAnsi="宋体" w:eastAsia="宋体" w:cs="宋体"/>
                <w:i/>
                <w:iCs/>
                <w:color w:val="auto"/>
                <w:highlight w:val="none"/>
                <w:u w:val="single"/>
              </w:rPr>
              <w:t xml:space="preserve">/   </w:t>
            </w:r>
            <w:r>
              <w:rPr>
                <w:rFonts w:hint="eastAsia" w:ascii="宋体" w:hAnsi="宋体" w:eastAsia="宋体" w:cs="宋体"/>
                <w:i/>
                <w:iCs/>
                <w:color w:val="auto"/>
                <w:highlight w:val="none"/>
              </w:rPr>
              <w:t>。</w:t>
            </w:r>
          </w:p>
          <w:p w14:paraId="6DABDB0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3.采购代理服务费收取标准：</w:t>
            </w:r>
          </w:p>
          <w:p w14:paraId="280DD795">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以项目（</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成交总金额/</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采购预算/□暂定成交金额/□其他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highlight w:val="none"/>
              </w:rPr>
              <w:t>本须知正文第</w:t>
            </w:r>
            <w:bookmarkStart w:id="25" w:name="OLE_LINK29"/>
            <w:r>
              <w:rPr>
                <w:rFonts w:hint="eastAsia" w:ascii="宋体" w:hAnsi="宋体" w:eastAsia="宋体" w:cs="宋体"/>
                <w:color w:val="auto"/>
                <w:highlight w:val="none"/>
              </w:rPr>
              <w:t>33.2</w:t>
            </w:r>
            <w:bookmarkEnd w:id="25"/>
            <w:r>
              <w:rPr>
                <w:rFonts w:hint="eastAsia" w:ascii="宋体" w:hAnsi="宋体" w:eastAsia="宋体" w:cs="宋体"/>
                <w:color w:val="auto"/>
                <w:highlight w:val="none"/>
              </w:rPr>
              <w:t>条规定的收费计算标准（</w:t>
            </w:r>
            <w:r>
              <w:rPr>
                <w:rFonts w:hint="eastAsia" w:ascii="宋体" w:hAnsi="宋体" w:eastAsia="宋体" w:cs="宋体"/>
                <w:b/>
                <w:bCs/>
                <w:color w:val="auto"/>
                <w:kern w:val="0"/>
                <w:szCs w:val="21"/>
                <w:highlight w:val="none"/>
                <w:u w:val="single"/>
              </w:rPr>
              <w:t>工程类</w:t>
            </w:r>
            <w:r>
              <w:rPr>
                <w:rFonts w:hint="eastAsia" w:ascii="宋体" w:hAnsi="宋体" w:eastAsia="宋体" w:cs="宋体"/>
                <w:color w:val="auto"/>
                <w:highlight w:val="none"/>
              </w:rPr>
              <w:t>）</w:t>
            </w:r>
            <w:r>
              <w:rPr>
                <w:rFonts w:hint="eastAsia" w:ascii="宋体" w:hAnsi="宋体" w:eastAsia="宋体" w:cs="宋体"/>
                <w:color w:val="auto"/>
                <w:kern w:val="0"/>
                <w:szCs w:val="21"/>
                <w:highlight w:val="none"/>
              </w:rPr>
              <w:t>采用差额定率累进法计算出收费基准价格，采购代理机构收费以（</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收费基准价格/□收费基准价格下浮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p>
          <w:p w14:paraId="5B1019C5">
            <w:pPr>
              <w:snapToGrid w:val="0"/>
              <w:spacing w:line="360" w:lineRule="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p>
          <w:p w14:paraId="7F465886">
            <w:pPr>
              <w:tabs>
                <w:tab w:val="left" w:pos="4670"/>
              </w:tabs>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 采购代理服务费收取银行账户的信息</w:t>
            </w:r>
            <w:r>
              <w:rPr>
                <w:rFonts w:hint="eastAsia" w:ascii="宋体" w:hAnsi="宋体" w:eastAsia="宋体" w:cs="宋体"/>
                <w:color w:val="auto"/>
                <w:kern w:val="0"/>
                <w:szCs w:val="21"/>
                <w:highlight w:val="none"/>
                <w:lang w:eastAsia="zh-CN"/>
              </w:rPr>
              <w:tab/>
            </w:r>
          </w:p>
          <w:p w14:paraId="2A65EEA7">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开户名称：</w:t>
            </w:r>
            <w:r>
              <w:rPr>
                <w:rFonts w:hint="eastAsia" w:ascii="宋体" w:hAnsi="宋体" w:eastAsia="宋体" w:cs="宋体"/>
                <w:color w:val="auto"/>
                <w:szCs w:val="21"/>
                <w:highlight w:val="none"/>
                <w:lang w:eastAsia="zh-CN"/>
              </w:rPr>
              <w:t>广西桂工建设管理咨询有限公司南宁分公司</w:t>
            </w:r>
          </w:p>
          <w:p w14:paraId="5B0780B9">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开户银行：中国建设银行股份有限公司南宁朝阳支行</w:t>
            </w:r>
          </w:p>
          <w:p w14:paraId="7B6FE2FC">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银行账号：4505 0160 4473 0999 9666</w:t>
            </w:r>
          </w:p>
        </w:tc>
      </w:tr>
      <w:tr w14:paraId="5618D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10326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321" w:type="dxa"/>
            <w:noWrap w:val="0"/>
            <w:vAlign w:val="center"/>
          </w:tcPr>
          <w:p w14:paraId="683ABB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7080" w:type="dxa"/>
            <w:noWrap w:val="0"/>
            <w:vAlign w:val="center"/>
          </w:tcPr>
          <w:p w14:paraId="21E8DC66">
            <w:pPr>
              <w:snapToGrid w:val="0"/>
              <w:spacing w:line="360" w:lineRule="auto"/>
              <w:rPr>
                <w:rFonts w:hint="eastAsia" w:ascii="宋体" w:hAnsi="宋体" w:eastAsia="宋体" w:cs="宋体"/>
                <w:b w:val="0"/>
                <w:bCs w:val="0"/>
                <w:color w:val="auto"/>
                <w:kern w:val="0"/>
                <w:szCs w:val="21"/>
                <w:highlight w:val="none"/>
              </w:rPr>
            </w:pPr>
            <w:r>
              <w:rPr>
                <w:rFonts w:hint="eastAsia" w:ascii="宋体" w:hAnsi="宋体" w:eastAsia="宋体" w:cs="宋体"/>
                <w:b/>
                <w:color w:val="auto"/>
                <w:kern w:val="0"/>
                <w:szCs w:val="21"/>
                <w:highlight w:val="none"/>
              </w:rPr>
              <w:t>解释：</w:t>
            </w:r>
            <w:r>
              <w:rPr>
                <w:rFonts w:hint="eastAsia" w:ascii="宋体" w:hAnsi="宋体" w:eastAsia="宋体" w:cs="宋体"/>
                <w:color w:val="auto"/>
                <w:kern w:val="0"/>
                <w:szCs w:val="21"/>
                <w:highlight w:val="none"/>
              </w:rPr>
              <w:t>构成本竞争性磋商文件的各个组成文件应互为解释，互为说明；除竞争性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val="0"/>
                <w:bCs w:val="0"/>
                <w:color w:val="auto"/>
                <w:kern w:val="0"/>
                <w:szCs w:val="21"/>
                <w:highlight w:val="none"/>
              </w:rPr>
              <w:t>，由采购人或者采购代理机构负责解释。</w:t>
            </w:r>
          </w:p>
          <w:p w14:paraId="361FE69E">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法律责任：</w:t>
            </w:r>
            <w:r>
              <w:rPr>
                <w:rFonts w:hint="eastAsia" w:ascii="宋体" w:hAnsi="宋体" w:eastAsia="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6AD4F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081B9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321" w:type="dxa"/>
            <w:noWrap w:val="0"/>
            <w:vAlign w:val="center"/>
          </w:tcPr>
          <w:p w14:paraId="252BDE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7080" w:type="dxa"/>
            <w:noWrap w:val="0"/>
            <w:vAlign w:val="center"/>
          </w:tcPr>
          <w:p w14:paraId="1894553B">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磋商文件有特殊规定外，供应商的财务章、部门章、分公司章、工会章、合同章、投标专用章、业务专用章及银行的转账章、现金收讫章、现金付讫章等其他形式印章均不能代替公章。</w:t>
            </w:r>
          </w:p>
          <w:p w14:paraId="08E11EAE">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2.本竞争性磋商文件中描述供应商的“签字”是指供应商通过指定电子化政府采购平台办理数字证书（CA认证）获得的以供应商法定代表人或者委托代理人姓名制作的电子印章或手写签字。</w:t>
            </w:r>
          </w:p>
          <w:p w14:paraId="1D23BB1C">
            <w:pPr>
              <w:pStyle w:val="11"/>
              <w:tabs>
                <w:tab w:val="center" w:pos="4153"/>
                <w:tab w:val="right" w:pos="8306"/>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3.本竞争性磋商文件所称的“电子签章”“电子签名”，是指经“</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”平台认可的CA认证的电子签名数据为表现形式的印章，可用于签署电子响应文件，电子印章与实物印章具有同等法律效力，不因其采用电子化表现形式而否定其法律效力。</w:t>
            </w:r>
          </w:p>
          <w:p w14:paraId="0040FCD1">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为其他组织或者自然人时，本竞争性磋商文件规定的法定代表人指负责人或者自然人。本竞争性磋商文件所称负责人是指参加竞标的其他组织营业执照上的负责人，本竞争性磋商文件所称自然人指参与竞标的自然人本人。</w:t>
            </w:r>
          </w:p>
          <w:p w14:paraId="3280955E">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5.自然人竞标的，竞争性磋商文件规定盖公章处由自然人摁手指指印。</w:t>
            </w:r>
          </w:p>
          <w:p w14:paraId="53B7F94A">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6.同义词语：</w:t>
            </w:r>
            <w:r>
              <w:rPr>
                <w:rFonts w:hint="eastAsia" w:ascii="宋体" w:hAnsi="宋体" w:eastAsia="宋体" w:cs="宋体"/>
                <w:color w:val="auto"/>
                <w:highlight w:val="none"/>
              </w:rPr>
              <w:t>构成</w:t>
            </w: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组成部分的“通用合同条款”、“专用合同条款”、“技术标准和要求”和“工程量清单”等章节中出现的措辞“发包人”和“承包人”，在采购阶段应当分别按“采购人”和“供应商”进行理解。</w:t>
            </w:r>
          </w:p>
          <w:p w14:paraId="5A213A0A">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7.本竞争性磋商文件所称的“以上”“以下”“以内”“届满”，包括本数；所称的“不满”“超过”“以外”，不包括本数。</w:t>
            </w:r>
          </w:p>
        </w:tc>
      </w:tr>
    </w:tbl>
    <w:p w14:paraId="2360262F">
      <w:pPr>
        <w:pStyle w:val="3"/>
        <w:pageBreakBefore w:val="0"/>
        <w:widowControl w:val="0"/>
        <w:kinsoku/>
        <w:wordWrap/>
        <w:overflowPunct/>
        <w:topLinePunct w:val="0"/>
        <w:autoSpaceDE/>
        <w:autoSpaceDN/>
        <w:bidi w:val="0"/>
        <w:spacing w:line="360" w:lineRule="auto"/>
        <w:jc w:val="center"/>
        <w:rPr>
          <w:rFonts w:hint="eastAsia" w:ascii="宋体" w:hAnsi="宋体" w:eastAsia="宋体" w:cs="宋体"/>
          <w:b w:val="0"/>
          <w:bCs/>
          <w:color w:val="auto"/>
          <w:highlight w:val="none"/>
        </w:rPr>
      </w:pPr>
      <w:r>
        <w:rPr>
          <w:rFonts w:hint="eastAsia" w:ascii="宋体" w:hAnsi="宋体" w:eastAsia="宋体" w:cs="宋体"/>
          <w:b w:val="0"/>
          <w:bCs/>
          <w:color w:val="auto"/>
          <w:highlight w:val="none"/>
        </w:rPr>
        <w:br w:type="page"/>
      </w:r>
      <w:bookmarkStart w:id="26" w:name="_Toc27094"/>
      <w:bookmarkStart w:id="27" w:name="_Toc30957"/>
      <w:r>
        <w:rPr>
          <w:rFonts w:hint="eastAsia" w:ascii="宋体" w:hAnsi="宋体" w:eastAsia="宋体" w:cs="宋体"/>
          <w:b/>
          <w:bCs w:val="0"/>
          <w:color w:val="auto"/>
          <w:highlight w:val="none"/>
        </w:rPr>
        <w:t>第二节 供应商须知正文</w:t>
      </w:r>
      <w:bookmarkEnd w:id="26"/>
      <w:bookmarkEnd w:id="27"/>
    </w:p>
    <w:p w14:paraId="55B960EF">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一、总则</w:t>
      </w:r>
    </w:p>
    <w:p w14:paraId="48D45F7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30B3F9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D420F4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3C1412C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50ED873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2E3C5D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810F19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F781C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2.4“服务”是指除货物和工程以外的其他政府采购对象。</w:t>
      </w:r>
    </w:p>
    <w:p w14:paraId="7952FD1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2.5“竞标”是指供应商按照本项目竞争性磋商公告规定的方式获取磋商文件、提交响应文件并希望获得标的的行为。</w:t>
      </w:r>
    </w:p>
    <w:p w14:paraId="3BFA70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2C2C265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7DBAA05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4E5E21B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69ED03D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327AC92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14EC654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6CA643A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5F469FD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38483A0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6AD4B2AE">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3C343B0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36653E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59DBA1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761692A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524D952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03DCE7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4CC9B68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DBC3FB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p>
    <w:p w14:paraId="4E9C5C9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7.特别说明</w:t>
      </w:r>
    </w:p>
    <w:p w14:paraId="4C1362D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7.1如果本磋商文件要求提供供应商或制造商的资格、信誉、荣誉、业绩与企业认证等材料的，资格、信誉、荣誉、业绩与企业认证等必须为供应商或者制造商所拥有或自身获得 。</w:t>
      </w:r>
    </w:p>
    <w:p w14:paraId="2EF95F9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430417A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747981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4029535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1AD543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1455CC8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57F232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CB99A8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4F3FCFC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09EF68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29D6766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2FA3D65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5386C4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11DE99F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15B058B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A675BEB">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1A55FFC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29C3F5D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59861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BBACF6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0869DB2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5787CD2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B0D9B6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18F3F64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6478A513">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二、磋商文件</w:t>
      </w:r>
    </w:p>
    <w:p w14:paraId="0821F58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B7D5C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167C340A">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7E2A0B00">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2364199E">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0E91BF5E">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0F74AB0C">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645D80AD">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第七章 </w:t>
      </w:r>
      <w:r>
        <w:rPr>
          <w:rFonts w:hint="eastAsia" w:ascii="宋体" w:hAnsi="宋体" w:eastAsia="宋体" w:cs="宋体"/>
          <w:color w:val="auto"/>
          <w:szCs w:val="21"/>
          <w:highlight w:val="none"/>
          <w:lang w:val="en-US" w:eastAsia="zh-CN"/>
        </w:rPr>
        <w:t>工程量清单、图纸；</w:t>
      </w:r>
    </w:p>
    <w:p w14:paraId="71BBF194">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质疑、投诉材料格式</w:t>
      </w:r>
      <w:r>
        <w:rPr>
          <w:rFonts w:hint="eastAsia" w:ascii="宋体" w:hAnsi="宋体" w:eastAsia="宋体" w:cs="宋体"/>
          <w:color w:val="auto"/>
          <w:szCs w:val="21"/>
          <w:highlight w:val="none"/>
          <w:lang w:eastAsia="zh-CN"/>
        </w:rPr>
        <w:t>。</w:t>
      </w:r>
    </w:p>
    <w:p w14:paraId="71FF37B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002B9AD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57E4C37">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53702AF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E5B821A">
      <w:pPr>
        <w:pageBreakBefore w:val="0"/>
        <w:widowControl w:val="0"/>
        <w:kinsoku/>
        <w:wordWrap/>
        <w:overflowPunct/>
        <w:topLinePunct w:val="0"/>
        <w:autoSpaceDE/>
        <w:autoSpaceDN/>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648CF6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9E23A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38C07A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10.5  采购人和采购代理机构可以视采购具体情况，变更提交首次响应文件截止时间和竞谈时间，将变更时间将在“</w:t>
      </w:r>
      <w:r>
        <w:rPr>
          <w:rFonts w:hint="eastAsia" w:ascii="宋体" w:hAnsi="宋体" w:eastAsia="宋体" w:cs="宋体"/>
          <w:color w:val="auto"/>
          <w:highlight w:val="none"/>
          <w:lang w:eastAsia="zh-CN"/>
        </w:rPr>
        <w:t>竞争性磋商公告</w:t>
      </w:r>
      <w:r>
        <w:rPr>
          <w:rFonts w:hint="eastAsia" w:ascii="宋体" w:hAnsi="宋体" w:eastAsia="宋体" w:cs="宋体"/>
          <w:color w:val="auto"/>
          <w:highlight w:val="none"/>
        </w:rPr>
        <w:t>”中“七、其他补充事宜3.网上查询地址”规定的政府采购信息发布媒体上发布更正公告。</w:t>
      </w:r>
    </w:p>
    <w:p w14:paraId="37705B0C">
      <w:pPr>
        <w:pageBreakBefore w:val="0"/>
        <w:widowControl w:val="0"/>
        <w:kinsoku/>
        <w:wordWrap/>
        <w:overflowPunct/>
        <w:topLinePunct w:val="0"/>
        <w:autoSpaceDE/>
        <w:autoSpaceDN/>
        <w:bidi w:val="0"/>
        <w:spacing w:line="360" w:lineRule="auto"/>
        <w:ind w:firstLine="400" w:firstLineChars="200"/>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w:t>
      </w:r>
      <w:r>
        <w:rPr>
          <w:rFonts w:hint="eastAsia" w:ascii="宋体" w:hAnsi="宋体" w:eastAsia="宋体" w:cs="宋体"/>
          <w:b/>
          <w:color w:val="auto"/>
          <w:kern w:val="0"/>
          <w:sz w:val="20"/>
          <w:szCs w:val="21"/>
          <w:highlight w:val="none"/>
        </w:rPr>
        <w:t>响应文件未按磋商文件的澄清、修改的内容编制，又不符合实质性要求的，其响应文件作无效处理。</w:t>
      </w:r>
    </w:p>
    <w:p w14:paraId="0E383F22">
      <w:pPr>
        <w:pStyle w:val="4"/>
        <w:pageBreakBefore w:val="0"/>
        <w:widowControl w:val="0"/>
        <w:kinsoku/>
        <w:wordWrap/>
        <w:overflowPunct/>
        <w:topLinePunct w:val="0"/>
        <w:autoSpaceDE/>
        <w:autoSpaceDN/>
        <w:bidi w:val="0"/>
        <w:spacing w:before="0" w:after="0" w:line="360" w:lineRule="auto"/>
        <w:ind w:firstLine="64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三、响应文件的编制</w:t>
      </w:r>
    </w:p>
    <w:p w14:paraId="4231093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369CCBE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756D4E9A">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718535F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5C7772C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0978907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1425C897">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2591A6B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477168B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538E75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60548A6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3BFE5F0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17D98DF">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1C373385">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7214FAE9">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32B52C6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0A6844C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02B5447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的全部内容分别作完整唯一总价报价，不得存在漏项报价；</w:t>
      </w:r>
    </w:p>
    <w:p w14:paraId="5683F4C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（2）供应商必须就所竞标项目的单项内容作唯一报价。</w:t>
      </w:r>
    </w:p>
    <w:p w14:paraId="7E5512B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15.3.2响应报价（包含首次报价、最后报价）超过所竞标项目规定的采购预算金额或者最高限价的，其响应文件将作无效处理。</w:t>
      </w:r>
    </w:p>
    <w:p w14:paraId="6C5DB1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15.3.3响应报价（包含首次报价、最后报价）超过项目采购预算金额或者最高限价的，其响应文件将作无效处理。</w:t>
      </w:r>
    </w:p>
    <w:p w14:paraId="5D5F180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1FBC047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1185E4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39686C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54BE373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4501A4F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3AA2E581">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4F66978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38CBC02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0848D7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规定位置进行签署、盖章，否则其响应文件按无效响应处理。骑缝盖公章不视为在规定位置盖章。</w:t>
      </w:r>
    </w:p>
    <w:p w14:paraId="773DAD6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A43DE2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5E4DEDDC">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0C2D3FF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7F65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19.2使用“广西政府采购云平台电子交易客户端”需要提前申领CA数字证书，申领流程见该项目采购公告附件。</w:t>
      </w:r>
    </w:p>
    <w:p w14:paraId="6F444EB5">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3837002A">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108F1B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05A88EB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6E1000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w:t>
      </w:r>
    </w:p>
    <w:p w14:paraId="669C84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B39176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5821327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53CE3E7B">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5FCC66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5CB76C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 首次响应文件的退回</w:t>
      </w:r>
    </w:p>
    <w:p w14:paraId="6E6D774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”平台操作退回，除此之外采购人和采购代理机构对已提交的电子响应文件概不退回。</w:t>
      </w:r>
    </w:p>
    <w:p w14:paraId="55856A2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2B2EE15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p>
    <w:p w14:paraId="7532CDD8">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四、评审及磋商</w:t>
      </w:r>
    </w:p>
    <w:p w14:paraId="6D28760C">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36C165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8AE0B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27AA707">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28EC0F0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2177450D">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bCs/>
          <w:color w:val="auto"/>
          <w:kern w:val="0"/>
          <w:sz w:val="21"/>
          <w:szCs w:val="21"/>
          <w:highlight w:val="none"/>
          <w:lang w:val="en-US" w:eastAsia="zh-CN" w:bidi="ar-SA"/>
        </w:rPr>
        <w:t>响应文件解密</w:t>
      </w:r>
    </w:p>
    <w:p w14:paraId="22A8181C">
      <w:pPr>
        <w:pageBreakBefore w:val="0"/>
        <w:widowControl w:val="0"/>
        <w:kinsoku/>
        <w:wordWrap/>
        <w:overflowPunct/>
        <w:topLinePunct w:val="0"/>
        <w:autoSpaceDE/>
        <w:autoSpaceDN/>
        <w:bidi w:val="0"/>
        <w:snapToGrid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采购代理机构将在“供应商须知前附表”规定的时</w:t>
      </w:r>
      <w:r>
        <w:rPr>
          <w:rFonts w:hint="eastAsia" w:ascii="宋体" w:hAnsi="宋体" w:eastAsia="宋体" w:cs="宋体"/>
          <w:color w:val="auto"/>
          <w:kern w:val="0"/>
          <w:sz w:val="21"/>
          <w:szCs w:val="21"/>
          <w:highlight w:val="none"/>
          <w:lang w:val="en-US" w:eastAsia="zh-CN" w:bidi="ar-SA"/>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 w:val="21"/>
          <w:szCs w:val="21"/>
          <w:highlight w:val="none"/>
          <w:lang w:val="en-US" w:eastAsia="zh-CN" w:bidi="ar-SA"/>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eastAsia="宋体" w:cs="宋体"/>
          <w:color w:val="auto"/>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color w:val="auto"/>
          <w:kern w:val="0"/>
          <w:sz w:val="21"/>
          <w:szCs w:val="21"/>
          <w:highlight w:val="none"/>
          <w:lang w:val="en-US" w:eastAsia="zh-CN" w:bidi="ar-SA"/>
        </w:rPr>
        <w:t>视为响应文件无效。</w:t>
      </w:r>
      <w:r>
        <w:rPr>
          <w:rFonts w:hint="eastAsia" w:ascii="宋体" w:hAnsi="宋体" w:eastAsia="宋体" w:cs="宋体"/>
          <w:color w:val="auto"/>
          <w:kern w:val="0"/>
          <w:sz w:val="21"/>
          <w:szCs w:val="21"/>
          <w:highlight w:val="none"/>
          <w:lang w:val="en-US" w:eastAsia="zh-CN" w:bidi="ar-SA"/>
        </w:rPr>
        <w:t>（解密</w:t>
      </w:r>
      <w:r>
        <w:rPr>
          <w:rFonts w:hint="eastAsia" w:ascii="宋体" w:hAnsi="宋体" w:eastAsia="宋体" w:cs="宋体"/>
          <w:bCs/>
          <w:color w:val="auto"/>
          <w:kern w:val="0"/>
          <w:sz w:val="21"/>
          <w:szCs w:val="21"/>
          <w:highlight w:val="none"/>
          <w:lang w:val="en-US" w:eastAsia="zh-CN" w:bidi="ar-SA"/>
        </w:rPr>
        <w:t>异常情况处理：详见本章</w:t>
      </w:r>
      <w:r>
        <w:rPr>
          <w:rFonts w:hint="eastAsia" w:ascii="宋体" w:hAnsi="宋体" w:eastAsia="宋体" w:cs="宋体"/>
          <w:color w:val="auto"/>
          <w:kern w:val="0"/>
          <w:sz w:val="21"/>
          <w:szCs w:val="21"/>
          <w:highlight w:val="none"/>
          <w:lang w:val="en-US" w:eastAsia="zh-CN" w:bidi="ar-SA"/>
        </w:rPr>
        <w:t>26.4电子交易活动的中止。）</w:t>
      </w:r>
    </w:p>
    <w:p w14:paraId="1E319DAA">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如</w:t>
      </w:r>
      <w:r>
        <w:rPr>
          <w:rFonts w:hint="eastAsia" w:ascii="宋体" w:hAnsi="宋体" w:eastAsia="宋体" w:cs="宋体"/>
          <w:bCs/>
          <w:color w:val="auto"/>
          <w:kern w:val="0"/>
          <w:sz w:val="21"/>
          <w:szCs w:val="21"/>
          <w:highlight w:val="none"/>
          <w:lang w:val="en-US" w:eastAsia="zh-CN" w:bidi="ar-SA"/>
        </w:rPr>
        <w:t>供应商成功解密响应文件，但未在“广西政府采购云平台”电子开标大厅参加磋商的，视同认可磋商过程和结果，</w:t>
      </w:r>
      <w:r>
        <w:rPr>
          <w:rFonts w:hint="eastAsia" w:ascii="宋体" w:hAnsi="宋体" w:eastAsia="宋体" w:cs="宋体"/>
          <w:color w:val="auto"/>
          <w:kern w:val="0"/>
          <w:sz w:val="21"/>
          <w:szCs w:val="21"/>
          <w:highlight w:val="none"/>
          <w:lang w:val="en-US" w:eastAsia="zh-CN" w:bidi="ar-SA"/>
        </w:rPr>
        <w:t>由此产生的后果由供应商自行负责。 参与磋商的供应商不足3家的，不得磋商。</w:t>
      </w:r>
    </w:p>
    <w:p w14:paraId="433269A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3529277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2958B33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磋商文件内容违反国家有关强制性规定的，磋商小组应当停止评审并向采购人或者采购代理机构说明情况，并在评审报告中书面体现。</w:t>
      </w:r>
    </w:p>
    <w:p w14:paraId="7CE1AA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 采购需求负偏离要求及磋商顺序详见 “ 供应商须知前附表”。</w:t>
      </w:r>
    </w:p>
    <w:p w14:paraId="3E5BF3F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559F4B0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21D474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7C72CC6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5D54041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3D826BA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（5）其他无法保证电子交易的公平、公正和安全的情况。</w:t>
      </w:r>
    </w:p>
    <w:p w14:paraId="130415B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79FA680">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五、成交及合同</w:t>
      </w:r>
    </w:p>
    <w:p w14:paraId="32749ADE">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0CE28A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1FEC6E0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0C0782C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一并保存。成交供应商享受《政府采购促进中小企业发展管理办法》（财库〔2020〕46号）规定的中小企业扶持政策的，采购人、采购代理机构应当随成交结果公开成交供应商的《中小企业声明函》。</w:t>
      </w:r>
    </w:p>
    <w:p w14:paraId="395A097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AB9DA8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w:t>
      </w:r>
      <w:r>
        <w:rPr>
          <w:rFonts w:hint="eastAsia" w:ascii="宋体" w:hAnsi="宋体" w:eastAsia="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FEAA37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1B0AC8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0DDF2E8D">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924C72">
      <w:pPr>
        <w:pStyle w:val="78"/>
        <w:pageBreakBefore w:val="0"/>
        <w:widowControl w:val="0"/>
        <w:kinsoku/>
        <w:wordWrap/>
        <w:overflowPunct/>
        <w:topLinePunct w:val="0"/>
        <w:autoSpaceDE/>
        <w:autoSpaceDN/>
        <w:bidi w:val="0"/>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D8BD51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E14F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424AD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5AD84463">
      <w:pPr>
        <w:pStyle w:val="78"/>
        <w:pageBreakBefore w:val="0"/>
        <w:widowControl w:val="0"/>
        <w:kinsoku/>
        <w:wordWrap/>
        <w:overflowPunct/>
        <w:topLinePunct w:val="0"/>
        <w:autoSpaceDE/>
        <w:autoSpaceDN/>
        <w:bidi w:val="0"/>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643CDE6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692833A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w:t>
      </w:r>
      <w:r>
        <w:rPr>
          <w:rFonts w:hint="eastAsia" w:ascii="宋体" w:hAnsi="宋体" w:eastAsia="宋体" w:cs="宋体"/>
          <w:color w:val="auto"/>
          <w:kern w:val="0"/>
          <w:szCs w:val="21"/>
          <w:highlight w:val="none"/>
        </w:rPr>
        <w:t>“广西政府采购网”（http://zfcg.gxzf.gov.cn）</w:t>
      </w:r>
      <w:r>
        <w:rPr>
          <w:rFonts w:hint="eastAsia" w:ascii="宋体" w:hAnsi="宋体" w:eastAsia="宋体" w:cs="宋体"/>
          <w:color w:val="auto"/>
          <w:highlight w:val="none"/>
        </w:rPr>
        <w:t>上公告，但政府采购合同中涉及国家秘密、商业秘密的内容除外。</w:t>
      </w:r>
    </w:p>
    <w:p w14:paraId="69B84F8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154EE1B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3DBFA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w:t>
      </w:r>
      <w:r>
        <w:rPr>
          <w:rFonts w:hint="eastAsia" w:ascii="宋体" w:hAnsi="宋体" w:eastAsia="宋体" w:cs="宋体"/>
          <w:b/>
          <w:color w:val="auto"/>
          <w:szCs w:val="21"/>
          <w:highlight w:val="none"/>
        </w:rPr>
        <w:t xml:space="preserve">具体质疑起算时间及处理方式如下： </w:t>
      </w:r>
    </w:p>
    <w:p w14:paraId="2D4ACFC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（1）潜在供应商依法获取采购文件后，认为采购文件使自己的权益受到损害的，应当在</w:t>
      </w:r>
      <w:r>
        <w:rPr>
          <w:rFonts w:hint="eastAsia" w:ascii="宋体" w:hAnsi="宋体" w:eastAsia="宋体" w:cs="宋体"/>
          <w:bCs/>
          <w:color w:val="auto"/>
          <w:highlight w:val="none"/>
          <w:lang w:eastAsia="zh-CN"/>
        </w:rPr>
        <w:t>竞争性磋商文件</w:t>
      </w:r>
      <w:r>
        <w:rPr>
          <w:rFonts w:hint="eastAsia" w:ascii="宋体" w:hAnsi="宋体" w:eastAsia="宋体" w:cs="宋体"/>
          <w:bCs/>
          <w:color w:val="auto"/>
          <w:highlight w:val="none"/>
        </w:rPr>
        <w:t>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37103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ED8355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（3）供应商认为成交结果使自己的权益受到损害的，应当在成交结果公告期限届满之日起7个工作日内提出质疑，由采购人受理并负责答复。</w:t>
      </w:r>
    </w:p>
    <w:p w14:paraId="2B32C22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6C4E22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8FA9D6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46D1BFA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32465C7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0DB656A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2AC6DA8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198E64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17FDDDD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6E2B8A3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D23028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5D26F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D2B3D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5EAA638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7E96123B">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六、验收</w:t>
      </w:r>
    </w:p>
    <w:p w14:paraId="3C377107">
      <w:pPr>
        <w:pageBreakBefore w:val="0"/>
        <w:widowControl w:val="0"/>
        <w:tabs>
          <w:tab w:val="left" w:pos="0"/>
        </w:tabs>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13D964B2">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FF44173">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38240FE4">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98218B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7667D42">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七、其他事项</w:t>
      </w:r>
    </w:p>
    <w:p w14:paraId="08161D5F">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0FEE41FA">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6B6E8DD8">
      <w:pPr>
        <w:pStyle w:val="13"/>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33.2采购代理服务费收费计算标准：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CBF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233CEE7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0DAD4BC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0E90E669">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1FA4237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4F95D96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61C0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5C2E64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43568031">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42B59A3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099809E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1027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63C8A0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5D33687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44F6B1B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7E3ECB2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4ACD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3FCEA8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37A23803">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2A82C4B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534CA11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DC7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9BFC61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716AF0B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6B43591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3DB7D87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488D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37BD88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2A118C1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17D5D14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1222C73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60D6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DA914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BB9BE2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5BC1AE8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14E92A7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7184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24B8E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30A2CC32">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7D4B66D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30DA9CE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6071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CBCCEF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D2B032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7111689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36CAA02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0E09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307635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5D2EC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4E24063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705CA80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7D41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E2F69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4E66570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0C276B3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12C72565">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3212D7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w:t>
      </w:r>
    </w:p>
    <w:p w14:paraId="3D1A0F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00D2355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305DC7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例如：某采购代理业务成交金额或者暂定价为150万元，计算采购代理收费额如下：</w:t>
      </w:r>
    </w:p>
    <w:p w14:paraId="77E626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100 万元 ×l ％＝ </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万元</w:t>
      </w:r>
    </w:p>
    <w:p w14:paraId="76528BA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150 － 100 ）万元 ×0.</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0.</w:t>
      </w:r>
      <w:r>
        <w:rPr>
          <w:rFonts w:hint="eastAsia" w:ascii="宋体" w:hAnsi="宋体" w:eastAsia="宋体" w:cs="宋体"/>
          <w:color w:val="auto"/>
          <w:highlight w:val="none"/>
          <w:lang w:val="en-US" w:eastAsia="zh-CN"/>
        </w:rPr>
        <w:t>35</w:t>
      </w:r>
      <w:r>
        <w:rPr>
          <w:rFonts w:hint="eastAsia" w:ascii="宋体" w:hAnsi="宋体" w:eastAsia="宋体" w:cs="宋体"/>
          <w:color w:val="auto"/>
          <w:highlight w:val="none"/>
        </w:rPr>
        <w:t>万元</w:t>
      </w:r>
    </w:p>
    <w:p w14:paraId="520980F4">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合计收费＝ 1 ＋ 0.</w:t>
      </w:r>
      <w:r>
        <w:rPr>
          <w:rFonts w:hint="eastAsia" w:ascii="宋体" w:hAnsi="宋体" w:eastAsia="宋体" w:cs="宋体"/>
          <w:color w:val="auto"/>
          <w:highlight w:val="none"/>
          <w:lang w:val="en-US" w:eastAsia="zh-CN"/>
        </w:rPr>
        <w:t>35</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1.35</w:t>
      </w:r>
      <w:r>
        <w:rPr>
          <w:rFonts w:hint="eastAsia" w:ascii="宋体" w:hAnsi="宋体" w:eastAsia="宋体" w:cs="宋体"/>
          <w:color w:val="auto"/>
          <w:highlight w:val="none"/>
        </w:rPr>
        <w:t xml:space="preserve"> 万元</w:t>
      </w:r>
    </w:p>
    <w:p w14:paraId="3054B8E4">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131864A0">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34.1本磋商文件解释规则详见“供应商须知前附表”。</w:t>
      </w:r>
    </w:p>
    <w:p w14:paraId="25FEC3CC">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34.2 其他事项详见“供应商须知前附表”。</w:t>
      </w:r>
    </w:p>
    <w:p w14:paraId="75FC7DB5">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工程由中小企业承建，即工程施工单位为中小企业（不对其中涉及的货物的制造商和服务的承接商作出要求）的，享受本文件规定的中小企业扶持政策。</w:t>
      </w:r>
    </w:p>
    <w:p w14:paraId="03737EB2">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以联合体形式参加政府采购活动，联合体各方均为中小企业的，联合体视同中小企业。其中，联合体各方均为小微企业的，联合体视同小微企业。</w:t>
      </w:r>
    </w:p>
    <w:p w14:paraId="0521EBB7">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依据本文件规定享受扶持政策获得政府采购合同的，小微企业不得将合同分包给大中型企业，中型企业不得将合同分包给大型企业。</w:t>
      </w:r>
    </w:p>
    <w:p w14:paraId="7CD035E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5749B727">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为优化政府采购营商环境，缓解供应商资金难题，南宁市政府采购试行政府采购信用融资制度，中标供应商如有融资需求，可凭政府采购合同通过以下方式申请政府采购信用融资贷款：</w:t>
      </w:r>
    </w:p>
    <w:p w14:paraId="221C9090">
      <w:pPr>
        <w:pageBreakBefore w:val="0"/>
        <w:widowControl w:val="0"/>
        <w:numPr>
          <w:ilvl w:val="0"/>
          <w:numId w:val="2"/>
        </w:numPr>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线下渠道：在“南宁市公共资源交易中心”官网（网址：</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http://www.nnggzy.org.cn）“交易信息-政府采购-政府采购信用融资”中融资银行和南宁市企业融资服务中心专栏信息申请政府采购信用融资。</w:t>
      </w:r>
      <w:r>
        <w:rPr>
          <w:rFonts w:hint="eastAsia" w:ascii="宋体" w:hAnsi="宋体" w:eastAsia="宋体" w:cs="宋体"/>
          <w:color w:val="auto"/>
          <w:kern w:val="0"/>
          <w:sz w:val="21"/>
          <w:szCs w:val="21"/>
          <w:highlight w:val="none"/>
          <w:lang w:val="en-US" w:eastAsia="zh-CN" w:bidi="ar-SA"/>
        </w:rPr>
        <w:fldChar w:fldCharType="end"/>
      </w:r>
    </w:p>
    <w:p w14:paraId="421A33ED">
      <w:pPr>
        <w:pageBreakBefore w:val="0"/>
        <w:widowControl w:val="0"/>
        <w:numPr>
          <w:ilvl w:val="0"/>
          <w:numId w:val="2"/>
        </w:numPr>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72B3A32B">
      <w:pPr>
        <w:pStyle w:val="21"/>
        <w:rPr>
          <w:rFonts w:hint="eastAsia" w:ascii="宋体" w:hAnsi="宋体" w:eastAsia="宋体" w:cs="宋体"/>
          <w:color w:val="auto"/>
          <w:szCs w:val="21"/>
          <w:highlight w:val="none"/>
        </w:rPr>
      </w:pPr>
    </w:p>
    <w:p w14:paraId="56D6137B">
      <w:pPr>
        <w:pStyle w:val="21"/>
        <w:rPr>
          <w:rFonts w:hint="eastAsia" w:ascii="宋体" w:hAnsi="宋体" w:eastAsia="宋体" w:cs="宋体"/>
          <w:color w:val="auto"/>
          <w:szCs w:val="21"/>
          <w:highlight w:val="none"/>
        </w:rPr>
      </w:pPr>
    </w:p>
    <w:p w14:paraId="186A457D">
      <w:pPr>
        <w:pStyle w:val="21"/>
        <w:rPr>
          <w:rFonts w:hint="eastAsia" w:ascii="宋体" w:hAnsi="宋体" w:eastAsia="宋体" w:cs="宋体"/>
          <w:color w:val="auto"/>
          <w:szCs w:val="21"/>
          <w:highlight w:val="none"/>
        </w:rPr>
      </w:pPr>
    </w:p>
    <w:p w14:paraId="1A65725A">
      <w:pPr>
        <w:pStyle w:val="2"/>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highlight w:val="none"/>
        </w:rPr>
      </w:pPr>
      <w:bookmarkStart w:id="28" w:name="_Toc8593"/>
      <w:bookmarkStart w:id="29" w:name="_Toc3879"/>
      <w:bookmarkStart w:id="30" w:name="_Toc28979"/>
      <w:bookmarkStart w:id="31" w:name="_Toc8412"/>
      <w:bookmarkStart w:id="32" w:name="_Toc21081"/>
      <w:bookmarkStart w:id="33" w:name="_Toc17511"/>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第四章  评审程序、评审方法和评审标准</w:t>
      </w:r>
      <w:bookmarkEnd w:id="28"/>
      <w:bookmarkEnd w:id="29"/>
      <w:bookmarkEnd w:id="30"/>
      <w:bookmarkEnd w:id="31"/>
      <w:bookmarkEnd w:id="32"/>
      <w:bookmarkEnd w:id="33"/>
    </w:p>
    <w:p w14:paraId="41600277">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bookmarkStart w:id="34" w:name="_Toc11607"/>
      <w:bookmarkStart w:id="35" w:name="_Toc17424"/>
      <w:r>
        <w:rPr>
          <w:rFonts w:hint="eastAsia" w:ascii="宋体" w:hAnsi="宋体" w:eastAsia="宋体" w:cs="宋体"/>
          <w:b w:val="0"/>
          <w:bCs/>
          <w:color w:val="auto"/>
          <w:highlight w:val="none"/>
        </w:rPr>
        <w:t>第一节 评审程序和评审方法</w:t>
      </w:r>
      <w:bookmarkEnd w:id="34"/>
      <w:bookmarkEnd w:id="35"/>
    </w:p>
    <w:p w14:paraId="69A6846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5D7418C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3644C534">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1AAF64EB">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39F12E1B">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C365C8B">
      <w:pPr>
        <w:keepNext w:val="0"/>
        <w:keepLines w:val="0"/>
        <w:pageBreakBefore w:val="0"/>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5"/>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5"/>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0A5AB4D8">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69C6160">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47CF199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BFF93C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C280CB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19432187">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7A9E77B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CC12FC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3A5EBB6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7F90436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EEB144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36852A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57B745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43FE77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4EAD794">
      <w:pPr>
        <w:keepNext w:val="0"/>
        <w:keepLines w:val="0"/>
        <w:pageBreakBefore w:val="0"/>
        <w:kinsoku/>
        <w:wordWrap/>
        <w:overflowPunct/>
        <w:topLinePunct w:val="0"/>
        <w:autoSpaceDE/>
        <w:autoSpaceDN/>
        <w:bidi w:val="0"/>
        <w:spacing w:line="360" w:lineRule="auto"/>
        <w:ind w:firstLine="39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61A32B9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C766E9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0FF20A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704509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699FD3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A7A43D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15CAA81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05C459F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439A11E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982285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17E050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CDF053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118CA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08FBB86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254258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E62AA8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379310F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646A41F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0D2857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446D61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18793AB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145B75C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6B10D77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4251EB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F3525D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3D7C397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0269D27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进行报价或者存在漏项报价；供应商未就所竞标项目的单项内容作唯一报价；供应商未就所竞标项目的全部内容作唯一总价报价；供应商响应文件中存在有选择、有条件报价的（磋商文件允许有备选方案或者其他约定的除外）；</w:t>
      </w:r>
    </w:p>
    <w:p w14:paraId="214EDFF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项目规定的采购预算金额或者最高限价的（如本项目公布了最高限价）；响应报价（包含首次报价、最后报价）超过磋商文件项目采购预算金额或者最高限价的（如本项目公布了最高限价）；</w:t>
      </w:r>
    </w:p>
    <w:p w14:paraId="382C8AA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项目规定的采购预算金额或者最高限价（如本项目公布了最高限价）；或者经供应商确认修正后响应报价（包含首次报价、最后报价）超过磋商文件分项采购预算金额或者最高限价的（如本项目公布了最高限价）。</w:t>
      </w:r>
    </w:p>
    <w:p w14:paraId="59D332D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6）供应商已标价工程量清单中的项目编码（12位）、项目名称、项目特征、计量单位、工程量与工程量清单不一致的；</w:t>
      </w:r>
    </w:p>
    <w:p w14:paraId="2C1B6C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）响应文件响应的标的数量及单位与</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要求实质性不一致的。</w:t>
      </w:r>
    </w:p>
    <w:p w14:paraId="0D265B8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F5CBCB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DCD3E28">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77BCC83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181DA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FA8F8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4F628BA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4E2B09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D56F341">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w:t>
      </w:r>
      <w:r>
        <w:rPr>
          <w:rFonts w:hint="eastAsia" w:ascii="宋体" w:hAnsi="宋体" w:eastAsia="宋体" w:cs="宋体"/>
          <w:color w:val="auto"/>
          <w:szCs w:val="21"/>
          <w:highlight w:val="none"/>
          <w:lang w:eastAsia="zh-CN"/>
        </w:rPr>
        <w:t>评审报告</w:t>
      </w:r>
      <w:r>
        <w:rPr>
          <w:rFonts w:hint="eastAsia" w:ascii="宋体" w:hAnsi="宋体" w:eastAsia="宋体" w:cs="宋体"/>
          <w:color w:val="auto"/>
          <w:szCs w:val="21"/>
          <w:highlight w:val="none"/>
        </w:rPr>
        <w:t>一部分，磋商小组在记录上签字确认。</w:t>
      </w:r>
      <w:r>
        <w:rPr>
          <w:rFonts w:hint="eastAsia" w:ascii="宋体" w:hAnsi="宋体" w:eastAsia="宋体" w:cs="宋体"/>
          <w:b/>
          <w:color w:val="auto"/>
          <w:highlight w:val="none"/>
        </w:rPr>
        <w:t>主要内容包括：</w:t>
      </w:r>
    </w:p>
    <w:p w14:paraId="5656023F">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66EF1ED3">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00E27E9">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0B716E71">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28846B1">
      <w:pPr>
        <w:keepNext w:val="0"/>
        <w:keepLines w:val="0"/>
        <w:pageBreakBefore w:val="0"/>
        <w:tabs>
          <w:tab w:val="left" w:pos="2835"/>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11465EEA">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473E1EA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1C5FAE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EE4372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50358A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745B54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5.5供应商未在规定时间内提交最后报价的，视同退出磋商，其响应文件按无效处理。</w:t>
      </w:r>
    </w:p>
    <w:p w14:paraId="607B67B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432D098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FA971B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35FB47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BC732F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577DBB1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BFB1DD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BB74B9D">
      <w:pPr>
        <w:snapToGrid w:val="0"/>
        <w:spacing w:line="360" w:lineRule="auto"/>
        <w:ind w:firstLine="424" w:firstLineChars="202"/>
        <w:jc w:val="left"/>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5.10异常低价响应审查</w:t>
      </w:r>
    </w:p>
    <w:p w14:paraId="0BA285F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55085E7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①响应报价低于全部通过符合性审查供应商响应报价平均值</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的，即响应报价＜全部通过符合性审查供应商响应报价平均值×</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（范围为50%-65%）</w:t>
      </w:r>
    </w:p>
    <w:p w14:paraId="3EB52D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②响应报价低于通过符合性审查的次低报价供应商响应报价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的，即响应报价＜通过符合性审查的次低报价供应商响应报价×</w:t>
      </w:r>
      <w:r>
        <w:rPr>
          <w:rFonts w:hint="eastAsia" w:ascii="宋体" w:hAnsi="宋体" w:eastAsia="宋体" w:cs="宋体"/>
          <w:color w:val="auto"/>
          <w:szCs w:val="21"/>
          <w:highlight w:val="none"/>
          <w:u w:val="single"/>
        </w:rPr>
        <w:t xml:space="preserve"> 5</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（范围为50%-65%）</w:t>
      </w:r>
    </w:p>
    <w:p w14:paraId="210B66F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③响应报价低于采购项目最高限价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的，即响应报价＜采购项目最高限价×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（范围为45%-65%）</w:t>
      </w:r>
    </w:p>
    <w:p w14:paraId="343A554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1421052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EDC9F8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color w:val="auto"/>
          <w:szCs w:val="21"/>
          <w:highlight w:val="none"/>
        </w:rPr>
        <w:t>相关供应商不能提供书面说明、证明材料，或者提供的书面说明、证明材料不能证明其报价合理性的，磋商小组应当将其作为无效响应处理。</w:t>
      </w:r>
    </w:p>
    <w:p w14:paraId="26C4457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34D6D8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6E923BC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9DD9D9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最后报价结束后，磋商小组不得再与供应商进行任何形式的商谈。</w:t>
      </w:r>
    </w:p>
    <w:p w14:paraId="2F76E981">
      <w:pPr>
        <w:keepNext w:val="0"/>
        <w:keepLines w:val="0"/>
        <w:pageBreakBefore w:val="0"/>
        <w:kinsoku/>
        <w:wordWrap/>
        <w:overflowPunct/>
        <w:topLinePunct w:val="0"/>
        <w:autoSpaceDE/>
        <w:autoSpaceDN/>
        <w:bidi w:val="0"/>
        <w:spacing w:line="360" w:lineRule="auto"/>
        <w:ind w:firstLine="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3A308D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15897E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w:t>
      </w:r>
      <w:bookmarkStart w:id="36" w:name="OLE_LINK35"/>
      <w:r>
        <w:rPr>
          <w:rFonts w:hint="eastAsia" w:ascii="宋体" w:hAnsi="宋体" w:eastAsia="宋体" w:cs="宋体"/>
          <w:color w:val="auto"/>
          <w:szCs w:val="21"/>
          <w:highlight w:val="none"/>
        </w:rPr>
        <w:t>磋商小组</w:t>
      </w:r>
      <w:bookmarkEnd w:id="36"/>
      <w:r>
        <w:rPr>
          <w:rFonts w:hint="eastAsia" w:ascii="宋体" w:hAnsi="宋体" w:eastAsia="宋体" w:cs="宋体"/>
          <w:color w:val="auto"/>
          <w:szCs w:val="21"/>
          <w:highlight w:val="none"/>
        </w:rPr>
        <w:t>采用综合评分法对提交最后报价的供应商的响应文件和最后报价进行综合评分。</w:t>
      </w:r>
    </w:p>
    <w:p w14:paraId="3EFC2D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1E6CBAD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32521A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（2）磋商小组按照磋商文件中规定的评审标准计算各供应商的报价得分。项目评审过程中，不得去掉最后报价中的最高报价和最低报价。</w:t>
      </w:r>
    </w:p>
    <w:p w14:paraId="3F91A47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（3）各供应商的得分为磋商小组所有成员的有效评分的算术平均数。</w:t>
      </w:r>
    </w:p>
    <w:p w14:paraId="0332D70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4F0FF4F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审报告。符合本章第5.3条情形的，可以推荐2家成交候选供应商。评审得分相同的，按照最后报价由低到高的顺序推荐。评审得分且最后报价相同的，按照技术指标优劣顺序推荐。</w:t>
      </w:r>
    </w:p>
    <w:p w14:paraId="7304413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0A40F0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7.评审复核</w:t>
      </w:r>
    </w:p>
    <w:p w14:paraId="425A15C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7.1评审报告签署前，</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要对评审结果进行复核，复核意见要体现在评审报告中。</w:t>
      </w:r>
    </w:p>
    <w:p w14:paraId="247C154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7.2评审结果汇总完成后，采购人、采购代理机构和</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均不得修改评审结果或者要求重新评审，但资格性检查认定错误、分值汇总计算错误、分项评分超出评分标准范围、客观分评分不一致、经</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一致认定评分畸高、畸低的情形除外。出现上述除外情形的，</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应当现场修改评审结果，并在评审报告中明确记载。</w:t>
      </w:r>
    </w:p>
    <w:p w14:paraId="3CED0D6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6BCEAFCE">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w:t>
      </w:r>
      <w:r>
        <w:rPr>
          <w:rFonts w:hint="eastAsia" w:ascii="宋体" w:hAnsi="宋体" w:eastAsia="宋体" w:cs="宋体"/>
          <w:bCs/>
          <w:color w:val="auto"/>
          <w:szCs w:val="21"/>
          <w:highlight w:val="none"/>
        </w:rPr>
        <w:t>1评审依据：磋商小组将以响应文件为评审依据，对供应商的报价、技术、商务等方面内容按百分制打分，供应商总得分=报价分+技术分+商务分。（计分方法按四舍五入取至百分位）</w:t>
      </w:r>
    </w:p>
    <w:tbl>
      <w:tblPr>
        <w:tblStyle w:val="29"/>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25"/>
        <w:gridCol w:w="6536"/>
        <w:gridCol w:w="851"/>
      </w:tblGrid>
      <w:tr w14:paraId="4762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0E5DB9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125" w:type="dxa"/>
            <w:noWrap w:val="0"/>
            <w:vAlign w:val="center"/>
          </w:tcPr>
          <w:p w14:paraId="2315EA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36" w:type="dxa"/>
            <w:noWrap w:val="0"/>
            <w:vAlign w:val="center"/>
          </w:tcPr>
          <w:p w14:paraId="73C0BE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7D754BD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7D6A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3" w:type="dxa"/>
            <w:noWrap w:val="0"/>
            <w:vAlign w:val="center"/>
          </w:tcPr>
          <w:p w14:paraId="2333FE3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125" w:type="dxa"/>
            <w:noWrap w:val="0"/>
            <w:vAlign w:val="center"/>
          </w:tcPr>
          <w:p w14:paraId="5DE514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536" w:type="dxa"/>
            <w:noWrap w:val="0"/>
            <w:vAlign w:val="top"/>
          </w:tcPr>
          <w:p w14:paraId="5B8FBB9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1.本项目为专门面向中小企业采购的项目，按照《政府采购促进中小企业发展管理办法》（财库〔2020〕46号）的规定，对供应商最后报价不再执行价格评审优惠的扶持政策。</w:t>
            </w:r>
          </w:p>
          <w:p w14:paraId="3DD5623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2.评审报价为供应商的最后报价，评审报价只是作为评审时使用。最终成交供应商的成交金额等于最后报价（如有修正，以确认修正后的最后报价为准）。</w:t>
            </w:r>
          </w:p>
          <w:p w14:paraId="09B00C81">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3.以进入比较与评价环节的最低的评审报价为基准价，基准价得分为30分。</w:t>
            </w:r>
          </w:p>
          <w:p w14:paraId="45D4A61E">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4.价格分计算公式：</w:t>
            </w:r>
          </w:p>
          <w:p w14:paraId="0F7C4EC4">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报价得分=（基准价/评审报价）×30分</w:t>
            </w:r>
          </w:p>
        </w:tc>
        <w:tc>
          <w:tcPr>
            <w:tcW w:w="851" w:type="dxa"/>
            <w:noWrap w:val="0"/>
            <w:vAlign w:val="center"/>
          </w:tcPr>
          <w:p w14:paraId="70A54CB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30分</w:t>
            </w:r>
          </w:p>
        </w:tc>
      </w:tr>
      <w:tr w14:paraId="6B18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5C61B2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w:t>
            </w:r>
          </w:p>
        </w:tc>
        <w:tc>
          <w:tcPr>
            <w:tcW w:w="7661" w:type="dxa"/>
            <w:gridSpan w:val="2"/>
            <w:noWrap w:val="0"/>
            <w:vAlign w:val="center"/>
          </w:tcPr>
          <w:p w14:paraId="6FEE6038">
            <w:pPr>
              <w:keepNext w:val="0"/>
              <w:keepLines w:val="0"/>
              <w:pageBreakBefore w:val="0"/>
              <w:widowControl/>
              <w:kinsoku/>
              <w:wordWrap/>
              <w:overflowPunct/>
              <w:topLinePunct w:val="0"/>
              <w:autoSpaceDE/>
              <w:autoSpaceDN/>
              <w:bidi w:val="0"/>
              <w:adjustRightInd/>
              <w:snapToGrid/>
              <w:spacing w:line="360" w:lineRule="exact"/>
              <w:ind w:firstLine="422" w:firstLineChars="200"/>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技术分</w:t>
            </w:r>
          </w:p>
        </w:tc>
        <w:tc>
          <w:tcPr>
            <w:tcW w:w="851" w:type="dxa"/>
            <w:noWrap w:val="0"/>
            <w:vAlign w:val="top"/>
          </w:tcPr>
          <w:p w14:paraId="08EDB9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66</w:t>
            </w:r>
            <w:r>
              <w:rPr>
                <w:rFonts w:hint="eastAsia" w:ascii="宋体" w:hAnsi="宋体" w:eastAsia="宋体" w:cs="宋体"/>
                <w:b/>
                <w:color w:val="auto"/>
                <w:kern w:val="0"/>
                <w:szCs w:val="21"/>
                <w:highlight w:val="none"/>
              </w:rPr>
              <w:t>分</w:t>
            </w:r>
          </w:p>
        </w:tc>
      </w:tr>
      <w:tr w14:paraId="340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693" w:type="dxa"/>
            <w:noWrap w:val="0"/>
            <w:vAlign w:val="center"/>
          </w:tcPr>
          <w:p w14:paraId="24A6B0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1125" w:type="dxa"/>
            <w:noWrap w:val="0"/>
            <w:vAlign w:val="center"/>
          </w:tcPr>
          <w:p w14:paraId="7131C4C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color w:val="auto"/>
                <w:highlight w:val="none"/>
              </w:rPr>
              <w:t>主要施工方法</w:t>
            </w:r>
          </w:p>
        </w:tc>
        <w:tc>
          <w:tcPr>
            <w:tcW w:w="6536" w:type="dxa"/>
            <w:noWrap w:val="0"/>
            <w:vAlign w:val="center"/>
          </w:tcPr>
          <w:p w14:paraId="0441EC6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针对供应商提供的主要施工方法【(1)工程施工；(2)主要物资计划；(3)项目的重点难点；(4)供应商针对本项目特点提出的其他施工方法】按以下标准计分：</w:t>
            </w:r>
          </w:p>
          <w:p w14:paraId="542E850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对各主要分部施工工程分别进行了具体的施工技术方案的阐述，提供的各主要分部施工方法符合项目实际，能指导具体施工并确保施工质量和施工安全。有主要建筑材料的资源稳定供应的保证措施，完全满足施工需要。针对本工程的特点，阐述本工程的重点和难点，解决重点和难点问题的方法和措施科学合理。</w:t>
            </w:r>
          </w:p>
          <w:p w14:paraId="4D4BBDE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对各主要分部施工工程分别进行了具体的施工技术方案的阐述，提供的各主要分部施工方法符合项目实际，能指导具体施工并确保施工质量和施工安全。有主要建筑材料稳定供应的保证措施，满足施工需要。</w:t>
            </w:r>
          </w:p>
          <w:p w14:paraId="5C943CB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三档（7分）：对各主要分部施工工程分别进行了具体的施工技术方案的阐述，提供的各主要分部施工方法符合项目实际，能指导具体施工并确保施工质量和施工安全。</w:t>
            </w:r>
          </w:p>
          <w:p w14:paraId="28D5042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四档（3分）：提供的主要施工方法符合项目实际，但未能针对各主要分部施工配有全面的施工技术方案。</w:t>
            </w:r>
          </w:p>
          <w:p w14:paraId="44ECB4C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622815E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Cs w:val="21"/>
                <w:highlight w:val="none"/>
                <w:lang w:val="en-US" w:eastAsia="zh-CN"/>
              </w:rPr>
              <w:t>15分</w:t>
            </w:r>
          </w:p>
        </w:tc>
      </w:tr>
      <w:tr w14:paraId="1550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noWrap w:val="0"/>
            <w:vAlign w:val="center"/>
          </w:tcPr>
          <w:p w14:paraId="737BDC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1125" w:type="dxa"/>
            <w:noWrap w:val="0"/>
            <w:vAlign w:val="center"/>
          </w:tcPr>
          <w:p w14:paraId="0ABD17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确保工程质量的技术组织措施</w:t>
            </w:r>
          </w:p>
        </w:tc>
        <w:tc>
          <w:tcPr>
            <w:tcW w:w="6536" w:type="dxa"/>
            <w:noWrap w:val="0"/>
            <w:vAlign w:val="center"/>
          </w:tcPr>
          <w:p w14:paraId="628F8A07">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针对供应商提供的确保工程质量的技术组织措施【①质量技术管理班子和制度；②关键材料质量控制内容；③材料组织计划；④供应商针对本项目特点提出的其他确保工程质量的技术组织措施】按以下标准计分：</w:t>
            </w:r>
          </w:p>
          <w:p w14:paraId="11A8C64D">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有专门的质量技术管理班子和制度，且人员配备合理，制度健全。主要工序有质量技术保证措施和手段，自控体系完整，能有效保证技术质量，完全能达到承诺的质量标准。有主要建筑材料质量保证措施确保施工质量，对材料的环保要求的把控措施。有投入的施工材料组织计划且计划周密，并根据本项目的特点提出其他有针对性的确保工程质量的技术组织措施，满足施工需要。</w:t>
            </w:r>
          </w:p>
          <w:p w14:paraId="3765A52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有专门的质量技术管理班子和制度，且人员配备基本合理，制度较健全。主要工序有较好的质量技术保证措施和手段，基本能有效保证技术质量，提供的自控体系较完整。有主要建筑材料质量保证措施确保施工质量。</w:t>
            </w:r>
          </w:p>
          <w:p w14:paraId="74BB184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三档（7分）：有专门的质量技术管理班子和制度，有人员配备，制度健全。有主要工序的质量技术保证措施和手段及自控体系，能保证技术质量，达到承诺的质量标准。</w:t>
            </w:r>
          </w:p>
          <w:p w14:paraId="6C23CAA1">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四档（3分）：有专门的质量技术管理班子和制度但质量技术管理班子和制度不健全，主要工序无质量技术保证措施和手段，自控体系不完整，不能有效保证承诺的技术质量。</w:t>
            </w:r>
          </w:p>
          <w:p w14:paraId="3238883C">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2BBC080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Cs w:val="21"/>
                <w:highlight w:val="none"/>
                <w:lang w:val="en-US" w:eastAsia="zh-CN"/>
              </w:rPr>
              <w:t>15分</w:t>
            </w:r>
          </w:p>
        </w:tc>
      </w:tr>
      <w:tr w14:paraId="2000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noWrap w:val="0"/>
            <w:vAlign w:val="center"/>
          </w:tcPr>
          <w:p w14:paraId="5BF195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2.3</w:t>
            </w:r>
          </w:p>
        </w:tc>
        <w:tc>
          <w:tcPr>
            <w:tcW w:w="1125" w:type="dxa"/>
            <w:noWrap w:val="0"/>
            <w:vAlign w:val="center"/>
          </w:tcPr>
          <w:p w14:paraId="3F66C8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确保安全生产的技术组织措施</w:t>
            </w:r>
          </w:p>
        </w:tc>
        <w:tc>
          <w:tcPr>
            <w:tcW w:w="6536" w:type="dxa"/>
            <w:noWrap w:val="0"/>
            <w:vAlign w:val="center"/>
          </w:tcPr>
          <w:p w14:paraId="47655D5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确保安全生产的技术组织措施【①安全管理制度和人员；②安全技术措施；③防火、救援等应急措施；④确保文明施工的技术组织措施；⑤环保等相关措施；⑥供应商针对本项目其他特点提出其他确保安全生产的技术组织措施】按以下标准计分：</w:t>
            </w:r>
          </w:p>
          <w:p w14:paraId="26FCEF7F">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且措施内容达到《建筑施工安全生产检查标准》（JGJ59-2011）合格标准并符合《广西壮族自治区建筑工程文明施工导则》要求，各项措施科学、具体、有效，有具体实现现场文明施工目标的承诺。</w:t>
            </w:r>
          </w:p>
          <w:p w14:paraId="4822ED7F">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有关于现场防火、应急救援、社会治安安全的措施。提出可行的确保文明施工的技术组织措施、环境保护措施，且措施内容达到《建筑施工安全生产检查标准》（JGJ59-2011）合格标准并符合《广西壮族自治区建筑工程文明施工导则》要求。</w:t>
            </w:r>
          </w:p>
          <w:p w14:paraId="6378990B">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保证安全生产的技术措施有专门的安全管理人员和制度，且人员配备和制度合理，阐述了各道工序安全技术措施但缺乏针对性，确保工程质量的技术组织措符合实际且满足有关安全技术标准要求且措施可行。</w:t>
            </w:r>
          </w:p>
          <w:p w14:paraId="214F926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四档（3分）：保证安全生产的技术措施有专门的安全管理人员和制度，各道工序安全技术措施阐述不完整，确保工程质量的技术组织措施满足有关安全技术标准要求但措施考虑欠周全。</w:t>
            </w:r>
          </w:p>
          <w:p w14:paraId="08D0CB6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443C39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15分</w:t>
            </w:r>
          </w:p>
        </w:tc>
      </w:tr>
      <w:tr w14:paraId="3835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29750A5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rPr>
              <w:t>2.</w:t>
            </w:r>
            <w:r>
              <w:rPr>
                <w:rFonts w:hint="eastAsia" w:ascii="宋体" w:hAnsi="宋体" w:eastAsia="宋体" w:cs="宋体"/>
                <w:b w:val="0"/>
                <w:bCs/>
                <w:color w:val="auto"/>
                <w:kern w:val="0"/>
                <w:szCs w:val="21"/>
                <w:highlight w:val="none"/>
                <w:lang w:val="en-US" w:eastAsia="zh-CN"/>
              </w:rPr>
              <w:t>4</w:t>
            </w:r>
          </w:p>
        </w:tc>
        <w:tc>
          <w:tcPr>
            <w:tcW w:w="1125" w:type="dxa"/>
            <w:noWrap w:val="0"/>
            <w:vAlign w:val="center"/>
          </w:tcPr>
          <w:p w14:paraId="4955AB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确保工期的技术组织措施</w:t>
            </w:r>
          </w:p>
        </w:tc>
        <w:tc>
          <w:tcPr>
            <w:tcW w:w="6536" w:type="dxa"/>
            <w:noWrap w:val="0"/>
            <w:vAlign w:val="center"/>
          </w:tcPr>
          <w:p w14:paraId="3E146EDB">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针对供应商提供的确保工期的技术组织措施【①工期保障措施；②施工进度计划；③施工进度图（表）；④劳动力计划；⑤供应商针对本项目特点提出其他确保工期的技术组织措施】按以下标准计分：</w:t>
            </w:r>
          </w:p>
          <w:p w14:paraId="257151D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一档（15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5E9A239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二档（11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48DE842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三档（7分）：保证工期的施工组织措施方案中在施工工艺、施工方法、材料选用、劳动力安排、技术等方面有具体措施，且有控制工期的施工进度计划，但考虑欠周全。</w:t>
            </w:r>
          </w:p>
          <w:p w14:paraId="36DEA31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四档（3分）：保证工期的施工组织措施方案中有施工工艺、施工方法、劳动力安排等方面有具体实施措施但未提供控制工期的施工进度计划。</w:t>
            </w:r>
          </w:p>
          <w:p w14:paraId="30B30DBA">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注：供应商满足某一档全部要求时，即获得该档对应分值，不得累计或叠加得分。</w:t>
            </w:r>
          </w:p>
        </w:tc>
        <w:tc>
          <w:tcPr>
            <w:tcW w:w="851" w:type="dxa"/>
            <w:noWrap w:val="0"/>
            <w:vAlign w:val="center"/>
          </w:tcPr>
          <w:p w14:paraId="452687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Cs w:val="21"/>
                <w:highlight w:val="none"/>
                <w:lang w:val="en-US" w:eastAsia="zh-CN"/>
              </w:rPr>
              <w:t>15分</w:t>
            </w:r>
          </w:p>
        </w:tc>
      </w:tr>
      <w:tr w14:paraId="41ED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2D9DA0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2.5</w:t>
            </w:r>
          </w:p>
        </w:tc>
        <w:tc>
          <w:tcPr>
            <w:tcW w:w="1125" w:type="dxa"/>
            <w:noWrap w:val="0"/>
            <w:vAlign w:val="center"/>
          </w:tcPr>
          <w:p w14:paraId="2868F8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项目经理</w:t>
            </w:r>
          </w:p>
        </w:tc>
        <w:tc>
          <w:tcPr>
            <w:tcW w:w="6536" w:type="dxa"/>
            <w:noWrap w:val="0"/>
            <w:vAlign w:val="center"/>
          </w:tcPr>
          <w:p w14:paraId="64F75B93">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val="en-US" w:eastAsia="zh-CN"/>
              </w:rPr>
              <w:t>供应商</w:t>
            </w:r>
            <w:r>
              <w:rPr>
                <w:rFonts w:hint="eastAsia" w:ascii="宋体" w:hAnsi="宋体" w:eastAsia="宋体" w:cs="宋体"/>
                <w:bCs/>
                <w:color w:val="auto"/>
                <w:highlight w:val="none"/>
              </w:rPr>
              <w:t>拟投入本项目的项目经理具有</w:t>
            </w:r>
            <w:r>
              <w:rPr>
                <w:rFonts w:hint="eastAsia" w:ascii="宋体" w:hAnsi="宋体" w:eastAsia="宋体" w:cs="宋体"/>
                <w:bCs/>
                <w:color w:val="auto"/>
                <w:highlight w:val="none"/>
                <w:lang w:val="en-US" w:eastAsia="zh-CN"/>
              </w:rPr>
              <w:t>工</w:t>
            </w:r>
            <w:r>
              <w:rPr>
                <w:rFonts w:hint="eastAsia" w:ascii="宋体" w:hAnsi="宋体" w:eastAsia="宋体" w:cs="宋体"/>
                <w:bCs/>
                <w:color w:val="auto"/>
                <w:kern w:val="0"/>
                <w:szCs w:val="21"/>
                <w:highlight w:val="none"/>
              </w:rPr>
              <w:t>程类中级及以上技术职称的得</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w:t>
            </w:r>
          </w:p>
          <w:p w14:paraId="79F22504">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rPr>
              <w:t>须提供</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截止之日前半年内</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个月的</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单位为其在本单位依法缴纳社保费的凭证及有关社保证明材料的复印件。</w:t>
            </w:r>
          </w:p>
        </w:tc>
        <w:tc>
          <w:tcPr>
            <w:tcW w:w="851" w:type="dxa"/>
            <w:noWrap w:val="0"/>
            <w:vAlign w:val="center"/>
          </w:tcPr>
          <w:p w14:paraId="7C01D8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3分</w:t>
            </w:r>
          </w:p>
        </w:tc>
      </w:tr>
      <w:tr w14:paraId="1145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9D38E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2.6</w:t>
            </w:r>
          </w:p>
        </w:tc>
        <w:tc>
          <w:tcPr>
            <w:tcW w:w="1125" w:type="dxa"/>
            <w:noWrap w:val="0"/>
            <w:vAlign w:val="center"/>
          </w:tcPr>
          <w:p w14:paraId="1BBBE1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技术负责人</w:t>
            </w:r>
          </w:p>
        </w:tc>
        <w:tc>
          <w:tcPr>
            <w:tcW w:w="6536" w:type="dxa"/>
            <w:noWrap w:val="0"/>
            <w:vAlign w:val="center"/>
          </w:tcPr>
          <w:p w14:paraId="1229AE6C">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供应商拟投入的技术负责人具有工程类中级及以上技术职称的得3分。</w:t>
            </w:r>
          </w:p>
          <w:p w14:paraId="5DA2ECCF">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rPr>
              <w:t>须提供</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截止之日前半年内</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个月的</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单位为其在本单位依法缴纳社保费的凭证及有关社保证明材料的复印件。</w:t>
            </w:r>
          </w:p>
        </w:tc>
        <w:tc>
          <w:tcPr>
            <w:tcW w:w="851" w:type="dxa"/>
            <w:noWrap w:val="0"/>
            <w:vAlign w:val="center"/>
          </w:tcPr>
          <w:p w14:paraId="2B8EE0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3分</w:t>
            </w:r>
          </w:p>
        </w:tc>
      </w:tr>
      <w:tr w14:paraId="2B80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2FF6A8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val="en-US" w:eastAsia="zh-CN"/>
              </w:rPr>
              <w:t>3</w:t>
            </w:r>
          </w:p>
        </w:tc>
        <w:tc>
          <w:tcPr>
            <w:tcW w:w="7661" w:type="dxa"/>
            <w:gridSpan w:val="2"/>
            <w:noWrap w:val="0"/>
            <w:vAlign w:val="center"/>
          </w:tcPr>
          <w:p w14:paraId="41A6DAFD">
            <w:pPr>
              <w:keepNext w:val="0"/>
              <w:keepLines w:val="0"/>
              <w:pageBreakBefore w:val="0"/>
              <w:widowControl/>
              <w:kinsoku/>
              <w:wordWrap/>
              <w:overflowPunct/>
              <w:topLinePunct w:val="0"/>
              <w:autoSpaceDE/>
              <w:autoSpaceDN/>
              <w:bidi w:val="0"/>
              <w:adjustRightInd/>
              <w:snapToGrid/>
              <w:spacing w:line="360" w:lineRule="exact"/>
              <w:ind w:firstLine="422" w:firstLineChars="20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商务分</w:t>
            </w:r>
          </w:p>
        </w:tc>
        <w:tc>
          <w:tcPr>
            <w:tcW w:w="851" w:type="dxa"/>
            <w:noWrap w:val="0"/>
            <w:vAlign w:val="center"/>
          </w:tcPr>
          <w:p w14:paraId="6DFB9A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rPr>
              <w:t>分</w:t>
            </w:r>
          </w:p>
        </w:tc>
      </w:tr>
      <w:tr w14:paraId="01F7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6D38EC2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3.1</w:t>
            </w:r>
          </w:p>
        </w:tc>
        <w:tc>
          <w:tcPr>
            <w:tcW w:w="1125" w:type="dxa"/>
            <w:noWrap w:val="0"/>
            <w:vAlign w:val="center"/>
          </w:tcPr>
          <w:p w14:paraId="085C58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szCs w:val="21"/>
                <w:highlight w:val="none"/>
                <w:lang w:val="en-US" w:eastAsia="zh-CN"/>
              </w:rPr>
              <w:t>业绩分</w:t>
            </w:r>
          </w:p>
        </w:tc>
        <w:tc>
          <w:tcPr>
            <w:tcW w:w="6536" w:type="dxa"/>
            <w:noWrap w:val="0"/>
            <w:vAlign w:val="center"/>
          </w:tcPr>
          <w:p w14:paraId="786B1E5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highlight w:val="none"/>
                <w:lang w:val="en-US" w:eastAsia="zh-CN"/>
              </w:rPr>
              <w:t>2023年01月01日至今</w:t>
            </w:r>
            <w:r>
              <w:rPr>
                <w:rFonts w:hint="eastAsia" w:ascii="宋体" w:hAnsi="宋体" w:eastAsia="宋体" w:cs="宋体"/>
                <w:bCs/>
                <w:color w:val="auto"/>
                <w:highlight w:val="none"/>
              </w:rPr>
              <w:t>竞标人承担过类似项目</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类似项目指维修工程）</w:t>
            </w:r>
            <w:r>
              <w:rPr>
                <w:rFonts w:hint="eastAsia" w:ascii="宋体" w:hAnsi="宋体" w:eastAsia="宋体" w:cs="宋体"/>
                <w:bCs/>
                <w:color w:val="auto"/>
                <w:highlight w:val="none"/>
              </w:rPr>
              <w:t>的，每有一个得</w:t>
            </w:r>
            <w:r>
              <w:rPr>
                <w:rFonts w:hint="eastAsia" w:ascii="宋体" w:hAnsi="宋体" w:eastAsia="宋体" w:cs="宋体"/>
                <w:bCs/>
                <w:color w:val="auto"/>
                <w:highlight w:val="none"/>
                <w:lang w:val="en-US" w:eastAsia="zh-CN"/>
              </w:rPr>
              <w:t>2</w:t>
            </w:r>
            <w:r>
              <w:rPr>
                <w:rFonts w:hint="eastAsia" w:ascii="宋体" w:hAnsi="宋体" w:eastAsia="宋体" w:cs="宋体"/>
                <w:bCs/>
                <w:color w:val="auto"/>
                <w:highlight w:val="none"/>
              </w:rPr>
              <w:t>分。此项满分</w:t>
            </w:r>
            <w:r>
              <w:rPr>
                <w:rFonts w:hint="eastAsia" w:ascii="宋体" w:hAnsi="宋体" w:eastAsia="宋体" w:cs="宋体"/>
                <w:bCs/>
                <w:color w:val="auto"/>
                <w:highlight w:val="none"/>
                <w:lang w:val="en-US" w:eastAsia="zh-CN"/>
              </w:rPr>
              <w:t>4</w:t>
            </w:r>
            <w:r>
              <w:rPr>
                <w:rFonts w:hint="eastAsia" w:ascii="宋体" w:hAnsi="宋体" w:eastAsia="宋体" w:cs="宋体"/>
                <w:bCs/>
                <w:color w:val="auto"/>
                <w:highlight w:val="none"/>
              </w:rPr>
              <w:t>分（提供项目中标/成交通知书或合同证明材料复印件，未提供不得分）。</w:t>
            </w:r>
          </w:p>
        </w:tc>
        <w:tc>
          <w:tcPr>
            <w:tcW w:w="851" w:type="dxa"/>
            <w:noWrap w:val="0"/>
            <w:vAlign w:val="center"/>
          </w:tcPr>
          <w:p w14:paraId="5A61695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分</w:t>
            </w:r>
          </w:p>
        </w:tc>
      </w:tr>
      <w:tr w14:paraId="1078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354" w:type="dxa"/>
            <w:gridSpan w:val="3"/>
            <w:noWrap w:val="0"/>
            <w:vAlign w:val="center"/>
          </w:tcPr>
          <w:p w14:paraId="2287348C">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b/>
                <w:bCs w:val="0"/>
                <w:color w:val="auto"/>
                <w:szCs w:val="21"/>
                <w:highlight w:val="none"/>
                <w:lang w:val="en-US" w:eastAsia="zh-CN"/>
              </w:rPr>
              <w:t>总得分=1+2+3</w:t>
            </w:r>
          </w:p>
        </w:tc>
        <w:tc>
          <w:tcPr>
            <w:tcW w:w="851" w:type="dxa"/>
            <w:noWrap w:val="0"/>
            <w:vAlign w:val="center"/>
          </w:tcPr>
          <w:p w14:paraId="1FCE989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100分</w:t>
            </w:r>
          </w:p>
        </w:tc>
      </w:tr>
    </w:tbl>
    <w:p w14:paraId="5D294C6F">
      <w:pPr>
        <w:widowControl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bookmarkStart w:id="37" w:name="_Toc22545"/>
      <w:bookmarkStart w:id="38" w:name="_Toc11595"/>
      <w:r>
        <w:rPr>
          <w:rFonts w:hint="eastAsia" w:ascii="宋体" w:hAnsi="宋体" w:eastAsia="宋体" w:cs="宋体"/>
          <w:bCs/>
          <w:color w:val="auto"/>
          <w:kern w:val="2"/>
          <w:sz w:val="21"/>
          <w:szCs w:val="21"/>
          <w:highlight w:val="none"/>
          <w:lang w:val="en-US" w:eastAsia="zh-CN" w:bidi="ar-SA"/>
        </w:rPr>
        <w:t>8.2商务技术评审因素为客观评分项的，应在评分项目或评分标准中予以标注为“客观分”。对供应商的客观评分项目，各评审专家评分应当一致。</w:t>
      </w:r>
    </w:p>
    <w:p w14:paraId="491DE2F6">
      <w:p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8.3.终止竞争性磋商采购活动</w:t>
      </w:r>
    </w:p>
    <w:p w14:paraId="2AF5BD9E">
      <w:p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91F164B">
      <w:pPr>
        <w:outlineLvl w:val="9"/>
        <w:rPr>
          <w:rFonts w:hint="eastAsia" w:ascii="宋体" w:hAnsi="宋体" w:eastAsia="宋体" w:cs="宋体"/>
          <w:b w:val="0"/>
          <w:bCs/>
          <w:color w:val="auto"/>
          <w:highlight w:val="none"/>
        </w:rPr>
      </w:pPr>
    </w:p>
    <w:p w14:paraId="3B5B3E1E">
      <w:pPr>
        <w:outlineLvl w:val="9"/>
        <w:rPr>
          <w:rFonts w:hint="eastAsia" w:ascii="宋体" w:hAnsi="宋体" w:eastAsia="宋体" w:cs="宋体"/>
          <w:b w:val="0"/>
          <w:bCs/>
          <w:color w:val="auto"/>
          <w:highlight w:val="none"/>
        </w:rPr>
      </w:pPr>
    </w:p>
    <w:bookmarkEnd w:id="37"/>
    <w:bookmarkEnd w:id="38"/>
    <w:p w14:paraId="56FDA23D">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bookmarkStart w:id="39" w:name="_Toc12890"/>
      <w:bookmarkStart w:id="40" w:name="_Toc7776"/>
      <w:bookmarkStart w:id="41" w:name="_Toc27282"/>
      <w:bookmarkStart w:id="42" w:name="_Toc5005"/>
      <w:bookmarkStart w:id="43" w:name="_Toc26272"/>
      <w:r>
        <w:rPr>
          <w:rFonts w:hint="eastAsia" w:ascii="宋体" w:hAnsi="宋体" w:eastAsia="宋体" w:cs="宋体"/>
          <w:b w:val="0"/>
          <w:bCs/>
          <w:color w:val="auto"/>
          <w:highlight w:val="none"/>
        </w:rPr>
        <w:t>第二节 评审报告</w:t>
      </w:r>
    </w:p>
    <w:p w14:paraId="17449D24">
      <w:pPr>
        <w:spacing w:line="360" w:lineRule="auto"/>
        <w:rPr>
          <w:rFonts w:hint="eastAsia" w:ascii="宋体" w:hAnsi="宋体" w:eastAsia="宋体" w:cs="宋体"/>
          <w:b/>
          <w:bCs/>
          <w:color w:val="auto"/>
          <w:sz w:val="24"/>
          <w:szCs w:val="32"/>
          <w:highlight w:val="none"/>
        </w:rPr>
      </w:pPr>
      <w:bookmarkStart w:id="44" w:name="_Toc2025"/>
      <w:bookmarkStart w:id="45" w:name="_Toc20045"/>
      <w:r>
        <w:rPr>
          <w:rFonts w:hint="eastAsia" w:ascii="宋体" w:hAnsi="宋体" w:eastAsia="宋体" w:cs="宋体"/>
          <w:b/>
          <w:bCs/>
          <w:color w:val="auto"/>
          <w:sz w:val="24"/>
          <w:szCs w:val="32"/>
          <w:highlight w:val="none"/>
        </w:rPr>
        <w:t>1.成交标准</w:t>
      </w:r>
    </w:p>
    <w:p w14:paraId="2356CDA0">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商务指标优劣顺序推荐（按技术得分由高到低排序，技术得分相同的按照</w:t>
      </w:r>
      <w:r>
        <w:rPr>
          <w:rFonts w:hint="eastAsia" w:ascii="宋体" w:hAnsi="宋体" w:eastAsia="宋体" w:cs="宋体"/>
          <w:bCs/>
          <w:color w:val="auto"/>
          <w:szCs w:val="21"/>
          <w:highlight w:val="none"/>
          <w:lang w:eastAsia="zh-CN"/>
        </w:rPr>
        <w:t>商务</w:t>
      </w:r>
      <w:r>
        <w:rPr>
          <w:rFonts w:hint="eastAsia" w:ascii="宋体" w:hAnsi="宋体" w:eastAsia="宋体" w:cs="宋体"/>
          <w:bCs/>
          <w:color w:val="auto"/>
          <w:szCs w:val="21"/>
          <w:highlight w:val="none"/>
        </w:rPr>
        <w:t>分由高到低排序）。评审得分、最后报价（不计算价格折扣）、技术得分、商务分均相同的，由磋商小组随机抽取推荐。</w:t>
      </w:r>
    </w:p>
    <w:p w14:paraId="1ED1769E">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2.评标争议事项处理</w:t>
      </w:r>
    </w:p>
    <w:p w14:paraId="11446169">
      <w:pPr>
        <w:pStyle w:val="78"/>
        <w:spacing w:before="0"/>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w:t>
      </w:r>
      <w:r>
        <w:rPr>
          <w:rFonts w:hint="eastAsia" w:ascii="宋体" w:hAnsi="宋体" w:eastAsia="宋体" w:cs="宋体"/>
          <w:color w:val="auto"/>
          <w:kern w:val="2"/>
          <w:sz w:val="21"/>
          <w:szCs w:val="24"/>
          <w:highlight w:val="none"/>
          <w:lang w:eastAsia="zh-CN"/>
        </w:rPr>
        <w:t>评审报告</w:t>
      </w:r>
      <w:r>
        <w:rPr>
          <w:rFonts w:hint="eastAsia" w:ascii="宋体" w:hAnsi="宋体" w:eastAsia="宋体" w:cs="宋体"/>
          <w:color w:val="auto"/>
          <w:kern w:val="2"/>
          <w:sz w:val="21"/>
          <w:szCs w:val="24"/>
          <w:highlight w:val="none"/>
        </w:rPr>
        <w:t>上签署不同意见及理由，否则视为同意</w:t>
      </w:r>
      <w:r>
        <w:rPr>
          <w:rFonts w:hint="eastAsia" w:ascii="宋体" w:hAnsi="宋体" w:eastAsia="宋体" w:cs="宋体"/>
          <w:color w:val="auto"/>
          <w:kern w:val="2"/>
          <w:sz w:val="21"/>
          <w:szCs w:val="24"/>
          <w:highlight w:val="none"/>
          <w:lang w:eastAsia="zh-CN"/>
        </w:rPr>
        <w:t>评审报告</w:t>
      </w:r>
      <w:r>
        <w:rPr>
          <w:rFonts w:hint="eastAsia" w:ascii="宋体" w:hAnsi="宋体" w:eastAsia="宋体" w:cs="宋体"/>
          <w:color w:val="auto"/>
          <w:kern w:val="2"/>
          <w:sz w:val="21"/>
          <w:szCs w:val="24"/>
          <w:highlight w:val="none"/>
        </w:rPr>
        <w:t>。</w:t>
      </w:r>
    </w:p>
    <w:p w14:paraId="2A7B2E6E">
      <w:pPr>
        <w:pStyle w:val="78"/>
        <w:spacing w:before="0"/>
        <w:ind w:firstLine="420"/>
        <w:rPr>
          <w:rFonts w:hint="eastAsia" w:ascii="宋体" w:hAnsi="宋体" w:eastAsia="宋体" w:cs="宋体"/>
          <w:color w:val="auto"/>
          <w:kern w:val="2"/>
          <w:sz w:val="21"/>
          <w:szCs w:val="24"/>
          <w:highlight w:val="none"/>
        </w:rPr>
      </w:pPr>
    </w:p>
    <w:p w14:paraId="7556976A">
      <w:pPr>
        <w:pStyle w:val="78"/>
        <w:spacing w:before="0"/>
        <w:ind w:firstLine="420"/>
        <w:rPr>
          <w:rFonts w:hint="eastAsia" w:ascii="宋体" w:hAnsi="宋体" w:eastAsia="宋体" w:cs="宋体"/>
          <w:color w:val="auto"/>
          <w:kern w:val="2"/>
          <w:sz w:val="21"/>
          <w:szCs w:val="24"/>
          <w:highlight w:val="none"/>
        </w:rPr>
      </w:pPr>
    </w:p>
    <w:p w14:paraId="668FBEF0">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第三节 评审过程的保密与录像</w:t>
      </w:r>
      <w:bookmarkEnd w:id="44"/>
      <w:bookmarkEnd w:id="45"/>
    </w:p>
    <w:p w14:paraId="607A9C88">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1.保密。</w:t>
      </w:r>
    </w:p>
    <w:p w14:paraId="76553444">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评审活动在严格保密的情况下进行。评审过程中凡是与响应文件评审和比较、中标成交供应商推荐等评审有关的情况，以及涉及国家秘密和商业秘密等信息，</w:t>
      </w:r>
      <w:r>
        <w:rPr>
          <w:rFonts w:hint="eastAsia" w:ascii="宋体" w:hAnsi="宋体" w:eastAsia="宋体" w:cs="宋体"/>
          <w:color w:val="auto"/>
          <w:highlight w:val="none"/>
          <w:lang w:eastAsia="zh-CN"/>
        </w:rPr>
        <w:t>磋商小组</w:t>
      </w:r>
      <w:r>
        <w:rPr>
          <w:rFonts w:hint="eastAsia" w:ascii="宋体" w:hAnsi="宋体" w:eastAsia="宋体" w:cs="宋体"/>
          <w:color w:val="auto"/>
          <w:highlight w:val="none"/>
        </w:rPr>
        <w:t>成员、采购人和采购</w:t>
      </w:r>
      <w:r>
        <w:rPr>
          <w:rFonts w:hint="eastAsia" w:ascii="宋体" w:hAnsi="宋体" w:eastAsia="宋体" w:cs="宋体"/>
          <w:color w:val="auto"/>
          <w:highlight w:val="none"/>
          <w:lang w:eastAsia="zh-CN"/>
        </w:rPr>
        <w:t>代理</w:t>
      </w:r>
      <w:r>
        <w:rPr>
          <w:rFonts w:hint="eastAsia" w:ascii="宋体" w:hAnsi="宋体" w:eastAsia="宋体" w:cs="宋体"/>
          <w:color w:val="auto"/>
          <w:highlight w:val="none"/>
        </w:rPr>
        <w:t>机构工作人员、相关监督人员等与评审有关的人员应当予以保密。</w:t>
      </w:r>
    </w:p>
    <w:p w14:paraId="56942315">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2.录音录像。</w:t>
      </w:r>
    </w:p>
    <w:p w14:paraId="2E0B68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55B2B85">
      <w:pPr>
        <w:jc w:val="center"/>
        <w:outlineLvl w:val="9"/>
        <w:rPr>
          <w:rFonts w:hint="eastAsia" w:ascii="宋体" w:hAnsi="宋体" w:eastAsia="宋体" w:cs="宋体"/>
          <w:b/>
          <w:bCs/>
          <w:color w:val="auto"/>
          <w:highlight w:val="none"/>
        </w:rPr>
      </w:pPr>
    </w:p>
    <w:p w14:paraId="3CE0CB55">
      <w:pPr>
        <w:outlineLvl w:val="9"/>
        <w:rPr>
          <w:rFonts w:hint="eastAsia" w:ascii="宋体" w:hAnsi="宋体" w:eastAsia="宋体" w:cs="宋体"/>
          <w:b/>
          <w:bCs/>
          <w:color w:val="auto"/>
          <w:highlight w:val="none"/>
        </w:rPr>
      </w:pPr>
    </w:p>
    <w:p w14:paraId="1BDE6728">
      <w:pPr>
        <w:outlineLvl w:val="9"/>
        <w:rPr>
          <w:rFonts w:hint="eastAsia" w:ascii="宋体" w:hAnsi="宋体" w:eastAsia="宋体" w:cs="宋体"/>
          <w:b/>
          <w:bCs/>
          <w:color w:val="auto"/>
          <w:highlight w:val="none"/>
        </w:rPr>
      </w:pPr>
    </w:p>
    <w:p w14:paraId="49C2AB5B">
      <w:pPr>
        <w:outlineLvl w:val="9"/>
        <w:rPr>
          <w:rFonts w:hint="eastAsia" w:ascii="宋体" w:hAnsi="宋体" w:eastAsia="宋体" w:cs="宋体"/>
          <w:b/>
          <w:bCs/>
          <w:color w:val="auto"/>
          <w:highlight w:val="none"/>
        </w:rPr>
      </w:pPr>
    </w:p>
    <w:p w14:paraId="46625C95">
      <w:pPr>
        <w:outlineLvl w:val="9"/>
        <w:rPr>
          <w:rFonts w:hint="eastAsia" w:ascii="宋体" w:hAnsi="宋体" w:eastAsia="宋体" w:cs="宋体"/>
          <w:b/>
          <w:bCs/>
          <w:color w:val="auto"/>
          <w:highlight w:val="none"/>
        </w:rPr>
      </w:pPr>
    </w:p>
    <w:p w14:paraId="3EDA84AF">
      <w:pPr>
        <w:jc w:val="center"/>
        <w:outlineLvl w:val="9"/>
        <w:rPr>
          <w:rFonts w:hint="eastAsia" w:ascii="宋体" w:hAnsi="宋体" w:eastAsia="宋体" w:cs="宋体"/>
          <w:b/>
          <w:bCs/>
          <w:color w:val="auto"/>
          <w:highlight w:val="none"/>
        </w:rPr>
      </w:pPr>
    </w:p>
    <w:p w14:paraId="1E7853C6">
      <w:pPr>
        <w:jc w:val="center"/>
        <w:outlineLvl w:val="9"/>
        <w:rPr>
          <w:rFonts w:hint="eastAsia" w:ascii="宋体" w:hAnsi="宋体" w:eastAsia="宋体" w:cs="宋体"/>
          <w:b/>
          <w:bCs/>
          <w:color w:val="auto"/>
          <w:highlight w:val="none"/>
        </w:rPr>
      </w:pPr>
      <w:bookmarkStart w:id="46" w:name="_Toc15809"/>
    </w:p>
    <w:p w14:paraId="21FA00E1">
      <w:pPr>
        <w:pStyle w:val="2"/>
        <w:jc w:val="center"/>
        <w:rPr>
          <w:rFonts w:hint="eastAsia" w:ascii="宋体" w:hAnsi="宋体" w:eastAsia="宋体" w:cs="宋体"/>
          <w:color w:val="auto"/>
          <w:highlight w:val="none"/>
        </w:rPr>
        <w:sectPr>
          <w:footerReference r:id="rId11" w:type="first"/>
          <w:footerReference r:id="rId10" w:type="default"/>
          <w:pgSz w:w="11911" w:h="16838"/>
          <w:pgMar w:top="1134" w:right="1134" w:bottom="979"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第五章 响应文件格式</w:t>
      </w:r>
      <w:bookmarkEnd w:id="39"/>
      <w:bookmarkEnd w:id="40"/>
      <w:bookmarkEnd w:id="41"/>
      <w:bookmarkEnd w:id="42"/>
      <w:bookmarkEnd w:id="43"/>
      <w:bookmarkEnd w:id="46"/>
    </w:p>
    <w:p w14:paraId="22FC49D0">
      <w:pPr>
        <w:pStyle w:val="3"/>
        <w:pageBreakBefore w:val="0"/>
        <w:kinsoku/>
        <w:wordWrap/>
        <w:topLinePunct w:val="0"/>
        <w:bidi w:val="0"/>
        <w:spacing w:line="360" w:lineRule="auto"/>
        <w:jc w:val="center"/>
        <w:textAlignment w:val="auto"/>
        <w:rPr>
          <w:rFonts w:hint="eastAsia" w:ascii="宋体" w:hAnsi="宋体" w:eastAsia="宋体" w:cs="宋体"/>
          <w:b/>
          <w:bCs w:val="0"/>
          <w:color w:val="auto"/>
          <w:highlight w:val="none"/>
        </w:rPr>
      </w:pPr>
      <w:bookmarkStart w:id="47" w:name="_Toc12994"/>
      <w:bookmarkStart w:id="48" w:name="_Toc22245"/>
      <w:r>
        <w:rPr>
          <w:rFonts w:hint="eastAsia" w:ascii="宋体" w:hAnsi="宋体" w:eastAsia="宋体" w:cs="宋体"/>
          <w:b/>
          <w:bCs w:val="0"/>
          <w:color w:val="auto"/>
          <w:highlight w:val="none"/>
        </w:rPr>
        <w:t>第一节 资格证明文件格式</w:t>
      </w:r>
      <w:bookmarkEnd w:id="47"/>
      <w:bookmarkEnd w:id="48"/>
    </w:p>
    <w:p w14:paraId="23B3AB71">
      <w:pPr>
        <w:pageBreakBefore w:val="0"/>
        <w:kinsoku/>
        <w:wordWrap/>
        <w:topLinePunct w:val="0"/>
        <w:bidi w:val="0"/>
        <w:snapToGrid w:val="0"/>
        <w:spacing w:before="120" w:beforeLines="50" w:after="50"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b/>
          <w:bCs/>
          <w:color w:val="auto"/>
          <w:sz w:val="28"/>
          <w:szCs w:val="28"/>
          <w:highlight w:val="none"/>
        </w:rPr>
        <w:t>资格证明文件封面的格式：</w:t>
      </w:r>
      <w:r>
        <w:rPr>
          <w:rFonts w:hint="eastAsia" w:ascii="宋体" w:hAnsi="宋体" w:eastAsia="宋体" w:cs="宋体"/>
          <w:color w:val="auto"/>
          <w:sz w:val="24"/>
          <w:highlight w:val="none"/>
        </w:rPr>
        <w:t xml:space="preserve">                                      </w:t>
      </w:r>
    </w:p>
    <w:p w14:paraId="2AAB6793">
      <w:pPr>
        <w:pageBreakBefore w:val="0"/>
        <w:kinsoku/>
        <w:wordWrap/>
        <w:topLinePunct w:val="0"/>
        <w:bidi w:val="0"/>
        <w:snapToGrid w:val="0"/>
        <w:spacing w:before="120" w:beforeLines="50" w:after="50" w:line="360" w:lineRule="auto"/>
        <w:ind w:firstLine="6930" w:firstLineChars="33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687F488E">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3FA40769">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087A1359">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  格  证  明  文  件</w:t>
      </w:r>
    </w:p>
    <w:p w14:paraId="162AC1D0">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22B61C58">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05992960">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EA3CB6C">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23970F48">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41F6530">
      <w:pPr>
        <w:pageBreakBefore w:val="0"/>
        <w:kinsoku/>
        <w:wordWrap/>
        <w:topLinePunct w:val="0"/>
        <w:bidi w:val="0"/>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3C601F1">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6A7B8814">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46132C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F8885E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B3FAE95">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594E1391">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A92DE10">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p>
    <w:p w14:paraId="7F7DEDF7">
      <w:pPr>
        <w:pStyle w:val="7"/>
        <w:pageBreakBefore w:val="0"/>
        <w:kinsoku/>
        <w:wordWrap/>
        <w:topLinePunct w:val="0"/>
        <w:bidi w:val="0"/>
        <w:snapToGrid w:val="0"/>
        <w:spacing w:before="50" w:after="50" w:line="360" w:lineRule="auto"/>
        <w:ind w:firstLine="1280" w:firstLineChars="400"/>
        <w:textAlignment w:val="auto"/>
        <w:rPr>
          <w:rFonts w:hint="eastAsia" w:ascii="宋体" w:hAnsi="宋体" w:eastAsia="宋体" w:cs="宋体"/>
          <w:bCs/>
          <w:color w:val="auto"/>
          <w:sz w:val="32"/>
          <w:szCs w:val="32"/>
          <w:highlight w:val="none"/>
        </w:rPr>
      </w:pPr>
    </w:p>
    <w:p w14:paraId="79E332E8">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32"/>
          <w:szCs w:val="32"/>
          <w:highlight w:val="none"/>
        </w:rPr>
        <w:t>年    月    日</w:t>
      </w:r>
      <w:r>
        <w:rPr>
          <w:rFonts w:hint="eastAsia" w:ascii="宋体" w:hAnsi="宋体" w:eastAsia="宋体" w:cs="宋体"/>
          <w:color w:val="auto"/>
          <w:sz w:val="24"/>
          <w:highlight w:val="none"/>
        </w:rPr>
        <w:br w:type="page"/>
      </w:r>
      <w:r>
        <w:rPr>
          <w:rFonts w:hint="eastAsia" w:ascii="宋体" w:hAnsi="宋体" w:eastAsia="宋体" w:cs="宋体"/>
          <w:b/>
          <w:bCs/>
          <w:color w:val="auto"/>
          <w:sz w:val="28"/>
          <w:szCs w:val="28"/>
          <w:highlight w:val="none"/>
        </w:rPr>
        <w:t>资格证明文件目录</w:t>
      </w:r>
    </w:p>
    <w:p w14:paraId="447C2980">
      <w:pPr>
        <w:pageBreakBefore w:val="0"/>
        <w:kinsoku/>
        <w:wordWrap/>
        <w:topLinePunct w:val="0"/>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根据竞争性磋商文件规定及供应商提供的材料自行编写目录（部分格式后附）。</w:t>
      </w:r>
    </w:p>
    <w:p w14:paraId="635536C8">
      <w:pPr>
        <w:pageBreakBefore w:val="0"/>
        <w:kinsoku/>
        <w:wordWrap/>
        <w:topLinePunct w:val="0"/>
        <w:bidi w:val="0"/>
        <w:spacing w:line="360" w:lineRule="auto"/>
        <w:jc w:val="left"/>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kern w:val="0"/>
          <w:sz w:val="28"/>
          <w:szCs w:val="28"/>
          <w:highlight w:val="none"/>
        </w:rPr>
        <w:t>资格声明函的格式：</w:t>
      </w:r>
    </w:p>
    <w:p w14:paraId="4B1F0E33">
      <w:pPr>
        <w:pageBreakBefore w:val="0"/>
        <w:kinsoku/>
        <w:wordWrap/>
        <w:topLinePunct w:val="0"/>
        <w:bidi w:val="0"/>
        <w:spacing w:line="360" w:lineRule="auto"/>
        <w:jc w:val="center"/>
        <w:textAlignment w:val="auto"/>
        <w:rPr>
          <w:rFonts w:hint="eastAsia" w:ascii="宋体" w:hAnsi="宋体" w:eastAsia="宋体" w:cs="宋体"/>
          <w:b/>
          <w:color w:val="auto"/>
          <w:sz w:val="32"/>
          <w:szCs w:val="32"/>
          <w:highlight w:val="none"/>
        </w:rPr>
      </w:pPr>
    </w:p>
    <w:p w14:paraId="4E8EED64">
      <w:pPr>
        <w:pageBreakBefore w:val="0"/>
        <w:kinsoku/>
        <w:wordWrap/>
        <w:topLinePunct w:val="0"/>
        <w:bidi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232BE256">
      <w:pPr>
        <w:pageBreakBefore w:val="0"/>
        <w:kinsoku/>
        <w:wordWrap/>
        <w:topLinePunct w:val="0"/>
        <w:bidi w:val="0"/>
        <w:spacing w:line="360" w:lineRule="auto"/>
        <w:jc w:val="center"/>
        <w:textAlignment w:val="auto"/>
        <w:rPr>
          <w:rFonts w:hint="eastAsia" w:ascii="宋体" w:hAnsi="宋体" w:eastAsia="宋体" w:cs="宋体"/>
          <w:color w:val="auto"/>
          <w:sz w:val="24"/>
          <w:szCs w:val="20"/>
          <w:highlight w:val="none"/>
        </w:rPr>
      </w:pPr>
    </w:p>
    <w:p w14:paraId="4C232741">
      <w:pPr>
        <w:keepNext w:val="0"/>
        <w:keepLines w:val="0"/>
        <w:pageBreakBefore w:val="0"/>
        <w:widowControl w:val="0"/>
        <w:kinsoku/>
        <w:wordWrap/>
        <w:overflowPunct/>
        <w:topLinePunct w:val="0"/>
        <w:bidi w:val="0"/>
        <w:adjustRightInd/>
        <w:spacing w:line="360" w:lineRule="auto"/>
        <w:contextualSpacing/>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致：</w:t>
      </w:r>
      <w:r>
        <w:rPr>
          <w:rFonts w:hint="eastAsia" w:ascii="宋体" w:hAnsi="宋体" w:eastAsia="宋体" w:cs="宋体"/>
          <w:i w:val="0"/>
          <w:iCs w:val="0"/>
          <w:color w:val="auto"/>
          <w:szCs w:val="21"/>
          <w:highlight w:val="none"/>
          <w:u w:val="single"/>
        </w:rPr>
        <w:t>（采购代理机构名称）</w:t>
      </w:r>
      <w:r>
        <w:rPr>
          <w:rFonts w:hint="eastAsia" w:ascii="宋体" w:hAnsi="宋体" w:eastAsia="宋体" w:cs="宋体"/>
          <w:i w:val="0"/>
          <w:iCs w:val="0"/>
          <w:color w:val="auto"/>
          <w:szCs w:val="21"/>
          <w:highlight w:val="none"/>
        </w:rPr>
        <w:t>：</w:t>
      </w:r>
    </w:p>
    <w:p w14:paraId="2519518F">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u w:val="single"/>
        </w:rPr>
        <w:t>（供应商名称）</w:t>
      </w:r>
      <w:r>
        <w:rPr>
          <w:rFonts w:hint="eastAsia" w:ascii="宋体" w:hAnsi="宋体" w:eastAsia="宋体" w:cs="宋体"/>
          <w:i w:val="0"/>
          <w:iCs w:val="0"/>
          <w:color w:val="auto"/>
          <w:szCs w:val="21"/>
          <w:highlight w:val="none"/>
        </w:rPr>
        <w:t>系中华人民共和国合法供应商，经营地址</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w:t>
      </w:r>
    </w:p>
    <w:p w14:paraId="111597F3">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i w:val="0"/>
          <w:iCs w:val="0"/>
          <w:color w:val="auto"/>
          <w:szCs w:val="21"/>
          <w:highlight w:val="none"/>
        </w:rPr>
        <w:t>我方愿意参加贵方组织的</w:t>
      </w:r>
      <w:r>
        <w:rPr>
          <w:rFonts w:hint="eastAsia" w:ascii="宋体" w:hAnsi="宋体" w:eastAsia="宋体" w:cs="宋体"/>
          <w:i w:val="0"/>
          <w:iCs w:val="0"/>
          <w:color w:val="auto"/>
          <w:szCs w:val="21"/>
          <w:highlight w:val="none"/>
          <w:u w:val="single"/>
        </w:rPr>
        <w:t>（项目名称）</w:t>
      </w:r>
      <w:r>
        <w:rPr>
          <w:rFonts w:hint="eastAsia" w:ascii="宋体" w:hAnsi="宋体" w:eastAsia="宋体" w:cs="宋体"/>
          <w:i w:val="0"/>
          <w:iCs w:val="0"/>
          <w:color w:val="auto"/>
          <w:szCs w:val="21"/>
          <w:highlight w:val="none"/>
        </w:rPr>
        <w:t>项目的竞标，为</w:t>
      </w:r>
      <w:r>
        <w:rPr>
          <w:rFonts w:hint="eastAsia" w:ascii="宋体" w:hAnsi="宋体" w:eastAsia="宋体" w:cs="宋体"/>
          <w:color w:val="auto"/>
          <w:szCs w:val="21"/>
          <w:highlight w:val="none"/>
        </w:rPr>
        <w:t>便于贵方公正、择优地确定成交供应商及其竞标产品和服务，我方就本次竞标有关事项郑重声明如下：</w:t>
      </w:r>
    </w:p>
    <w:p w14:paraId="7825ED6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468A6EF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A57B68">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3.在此，我方宣布同意如下：</w:t>
      </w:r>
    </w:p>
    <w:p w14:paraId="38B29B69">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（1）将按磋商文件的约定履行合同责任和义务；</w:t>
      </w:r>
    </w:p>
    <w:p w14:paraId="182D476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（2）已详细审查全部磋商文件，包括澄清或者更正公告（如有）；</w:t>
      </w:r>
    </w:p>
    <w:p w14:paraId="1B8A00B7">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（3）同意提供按照贵方可能要求的与磋商有关的一切数据或者资料。</w:t>
      </w:r>
    </w:p>
    <w:p w14:paraId="1FABE0A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4.我方承诺符合《中华人民共和国政府采购法》第二十二条规定：</w:t>
      </w:r>
    </w:p>
    <w:p w14:paraId="1B8408CE">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0256FBBB">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014AED1C">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713DC920">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09030E8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2877F696">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5D2A6F7E">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59FDB84">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106BE8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353AA6AC">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2C02AB7C">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r>
        <w:rPr>
          <w:rFonts w:hint="eastAsia" w:ascii="宋体" w:hAnsi="宋体" w:eastAsia="宋体" w:cs="宋体"/>
          <w:color w:val="auto"/>
          <w:szCs w:val="21"/>
          <w:highlight w:val="none"/>
        </w:rPr>
        <w:t>以上事项如有虚假或者隐瞒，我方愿意承担一切后果，并不再寻求任何旨在减轻或者免除法律责任的辩解。</w:t>
      </w:r>
    </w:p>
    <w:p w14:paraId="644D74F7">
      <w:pPr>
        <w:pStyle w:val="15"/>
        <w:keepNext w:val="0"/>
        <w:keepLines w:val="0"/>
        <w:pageBreakBefore w:val="0"/>
        <w:widowControl w:val="0"/>
        <w:tabs>
          <w:tab w:val="left" w:pos="939"/>
        </w:tabs>
        <w:kinsoku/>
        <w:wordWrap/>
        <w:overflowPunct/>
        <w:topLinePunct w:val="0"/>
        <w:bidi w:val="0"/>
        <w:adjustRightInd/>
        <w:spacing w:line="360" w:lineRule="auto"/>
        <w:ind w:left="141" w:leftChars="67"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6F218C3">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注：如为联合体竞标，盖章处须加盖联合体各方公章，否则其响应文件按无效响应处理。</w:t>
      </w:r>
    </w:p>
    <w:p w14:paraId="7B461039">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p>
    <w:p w14:paraId="3A515289">
      <w:pPr>
        <w:keepNext w:val="0"/>
        <w:keepLines w:val="0"/>
        <w:pageBreakBefore w:val="0"/>
        <w:widowControl w:val="0"/>
        <w:kinsoku/>
        <w:wordWrap/>
        <w:overflowPunct/>
        <w:topLinePunct w:val="0"/>
        <w:autoSpaceDE w:val="0"/>
        <w:autoSpaceDN w:val="0"/>
        <w:bidi w:val="0"/>
        <w:adjustRightInd/>
        <w:spacing w:line="360" w:lineRule="auto"/>
        <w:ind w:left="4305" w:leftChars="1850" w:hanging="420" w:hangingChars="200"/>
        <w:textAlignment w:val="auto"/>
        <w:rPr>
          <w:rFonts w:hint="eastAsia" w:ascii="宋体" w:hAnsi="宋体" w:eastAsia="宋体" w:cs="宋体"/>
          <w:color w:val="auto"/>
          <w:kern w:val="0"/>
          <w:szCs w:val="21"/>
          <w:highlight w:val="none"/>
        </w:rPr>
      </w:pPr>
    </w:p>
    <w:p w14:paraId="3A422063">
      <w:pPr>
        <w:keepNext w:val="0"/>
        <w:keepLines w:val="0"/>
        <w:pageBreakBefore w:val="0"/>
        <w:widowControl w:val="0"/>
        <w:kinsoku/>
        <w:wordWrap/>
        <w:overflowPunct/>
        <w:topLinePunct w:val="0"/>
        <w:autoSpaceDE w:val="0"/>
        <w:autoSpaceDN w:val="0"/>
        <w:bidi w:val="0"/>
        <w:adjustRightInd/>
        <w:spacing w:line="360" w:lineRule="auto"/>
        <w:ind w:left="4305" w:leftChars="1850" w:hanging="420" w:hangingChars="200"/>
        <w:textAlignment w:val="auto"/>
        <w:rPr>
          <w:rFonts w:hint="eastAsia" w:ascii="宋体" w:hAnsi="宋体" w:eastAsia="宋体" w:cs="宋体"/>
          <w:color w:val="auto"/>
          <w:kern w:val="0"/>
          <w:szCs w:val="21"/>
          <w:highlight w:val="none"/>
        </w:rPr>
      </w:pPr>
    </w:p>
    <w:p w14:paraId="47AF5E0F">
      <w:pPr>
        <w:keepNext w:val="0"/>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14EA9052">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0E1FC2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F1E1AF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39A749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954F9A0">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92402E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344F22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3931E72">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2997790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C6E9AF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B13C0F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A5071AE">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EDFA54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58DB3B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4B90BB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2A5086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C544FA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7091EB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94EB82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65068B7">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98A3F37">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752082A">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5D9799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78B8198">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52FD54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6E27744B">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935E83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6A17D08">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AB05EE9">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453C19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D35BA0E">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23B8B76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04DE08E">
      <w:pPr>
        <w:pageBreakBefore w:val="0"/>
        <w:kinsoku/>
        <w:wordWrap/>
        <w:topLinePunct w:val="0"/>
        <w:bidi w:val="0"/>
        <w:spacing w:line="360" w:lineRule="auto"/>
        <w:contextualSpacing/>
        <w:jc w:val="center"/>
        <w:textAlignment w:val="auto"/>
        <w:rPr>
          <w:rFonts w:hint="eastAsia" w:ascii="宋体" w:hAnsi="宋体" w:eastAsia="宋体" w:cs="宋体"/>
          <w:b/>
          <w:color w:val="auto"/>
          <w:sz w:val="32"/>
          <w:szCs w:val="32"/>
          <w:highlight w:val="none"/>
        </w:rPr>
      </w:pPr>
    </w:p>
    <w:p w14:paraId="7F653048">
      <w:pPr>
        <w:pageBreakBefore w:val="0"/>
        <w:kinsoku/>
        <w:wordWrap/>
        <w:topLinePunct w:val="0"/>
        <w:bidi w:val="0"/>
        <w:spacing w:line="360" w:lineRule="auto"/>
        <w:contextualSpacing/>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sz w:val="32"/>
          <w:szCs w:val="32"/>
          <w:highlight w:val="none"/>
        </w:rPr>
        <w:t>供应商直接控股、管理关系信息表</w:t>
      </w:r>
    </w:p>
    <w:p w14:paraId="243A64AE">
      <w:pPr>
        <w:pageBreakBefore w:val="0"/>
        <w:kinsoku/>
        <w:wordWrap/>
        <w:topLinePunct w:val="0"/>
        <w:bidi w:val="0"/>
        <w:spacing w:line="360" w:lineRule="auto"/>
        <w:contextualSpacing/>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供应商直接控股股东信息</w:t>
      </w:r>
    </w:p>
    <w:p w14:paraId="3D0433B8">
      <w:pPr>
        <w:pageBreakBefore w:val="0"/>
        <w:kinsoku/>
        <w:wordWrap/>
        <w:topLinePunct w:val="0"/>
        <w:bidi w:val="0"/>
        <w:spacing w:line="360" w:lineRule="auto"/>
        <w:contextualSpacing/>
        <w:jc w:val="center"/>
        <w:textAlignment w:val="auto"/>
        <w:rPr>
          <w:rFonts w:hint="eastAsia" w:ascii="宋体" w:hAnsi="宋体" w:eastAsia="宋体" w:cs="宋体"/>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0C8D5C2">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2BC840">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D263F7">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5F2FC8">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08E876">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7784BF">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A71C09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D9798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A93A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27F39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BA82A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002DE">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39DAA50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A998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7F61E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C02C7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DF61F9">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0BBD67">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3966AD7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23AE2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A152C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EF083">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2847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E86C0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66A2F5F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46326">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BFA52A">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F8DBB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152DF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DD8FF">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bl>
    <w:p w14:paraId="1026C253">
      <w:pPr>
        <w:pageBreakBefore w:val="0"/>
        <w:kinsoku/>
        <w:wordWrap/>
        <w:topLinePunct w:val="0"/>
        <w:bidi w:val="0"/>
        <w:spacing w:line="360" w:lineRule="auto"/>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00A31750">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273CA84">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24691545">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402A4984">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1290D566">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59AB3971">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07538EC8">
      <w:pPr>
        <w:pageBreakBefore w:val="0"/>
        <w:kinsoku/>
        <w:wordWrap/>
        <w:topLinePunct w:val="0"/>
        <w:autoSpaceDE w:val="0"/>
        <w:autoSpaceDN w:val="0"/>
        <w:bidi w:val="0"/>
        <w:spacing w:line="360" w:lineRule="auto"/>
        <w:ind w:left="4365" w:leftChars="1850" w:hanging="480" w:hanging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36A110">
      <w:pPr>
        <w:pageBreakBefore w:val="0"/>
        <w:kinsoku/>
        <w:wordWrap/>
        <w:topLinePunct w:val="0"/>
        <w:autoSpaceDE w:val="0"/>
        <w:autoSpaceDN w:val="0"/>
        <w:bidi w:val="0"/>
        <w:spacing w:line="360" w:lineRule="auto"/>
        <w:ind w:firstLine="6120" w:firstLineChars="2550"/>
        <w:textAlignment w:val="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4ED62CE">
      <w:pPr>
        <w:pageBreakBefore w:val="0"/>
        <w:kinsoku/>
        <w:wordWrap/>
        <w:topLinePunct w:val="0"/>
        <w:bidi w:val="0"/>
        <w:snapToGrid w:val="0"/>
        <w:spacing w:line="360" w:lineRule="auto"/>
        <w:textAlignment w:val="auto"/>
        <w:rPr>
          <w:rFonts w:hint="eastAsia" w:ascii="宋体" w:hAnsi="宋体" w:eastAsia="宋体" w:cs="宋体"/>
          <w:b/>
          <w:color w:val="auto"/>
          <w:kern w:val="0"/>
          <w:sz w:val="30"/>
          <w:szCs w:val="30"/>
          <w:highlight w:val="none"/>
        </w:rPr>
      </w:pPr>
    </w:p>
    <w:p w14:paraId="5FDB2A7F">
      <w:pPr>
        <w:pageBreakBefore w:val="0"/>
        <w:kinsoku/>
        <w:wordWrap/>
        <w:topLinePunct w:val="0"/>
        <w:bidi w:val="0"/>
        <w:snapToGrid w:val="0"/>
        <w:spacing w:line="360" w:lineRule="auto"/>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br w:type="page"/>
      </w:r>
      <w:r>
        <w:rPr>
          <w:rFonts w:hint="eastAsia" w:ascii="宋体" w:hAnsi="宋体" w:eastAsia="宋体" w:cs="宋体"/>
          <w:b/>
          <w:color w:val="auto"/>
          <w:kern w:val="0"/>
          <w:sz w:val="30"/>
          <w:szCs w:val="30"/>
          <w:highlight w:val="none"/>
        </w:rPr>
        <w:t>供应商直接管理关系信息表</w:t>
      </w:r>
    </w:p>
    <w:p w14:paraId="74FCC0D5">
      <w:pPr>
        <w:pageBreakBefore w:val="0"/>
        <w:kinsoku/>
        <w:wordWrap/>
        <w:topLinePunct w:val="0"/>
        <w:bidi w:val="0"/>
        <w:snapToGrid w:val="0"/>
        <w:spacing w:line="360" w:lineRule="auto"/>
        <w:jc w:val="center"/>
        <w:textAlignment w:val="auto"/>
        <w:rPr>
          <w:rFonts w:hint="eastAsia" w:ascii="宋体" w:hAnsi="宋体" w:eastAsia="宋体" w:cs="宋体"/>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7C17FC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2BB82E">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468501">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34D4F4">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C5044C">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751A34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A3612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D96CFA">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BD99B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4D739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770ECF7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E5C4E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62FD8">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92A6D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D674B9">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4A71B3E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17AE9E">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7A6B6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21AEA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2F6A6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642FB1C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79474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BF28A8">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AEA92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93AD9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bl>
    <w:p w14:paraId="7B755361">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1F023D7">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00F402AC">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00B15BB6">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75B7A35D">
      <w:pPr>
        <w:pageBreakBefore w:val="0"/>
        <w:kinsoku/>
        <w:wordWrap/>
        <w:topLinePunct w:val="0"/>
        <w:bidi w:val="0"/>
        <w:spacing w:line="360" w:lineRule="auto"/>
        <w:contextualSpacing/>
        <w:jc w:val="left"/>
        <w:textAlignment w:val="auto"/>
        <w:rPr>
          <w:rFonts w:hint="eastAsia" w:ascii="宋体" w:hAnsi="宋体" w:eastAsia="宋体" w:cs="宋体"/>
          <w:color w:val="auto"/>
          <w:sz w:val="24"/>
          <w:highlight w:val="none"/>
        </w:rPr>
      </w:pPr>
    </w:p>
    <w:p w14:paraId="1C10BE19">
      <w:pPr>
        <w:pageBreakBefore w:val="0"/>
        <w:kinsoku/>
        <w:wordWrap/>
        <w:topLinePunct w:val="0"/>
        <w:autoSpaceDE w:val="0"/>
        <w:autoSpaceDN w:val="0"/>
        <w:bidi w:val="0"/>
        <w:spacing w:line="360" w:lineRule="auto"/>
        <w:ind w:left="4365" w:leftChars="1850" w:hanging="480" w:hanging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90A95F7">
      <w:pPr>
        <w:pageBreakBefore w:val="0"/>
        <w:kinsoku/>
        <w:wordWrap/>
        <w:topLinePunct w:val="0"/>
        <w:autoSpaceDE w:val="0"/>
        <w:autoSpaceDN w:val="0"/>
        <w:bidi w:val="0"/>
        <w:spacing w:line="360" w:lineRule="auto"/>
        <w:ind w:firstLine="6120" w:firstLineChars="2550"/>
        <w:textAlignment w:val="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065EC5D">
      <w:pPr>
        <w:pStyle w:val="7"/>
        <w:rPr>
          <w:rFonts w:hint="eastAsia" w:ascii="宋体" w:hAnsi="宋体" w:eastAsia="宋体" w:cs="宋体"/>
          <w:color w:val="auto"/>
          <w:highlight w:val="none"/>
          <w:lang w:val="zh-CN"/>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p w14:paraId="3F9B4ADB">
      <w:pPr>
        <w:pStyle w:val="7"/>
        <w:rPr>
          <w:rFonts w:hint="eastAsia" w:ascii="宋体" w:hAnsi="宋体" w:eastAsia="宋体" w:cs="宋体"/>
          <w:color w:val="auto"/>
          <w:highlight w:val="none"/>
          <w:lang w:val="zh-CN"/>
        </w:rPr>
      </w:pPr>
    </w:p>
    <w:p w14:paraId="7E2E21A2">
      <w:pPr>
        <w:spacing w:line="360" w:lineRule="auto"/>
        <w:rPr>
          <w:rFonts w:hint="eastAsia" w:ascii="宋体" w:hAnsi="宋体" w:eastAsia="宋体" w:cs="宋体"/>
          <w:color w:val="auto"/>
          <w:szCs w:val="21"/>
          <w:highlight w:val="none"/>
        </w:rPr>
      </w:pPr>
    </w:p>
    <w:p w14:paraId="04DB772E">
      <w:pPr>
        <w:jc w:val="center"/>
        <w:rPr>
          <w:rFonts w:hint="eastAsia" w:ascii="宋体" w:hAnsi="宋体" w:eastAsia="宋体" w:cs="宋体"/>
          <w:b/>
          <w:color w:val="auto"/>
          <w:sz w:val="32"/>
          <w:szCs w:val="32"/>
          <w:highlight w:val="none"/>
        </w:rPr>
      </w:pPr>
      <w:bookmarkStart w:id="49" w:name="_Toc71365926"/>
      <w:r>
        <w:rPr>
          <w:rFonts w:hint="eastAsia" w:ascii="宋体" w:hAnsi="宋体" w:eastAsia="宋体" w:cs="宋体"/>
          <w:b/>
          <w:color w:val="auto"/>
          <w:sz w:val="32"/>
          <w:szCs w:val="32"/>
          <w:highlight w:val="none"/>
        </w:rPr>
        <w:t>中小企业声明函（工程）</w:t>
      </w:r>
      <w:bookmarkEnd w:id="49"/>
    </w:p>
    <w:p w14:paraId="0B072DA5">
      <w:pPr>
        <w:pStyle w:val="13"/>
        <w:spacing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采购活动，工程的施工单位全部为符合政策要求的中小企业。相关企业（含联合体中的中小企业、签订分包意向协议的中小企业）的具体情况如下：</w:t>
      </w:r>
    </w:p>
    <w:p w14:paraId="27129F0D">
      <w:pPr>
        <w:tabs>
          <w:tab w:val="left" w:pos="1384"/>
          <w:tab w:val="left" w:pos="4562"/>
          <w:tab w:val="left" w:pos="6803"/>
        </w:tabs>
        <w:spacing w:before="13" w:line="500" w:lineRule="exact"/>
        <w:ind w:right="142" w:firstLine="772" w:firstLineChars="32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6774E0CC">
      <w:pPr>
        <w:tabs>
          <w:tab w:val="left" w:pos="1065"/>
          <w:tab w:val="left" w:pos="4262"/>
          <w:tab w:val="left" w:pos="6477"/>
        </w:tabs>
        <w:spacing w:before="20" w:line="500" w:lineRule="exact"/>
        <w:ind w:right="84" w:firstLine="772" w:firstLineChars="32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5467B0AD">
      <w:pPr>
        <w:pStyle w:val="13"/>
        <w:spacing w:before="34"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9F1B4F3">
      <w:pPr>
        <w:pStyle w:val="13"/>
        <w:spacing w:before="34"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37826618">
      <w:pPr>
        <w:pStyle w:val="13"/>
        <w:spacing w:before="25"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130B064E">
      <w:pPr>
        <w:pStyle w:val="13"/>
        <w:spacing w:before="56" w:line="500" w:lineRule="exact"/>
        <w:ind w:right="650"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企业名称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（盖</w:t>
      </w:r>
      <w:r>
        <w:rPr>
          <w:rFonts w:hint="eastAsia" w:ascii="宋体" w:hAnsi="宋体" w:eastAsia="宋体" w:cs="宋体"/>
          <w:color w:val="auto"/>
          <w:sz w:val="24"/>
          <w:highlight w:val="none"/>
          <w:lang w:val="en-US" w:eastAsia="zh-CN"/>
        </w:rPr>
        <w:t>电子公</w:t>
      </w:r>
      <w:r>
        <w:rPr>
          <w:rFonts w:hint="eastAsia" w:ascii="宋体" w:hAnsi="宋体" w:eastAsia="宋体" w:cs="宋体"/>
          <w:color w:val="auto"/>
          <w:sz w:val="24"/>
          <w:highlight w:val="none"/>
        </w:rPr>
        <w:t xml:space="preserve">章） </w:t>
      </w:r>
    </w:p>
    <w:p w14:paraId="27C09E18">
      <w:pPr>
        <w:pStyle w:val="13"/>
        <w:spacing w:before="56" w:line="500" w:lineRule="exact"/>
        <w:ind w:right="1808" w:firstLine="5625" w:firstLineChars="2344"/>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5F6E986F">
      <w:pPr>
        <w:spacing w:line="5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246ABB09">
      <w:pPr>
        <w:spacing w:line="5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000C874">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03A292D">
      <w:pPr>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残疾人福利性单位声明函</w:t>
      </w:r>
    </w:p>
    <w:p w14:paraId="66B46D99">
      <w:pPr>
        <w:spacing w:line="360" w:lineRule="auto"/>
        <w:contextualSpacing/>
        <w:rPr>
          <w:rFonts w:hint="eastAsia" w:ascii="宋体" w:hAnsi="宋体" w:eastAsia="宋体" w:cs="宋体"/>
          <w:color w:val="auto"/>
          <w:sz w:val="32"/>
          <w:szCs w:val="32"/>
          <w:highlight w:val="none"/>
        </w:rPr>
      </w:pPr>
    </w:p>
    <w:p w14:paraId="1611DBF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FF0B05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7F2EF5C">
      <w:pPr>
        <w:spacing w:line="360" w:lineRule="auto"/>
        <w:contextualSpacing/>
        <w:rPr>
          <w:rFonts w:hint="eastAsia" w:ascii="宋体" w:hAnsi="宋体" w:eastAsia="宋体" w:cs="宋体"/>
          <w:color w:val="auto"/>
          <w:sz w:val="24"/>
          <w:highlight w:val="none"/>
        </w:rPr>
      </w:pPr>
    </w:p>
    <w:p w14:paraId="380DB081">
      <w:pPr>
        <w:spacing w:line="360" w:lineRule="auto"/>
        <w:contextualSpacing/>
        <w:rPr>
          <w:rFonts w:hint="eastAsia" w:ascii="宋体" w:hAnsi="宋体" w:eastAsia="宋体" w:cs="宋体"/>
          <w:color w:val="auto"/>
          <w:sz w:val="24"/>
          <w:highlight w:val="none"/>
        </w:rPr>
      </w:pPr>
    </w:p>
    <w:p w14:paraId="12595FE8">
      <w:pPr>
        <w:spacing w:line="360" w:lineRule="auto"/>
        <w:contextualSpacing/>
        <w:rPr>
          <w:rFonts w:hint="eastAsia" w:ascii="宋体" w:hAnsi="宋体" w:eastAsia="宋体" w:cs="宋体"/>
          <w:color w:val="auto"/>
          <w:sz w:val="24"/>
          <w:highlight w:val="none"/>
        </w:rPr>
      </w:pPr>
    </w:p>
    <w:p w14:paraId="68114ED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（盖</w:t>
      </w:r>
      <w:r>
        <w:rPr>
          <w:rFonts w:hint="eastAsia" w:ascii="宋体" w:hAnsi="宋体" w:eastAsia="宋体" w:cs="宋体"/>
          <w:color w:val="auto"/>
          <w:sz w:val="24"/>
          <w:highlight w:val="none"/>
          <w:lang w:val="en-US" w:eastAsia="zh-CN"/>
        </w:rPr>
        <w:t>电子公</w:t>
      </w:r>
      <w:r>
        <w:rPr>
          <w:rFonts w:hint="eastAsia" w:ascii="宋体" w:hAnsi="宋体" w:eastAsia="宋体" w:cs="宋体"/>
          <w:color w:val="auto"/>
          <w:sz w:val="24"/>
          <w:highlight w:val="none"/>
        </w:rPr>
        <w:t>章）</w:t>
      </w:r>
    </w:p>
    <w:p w14:paraId="72E98EAF">
      <w:pPr>
        <w:spacing w:line="360" w:lineRule="auto"/>
        <w:ind w:firstLine="3600" w:firstLineChars="15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58EBC2BA">
      <w:pPr>
        <w:spacing w:line="360" w:lineRule="auto"/>
        <w:contextualSpacing/>
        <w:rPr>
          <w:rFonts w:hint="eastAsia" w:ascii="宋体" w:hAnsi="宋体" w:eastAsia="宋体" w:cs="宋体"/>
          <w:color w:val="auto"/>
          <w:sz w:val="24"/>
          <w:highlight w:val="none"/>
        </w:rPr>
      </w:pPr>
    </w:p>
    <w:p w14:paraId="4531DB8A">
      <w:pPr>
        <w:spacing w:line="360" w:lineRule="auto"/>
        <w:contextualSpacing/>
        <w:rPr>
          <w:rFonts w:hint="eastAsia" w:ascii="宋体" w:hAnsi="宋体" w:eastAsia="宋体" w:cs="宋体"/>
          <w:color w:val="auto"/>
          <w:sz w:val="24"/>
          <w:highlight w:val="none"/>
        </w:rPr>
      </w:pPr>
    </w:p>
    <w:p w14:paraId="084E8F63">
      <w:pPr>
        <w:spacing w:line="360" w:lineRule="auto"/>
        <w:contextualSpacing/>
        <w:rPr>
          <w:rFonts w:hint="eastAsia" w:ascii="宋体" w:hAnsi="宋体" w:eastAsia="宋体" w:cs="宋体"/>
          <w:color w:val="auto"/>
          <w:sz w:val="24"/>
          <w:highlight w:val="none"/>
        </w:rPr>
      </w:pPr>
    </w:p>
    <w:p w14:paraId="6C74A29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533B952">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DEE783D">
      <w:pPr>
        <w:jc w:val="both"/>
        <w:outlineLvl w:val="9"/>
        <w:rPr>
          <w:rFonts w:hint="eastAsia" w:ascii="宋体" w:hAnsi="宋体" w:eastAsia="宋体" w:cs="宋体"/>
          <w:b w:val="0"/>
          <w:bCs w:val="0"/>
          <w:color w:val="auto"/>
          <w:highlight w:val="none"/>
        </w:rPr>
      </w:pPr>
      <w:bookmarkStart w:id="50" w:name="_Toc20562"/>
      <w:bookmarkStart w:id="51" w:name="_Toc15951"/>
    </w:p>
    <w:p w14:paraId="51D48411">
      <w:pPr>
        <w:outlineLvl w:val="9"/>
        <w:rPr>
          <w:rFonts w:hint="eastAsia" w:ascii="宋体" w:hAnsi="宋体" w:eastAsia="宋体" w:cs="宋体"/>
          <w:b w:val="0"/>
          <w:bCs w:val="0"/>
          <w:color w:val="auto"/>
          <w:highlight w:val="none"/>
        </w:rPr>
      </w:pPr>
    </w:p>
    <w:p w14:paraId="0C9212D9">
      <w:pPr>
        <w:outlineLvl w:val="9"/>
        <w:rPr>
          <w:rFonts w:hint="eastAsia" w:ascii="宋体" w:hAnsi="宋体" w:eastAsia="宋体" w:cs="宋体"/>
          <w:b w:val="0"/>
          <w:bCs w:val="0"/>
          <w:color w:val="auto"/>
          <w:highlight w:val="none"/>
        </w:rPr>
      </w:pPr>
    </w:p>
    <w:p w14:paraId="4DE6BF67">
      <w:pPr>
        <w:outlineLvl w:val="9"/>
        <w:rPr>
          <w:rFonts w:hint="eastAsia" w:ascii="宋体" w:hAnsi="宋体" w:eastAsia="宋体" w:cs="宋体"/>
          <w:b w:val="0"/>
          <w:bCs w:val="0"/>
          <w:color w:val="auto"/>
          <w:highlight w:val="none"/>
        </w:rPr>
      </w:pPr>
    </w:p>
    <w:p w14:paraId="2380114C">
      <w:pPr>
        <w:outlineLvl w:val="9"/>
        <w:rPr>
          <w:rFonts w:hint="eastAsia" w:ascii="宋体" w:hAnsi="宋体" w:eastAsia="宋体" w:cs="宋体"/>
          <w:b w:val="0"/>
          <w:bCs w:val="0"/>
          <w:color w:val="auto"/>
          <w:highlight w:val="none"/>
        </w:rPr>
      </w:pPr>
    </w:p>
    <w:p w14:paraId="166A63F7">
      <w:pPr>
        <w:outlineLvl w:val="9"/>
        <w:rPr>
          <w:rFonts w:hint="eastAsia" w:ascii="宋体" w:hAnsi="宋体" w:eastAsia="宋体" w:cs="宋体"/>
          <w:b w:val="0"/>
          <w:bCs w:val="0"/>
          <w:color w:val="auto"/>
          <w:highlight w:val="none"/>
        </w:rPr>
      </w:pPr>
    </w:p>
    <w:p w14:paraId="2BAA6559">
      <w:pPr>
        <w:pageBreakBefore w:val="0"/>
        <w:kinsoku/>
        <w:wordWrap/>
        <w:overflowPunct/>
        <w:topLinePunct w:val="0"/>
        <w:bidi w:val="0"/>
        <w:adjustRightInd/>
        <w:spacing w:line="360" w:lineRule="auto"/>
        <w:textAlignment w:val="auto"/>
        <w:outlineLvl w:val="9"/>
        <w:rPr>
          <w:rFonts w:hint="eastAsia" w:ascii="宋体" w:hAnsi="宋体" w:eastAsia="宋体" w:cs="宋体"/>
          <w:color w:val="auto"/>
          <w:sz w:val="24"/>
          <w:highlight w:val="none"/>
          <w:lang w:val="zh-CN"/>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bookmarkEnd w:id="50"/>
    <w:bookmarkEnd w:id="51"/>
    <w:p w14:paraId="5DB75745">
      <w:pPr>
        <w:pageBreakBefore w:val="0"/>
        <w:kinsoku/>
        <w:wordWrap/>
        <w:overflowPunct/>
        <w:topLinePunct w:val="0"/>
        <w:autoSpaceDE w:val="0"/>
        <w:autoSpaceDN w:val="0"/>
        <w:bidi w:val="0"/>
        <w:adjustRightInd/>
        <w:spacing w:line="360" w:lineRule="auto"/>
        <w:jc w:val="left"/>
        <w:textAlignment w:val="auto"/>
        <w:outlineLvl w:val="9"/>
        <w:rPr>
          <w:rFonts w:hint="eastAsia" w:ascii="宋体" w:hAnsi="宋体" w:eastAsia="宋体" w:cs="宋体"/>
          <w:b/>
          <w:bCs/>
          <w:color w:val="auto"/>
          <w:sz w:val="24"/>
          <w:highlight w:val="none"/>
        </w:rPr>
      </w:pPr>
    </w:p>
    <w:p w14:paraId="22C28B07">
      <w:pPr>
        <w:pStyle w:val="3"/>
        <w:pageBreakBefore w:val="0"/>
        <w:kinsoku/>
        <w:wordWrap/>
        <w:overflowPunct/>
        <w:topLinePunct w:val="0"/>
        <w:bidi w:val="0"/>
        <w:adjustRightInd/>
        <w:spacing w:line="360" w:lineRule="auto"/>
        <w:jc w:val="center"/>
        <w:textAlignment w:val="auto"/>
        <w:rPr>
          <w:rFonts w:hint="eastAsia" w:ascii="宋体" w:hAnsi="宋体" w:eastAsia="宋体" w:cs="宋体"/>
          <w:b/>
          <w:bCs/>
          <w:color w:val="auto"/>
          <w:highlight w:val="none"/>
        </w:rPr>
      </w:pPr>
      <w:bookmarkStart w:id="52" w:name="_Toc31035"/>
      <w:bookmarkStart w:id="53" w:name="_Toc12611"/>
      <w:r>
        <w:rPr>
          <w:rFonts w:hint="eastAsia" w:ascii="宋体" w:hAnsi="宋体" w:eastAsia="宋体" w:cs="宋体"/>
          <w:b/>
          <w:bCs/>
          <w:color w:val="auto"/>
          <w:highlight w:val="none"/>
        </w:rPr>
        <w:t>第</w:t>
      </w:r>
      <w:r>
        <w:rPr>
          <w:rFonts w:hint="eastAsia" w:ascii="宋体" w:hAnsi="宋体" w:eastAsia="宋体" w:cs="宋体"/>
          <w:b/>
          <w:bCs/>
          <w:color w:val="auto"/>
          <w:highlight w:val="none"/>
          <w:lang w:eastAsia="zh-CN"/>
        </w:rPr>
        <w:t>二</w:t>
      </w:r>
      <w:r>
        <w:rPr>
          <w:rFonts w:hint="eastAsia" w:ascii="宋体" w:hAnsi="宋体" w:eastAsia="宋体" w:cs="宋体"/>
          <w:b/>
          <w:bCs/>
          <w:color w:val="auto"/>
          <w:highlight w:val="none"/>
        </w:rPr>
        <w:t xml:space="preserve">节 </w:t>
      </w:r>
      <w:bookmarkEnd w:id="52"/>
      <w:bookmarkEnd w:id="53"/>
      <w:r>
        <w:rPr>
          <w:rFonts w:hint="eastAsia" w:ascii="宋体" w:hAnsi="宋体" w:eastAsia="宋体" w:cs="宋体"/>
          <w:b/>
          <w:bCs/>
          <w:color w:val="auto"/>
          <w:highlight w:val="none"/>
        </w:rPr>
        <w:t>报价文件格式</w:t>
      </w:r>
    </w:p>
    <w:p w14:paraId="69C0F532">
      <w:pPr>
        <w:pStyle w:val="21"/>
        <w:pageBreakBefore w:val="0"/>
        <w:kinsoku/>
        <w:wordWrap/>
        <w:overflowPunct/>
        <w:topLinePunct w:val="0"/>
        <w:bidi w:val="0"/>
        <w:adjustRightInd/>
        <w:spacing w:line="360" w:lineRule="auto"/>
        <w:textAlignment w:val="auto"/>
        <w:rPr>
          <w:rFonts w:hint="eastAsia" w:ascii="宋体" w:hAnsi="宋体" w:eastAsia="宋体" w:cs="宋体"/>
          <w:color w:val="auto"/>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8"/>
          <w:szCs w:val="28"/>
          <w:highlight w:val="none"/>
        </w:rPr>
        <w:t>报价文件封面的格式：</w:t>
      </w:r>
    </w:p>
    <w:p w14:paraId="12A469DE">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BD26419">
      <w:pPr>
        <w:pageBreakBefore w:val="0"/>
        <w:kinsoku/>
        <w:wordWrap/>
        <w:overflowPunct/>
        <w:topLinePunct w:val="0"/>
        <w:bidi w:val="0"/>
        <w:adjustRightInd/>
        <w:snapToGrid w:val="0"/>
        <w:spacing w:before="120" w:beforeLines="50" w:after="50" w:line="360" w:lineRule="auto"/>
        <w:ind w:firstLine="6720" w:firstLineChars="32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68F64034">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7D937636">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146EB638">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3539C71E">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  价  文  件</w:t>
      </w:r>
    </w:p>
    <w:p w14:paraId="72EC1A6B">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EFB8227">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CD5AF0F">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01479B7">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0F5D7576">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FAF8934">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E137027">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566D1F3">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603671A0">
      <w:pPr>
        <w:pStyle w:val="7"/>
        <w:pageBreakBefore w:val="0"/>
        <w:kinsoku/>
        <w:wordWrap/>
        <w:overflowPunct/>
        <w:topLinePunct w:val="0"/>
        <w:bidi w:val="0"/>
        <w:adjustRightInd/>
        <w:snapToGrid w:val="0"/>
        <w:spacing w:before="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AB4316E">
      <w:pPr>
        <w:pStyle w:val="7"/>
        <w:pageBreakBefore w:val="0"/>
        <w:kinsoku/>
        <w:wordWrap/>
        <w:overflowPunct/>
        <w:topLinePunct w:val="0"/>
        <w:bidi w:val="0"/>
        <w:adjustRightInd/>
        <w:snapToGrid w:val="0"/>
        <w:spacing w:before="50" w:after="50" w:line="360" w:lineRule="auto"/>
        <w:ind w:left="0" w:leftChars="0" w:firstLine="0" w:firstLineChars="0"/>
        <w:textAlignment w:val="auto"/>
        <w:rPr>
          <w:rFonts w:hint="eastAsia" w:ascii="宋体" w:hAnsi="宋体" w:eastAsia="宋体" w:cs="宋体"/>
          <w:bCs/>
          <w:color w:val="auto"/>
          <w:sz w:val="32"/>
          <w:szCs w:val="32"/>
          <w:highlight w:val="none"/>
        </w:rPr>
      </w:pPr>
    </w:p>
    <w:p w14:paraId="2F11F795">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CEFC9">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8"/>
          <w:szCs w:val="28"/>
          <w:highlight w:val="none"/>
        </w:rPr>
        <w:t>报价文件目录</w:t>
      </w:r>
    </w:p>
    <w:p w14:paraId="3FDDE173">
      <w:pPr>
        <w:pageBreakBefore w:val="0"/>
        <w:kinsoku/>
        <w:wordWrap/>
        <w:overflowPunct/>
        <w:topLinePunct w:val="0"/>
        <w:bidi w:val="0"/>
        <w:adjustRightInd/>
        <w:snapToGrid w:val="0"/>
        <w:spacing w:before="50" w:after="120" w:afterLines="50" w:line="360" w:lineRule="auto"/>
        <w:jc w:val="left"/>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根据竞争性磋商文件规定及供应商提供的材料自行编写目录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042D94BC">
      <w:pPr>
        <w:pageBreakBefore w:val="0"/>
        <w:kinsoku/>
        <w:wordWrap/>
        <w:overflowPunct/>
        <w:topLinePunct w:val="0"/>
        <w:bidi w:val="0"/>
        <w:adjustRightInd/>
        <w:spacing w:line="360" w:lineRule="auto"/>
        <w:textAlignment w:val="auto"/>
        <w:rPr>
          <w:rFonts w:hint="eastAsia" w:ascii="宋体" w:hAnsi="宋体" w:eastAsia="宋体" w:cs="宋体"/>
          <w:color w:val="auto"/>
          <w:sz w:val="24"/>
          <w:highlight w:val="none"/>
        </w:rPr>
      </w:pPr>
    </w:p>
    <w:p w14:paraId="3D34D7FB">
      <w:pPr>
        <w:pageBreakBefore w:val="0"/>
        <w:kinsoku/>
        <w:wordWrap/>
        <w:overflowPunct/>
        <w:topLinePunct w:val="0"/>
        <w:bidi w:val="0"/>
        <w:adjustRightInd/>
        <w:snapToGrid w:val="0"/>
        <w:spacing w:before="120" w:beforeLines="50" w:after="50" w:line="360" w:lineRule="auto"/>
        <w:ind w:left="142" w:firstLine="640" w:firstLineChars="200"/>
        <w:jc w:val="left"/>
        <w:textAlignment w:val="auto"/>
        <w:rPr>
          <w:rFonts w:hint="eastAsia" w:ascii="宋体" w:hAnsi="宋体" w:eastAsia="宋体" w:cs="宋体"/>
          <w:color w:val="auto"/>
          <w:sz w:val="32"/>
          <w:szCs w:val="32"/>
          <w:highlight w:val="none"/>
        </w:rPr>
      </w:pPr>
    </w:p>
    <w:p w14:paraId="108FCAB5">
      <w:pPr>
        <w:keepNext w:val="0"/>
        <w:keepLines w:val="0"/>
        <w:pageBreakBefore w:val="0"/>
        <w:widowControl w:val="0"/>
        <w:kinsoku/>
        <w:wordWrap/>
        <w:overflowPunct/>
        <w:topLinePunct w:val="0"/>
        <w:bidi w:val="0"/>
        <w:adjustRightInd/>
        <w:snapToGrid w:val="0"/>
        <w:spacing w:before="120" w:beforeLines="50" w:after="50" w:line="46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8"/>
          <w:szCs w:val="28"/>
          <w:highlight w:val="none"/>
          <w:lang w:val="en-US" w:eastAsia="zh-CN"/>
        </w:rPr>
        <w:t>响应函</w:t>
      </w:r>
      <w:r>
        <w:rPr>
          <w:rFonts w:hint="eastAsia" w:ascii="宋体" w:hAnsi="宋体" w:eastAsia="宋体" w:cs="宋体"/>
          <w:b/>
          <w:color w:val="auto"/>
          <w:sz w:val="28"/>
          <w:szCs w:val="28"/>
          <w:highlight w:val="none"/>
          <w:lang w:val="zh-CN"/>
        </w:rPr>
        <w:t>的格式：</w:t>
      </w:r>
    </w:p>
    <w:p w14:paraId="1211B197">
      <w:pPr>
        <w:keepNext w:val="0"/>
        <w:keepLines w:val="0"/>
        <w:pageBreakBefore w:val="0"/>
        <w:widowControl w:val="0"/>
        <w:kinsoku/>
        <w:wordWrap/>
        <w:overflowPunct/>
        <w:topLinePunct w:val="0"/>
        <w:bidi w:val="0"/>
        <w:adjustRightInd/>
        <w:snapToGrid/>
        <w:spacing w:line="4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b/>
          <w:bCs/>
          <w:color w:val="auto"/>
          <w:kern w:val="0"/>
          <w:sz w:val="28"/>
          <w:szCs w:val="28"/>
          <w:highlight w:val="none"/>
          <w:lang w:val="en-US" w:eastAsia="zh-CN"/>
        </w:rPr>
        <w:t>响应函</w:t>
      </w:r>
    </w:p>
    <w:p w14:paraId="2142EE9A">
      <w:pPr>
        <w:pStyle w:val="105"/>
        <w:keepNext w:val="0"/>
        <w:keepLines w:val="0"/>
        <w:pageBreakBefore w:val="0"/>
        <w:widowControl w:val="0"/>
        <w:kinsoku/>
        <w:wordWrap/>
        <w:overflowPunct/>
        <w:topLinePunct/>
        <w:bidi w:val="0"/>
        <w:adjustRightInd/>
        <w:snapToGrid/>
        <w:spacing w:line="4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250DEB1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1、根据你方项目编号为</w:t>
      </w:r>
      <w:r>
        <w:rPr>
          <w:rFonts w:hint="eastAsia" w:ascii="宋体" w:hAnsi="宋体" w:eastAsia="宋体" w:cs="宋体"/>
          <w:color w:val="auto"/>
          <w:sz w:val="21"/>
          <w:szCs w:val="21"/>
          <w:highlight w:val="none"/>
          <w:u w:val="single"/>
        </w:rPr>
        <w:t xml:space="preserve"> （项目编号）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工程竞争性磋商文件（含补遗书），参照《政府采购竞争性磋商采购方式管理暂行办法》等有关规定，经踏勘项目现场和研究上述竞争性磋商文件的磋商须知、合同条款、图纸、工程建设标准和工程量清单及其他有关文件后，我方愿以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元）的磋商报价并按上述图纸、合同条款、工程建设标准和工程量清单（如有时）的条件要求承包上述工程的施工、竣工，并承担任何质量缺陷保修责任。</w:t>
      </w:r>
    </w:p>
    <w:p w14:paraId="2AFC0650">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2、我方承诺在竞争性磋商文件规定的竞标有效期内不撤销响应文件。</w:t>
      </w:r>
    </w:p>
    <w:p w14:paraId="0D09E2CE">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质量要求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，合同履行期限（计划工期）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w:t>
      </w:r>
    </w:p>
    <w:p w14:paraId="3202A316">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4、我方已详细审核全部竞争性磋商文件，包括修改文件（如有时）及有关附件。</w:t>
      </w:r>
    </w:p>
    <w:p w14:paraId="5AB6EF73">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5、我方承认</w:t>
      </w:r>
      <w:r>
        <w:rPr>
          <w:rFonts w:hint="eastAsia" w:ascii="宋体" w:hAnsi="宋体" w:eastAsia="宋体" w:cs="宋体"/>
          <w:color w:val="auto"/>
          <w:sz w:val="21"/>
          <w:szCs w:val="21"/>
          <w:highlight w:val="none"/>
          <w:lang w:eastAsia="zh-CN"/>
        </w:rPr>
        <w:t>响应函</w:t>
      </w:r>
      <w:r>
        <w:rPr>
          <w:rFonts w:hint="eastAsia" w:ascii="宋体" w:hAnsi="宋体" w:eastAsia="宋体" w:cs="宋体"/>
          <w:color w:val="auto"/>
          <w:sz w:val="21"/>
          <w:szCs w:val="21"/>
          <w:highlight w:val="none"/>
        </w:rPr>
        <w:t>附录是我方</w:t>
      </w:r>
      <w:r>
        <w:rPr>
          <w:rFonts w:hint="eastAsia" w:ascii="宋体" w:hAnsi="宋体" w:eastAsia="宋体" w:cs="宋体"/>
          <w:color w:val="auto"/>
          <w:sz w:val="21"/>
          <w:szCs w:val="21"/>
          <w:highlight w:val="none"/>
          <w:lang w:eastAsia="zh-CN"/>
        </w:rPr>
        <w:t>响应函</w:t>
      </w:r>
      <w:r>
        <w:rPr>
          <w:rFonts w:hint="eastAsia" w:ascii="宋体" w:hAnsi="宋体" w:eastAsia="宋体" w:cs="宋体"/>
          <w:color w:val="auto"/>
          <w:sz w:val="21"/>
          <w:szCs w:val="21"/>
          <w:highlight w:val="none"/>
        </w:rPr>
        <w:t>的组成部分。</w:t>
      </w:r>
    </w:p>
    <w:p w14:paraId="35FA031D">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6、如果我方成交，我方将按照文件规定提交履约保证金作为履约担保。</w:t>
      </w:r>
    </w:p>
    <w:p w14:paraId="5EEB32FF">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7、我方同意所提交的响应文件在竞争性磋商文件的“磋商须知”中第 16.2 条规定的响应文件有效期内有效，在此期间内如果成交，我方将受此约束。</w:t>
      </w:r>
    </w:p>
    <w:p w14:paraId="1E30A68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8、除非另外达成协议并生效，你方的成交通知书和本响应文件将成为约束双方的合同文件的组成部分。</w:t>
      </w:r>
    </w:p>
    <w:p w14:paraId="429DEF1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9、其他补充说明：</w:t>
      </w:r>
      <w:r>
        <w:rPr>
          <w:rFonts w:hint="eastAsia" w:ascii="宋体" w:hAnsi="宋体" w:eastAsia="宋体" w:cs="宋体"/>
          <w:color w:val="auto"/>
          <w:sz w:val="21"/>
          <w:szCs w:val="21"/>
          <w:highlight w:val="none"/>
          <w:u w:val="single"/>
        </w:rPr>
        <w:t xml:space="preserve">                                </w:t>
      </w:r>
    </w:p>
    <w:p w14:paraId="0E5798DD">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10、与本磋商有关的一切正式往来信函请寄：</w:t>
      </w:r>
    </w:p>
    <w:p w14:paraId="3385A86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9537972">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24692C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68A3896C">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6807285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7E1CE2D3">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40C5AFA">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30CD3110">
      <w:pPr>
        <w:keepNext w:val="0"/>
        <w:keepLines w:val="0"/>
        <w:pageBreakBefore w:val="0"/>
        <w:widowControl w:val="0"/>
        <w:tabs>
          <w:tab w:val="left" w:pos="939"/>
        </w:tabs>
        <w:kinsoku/>
        <w:wordWrap/>
        <w:overflowPunct/>
        <w:bidi w:val="0"/>
        <w:adjustRightInd/>
        <w:snapToGrid/>
        <w:spacing w:line="4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38D173B3">
      <w:pPr>
        <w:keepNext w:val="0"/>
        <w:keepLines w:val="0"/>
        <w:pageBreakBefore w:val="0"/>
        <w:widowControl w:val="0"/>
        <w:kinsoku/>
        <w:wordWrap/>
        <w:overflowPunct/>
        <w:bidi w:val="0"/>
        <w:adjustRightInd/>
        <w:snapToGrid/>
        <w:spacing w:line="460" w:lineRule="exact"/>
        <w:contextualSpacing/>
        <w:jc w:val="left"/>
        <w:textAlignment w:val="auto"/>
        <w:rPr>
          <w:rFonts w:hint="eastAsia" w:ascii="宋体" w:hAnsi="宋体" w:eastAsia="宋体" w:cs="宋体"/>
          <w:color w:val="auto"/>
          <w:sz w:val="21"/>
          <w:szCs w:val="21"/>
          <w:highlight w:val="none"/>
        </w:rPr>
      </w:pPr>
    </w:p>
    <w:p w14:paraId="1648E415">
      <w:pPr>
        <w:keepNext w:val="0"/>
        <w:keepLines w:val="0"/>
        <w:pageBreakBefore w:val="0"/>
        <w:widowControl w:val="0"/>
        <w:kinsoku/>
        <w:wordWrap/>
        <w:overflowPunct/>
        <w:autoSpaceDE w:val="0"/>
        <w:autoSpaceDN w:val="0"/>
        <w:bidi w:val="0"/>
        <w:adjustRightInd/>
        <w:snapToGrid/>
        <w:spacing w:line="460" w:lineRule="exact"/>
        <w:ind w:left="4305" w:leftChars="1950" w:hanging="210" w:hangingChars="1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w:t>
      </w:r>
      <w:r>
        <w:rPr>
          <w:rFonts w:hint="eastAsia" w:ascii="宋体" w:hAnsi="宋体" w:eastAsia="宋体" w:cs="宋体"/>
          <w:color w:val="auto"/>
          <w:kern w:val="0"/>
          <w:sz w:val="21"/>
          <w:szCs w:val="21"/>
          <w:highlight w:val="none"/>
          <w:lang w:val="en-US" w:eastAsia="zh-CN"/>
        </w:rPr>
        <w:t>盖</w:t>
      </w:r>
      <w:r>
        <w:rPr>
          <w:rFonts w:hint="eastAsia" w:ascii="宋体" w:hAnsi="宋体" w:eastAsia="宋体" w:cs="宋体"/>
          <w:color w:val="auto"/>
          <w:kern w:val="0"/>
          <w:sz w:val="21"/>
          <w:szCs w:val="21"/>
          <w:highlight w:val="none"/>
        </w:rPr>
        <w:t>电子公章）：</w:t>
      </w:r>
    </w:p>
    <w:p w14:paraId="3CDCA322">
      <w:pPr>
        <w:keepNext w:val="0"/>
        <w:keepLines w:val="0"/>
        <w:pageBreakBefore w:val="0"/>
        <w:widowControl w:val="0"/>
        <w:kinsoku/>
        <w:wordWrap/>
        <w:overflowPunct/>
        <w:autoSpaceDE w:val="0"/>
        <w:autoSpaceDN w:val="0"/>
        <w:bidi w:val="0"/>
        <w:adjustRightInd/>
        <w:snapToGrid/>
        <w:spacing w:line="460" w:lineRule="exact"/>
        <w:ind w:left="4305" w:leftChars="1950" w:hanging="210" w:hangingChars="1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法定代表人或其委托代理人（签字/电子签名）：</w:t>
      </w:r>
    </w:p>
    <w:p w14:paraId="0AD8AB51">
      <w:pPr>
        <w:keepNext w:val="0"/>
        <w:keepLines w:val="0"/>
        <w:pageBreakBefore w:val="0"/>
        <w:widowControl w:val="0"/>
        <w:kinsoku/>
        <w:wordWrap/>
        <w:overflowPunct/>
        <w:autoSpaceDE w:val="0"/>
        <w:autoSpaceDN w:val="0"/>
        <w:bidi w:val="0"/>
        <w:adjustRightInd/>
        <w:snapToGrid/>
        <w:spacing w:line="460" w:lineRule="exact"/>
        <w:ind w:firstLine="5670" w:firstLineChars="2700"/>
        <w:textAlignment w:val="auto"/>
        <w:rPr>
          <w:rFonts w:hint="eastAsia" w:ascii="宋体" w:hAnsi="宋体" w:eastAsia="宋体" w:cs="宋体"/>
          <w:b/>
          <w:color w:val="auto"/>
          <w:sz w:val="30"/>
          <w:szCs w:val="30"/>
          <w:highlight w:val="none"/>
        </w:rPr>
      </w:pPr>
      <w:r>
        <w:rPr>
          <w:rFonts w:hint="eastAsia" w:ascii="宋体" w:hAnsi="宋体" w:eastAsia="宋体" w:cs="宋体"/>
          <w:color w:val="auto"/>
          <w:kern w:val="0"/>
          <w:sz w:val="21"/>
          <w:szCs w:val="21"/>
          <w:highlight w:val="none"/>
          <w:lang w:val="zh-CN"/>
        </w:rPr>
        <w:t>日期：  年  月   日</w:t>
      </w:r>
    </w:p>
    <w:p w14:paraId="0381A266">
      <w:pPr>
        <w:pageBreakBefore w:val="0"/>
        <w:kinsoku/>
        <w:wordWrap/>
        <w:overflowPunct/>
        <w:topLinePunct w:val="0"/>
        <w:bidi w:val="0"/>
        <w:adjustRightInd/>
        <w:spacing w:line="360" w:lineRule="auto"/>
        <w:textAlignment w:val="auto"/>
        <w:rPr>
          <w:rFonts w:hint="eastAsia" w:ascii="宋体" w:hAnsi="宋体" w:eastAsia="宋体" w:cs="宋体"/>
          <w:b/>
          <w:color w:val="auto"/>
          <w:szCs w:val="21"/>
          <w:highlight w:val="none"/>
        </w:rPr>
      </w:pPr>
    </w:p>
    <w:p w14:paraId="311997E1">
      <w:pPr>
        <w:keepNext w:val="0"/>
        <w:keepLines w:val="0"/>
        <w:pageBreakBefore w:val="0"/>
        <w:widowControl w:val="0"/>
        <w:kinsoku/>
        <w:wordWrap/>
        <w:overflowPunct/>
        <w:topLinePunct w:val="0"/>
        <w:bidi w:val="0"/>
        <w:adjustRightInd/>
        <w:snapToGrid w:val="0"/>
        <w:spacing w:before="120" w:beforeLines="50" w:after="50" w:line="460" w:lineRule="exact"/>
        <w:jc w:val="left"/>
        <w:textAlignment w:val="auto"/>
        <w:rPr>
          <w:rFonts w:hint="eastAsia" w:ascii="宋体" w:hAnsi="宋体" w:eastAsia="宋体" w:cs="宋体"/>
          <w:b w:val="0"/>
          <w:bCs w:val="0"/>
          <w:color w:val="auto"/>
          <w:highlight w:val="none"/>
        </w:rPr>
      </w:pPr>
      <w:r>
        <w:rPr>
          <w:rFonts w:hint="eastAsia" w:ascii="宋体" w:hAnsi="宋体" w:eastAsia="宋体" w:cs="宋体"/>
          <w:b/>
          <w:bCs/>
          <w:color w:val="auto"/>
          <w:sz w:val="28"/>
          <w:highlight w:val="none"/>
          <w:lang w:eastAsia="zh-CN"/>
        </w:rPr>
        <w:t>响应函</w:t>
      </w:r>
      <w:r>
        <w:rPr>
          <w:rFonts w:hint="eastAsia" w:ascii="宋体" w:hAnsi="宋体" w:eastAsia="宋体" w:cs="宋体"/>
          <w:b/>
          <w:color w:val="auto"/>
          <w:sz w:val="28"/>
          <w:szCs w:val="28"/>
          <w:highlight w:val="none"/>
          <w:lang w:val="zh-CN"/>
        </w:rPr>
        <w:t>附录</w:t>
      </w:r>
    </w:p>
    <w:p w14:paraId="404A4F42">
      <w:pPr>
        <w:spacing w:line="520" w:lineRule="exact"/>
        <w:jc w:val="center"/>
        <w:rPr>
          <w:rFonts w:hint="eastAsia" w:ascii="宋体" w:hAnsi="宋体" w:eastAsia="宋体" w:cs="宋体"/>
          <w:b/>
          <w:bCs/>
          <w:color w:val="auto"/>
          <w:kern w:val="0"/>
          <w:sz w:val="30"/>
          <w:szCs w:val="30"/>
          <w:highlight w:val="none"/>
        </w:rPr>
      </w:pPr>
      <w:r>
        <w:rPr>
          <w:rFonts w:hint="eastAsia" w:ascii="宋体" w:hAnsi="宋体" w:eastAsia="宋体" w:cs="宋体"/>
          <w:b/>
          <w:color w:val="auto"/>
          <w:sz w:val="32"/>
          <w:szCs w:val="32"/>
          <w:highlight w:val="none"/>
          <w:lang w:eastAsia="zh-CN"/>
        </w:rPr>
        <w:t>响应函</w:t>
      </w:r>
      <w:r>
        <w:rPr>
          <w:rFonts w:hint="eastAsia" w:ascii="宋体" w:hAnsi="宋体" w:eastAsia="宋体" w:cs="宋体"/>
          <w:b/>
          <w:color w:val="auto"/>
          <w:sz w:val="32"/>
          <w:szCs w:val="32"/>
          <w:highlight w:val="none"/>
        </w:rPr>
        <w:t>附录</w:t>
      </w:r>
    </w:p>
    <w:p w14:paraId="77FBE5C5">
      <w:pPr>
        <w:snapToGrid w:val="0"/>
        <w:spacing w:before="50" w:after="50" w:line="360" w:lineRule="auto"/>
        <w:rPr>
          <w:rFonts w:hint="eastAsia" w:ascii="宋体" w:hAnsi="宋体" w:eastAsia="宋体" w:cs="宋体"/>
          <w:color w:val="auto"/>
          <w:sz w:val="24"/>
          <w:highlight w:val="none"/>
        </w:rPr>
      </w:pPr>
    </w:p>
    <w:p w14:paraId="2FDB6F69">
      <w:pPr>
        <w:snapToGrid w:val="0"/>
        <w:spacing w:before="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FAF67B1">
      <w:pPr>
        <w:snapToGrid w:val="0"/>
        <w:spacing w:before="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16E64CB">
      <w:pPr>
        <w:snapToGrid w:val="0"/>
        <w:spacing w:before="50" w:after="50"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p w14:paraId="57B4F845">
      <w:pPr>
        <w:snapToGrid w:val="0"/>
        <w:spacing w:before="50" w:after="50" w:line="360" w:lineRule="auto"/>
        <w:ind w:firstLine="480" w:firstLineChars="200"/>
        <w:rPr>
          <w:rFonts w:hint="eastAsia" w:ascii="宋体" w:hAnsi="宋体" w:eastAsia="宋体" w:cs="宋体"/>
          <w:color w:val="auto"/>
          <w:sz w:val="24"/>
          <w:highlight w:val="none"/>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9CA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B0154EE">
            <w:pPr>
              <w:wordWrap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 号</w:t>
            </w:r>
          </w:p>
        </w:tc>
        <w:tc>
          <w:tcPr>
            <w:tcW w:w="1985" w:type="dxa"/>
            <w:noWrap w:val="0"/>
            <w:vAlign w:val="center"/>
          </w:tcPr>
          <w:p w14:paraId="11384D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条款内容</w:t>
            </w:r>
          </w:p>
        </w:tc>
        <w:tc>
          <w:tcPr>
            <w:tcW w:w="2126" w:type="dxa"/>
            <w:noWrap w:val="0"/>
            <w:vAlign w:val="center"/>
          </w:tcPr>
          <w:p w14:paraId="64402CCC">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合同条款号</w:t>
            </w:r>
          </w:p>
        </w:tc>
        <w:tc>
          <w:tcPr>
            <w:tcW w:w="1984" w:type="dxa"/>
            <w:noWrap w:val="0"/>
            <w:vAlign w:val="center"/>
          </w:tcPr>
          <w:p w14:paraId="2812BB11">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约定内容</w:t>
            </w:r>
          </w:p>
        </w:tc>
        <w:tc>
          <w:tcPr>
            <w:tcW w:w="1843" w:type="dxa"/>
            <w:noWrap w:val="0"/>
            <w:vAlign w:val="center"/>
          </w:tcPr>
          <w:p w14:paraId="6410339D">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6C1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64FEEB0">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85" w:type="dxa"/>
            <w:noWrap w:val="0"/>
            <w:vAlign w:val="center"/>
          </w:tcPr>
          <w:p w14:paraId="1B2E7078">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tc>
        <w:tc>
          <w:tcPr>
            <w:tcW w:w="2126" w:type="dxa"/>
            <w:noWrap w:val="0"/>
            <w:tcMar>
              <w:left w:w="170" w:type="dxa"/>
            </w:tcMar>
            <w:vAlign w:val="center"/>
          </w:tcPr>
          <w:p w14:paraId="6B18338C">
            <w:pPr>
              <w:wordWrap w:val="0"/>
              <w:jc w:val="center"/>
              <w:rPr>
                <w:rFonts w:hint="eastAsia" w:ascii="宋体" w:hAnsi="宋体" w:eastAsia="宋体" w:cs="宋体"/>
                <w:color w:val="auto"/>
                <w:sz w:val="21"/>
                <w:szCs w:val="21"/>
                <w:highlight w:val="none"/>
              </w:rPr>
            </w:pPr>
          </w:p>
        </w:tc>
        <w:tc>
          <w:tcPr>
            <w:tcW w:w="1984" w:type="dxa"/>
            <w:noWrap w:val="0"/>
            <w:vAlign w:val="center"/>
          </w:tcPr>
          <w:p w14:paraId="11C4DC80">
            <w:pPr>
              <w:wordWrap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p>
        </w:tc>
        <w:tc>
          <w:tcPr>
            <w:tcW w:w="1843" w:type="dxa"/>
            <w:noWrap w:val="0"/>
            <w:vAlign w:val="center"/>
          </w:tcPr>
          <w:p w14:paraId="0B811B92">
            <w:pPr>
              <w:wordWrap w:val="0"/>
              <w:jc w:val="center"/>
              <w:rPr>
                <w:rFonts w:hint="eastAsia" w:ascii="宋体" w:hAnsi="宋体" w:eastAsia="宋体" w:cs="宋体"/>
                <w:color w:val="auto"/>
                <w:sz w:val="21"/>
                <w:szCs w:val="21"/>
                <w:highlight w:val="none"/>
              </w:rPr>
            </w:pPr>
          </w:p>
        </w:tc>
      </w:tr>
      <w:tr w14:paraId="1BE6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E52B04E">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5" w:type="dxa"/>
            <w:noWrap w:val="0"/>
            <w:vAlign w:val="center"/>
          </w:tcPr>
          <w:p w14:paraId="5DAD59A0">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rPr>
              <w:t>有效期</w:t>
            </w:r>
          </w:p>
        </w:tc>
        <w:tc>
          <w:tcPr>
            <w:tcW w:w="2126" w:type="dxa"/>
            <w:noWrap w:val="0"/>
            <w:tcMar>
              <w:left w:w="170" w:type="dxa"/>
            </w:tcMar>
            <w:vAlign w:val="center"/>
          </w:tcPr>
          <w:p w14:paraId="040C6FD3">
            <w:pPr>
              <w:wordWrap w:val="0"/>
              <w:rPr>
                <w:rFonts w:hint="eastAsia" w:ascii="宋体" w:hAnsi="宋体" w:eastAsia="宋体" w:cs="宋体"/>
                <w:color w:val="auto"/>
                <w:sz w:val="21"/>
                <w:szCs w:val="21"/>
                <w:highlight w:val="none"/>
              </w:rPr>
            </w:pPr>
          </w:p>
        </w:tc>
        <w:tc>
          <w:tcPr>
            <w:tcW w:w="1984" w:type="dxa"/>
            <w:noWrap w:val="0"/>
            <w:vAlign w:val="center"/>
          </w:tcPr>
          <w:p w14:paraId="2A7F2303">
            <w:pPr>
              <w:wordWrap w:val="0"/>
              <w:jc w:val="center"/>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highlight w:val="none"/>
              </w:rPr>
              <w:t>自首次响应文件提交截止日起</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日历天</w:t>
            </w:r>
          </w:p>
        </w:tc>
        <w:tc>
          <w:tcPr>
            <w:tcW w:w="1843" w:type="dxa"/>
            <w:noWrap w:val="0"/>
            <w:vAlign w:val="center"/>
          </w:tcPr>
          <w:p w14:paraId="1663F47B">
            <w:pPr>
              <w:wordWrap w:val="0"/>
              <w:jc w:val="center"/>
              <w:rPr>
                <w:rFonts w:hint="eastAsia" w:ascii="宋体" w:hAnsi="宋体" w:eastAsia="宋体" w:cs="宋体"/>
                <w:color w:val="auto"/>
                <w:sz w:val="21"/>
                <w:szCs w:val="21"/>
                <w:highlight w:val="none"/>
              </w:rPr>
            </w:pPr>
          </w:p>
        </w:tc>
      </w:tr>
      <w:tr w14:paraId="2D4C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98628A1">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5" w:type="dxa"/>
            <w:noWrap w:val="0"/>
            <w:vAlign w:val="center"/>
          </w:tcPr>
          <w:p w14:paraId="76805DB3">
            <w:pPr>
              <w:wordWrap w:val="0"/>
              <w:jc w:val="center"/>
              <w:rPr>
                <w:rFonts w:hint="eastAsia" w:ascii="宋体" w:hAnsi="宋体" w:eastAsia="宋体" w:cs="宋体"/>
                <w:color w:val="auto"/>
                <w:kern w:val="56"/>
                <w:sz w:val="21"/>
                <w:szCs w:val="21"/>
                <w:highlight w:val="none"/>
              </w:rPr>
            </w:pPr>
            <w:r>
              <w:rPr>
                <w:rFonts w:hint="eastAsia" w:ascii="宋体" w:hAnsi="宋体" w:eastAsia="宋体" w:cs="宋体"/>
                <w:color w:val="auto"/>
                <w:kern w:val="56"/>
                <w:sz w:val="21"/>
                <w:szCs w:val="21"/>
                <w:highlight w:val="none"/>
              </w:rPr>
              <w:t>合同履行期限</w:t>
            </w:r>
          </w:p>
          <w:p w14:paraId="3760D539">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kern w:val="56"/>
                <w:sz w:val="21"/>
                <w:szCs w:val="21"/>
                <w:highlight w:val="none"/>
              </w:rPr>
              <w:t>（</w:t>
            </w:r>
            <w:r>
              <w:rPr>
                <w:rFonts w:hint="eastAsia" w:ascii="宋体" w:hAnsi="宋体" w:eastAsia="宋体" w:cs="宋体"/>
                <w:color w:val="auto"/>
                <w:kern w:val="56"/>
                <w:sz w:val="21"/>
                <w:szCs w:val="21"/>
                <w:highlight w:val="none"/>
                <w:lang w:val="en-US" w:eastAsia="zh-CN"/>
              </w:rPr>
              <w:t>计划</w:t>
            </w:r>
            <w:r>
              <w:rPr>
                <w:rFonts w:hint="eastAsia" w:ascii="宋体" w:hAnsi="宋体" w:eastAsia="宋体" w:cs="宋体"/>
                <w:color w:val="auto"/>
                <w:kern w:val="56"/>
                <w:sz w:val="21"/>
                <w:szCs w:val="21"/>
                <w:highlight w:val="none"/>
              </w:rPr>
              <w:t>工期）</w:t>
            </w:r>
          </w:p>
        </w:tc>
        <w:tc>
          <w:tcPr>
            <w:tcW w:w="2126" w:type="dxa"/>
            <w:noWrap w:val="0"/>
            <w:tcMar>
              <w:left w:w="170" w:type="dxa"/>
            </w:tcMar>
            <w:vAlign w:val="center"/>
          </w:tcPr>
          <w:p w14:paraId="400591E9">
            <w:pPr>
              <w:wordWrap w:val="0"/>
              <w:jc w:val="center"/>
              <w:rPr>
                <w:rFonts w:hint="eastAsia" w:ascii="宋体" w:hAnsi="宋体" w:eastAsia="宋体" w:cs="宋体"/>
                <w:color w:val="auto"/>
                <w:sz w:val="21"/>
                <w:szCs w:val="21"/>
                <w:highlight w:val="none"/>
              </w:rPr>
            </w:pPr>
          </w:p>
        </w:tc>
        <w:tc>
          <w:tcPr>
            <w:tcW w:w="1984" w:type="dxa"/>
            <w:noWrap w:val="0"/>
            <w:vAlign w:val="center"/>
          </w:tcPr>
          <w:p w14:paraId="7C1FB42D">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个</w:t>
            </w:r>
            <w:r>
              <w:rPr>
                <w:rFonts w:hint="eastAsia" w:ascii="宋体" w:hAnsi="宋体" w:eastAsia="宋体" w:cs="宋体"/>
                <w:color w:val="auto"/>
                <w:highlight w:val="none"/>
                <w:lang w:eastAsia="zh-CN"/>
              </w:rPr>
              <w:t>日历天</w:t>
            </w:r>
            <w:r>
              <w:rPr>
                <w:rFonts w:hint="eastAsia" w:ascii="宋体" w:hAnsi="宋体" w:eastAsia="宋体" w:cs="宋体"/>
                <w:color w:val="auto"/>
                <w:highlight w:val="none"/>
              </w:rPr>
              <w:t>内完工</w:t>
            </w:r>
          </w:p>
        </w:tc>
        <w:tc>
          <w:tcPr>
            <w:tcW w:w="1843" w:type="dxa"/>
            <w:noWrap w:val="0"/>
            <w:vAlign w:val="center"/>
          </w:tcPr>
          <w:p w14:paraId="0A1E54E5">
            <w:pPr>
              <w:wordWrap w:val="0"/>
              <w:jc w:val="center"/>
              <w:rPr>
                <w:rFonts w:hint="eastAsia" w:ascii="宋体" w:hAnsi="宋体" w:eastAsia="宋体" w:cs="宋体"/>
                <w:color w:val="auto"/>
                <w:sz w:val="21"/>
                <w:szCs w:val="21"/>
                <w:highlight w:val="none"/>
              </w:rPr>
            </w:pPr>
          </w:p>
        </w:tc>
      </w:tr>
      <w:tr w14:paraId="6274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0EBB02">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985" w:type="dxa"/>
            <w:noWrap w:val="0"/>
            <w:vAlign w:val="center"/>
          </w:tcPr>
          <w:p w14:paraId="50242F63">
            <w:pPr>
              <w:wordWrap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val="en-US" w:eastAsia="zh-CN"/>
              </w:rPr>
              <w:t>要求</w:t>
            </w:r>
          </w:p>
        </w:tc>
        <w:tc>
          <w:tcPr>
            <w:tcW w:w="2126" w:type="dxa"/>
            <w:noWrap w:val="0"/>
            <w:tcMar>
              <w:left w:w="170" w:type="dxa"/>
            </w:tcMar>
            <w:vAlign w:val="center"/>
          </w:tcPr>
          <w:p w14:paraId="5FC42BB8">
            <w:pPr>
              <w:wordWrap w:val="0"/>
              <w:jc w:val="center"/>
              <w:rPr>
                <w:rFonts w:hint="eastAsia" w:ascii="宋体" w:hAnsi="宋体" w:eastAsia="宋体" w:cs="宋体"/>
                <w:color w:val="auto"/>
                <w:sz w:val="21"/>
                <w:szCs w:val="21"/>
                <w:highlight w:val="none"/>
              </w:rPr>
            </w:pPr>
          </w:p>
        </w:tc>
        <w:tc>
          <w:tcPr>
            <w:tcW w:w="1984" w:type="dxa"/>
            <w:noWrap w:val="0"/>
            <w:vAlign w:val="center"/>
          </w:tcPr>
          <w:p w14:paraId="5176A9F7">
            <w:pPr>
              <w:wordWrap w:val="0"/>
              <w:jc w:val="center"/>
              <w:rPr>
                <w:rFonts w:hint="eastAsia" w:ascii="宋体" w:hAnsi="宋体" w:eastAsia="宋体" w:cs="宋体"/>
                <w:color w:val="auto"/>
                <w:sz w:val="21"/>
                <w:szCs w:val="21"/>
                <w:highlight w:val="none"/>
              </w:rPr>
            </w:pPr>
          </w:p>
        </w:tc>
        <w:tc>
          <w:tcPr>
            <w:tcW w:w="1843" w:type="dxa"/>
            <w:noWrap w:val="0"/>
            <w:vAlign w:val="center"/>
          </w:tcPr>
          <w:p w14:paraId="4EB79613">
            <w:pPr>
              <w:wordWrap w:val="0"/>
              <w:jc w:val="center"/>
              <w:rPr>
                <w:rFonts w:hint="eastAsia" w:ascii="宋体" w:hAnsi="宋体" w:eastAsia="宋体" w:cs="宋体"/>
                <w:color w:val="auto"/>
                <w:sz w:val="21"/>
                <w:szCs w:val="21"/>
                <w:highlight w:val="none"/>
              </w:rPr>
            </w:pPr>
          </w:p>
        </w:tc>
      </w:tr>
      <w:tr w14:paraId="3ABC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509C9B">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85" w:type="dxa"/>
            <w:noWrap w:val="0"/>
            <w:vAlign w:val="center"/>
          </w:tcPr>
          <w:p w14:paraId="63F87856">
            <w:pPr>
              <w:wordWrap w:val="0"/>
              <w:jc w:val="center"/>
              <w:rPr>
                <w:rFonts w:hint="eastAsia" w:ascii="宋体" w:hAnsi="宋体" w:eastAsia="宋体" w:cs="宋体"/>
                <w:color w:val="auto"/>
                <w:sz w:val="21"/>
                <w:szCs w:val="21"/>
                <w:highlight w:val="none"/>
              </w:rPr>
            </w:pPr>
          </w:p>
        </w:tc>
        <w:tc>
          <w:tcPr>
            <w:tcW w:w="2126" w:type="dxa"/>
            <w:noWrap w:val="0"/>
            <w:tcMar>
              <w:left w:w="170" w:type="dxa"/>
            </w:tcMar>
            <w:vAlign w:val="center"/>
          </w:tcPr>
          <w:p w14:paraId="2B3BFD16">
            <w:pPr>
              <w:wordWrap w:val="0"/>
              <w:jc w:val="center"/>
              <w:rPr>
                <w:rFonts w:hint="eastAsia" w:ascii="宋体" w:hAnsi="宋体" w:eastAsia="宋体" w:cs="宋体"/>
                <w:color w:val="auto"/>
                <w:sz w:val="21"/>
                <w:szCs w:val="21"/>
                <w:highlight w:val="none"/>
              </w:rPr>
            </w:pPr>
          </w:p>
        </w:tc>
        <w:tc>
          <w:tcPr>
            <w:tcW w:w="1984" w:type="dxa"/>
            <w:noWrap w:val="0"/>
            <w:vAlign w:val="center"/>
          </w:tcPr>
          <w:p w14:paraId="045214C3">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tc>
        <w:tc>
          <w:tcPr>
            <w:tcW w:w="1843" w:type="dxa"/>
            <w:noWrap w:val="0"/>
            <w:vAlign w:val="center"/>
          </w:tcPr>
          <w:p w14:paraId="46E007FB">
            <w:pPr>
              <w:wordWrap w:val="0"/>
              <w:jc w:val="center"/>
              <w:rPr>
                <w:rFonts w:hint="eastAsia" w:ascii="宋体" w:hAnsi="宋体" w:eastAsia="宋体" w:cs="宋体"/>
                <w:color w:val="auto"/>
                <w:sz w:val="21"/>
                <w:szCs w:val="21"/>
                <w:highlight w:val="none"/>
              </w:rPr>
            </w:pPr>
          </w:p>
        </w:tc>
      </w:tr>
      <w:tr w14:paraId="22A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83BFD02">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985" w:type="dxa"/>
            <w:noWrap w:val="0"/>
            <w:vAlign w:val="center"/>
          </w:tcPr>
          <w:p w14:paraId="326F9667">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126" w:type="dxa"/>
            <w:noWrap w:val="0"/>
            <w:tcMar>
              <w:left w:w="170" w:type="dxa"/>
            </w:tcMar>
            <w:vAlign w:val="center"/>
          </w:tcPr>
          <w:p w14:paraId="3BE3D504">
            <w:pPr>
              <w:wordWrap w:val="0"/>
              <w:rPr>
                <w:rFonts w:hint="eastAsia" w:ascii="宋体" w:hAnsi="宋体" w:eastAsia="宋体" w:cs="宋体"/>
                <w:color w:val="auto"/>
                <w:sz w:val="21"/>
                <w:szCs w:val="21"/>
                <w:highlight w:val="none"/>
              </w:rPr>
            </w:pPr>
          </w:p>
        </w:tc>
        <w:tc>
          <w:tcPr>
            <w:tcW w:w="1984" w:type="dxa"/>
            <w:noWrap w:val="0"/>
            <w:vAlign w:val="center"/>
          </w:tcPr>
          <w:p w14:paraId="1F9110AC">
            <w:pPr>
              <w:wordWrap w:val="0"/>
              <w:jc w:val="center"/>
              <w:rPr>
                <w:rFonts w:hint="eastAsia" w:ascii="宋体" w:hAnsi="宋体" w:eastAsia="宋体" w:cs="宋体"/>
                <w:color w:val="auto"/>
                <w:sz w:val="21"/>
                <w:szCs w:val="21"/>
                <w:highlight w:val="none"/>
              </w:rPr>
            </w:pPr>
          </w:p>
        </w:tc>
        <w:tc>
          <w:tcPr>
            <w:tcW w:w="1843" w:type="dxa"/>
            <w:noWrap w:val="0"/>
            <w:vAlign w:val="center"/>
          </w:tcPr>
          <w:p w14:paraId="19C0BB33">
            <w:pPr>
              <w:wordWrap w:val="0"/>
              <w:jc w:val="center"/>
              <w:rPr>
                <w:rFonts w:hint="eastAsia" w:ascii="宋体" w:hAnsi="宋体" w:eastAsia="宋体" w:cs="宋体"/>
                <w:color w:val="auto"/>
                <w:sz w:val="21"/>
                <w:szCs w:val="21"/>
                <w:highlight w:val="none"/>
              </w:rPr>
            </w:pPr>
          </w:p>
        </w:tc>
      </w:tr>
      <w:tr w14:paraId="5CB3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064B8C8B">
            <w:pPr>
              <w:wordWrap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备注：供应商在响应竞争性磋商文件中规定的实质性要求和条件的基础上，可做出其他有利于采购单位的承诺。此类承诺可在本表中予以补充填写。</w:t>
            </w:r>
          </w:p>
        </w:tc>
      </w:tr>
    </w:tbl>
    <w:p w14:paraId="6A282D51">
      <w:pPr>
        <w:snapToGrid w:val="0"/>
        <w:spacing w:before="50" w:after="50" w:line="360" w:lineRule="auto"/>
        <w:rPr>
          <w:rFonts w:hint="eastAsia" w:ascii="宋体" w:hAnsi="宋体" w:eastAsia="宋体" w:cs="宋体"/>
          <w:color w:val="auto"/>
          <w:sz w:val="24"/>
          <w:highlight w:val="none"/>
        </w:rPr>
      </w:pPr>
    </w:p>
    <w:p w14:paraId="3D1681B9">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FE9CB12">
      <w:pPr>
        <w:snapToGrid w:val="0"/>
        <w:spacing w:before="50" w:after="50" w:line="360" w:lineRule="auto"/>
        <w:rPr>
          <w:rFonts w:hint="eastAsia" w:ascii="宋体" w:hAnsi="宋体" w:eastAsia="宋体" w:cs="宋体"/>
          <w:color w:val="auto"/>
          <w:sz w:val="24"/>
          <w:highlight w:val="none"/>
        </w:rPr>
      </w:pPr>
    </w:p>
    <w:p w14:paraId="00B6F70D">
      <w:pPr>
        <w:autoSpaceDE w:val="0"/>
        <w:autoSpaceDN w:val="0"/>
        <w:spacing w:line="360" w:lineRule="auto"/>
        <w:ind w:left="4305" w:leftChars="1950" w:hanging="210" w:hanging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w:t>
      </w:r>
      <w:r>
        <w:rPr>
          <w:rFonts w:hint="eastAsia" w:ascii="宋体" w:hAnsi="宋体" w:eastAsia="宋体" w:cs="宋体"/>
          <w:color w:val="auto"/>
          <w:sz w:val="21"/>
          <w:szCs w:val="21"/>
          <w:highlight w:val="none"/>
          <w:lang w:val="en-US" w:eastAsia="zh-CN"/>
        </w:rPr>
        <w:t>盖电子</w:t>
      </w:r>
      <w:r>
        <w:rPr>
          <w:rFonts w:hint="eastAsia" w:ascii="宋体" w:hAnsi="宋体" w:eastAsia="宋体" w:cs="宋体"/>
          <w:color w:val="auto"/>
          <w:sz w:val="21"/>
          <w:szCs w:val="21"/>
          <w:highlight w:val="none"/>
        </w:rPr>
        <w:t>公章</w:t>
      </w:r>
      <w:r>
        <w:rPr>
          <w:rFonts w:hint="eastAsia" w:ascii="宋体" w:hAnsi="宋体" w:eastAsia="宋体" w:cs="宋体"/>
          <w:color w:val="auto"/>
          <w:kern w:val="0"/>
          <w:sz w:val="21"/>
          <w:szCs w:val="21"/>
          <w:highlight w:val="none"/>
        </w:rPr>
        <w:t>）：</w:t>
      </w:r>
    </w:p>
    <w:p w14:paraId="1061121C">
      <w:pPr>
        <w:autoSpaceDE w:val="0"/>
        <w:autoSpaceDN w:val="0"/>
        <w:spacing w:line="360" w:lineRule="auto"/>
        <w:ind w:left="4334" w:leftChars="1964" w:hanging="210" w:hanging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法定代表人或委托代理人（签字/电子签名）：</w:t>
      </w:r>
    </w:p>
    <w:p w14:paraId="2BD3E149">
      <w:pPr>
        <w:pStyle w:val="105"/>
        <w:spacing w:line="500" w:lineRule="exact"/>
        <w:ind w:firstLine="5565" w:firstLineChars="265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  年  月   日</w:t>
      </w:r>
    </w:p>
    <w:p w14:paraId="56166D42">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C600735">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7283F04C">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44E71A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7E062C0">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color w:val="auto"/>
          <w:highlight w:val="none"/>
        </w:rPr>
      </w:pPr>
      <w:r>
        <w:rPr>
          <w:rFonts w:hint="eastAsia" w:ascii="宋体" w:hAnsi="宋体" w:eastAsia="宋体" w:cs="宋体"/>
          <w:b/>
          <w:color w:val="auto"/>
          <w:sz w:val="28"/>
          <w:szCs w:val="28"/>
          <w:highlight w:val="none"/>
          <w:lang w:val="en-US" w:eastAsia="zh-CN"/>
        </w:rPr>
        <w:t>响应报价表</w:t>
      </w:r>
      <w:r>
        <w:rPr>
          <w:rFonts w:hint="eastAsia" w:ascii="宋体" w:hAnsi="宋体" w:eastAsia="宋体" w:cs="宋体"/>
          <w:b/>
          <w:color w:val="auto"/>
          <w:sz w:val="28"/>
          <w:szCs w:val="28"/>
          <w:highlight w:val="none"/>
          <w:lang w:val="zh-CN"/>
        </w:rPr>
        <w:t>的格式：</w:t>
      </w:r>
      <w:r>
        <w:rPr>
          <w:rFonts w:hint="eastAsia" w:ascii="宋体" w:hAnsi="宋体" w:eastAsia="宋体" w:cs="宋体"/>
          <w:b/>
          <w:color w:val="auto"/>
          <w:sz w:val="30"/>
          <w:szCs w:val="30"/>
          <w:highlight w:val="none"/>
          <w:lang w:val="zh-CN"/>
        </w:rPr>
        <w:t xml:space="preserve"> </w:t>
      </w:r>
    </w:p>
    <w:p w14:paraId="0D4D2291">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lang w:val="en-US" w:eastAsia="zh-CN"/>
        </w:rPr>
        <w:t>响应报价表</w:t>
      </w:r>
    </w:p>
    <w:p w14:paraId="2957F629">
      <w:pPr>
        <w:keepNext w:val="0"/>
        <w:keepLines w:val="0"/>
        <w:pageBreakBefore w:val="0"/>
        <w:kinsoku/>
        <w:wordWrap/>
        <w:overflowPunct/>
        <w:topLinePunct w:val="0"/>
        <w:bidi w:val="0"/>
        <w:adjustRightInd/>
        <w:snapToGrid w:val="0"/>
        <w:spacing w:before="50" w:after="5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FF842EB">
      <w:pPr>
        <w:keepNext w:val="0"/>
        <w:keepLines w:val="0"/>
        <w:pageBreakBefore w:val="0"/>
        <w:kinsoku/>
        <w:wordWrap/>
        <w:overflowPunct/>
        <w:topLinePunct w:val="0"/>
        <w:bidi w:val="0"/>
        <w:adjustRightInd/>
        <w:snapToGrid w:val="0"/>
        <w:spacing w:before="50" w:after="5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D3066FD">
      <w:pPr>
        <w:keepNext w:val="0"/>
        <w:keepLines w:val="0"/>
        <w:pageBreakBefore w:val="0"/>
        <w:kinsoku/>
        <w:wordWrap/>
        <w:overflowPunct/>
        <w:topLinePunct w:val="0"/>
        <w:bidi w:val="0"/>
        <w:adjustRightInd/>
        <w:spacing w:line="360" w:lineRule="auto"/>
        <w:contextualSpacing/>
        <w:textAlignment w:val="auto"/>
        <w:rPr>
          <w:rFonts w:hint="eastAsia" w:ascii="宋体" w:hAnsi="宋体" w:eastAsia="宋体" w:cs="宋体"/>
          <w:color w:val="auto"/>
          <w:sz w:val="24"/>
          <w:highlight w:val="none"/>
          <w:u w:val="singl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p w14:paraId="3D3A21C7">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tbl>
      <w:tblPr>
        <w:tblStyle w:val="29"/>
        <w:tblW w:w="0" w:type="auto"/>
        <w:jc w:val="center"/>
        <w:tblLayout w:type="fixed"/>
        <w:tblCellMar>
          <w:top w:w="0" w:type="dxa"/>
          <w:left w:w="0" w:type="dxa"/>
          <w:bottom w:w="0" w:type="dxa"/>
          <w:right w:w="0" w:type="dxa"/>
        </w:tblCellMar>
      </w:tblPr>
      <w:tblGrid>
        <w:gridCol w:w="1135"/>
        <w:gridCol w:w="4450"/>
        <w:gridCol w:w="3761"/>
      </w:tblGrid>
      <w:tr w14:paraId="7AE13F2F">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4C61144">
            <w:pPr>
              <w:autoSpaceDE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6EF597D">
            <w:pPr>
              <w:autoSpaceDE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761" w:type="dxa"/>
            <w:tcBorders>
              <w:top w:val="single" w:color="000000" w:sz="4" w:space="0"/>
              <w:left w:val="nil"/>
              <w:bottom w:val="single" w:color="000000" w:sz="4" w:space="0"/>
              <w:right w:val="single" w:color="000000" w:sz="4" w:space="0"/>
            </w:tcBorders>
            <w:noWrap w:val="0"/>
            <w:vAlign w:val="center"/>
          </w:tcPr>
          <w:p w14:paraId="4AED741A">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0C2FA81">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11CA9247">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146F5CF9">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4867FCA">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A95A3C6">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B6F7CE9">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168D92EB">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0F57A9C">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E2961C5">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0EA3D6E7">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248A75B4">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3ECF37B5">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70F83C9F">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7BEE27ED">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15EBF221">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0BD4C1BB">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9855D91">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5CB9F1">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35B376C">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635D7098">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7D1A394">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14E75B54">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47362BB">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6E304E1B">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BDDAF85">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30432F68">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64B42450">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53686681">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419342">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3DD42F56">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30FDDD5">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212EA672">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62E1A75E">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66BB636C">
      <w:pPr>
        <w:keepNext w:val="0"/>
        <w:keepLines w:val="0"/>
        <w:pageBreakBefore w:val="0"/>
        <w:kinsoku/>
        <w:wordWrap/>
        <w:overflowPunct/>
        <w:topLinePunct w:val="0"/>
        <w:bidi w:val="0"/>
        <w:adjustRightInd/>
        <w:snapToGrid w:val="0"/>
        <w:spacing w:before="50" w:after="50"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 1、供应商需按本表格式填写，不得自行更改，也不得留空（</w:t>
      </w:r>
      <w:r>
        <w:rPr>
          <w:rFonts w:hint="eastAsia" w:ascii="宋体" w:hAnsi="宋体" w:eastAsia="宋体" w:cs="宋体"/>
          <w:color w:val="auto"/>
          <w:szCs w:val="21"/>
          <w:highlight w:val="none"/>
        </w:rPr>
        <w:t>备注除外</w:t>
      </w:r>
      <w:r>
        <w:rPr>
          <w:rFonts w:hint="eastAsia" w:ascii="宋体" w:hAnsi="宋体" w:eastAsia="宋体" w:cs="宋体"/>
          <w:color w:val="auto"/>
          <w:kern w:val="0"/>
          <w:szCs w:val="21"/>
          <w:highlight w:val="none"/>
          <w:lang w:val="zh-CN"/>
        </w:rPr>
        <w:t>）, 如有多分标，按分标分别提供响应报价表，</w:t>
      </w:r>
      <w:r>
        <w:rPr>
          <w:rFonts w:hint="eastAsia" w:ascii="宋体" w:hAnsi="宋体" w:eastAsia="宋体" w:cs="宋体"/>
          <w:b/>
          <w:color w:val="auto"/>
          <w:kern w:val="0"/>
          <w:szCs w:val="21"/>
          <w:highlight w:val="none"/>
          <w:lang w:val="zh-CN"/>
        </w:rPr>
        <w:t>否则其响应按无效响应处理。</w:t>
      </w:r>
    </w:p>
    <w:p w14:paraId="717F4894">
      <w:pPr>
        <w:keepNext w:val="0"/>
        <w:keepLines w:val="0"/>
        <w:pageBreakBefore w:val="0"/>
        <w:kinsoku/>
        <w:wordWrap/>
        <w:overflowPunct/>
        <w:topLinePunct w:val="0"/>
        <w:bidi w:val="0"/>
        <w:adjustRightInd/>
        <w:snapToGrid w:val="0"/>
        <w:spacing w:before="50" w:after="50" w:line="360" w:lineRule="auto"/>
        <w:ind w:firstLine="420" w:firstLineChars="200"/>
        <w:jc w:val="left"/>
        <w:textAlignment w:val="auto"/>
        <w:rPr>
          <w:rFonts w:hint="eastAsia"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color w:val="auto"/>
          <w:kern w:val="0"/>
          <w:szCs w:val="21"/>
          <w:highlight w:val="none"/>
          <w:lang w:val="zh-CN"/>
        </w:rPr>
        <w:t>否则其响应按无效响应处理。</w:t>
      </w:r>
    </w:p>
    <w:p w14:paraId="1F6FF10E">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、特别提示：采购代理机构将对项目名称和项目编号，成交供应商名称、成交金额，</w:t>
      </w:r>
      <w:r>
        <w:rPr>
          <w:rFonts w:hint="eastAsia" w:ascii="宋体" w:hAnsi="宋体" w:eastAsia="宋体" w:cs="宋体"/>
          <w:color w:val="auto"/>
          <w:highlight w:val="none"/>
        </w:rPr>
        <w:t>工期</w:t>
      </w:r>
      <w:r>
        <w:rPr>
          <w:rFonts w:hint="eastAsia" w:ascii="宋体" w:hAnsi="宋体" w:eastAsia="宋体" w:cs="宋体"/>
          <w:color w:val="auto"/>
          <w:kern w:val="0"/>
          <w:szCs w:val="21"/>
          <w:highlight w:val="none"/>
          <w:lang w:val="zh-CN"/>
        </w:rPr>
        <w:t>、</w:t>
      </w:r>
      <w:r>
        <w:rPr>
          <w:rFonts w:hint="eastAsia" w:ascii="宋体" w:hAnsi="宋体" w:eastAsia="宋体" w:cs="宋体"/>
          <w:color w:val="auto"/>
          <w:highlight w:val="none"/>
        </w:rPr>
        <w:t>工程内容</w:t>
      </w:r>
      <w:r>
        <w:rPr>
          <w:rFonts w:hint="eastAsia" w:ascii="宋体" w:hAnsi="宋体" w:eastAsia="宋体" w:cs="宋体"/>
          <w:color w:val="auto"/>
          <w:kern w:val="0"/>
          <w:szCs w:val="21"/>
          <w:highlight w:val="none"/>
          <w:lang w:val="zh-CN"/>
        </w:rPr>
        <w:t>等予以公示。</w:t>
      </w:r>
    </w:p>
    <w:p w14:paraId="3C8BF03F">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、符合采购文件中列明的可享受中小企业扶持政策的供应商，请填写中小企业声明函。</w:t>
      </w:r>
    </w:p>
    <w:p w14:paraId="3113D7C5">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5、供应商提供的中小企业声明函内容不实的，属于提供虚假材料谋取中标、成交，依照《中华人民共和国政府采购法》等国家有关规定追究相应责任。</w:t>
      </w:r>
    </w:p>
    <w:p w14:paraId="4DC3FC5F">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总报价含建安劳保费</w:t>
      </w:r>
    </w:p>
    <w:p w14:paraId="4C0496CA">
      <w:pPr>
        <w:keepNext w:val="0"/>
        <w:keepLines w:val="0"/>
        <w:pageBreakBefore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盖电子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29EAA9BA">
      <w:pPr>
        <w:keepNext w:val="0"/>
        <w:keepLines w:val="0"/>
        <w:pageBreakBefore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28"/>
          <w:szCs w:val="28"/>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D9F0E9C">
      <w:pPr>
        <w:pageBreakBefore w:val="0"/>
        <w:numPr>
          <w:ilvl w:val="0"/>
          <w:numId w:val="0"/>
        </w:numPr>
        <w:kinsoku/>
        <w:wordWrap/>
        <w:overflowPunct/>
        <w:topLinePunct w:val="0"/>
        <w:bidi w:val="0"/>
        <w:adjustRightIn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已标价工程量清单</w:t>
      </w:r>
    </w:p>
    <w:p w14:paraId="611E1881">
      <w:pPr>
        <w:spacing w:line="360" w:lineRule="auto"/>
        <w:ind w:firstLine="420" w:firstLineChars="200"/>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供应商应按照第</w:t>
      </w: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章“工程量清单、图纸”的要求逐项填报工程量清单，包括工程量清单说明、投标报价说明、计日工说明、其他说明及工程量清单各项表格。</w:t>
      </w:r>
    </w:p>
    <w:p w14:paraId="095E0EC3">
      <w:pPr>
        <w:spacing w:line="360" w:lineRule="auto"/>
        <w:ind w:firstLine="420" w:firstLineChars="200"/>
        <w:contextualSpacing/>
        <w:jc w:val="left"/>
        <w:rPr>
          <w:rFonts w:hint="eastAsia" w:ascii="宋体" w:hAnsi="宋体" w:eastAsia="宋体" w:cs="宋体"/>
          <w:color w:val="auto"/>
          <w:highlight w:val="none"/>
        </w:rPr>
      </w:pPr>
    </w:p>
    <w:p w14:paraId="5752A297">
      <w:pPr>
        <w:spacing w:line="360" w:lineRule="auto"/>
        <w:ind w:firstLine="420" w:firstLineChars="200"/>
        <w:contextualSpacing/>
        <w:jc w:val="left"/>
        <w:rPr>
          <w:rFonts w:hint="eastAsia" w:ascii="宋体" w:hAnsi="宋体" w:eastAsia="宋体" w:cs="宋体"/>
          <w:color w:val="auto"/>
          <w:highlight w:val="none"/>
        </w:rPr>
      </w:pPr>
    </w:p>
    <w:p w14:paraId="7C56558E">
      <w:pPr>
        <w:spacing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color w:val="auto"/>
          <w:sz w:val="21"/>
          <w:szCs w:val="21"/>
          <w:highlight w:val="none"/>
        </w:rPr>
        <w:t>当本清单由多页构成时，需逐页加盖磋商供应商电子公章（CA签章）（属自然人的须逐页签字或个人CA签章）。</w:t>
      </w:r>
    </w:p>
    <w:p w14:paraId="55F8B349">
      <w:pPr>
        <w:spacing w:line="360" w:lineRule="auto"/>
        <w:ind w:firstLine="420" w:firstLineChars="200"/>
        <w:contextualSpacing/>
        <w:jc w:val="left"/>
        <w:rPr>
          <w:rFonts w:hint="eastAsia" w:ascii="宋体" w:hAnsi="宋体" w:eastAsia="宋体" w:cs="宋体"/>
          <w:color w:val="auto"/>
          <w:highlight w:val="none"/>
        </w:rPr>
      </w:pPr>
    </w:p>
    <w:p w14:paraId="15947EB3">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5C51FDB">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F0EBE50">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D240DCC">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4FC097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37D87E9">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1D70D1A">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EFE10F3">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081C5F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CB4F29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29A6164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DD04EB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49C0C6D">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36545D2">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C09473F">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73A09AA">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0C6634B">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730250D">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7FA23B2">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AE44658">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F9F6E0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425B81C">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F072BE1">
      <w:pPr>
        <w:pageBreakBefore w:val="0"/>
        <w:kinsoku/>
        <w:wordWrap/>
        <w:topLinePunct w:val="0"/>
        <w:bidi w:val="0"/>
        <w:spacing w:line="360" w:lineRule="auto"/>
        <w:jc w:val="both"/>
        <w:textAlignment w:val="auto"/>
        <w:outlineLvl w:val="9"/>
        <w:rPr>
          <w:rFonts w:hint="eastAsia" w:ascii="宋体" w:hAnsi="宋体" w:eastAsia="宋体" w:cs="宋体"/>
          <w:b/>
          <w:bCs w:val="0"/>
          <w:color w:val="auto"/>
          <w:highlight w:val="none"/>
        </w:rPr>
      </w:pPr>
      <w:bookmarkStart w:id="54" w:name="_Toc18482"/>
      <w:bookmarkStart w:id="55" w:name="_Toc13936"/>
    </w:p>
    <w:p w14:paraId="5F48A36D">
      <w:pPr>
        <w:pStyle w:val="3"/>
        <w:pageBreakBefore w:val="0"/>
        <w:kinsoku/>
        <w:wordWrap/>
        <w:topLinePunct w:val="0"/>
        <w:bidi w:val="0"/>
        <w:spacing w:line="360" w:lineRule="auto"/>
        <w:jc w:val="center"/>
        <w:textAlignment w:val="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第</w:t>
      </w:r>
      <w:r>
        <w:rPr>
          <w:rFonts w:hint="eastAsia" w:ascii="宋体" w:hAnsi="宋体" w:eastAsia="宋体" w:cs="宋体"/>
          <w:b/>
          <w:bCs w:val="0"/>
          <w:color w:val="auto"/>
          <w:highlight w:val="none"/>
          <w:lang w:eastAsia="zh-CN"/>
        </w:rPr>
        <w:t>三</w:t>
      </w:r>
      <w:r>
        <w:rPr>
          <w:rFonts w:hint="eastAsia" w:ascii="宋体" w:hAnsi="宋体" w:eastAsia="宋体" w:cs="宋体"/>
          <w:b/>
          <w:bCs w:val="0"/>
          <w:color w:val="auto"/>
          <w:highlight w:val="none"/>
        </w:rPr>
        <w:t xml:space="preserve">节 </w:t>
      </w:r>
      <w:r>
        <w:rPr>
          <w:rFonts w:hint="eastAsia" w:ascii="宋体" w:hAnsi="宋体" w:eastAsia="宋体" w:cs="宋体"/>
          <w:b/>
          <w:bCs w:val="0"/>
          <w:color w:val="auto"/>
          <w:highlight w:val="none"/>
          <w:lang w:eastAsia="zh-CN"/>
        </w:rPr>
        <w:t>商务技术</w:t>
      </w:r>
      <w:r>
        <w:rPr>
          <w:rFonts w:hint="eastAsia" w:ascii="宋体" w:hAnsi="宋体" w:eastAsia="宋体" w:cs="宋体"/>
          <w:b/>
          <w:bCs w:val="0"/>
          <w:color w:val="auto"/>
          <w:highlight w:val="none"/>
        </w:rPr>
        <w:t>文件格式</w:t>
      </w:r>
    </w:p>
    <w:p w14:paraId="14AFE07D">
      <w:pPr>
        <w:pageBreakBefore w:val="0"/>
        <w:kinsoku/>
        <w:wordWrap/>
        <w:topLinePunct w:val="0"/>
        <w:bidi w:val="0"/>
        <w:snapToGrid w:val="0"/>
        <w:spacing w:before="120" w:beforeLines="50" w:after="50"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b/>
          <w:bCs/>
          <w:color w:val="auto"/>
          <w:sz w:val="28"/>
          <w:szCs w:val="28"/>
          <w:highlight w:val="none"/>
        </w:rPr>
        <w:t>商务技术文件封面的格式：</w:t>
      </w:r>
      <w:r>
        <w:rPr>
          <w:rFonts w:hint="eastAsia" w:ascii="宋体" w:hAnsi="宋体" w:eastAsia="宋体" w:cs="宋体"/>
          <w:color w:val="auto"/>
          <w:sz w:val="24"/>
          <w:highlight w:val="none"/>
        </w:rPr>
        <w:t xml:space="preserve">                                      </w:t>
      </w:r>
    </w:p>
    <w:p w14:paraId="7D94ACEC">
      <w:pPr>
        <w:pageBreakBefore w:val="0"/>
        <w:kinsoku/>
        <w:wordWrap/>
        <w:topLinePunct w:val="0"/>
        <w:bidi w:val="0"/>
        <w:snapToGrid w:val="0"/>
        <w:spacing w:before="120" w:beforeLines="50" w:after="50" w:line="360" w:lineRule="auto"/>
        <w:ind w:firstLine="6930" w:firstLineChars="33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4A8C34F1">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4DA1AA7D">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608A05A9">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eastAsia="zh-CN"/>
        </w:rPr>
        <w:t>商</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务</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技</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术</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文</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件</w:t>
      </w:r>
    </w:p>
    <w:p w14:paraId="7A1723C1">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CB616C4">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7A74C89">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D13BD46">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233C641">
      <w:pPr>
        <w:pageBreakBefore w:val="0"/>
        <w:kinsoku/>
        <w:wordWrap/>
        <w:topLinePunct w:val="0"/>
        <w:bidi w:val="0"/>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D06053F">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7E4CED9F">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411AB5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F50C341">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10C7F89">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14092009">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95A2F5C">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p>
    <w:p w14:paraId="24976A02">
      <w:pPr>
        <w:pStyle w:val="7"/>
        <w:pageBreakBefore w:val="0"/>
        <w:kinsoku/>
        <w:wordWrap/>
        <w:topLinePunct w:val="0"/>
        <w:bidi w:val="0"/>
        <w:snapToGrid w:val="0"/>
        <w:spacing w:before="50" w:after="50" w:line="360" w:lineRule="auto"/>
        <w:ind w:firstLine="1280" w:firstLineChars="400"/>
        <w:textAlignment w:val="auto"/>
        <w:rPr>
          <w:rFonts w:hint="eastAsia" w:ascii="宋体" w:hAnsi="宋体" w:eastAsia="宋体" w:cs="宋体"/>
          <w:bCs/>
          <w:color w:val="auto"/>
          <w:sz w:val="32"/>
          <w:szCs w:val="32"/>
          <w:highlight w:val="none"/>
        </w:rPr>
      </w:pPr>
    </w:p>
    <w:p w14:paraId="4E71F9CE">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1C8ED06">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br w:type="page"/>
      </w:r>
    </w:p>
    <w:p w14:paraId="2B60DB82">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商务技术</w:t>
      </w:r>
      <w:r>
        <w:rPr>
          <w:rFonts w:hint="eastAsia" w:ascii="宋体" w:hAnsi="宋体" w:eastAsia="宋体" w:cs="宋体"/>
          <w:b/>
          <w:bCs/>
          <w:color w:val="auto"/>
          <w:sz w:val="28"/>
          <w:szCs w:val="28"/>
          <w:highlight w:val="none"/>
        </w:rPr>
        <w:t>文件目录</w:t>
      </w:r>
    </w:p>
    <w:p w14:paraId="45CF94CD">
      <w:pPr>
        <w:pageBreakBefore w:val="0"/>
        <w:kinsoku/>
        <w:wordWrap/>
        <w:topLinePunct w:val="0"/>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根据竞争性磋商文件规定及供应商提供的材料自行编写目录（部分格式后附）。</w:t>
      </w:r>
    </w:p>
    <w:p w14:paraId="3C2B185F">
      <w:pPr>
        <w:spacing w:line="400" w:lineRule="exact"/>
        <w:rPr>
          <w:rFonts w:hint="eastAsia" w:ascii="宋体" w:hAnsi="宋体" w:eastAsia="宋体" w:cs="宋体"/>
          <w:color w:val="auto"/>
          <w:sz w:val="32"/>
          <w:szCs w:val="32"/>
          <w:highlight w:val="none"/>
        </w:rPr>
      </w:pPr>
    </w:p>
    <w:p w14:paraId="36442852">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color w:val="auto"/>
          <w:sz w:val="32"/>
          <w:szCs w:val="32"/>
          <w:highlight w:val="none"/>
        </w:rPr>
        <w:t>无串通竞标行为的承诺函</w:t>
      </w:r>
    </w:p>
    <w:p w14:paraId="7E3E732A">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宋体" w:hAnsi="宋体" w:eastAsia="宋体" w:cs="宋体"/>
          <w:color w:val="auto"/>
          <w:sz w:val="32"/>
          <w:szCs w:val="32"/>
          <w:highlight w:val="none"/>
        </w:rPr>
      </w:pPr>
    </w:p>
    <w:p w14:paraId="472CF1FD">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一、我方承诺无下列相互串通竞标的情形：</w:t>
      </w:r>
    </w:p>
    <w:p w14:paraId="741C45B9">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p>
    <w:p w14:paraId="549FAA29">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E65AC32">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3.不同供应商的响应文件载明的项目管理员为同一个人；</w:t>
      </w:r>
    </w:p>
    <w:p w14:paraId="32E2E36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w:t>
      </w:r>
      <w:r>
        <w:rPr>
          <w:rFonts w:hint="eastAsia" w:ascii="宋体" w:hAnsi="宋体" w:eastAsia="宋体" w:cs="宋体"/>
          <w:color w:val="auto"/>
          <w:spacing w:val="-6"/>
          <w:szCs w:val="21"/>
          <w:highlight w:val="none"/>
        </w:rPr>
        <w:t>同供应商的响应文件异常一致或者响应报价呈规律性差异；</w:t>
      </w:r>
    </w:p>
    <w:p w14:paraId="74AC250B">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59F30DF8">
      <w:pPr>
        <w:pStyle w:val="13"/>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p>
    <w:p w14:paraId="769B12AD">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二、我方承诺无下列恶意串通的情形：</w:t>
      </w:r>
    </w:p>
    <w:p w14:paraId="7856E96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20BE80EC">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3B23E99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w:t>
      </w:r>
      <w:r>
        <w:rPr>
          <w:rFonts w:hint="eastAsia" w:ascii="宋体" w:hAnsi="宋体" w:eastAsia="宋体" w:cs="宋体"/>
          <w:color w:val="auto"/>
          <w:spacing w:val="-6"/>
          <w:szCs w:val="21"/>
          <w:highlight w:val="none"/>
        </w:rPr>
        <w:t>应商之间协商报价、技术方案等响应文件的实质性内容；</w:t>
      </w:r>
    </w:p>
    <w:p w14:paraId="1BC827DA">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3523E738">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5.供应商之间事先约定一致抬高或者压低响应报价，或者在竞争性磋商项目中事先约定轮流以高价位或者低价位成交，或者事先约定由某一特定供应商成交，然后再参加竞标；</w:t>
      </w:r>
    </w:p>
    <w:p w14:paraId="3FD65A1B">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106A7A6">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w:t>
      </w:r>
      <w:r>
        <w:rPr>
          <w:rFonts w:hint="eastAsia" w:ascii="宋体" w:hAnsi="宋体" w:eastAsia="宋体" w:cs="宋体"/>
          <w:color w:val="auto"/>
          <w:spacing w:val="-6"/>
          <w:szCs w:val="21"/>
          <w:highlight w:val="none"/>
        </w:rPr>
        <w:t>谋求特定供应商成交或者排斥其他供应商的其他串通行为。</w:t>
      </w:r>
    </w:p>
    <w:p w14:paraId="7E60287F">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p>
    <w:p w14:paraId="56909932">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以上情形一经核查属实，接受政府采购监管部门对我方认定存在围标串标行为，我方愿意承担一切后果，并不再寻求任何旨在减轻或者免除法律责任的辩解。</w:t>
      </w:r>
    </w:p>
    <w:p w14:paraId="79FF5480">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6E93AA99">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2FD87751">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1323C43C">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2F97F1E2">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78585728">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6FC69D5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02A0330">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rPr>
        <w:br w:type="page"/>
      </w:r>
      <w:r>
        <w:rPr>
          <w:rFonts w:hint="eastAsia" w:ascii="宋体" w:hAnsi="宋体" w:eastAsia="宋体" w:cs="宋体"/>
          <w:b/>
          <w:bCs/>
          <w:color w:val="auto"/>
          <w:sz w:val="28"/>
          <w:szCs w:val="28"/>
          <w:highlight w:val="none"/>
        </w:rPr>
        <w:t>法定代表人身份证明的格式：</w:t>
      </w:r>
    </w:p>
    <w:p w14:paraId="6F3ECEB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w:t>
      </w:r>
    </w:p>
    <w:p w14:paraId="57AAE678">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 w:val="32"/>
          <w:szCs w:val="32"/>
          <w:highlight w:val="none"/>
        </w:rPr>
      </w:pPr>
    </w:p>
    <w:p w14:paraId="03585E28">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 应 商：</w:t>
      </w:r>
      <w:r>
        <w:rPr>
          <w:rFonts w:hint="eastAsia" w:ascii="宋体" w:hAnsi="宋体" w:eastAsia="宋体" w:cs="宋体"/>
          <w:color w:val="auto"/>
          <w:szCs w:val="21"/>
          <w:highlight w:val="none"/>
          <w:u w:val="single"/>
        </w:rPr>
        <w:t xml:space="preserve">                                                        </w:t>
      </w:r>
    </w:p>
    <w:p w14:paraId="766C50BD">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7CCFBC5A">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00FBE0A6">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A4B21BE">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14:paraId="4825E5A9">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2275BA58">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176CB78D">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w:t>
      </w:r>
    </w:p>
    <w:p w14:paraId="46B4AFAB">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4227A3DC">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77F058AE">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671188DD">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570176AC">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63C60BCA">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15EF73C4">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6140E0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5FC93B6">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 w:val="24"/>
          <w:highlight w:val="none"/>
        </w:rPr>
      </w:pPr>
    </w:p>
    <w:p w14:paraId="4C2ABE8D">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 w:val="24"/>
          <w:highlight w:val="none"/>
        </w:rPr>
      </w:pPr>
    </w:p>
    <w:p w14:paraId="1DA2CBFD">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6B74754">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1.自然人竞标的无需提供，联合体竞标的只需牵头人出具。</w:t>
      </w:r>
    </w:p>
    <w:p w14:paraId="691F7484">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5640E46">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5F24BCEB">
      <w:pPr>
        <w:adjustRightInd w:val="0"/>
        <w:snapToGrid w:val="0"/>
        <w:spacing w:line="300" w:lineRule="auto"/>
        <w:jc w:val="left"/>
        <w:rPr>
          <w:rFonts w:hint="eastAsia" w:ascii="宋体" w:hAnsi="宋体" w:eastAsia="宋体" w:cs="宋体"/>
          <w:b/>
          <w:color w:val="auto"/>
          <w:szCs w:val="21"/>
          <w:highlight w:val="none"/>
        </w:rPr>
      </w:pPr>
    </w:p>
    <w:tbl>
      <w:tblPr>
        <w:tblStyle w:val="29"/>
        <w:tblpPr w:leftFromText="180" w:rightFromText="180" w:vertAnchor="text" w:horzAnchor="page" w:tblpX="1957" w:tblpY="3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D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3113DB0C">
            <w:pPr>
              <w:spacing w:line="360" w:lineRule="auto"/>
              <w:rPr>
                <w:rFonts w:hint="eastAsia" w:ascii="宋体" w:hAnsi="宋体" w:eastAsia="宋体" w:cs="宋体"/>
                <w:b/>
                <w:color w:val="auto"/>
                <w:sz w:val="24"/>
                <w:highlight w:val="none"/>
              </w:rPr>
            </w:pPr>
          </w:p>
          <w:p w14:paraId="0351D79D">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法定代表人身份证复印件粘贴处（正、反面）</w:t>
            </w:r>
          </w:p>
        </w:tc>
      </w:tr>
    </w:tbl>
    <w:p w14:paraId="590FD2DE">
      <w:pPr>
        <w:spacing w:line="520" w:lineRule="exact"/>
        <w:ind w:firstLine="880"/>
        <w:jc w:val="left"/>
        <w:rPr>
          <w:rFonts w:hint="eastAsia" w:ascii="宋体" w:hAnsi="宋体" w:eastAsia="宋体" w:cs="宋体"/>
          <w:color w:val="auto"/>
          <w:szCs w:val="21"/>
          <w:highlight w:val="none"/>
        </w:rPr>
      </w:pPr>
    </w:p>
    <w:p w14:paraId="170B02BC">
      <w:pPr>
        <w:spacing w:line="520" w:lineRule="exact"/>
        <w:ind w:firstLine="880"/>
        <w:jc w:val="left"/>
        <w:rPr>
          <w:rFonts w:hint="eastAsia" w:ascii="宋体" w:hAnsi="宋体" w:eastAsia="宋体" w:cs="宋体"/>
          <w:color w:val="auto"/>
          <w:szCs w:val="21"/>
          <w:highlight w:val="none"/>
        </w:rPr>
      </w:pPr>
    </w:p>
    <w:p w14:paraId="152683C6">
      <w:pPr>
        <w:spacing w:line="520" w:lineRule="exact"/>
        <w:ind w:firstLine="880"/>
        <w:jc w:val="left"/>
        <w:rPr>
          <w:rFonts w:hint="eastAsia" w:ascii="宋体" w:hAnsi="宋体" w:eastAsia="宋体" w:cs="宋体"/>
          <w:color w:val="auto"/>
          <w:szCs w:val="21"/>
          <w:highlight w:val="none"/>
        </w:rPr>
      </w:pPr>
    </w:p>
    <w:p w14:paraId="04CC8531">
      <w:pPr>
        <w:spacing w:line="520" w:lineRule="exact"/>
        <w:ind w:firstLine="880"/>
        <w:jc w:val="left"/>
        <w:rPr>
          <w:rFonts w:hint="eastAsia" w:ascii="宋体" w:hAnsi="宋体" w:eastAsia="宋体" w:cs="宋体"/>
          <w:color w:val="auto"/>
          <w:szCs w:val="21"/>
          <w:highlight w:val="none"/>
        </w:rPr>
      </w:pPr>
    </w:p>
    <w:p w14:paraId="7086D8A1">
      <w:pPr>
        <w:spacing w:line="520" w:lineRule="exact"/>
        <w:ind w:firstLine="880"/>
        <w:jc w:val="left"/>
        <w:rPr>
          <w:rFonts w:hint="eastAsia" w:ascii="宋体" w:hAnsi="宋体" w:eastAsia="宋体" w:cs="宋体"/>
          <w:color w:val="auto"/>
          <w:szCs w:val="21"/>
          <w:highlight w:val="none"/>
        </w:rPr>
      </w:pPr>
    </w:p>
    <w:p w14:paraId="4F4C41C8">
      <w:pPr>
        <w:spacing w:line="520" w:lineRule="exact"/>
        <w:ind w:firstLine="880"/>
        <w:jc w:val="left"/>
        <w:rPr>
          <w:rFonts w:hint="eastAsia" w:ascii="宋体" w:hAnsi="宋体" w:eastAsia="宋体" w:cs="宋体"/>
          <w:color w:val="auto"/>
          <w:szCs w:val="21"/>
          <w:highlight w:val="none"/>
        </w:rPr>
      </w:pPr>
    </w:p>
    <w:p w14:paraId="7668F705">
      <w:pPr>
        <w:spacing w:line="520" w:lineRule="exact"/>
        <w:ind w:firstLine="880"/>
        <w:jc w:val="left"/>
        <w:rPr>
          <w:rFonts w:hint="eastAsia" w:ascii="宋体" w:hAnsi="宋体" w:eastAsia="宋体" w:cs="宋体"/>
          <w:color w:val="auto"/>
          <w:szCs w:val="21"/>
          <w:highlight w:val="none"/>
        </w:rPr>
      </w:pPr>
    </w:p>
    <w:p w14:paraId="167A8ED9">
      <w:pPr>
        <w:spacing w:line="520" w:lineRule="exact"/>
        <w:ind w:firstLine="880"/>
        <w:jc w:val="left"/>
        <w:rPr>
          <w:rFonts w:hint="eastAsia" w:ascii="宋体" w:hAnsi="宋体" w:eastAsia="宋体" w:cs="宋体"/>
          <w:color w:val="auto"/>
          <w:szCs w:val="21"/>
          <w:highlight w:val="none"/>
        </w:rPr>
      </w:pPr>
    </w:p>
    <w:p w14:paraId="1BC27634">
      <w:pPr>
        <w:spacing w:line="520" w:lineRule="exact"/>
        <w:ind w:firstLine="880"/>
        <w:jc w:val="left"/>
        <w:rPr>
          <w:rFonts w:hint="eastAsia" w:ascii="宋体" w:hAnsi="宋体" w:eastAsia="宋体" w:cs="宋体"/>
          <w:color w:val="auto"/>
          <w:szCs w:val="21"/>
          <w:highlight w:val="none"/>
        </w:rPr>
      </w:pPr>
    </w:p>
    <w:p w14:paraId="45C9E9F3">
      <w:pPr>
        <w:spacing w:line="520" w:lineRule="exact"/>
        <w:ind w:firstLine="880"/>
        <w:jc w:val="left"/>
        <w:rPr>
          <w:rFonts w:hint="eastAsia" w:ascii="宋体" w:hAnsi="宋体" w:eastAsia="宋体" w:cs="宋体"/>
          <w:color w:val="auto"/>
          <w:szCs w:val="21"/>
          <w:highlight w:val="none"/>
        </w:rPr>
      </w:pPr>
    </w:p>
    <w:p w14:paraId="1AB21311">
      <w:pPr>
        <w:spacing w:line="520" w:lineRule="exact"/>
        <w:ind w:firstLine="880"/>
        <w:jc w:val="left"/>
        <w:rPr>
          <w:rFonts w:hint="eastAsia" w:ascii="宋体" w:hAnsi="宋体" w:eastAsia="宋体" w:cs="宋体"/>
          <w:color w:val="auto"/>
          <w:szCs w:val="21"/>
          <w:highlight w:val="none"/>
        </w:rPr>
      </w:pPr>
    </w:p>
    <w:p w14:paraId="207BC477">
      <w:pPr>
        <w:spacing w:line="520" w:lineRule="exact"/>
        <w:ind w:firstLine="880"/>
        <w:jc w:val="left"/>
        <w:rPr>
          <w:rFonts w:hint="eastAsia" w:ascii="宋体" w:hAnsi="宋体" w:eastAsia="宋体" w:cs="宋体"/>
          <w:color w:val="auto"/>
          <w:szCs w:val="21"/>
          <w:highlight w:val="none"/>
        </w:rPr>
      </w:pPr>
    </w:p>
    <w:p w14:paraId="49D58E7A">
      <w:pPr>
        <w:spacing w:line="520" w:lineRule="exact"/>
        <w:ind w:firstLine="880"/>
        <w:jc w:val="left"/>
        <w:rPr>
          <w:rFonts w:hint="eastAsia" w:ascii="宋体" w:hAnsi="宋体" w:eastAsia="宋体" w:cs="宋体"/>
          <w:color w:val="auto"/>
          <w:szCs w:val="21"/>
          <w:highlight w:val="none"/>
        </w:rPr>
      </w:pPr>
    </w:p>
    <w:p w14:paraId="1994EA9F">
      <w:pPr>
        <w:spacing w:line="520" w:lineRule="exact"/>
        <w:ind w:firstLine="880"/>
        <w:jc w:val="left"/>
        <w:rPr>
          <w:rFonts w:hint="eastAsia" w:ascii="宋体" w:hAnsi="宋体" w:eastAsia="宋体" w:cs="宋体"/>
          <w:color w:val="auto"/>
          <w:szCs w:val="21"/>
          <w:highlight w:val="none"/>
        </w:rPr>
      </w:pPr>
    </w:p>
    <w:p w14:paraId="6C184AEE">
      <w:pPr>
        <w:spacing w:line="520" w:lineRule="exact"/>
        <w:ind w:firstLine="880"/>
        <w:jc w:val="left"/>
        <w:rPr>
          <w:rFonts w:hint="eastAsia" w:ascii="宋体" w:hAnsi="宋体" w:eastAsia="宋体" w:cs="宋体"/>
          <w:color w:val="auto"/>
          <w:szCs w:val="21"/>
          <w:highlight w:val="none"/>
        </w:rPr>
      </w:pPr>
    </w:p>
    <w:p w14:paraId="520C5ED0">
      <w:pPr>
        <w:spacing w:line="520" w:lineRule="exact"/>
        <w:ind w:firstLine="880"/>
        <w:jc w:val="left"/>
        <w:rPr>
          <w:rFonts w:hint="eastAsia" w:ascii="宋体" w:hAnsi="宋体" w:eastAsia="宋体" w:cs="宋体"/>
          <w:color w:val="auto"/>
          <w:szCs w:val="21"/>
          <w:highlight w:val="none"/>
        </w:rPr>
      </w:pPr>
    </w:p>
    <w:p w14:paraId="553CF82F">
      <w:pPr>
        <w:spacing w:line="520" w:lineRule="exact"/>
        <w:ind w:firstLine="880"/>
        <w:jc w:val="left"/>
        <w:rPr>
          <w:rFonts w:hint="eastAsia" w:ascii="宋体" w:hAnsi="宋体" w:eastAsia="宋体" w:cs="宋体"/>
          <w:color w:val="auto"/>
          <w:szCs w:val="21"/>
          <w:highlight w:val="none"/>
        </w:rPr>
      </w:pPr>
    </w:p>
    <w:p w14:paraId="4739F2B1">
      <w:pPr>
        <w:spacing w:line="520" w:lineRule="exact"/>
        <w:ind w:firstLine="880"/>
        <w:jc w:val="left"/>
        <w:rPr>
          <w:rFonts w:hint="eastAsia" w:ascii="宋体" w:hAnsi="宋体" w:eastAsia="宋体" w:cs="宋体"/>
          <w:color w:val="auto"/>
          <w:szCs w:val="21"/>
          <w:highlight w:val="none"/>
        </w:rPr>
      </w:pPr>
    </w:p>
    <w:p w14:paraId="1F16A2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i w:val="0"/>
          <w:iCs w:val="0"/>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i w:val="0"/>
          <w:iCs w:val="0"/>
          <w:color w:val="auto"/>
          <w:sz w:val="28"/>
          <w:szCs w:val="28"/>
          <w:highlight w:val="none"/>
        </w:rPr>
        <w:t>法定代表人授权委托书的格式：</w:t>
      </w:r>
    </w:p>
    <w:p w14:paraId="396233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44"/>
          <w:szCs w:val="44"/>
          <w:highlight w:val="none"/>
        </w:rPr>
      </w:pPr>
    </w:p>
    <w:p w14:paraId="3CC1E1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授权委托书（非联合体竞标格式）</w:t>
      </w:r>
    </w:p>
    <w:p w14:paraId="5898B1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（如有委托时）</w:t>
      </w:r>
    </w:p>
    <w:p w14:paraId="4F2BC8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32"/>
          <w:szCs w:val="32"/>
          <w:highlight w:val="none"/>
        </w:rPr>
      </w:pPr>
    </w:p>
    <w:p w14:paraId="0F05CF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致：</w:t>
      </w:r>
      <w:r>
        <w:rPr>
          <w:rFonts w:hint="eastAsia" w:ascii="宋体" w:hAnsi="宋体" w:eastAsia="宋体" w:cs="宋体"/>
          <w:i w:val="0"/>
          <w:iCs w:val="0"/>
          <w:color w:val="auto"/>
          <w:szCs w:val="21"/>
          <w:highlight w:val="none"/>
          <w:u w:val="single"/>
        </w:rPr>
        <w:t>（采购人名称）</w:t>
      </w:r>
      <w:r>
        <w:rPr>
          <w:rFonts w:hint="eastAsia" w:ascii="宋体" w:hAnsi="宋体" w:eastAsia="宋体" w:cs="宋体"/>
          <w:i w:val="0"/>
          <w:iCs w:val="0"/>
          <w:color w:val="auto"/>
          <w:szCs w:val="21"/>
          <w:highlight w:val="none"/>
        </w:rPr>
        <w:t>：</w:t>
      </w:r>
    </w:p>
    <w:p w14:paraId="247189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我</w:t>
      </w:r>
      <w:r>
        <w:rPr>
          <w:rFonts w:hint="eastAsia" w:ascii="宋体" w:hAnsi="宋体" w:eastAsia="宋体" w:cs="宋体"/>
          <w:i w:val="0"/>
          <w:iCs w:val="0"/>
          <w:color w:val="auto"/>
          <w:szCs w:val="21"/>
          <w:highlight w:val="none"/>
          <w:u w:val="single"/>
        </w:rPr>
        <w:t xml:space="preserve">  （姓名）  </w:t>
      </w:r>
      <w:r>
        <w:rPr>
          <w:rFonts w:hint="eastAsia" w:ascii="宋体" w:hAnsi="宋体" w:eastAsia="宋体" w:cs="宋体"/>
          <w:i w:val="0"/>
          <w:iCs w:val="0"/>
          <w:color w:val="auto"/>
          <w:szCs w:val="21"/>
          <w:highlight w:val="none"/>
        </w:rPr>
        <w:t>系</w:t>
      </w:r>
      <w:r>
        <w:rPr>
          <w:rFonts w:hint="eastAsia" w:ascii="宋体" w:hAnsi="宋体" w:eastAsia="宋体" w:cs="宋体"/>
          <w:i w:val="0"/>
          <w:iCs w:val="0"/>
          <w:color w:val="auto"/>
          <w:szCs w:val="21"/>
          <w:highlight w:val="none"/>
          <w:u w:val="single"/>
        </w:rPr>
        <w:t xml:space="preserve">  （供应商名称）  </w:t>
      </w:r>
      <w:r>
        <w:rPr>
          <w:rFonts w:hint="eastAsia" w:ascii="宋体" w:hAnsi="宋体" w:eastAsia="宋体" w:cs="宋体"/>
          <w:i w:val="0"/>
          <w:iCs w:val="0"/>
          <w:color w:val="auto"/>
          <w:szCs w:val="21"/>
          <w:highlight w:val="none"/>
        </w:rPr>
        <w:t>的（</w:t>
      </w:r>
      <w:r>
        <w:rPr>
          <w:rFonts w:hint="eastAsia" w:ascii="宋体" w:hAnsi="宋体" w:eastAsia="宋体" w:cs="宋体"/>
          <w:i w:val="0"/>
          <w:iCs w:val="0"/>
          <w:color w:val="auto"/>
          <w:szCs w:val="21"/>
          <w:highlight w:val="none"/>
          <w:u w:val="single"/>
        </w:rPr>
        <w:t>□法定代表人/□负责人/</w:t>
      </w:r>
      <w:r>
        <w:rPr>
          <w:rFonts w:hint="eastAsia" w:ascii="宋体" w:hAnsi="宋体" w:eastAsia="宋体" w:cs="宋体"/>
          <w:i w:val="0"/>
          <w:iCs w:val="0"/>
          <w:color w:val="auto"/>
          <w:szCs w:val="21"/>
          <w:highlight w:val="none"/>
          <w:u w:val="single"/>
          <w:lang w:eastAsia="zh-CN"/>
        </w:rPr>
        <w:t>□</w:t>
      </w:r>
      <w:r>
        <w:rPr>
          <w:rFonts w:hint="eastAsia" w:ascii="宋体" w:hAnsi="宋体" w:eastAsia="宋体" w:cs="宋体"/>
          <w:i w:val="0"/>
          <w:iCs w:val="0"/>
          <w:color w:val="auto"/>
          <w:szCs w:val="21"/>
          <w:highlight w:val="none"/>
          <w:u w:val="single"/>
        </w:rPr>
        <w:t>自然人本人</w:t>
      </w:r>
      <w:r>
        <w:rPr>
          <w:rFonts w:hint="eastAsia" w:ascii="宋体" w:hAnsi="宋体" w:eastAsia="宋体" w:cs="宋体"/>
          <w:i w:val="0"/>
          <w:iCs w:val="0"/>
          <w:color w:val="auto"/>
          <w:szCs w:val="21"/>
          <w:highlight w:val="none"/>
        </w:rPr>
        <w:t>），现授权</w:t>
      </w:r>
      <w:r>
        <w:rPr>
          <w:rFonts w:hint="eastAsia" w:ascii="宋体" w:hAnsi="宋体" w:eastAsia="宋体" w:cs="宋体"/>
          <w:i w:val="0"/>
          <w:iCs w:val="0"/>
          <w:color w:val="auto"/>
          <w:szCs w:val="21"/>
          <w:highlight w:val="none"/>
          <w:u w:val="single"/>
        </w:rPr>
        <w:t xml:space="preserve"> （姓名） </w:t>
      </w:r>
      <w:r>
        <w:rPr>
          <w:rFonts w:hint="eastAsia" w:ascii="宋体" w:hAnsi="宋体" w:eastAsia="宋体" w:cs="宋体"/>
          <w:i w:val="0"/>
          <w:iCs w:val="0"/>
          <w:color w:val="auto"/>
          <w:szCs w:val="21"/>
          <w:highlight w:val="none"/>
        </w:rPr>
        <w:t>以我方的名义参加</w:t>
      </w:r>
      <w:r>
        <w:rPr>
          <w:rFonts w:hint="eastAsia" w:ascii="宋体" w:hAnsi="宋体" w:eastAsia="宋体" w:cs="宋体"/>
          <w:i w:val="0"/>
          <w:iCs w:val="0"/>
          <w:color w:val="auto"/>
          <w:szCs w:val="21"/>
          <w:highlight w:val="none"/>
          <w:u w:val="single"/>
        </w:rPr>
        <w:t xml:space="preserve">      （项目名称）        </w:t>
      </w:r>
      <w:r>
        <w:rPr>
          <w:rFonts w:hint="eastAsia" w:ascii="宋体" w:hAnsi="宋体" w:eastAsia="宋体" w:cs="宋体"/>
          <w:i w:val="0"/>
          <w:iCs w:val="0"/>
          <w:color w:val="auto"/>
          <w:szCs w:val="21"/>
          <w:highlight w:val="none"/>
        </w:rPr>
        <w:t>项目的竞标活动，并代表我方全权办理针对上述项目的所有采购程序和环节的具体事务和签署相关文件。</w:t>
      </w:r>
    </w:p>
    <w:p w14:paraId="64A5E1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我方对委托代理人的签字事项负全部责任。</w:t>
      </w:r>
    </w:p>
    <w:p w14:paraId="55FED7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本授权书自签署之日起生效，在撤销授权的书面通知以前，本授权书一直有效。委托代理人在授权书有效期内签署的所有文件不因授权的撤销而失效。</w:t>
      </w:r>
    </w:p>
    <w:p w14:paraId="4AF656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委托代理人无转委托权，特此委托。</w:t>
      </w:r>
    </w:p>
    <w:p w14:paraId="64FBB8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附：委托代理人有效身份证正反面复印件</w:t>
      </w:r>
    </w:p>
    <w:p w14:paraId="35A26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30B1C8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委托代理人（签字）：         法定代表人（签字）：                    </w:t>
      </w:r>
    </w:p>
    <w:p w14:paraId="065040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委托代理人身份证号码：                              </w:t>
      </w:r>
    </w:p>
    <w:p w14:paraId="4DFF47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02923B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r>
        <w:rPr>
          <w:rFonts w:hint="eastAsia" w:ascii="宋体" w:hAnsi="宋体" w:eastAsia="宋体" w:cs="宋体"/>
          <w:i w:val="0"/>
          <w:iCs w:val="0"/>
          <w:color w:val="auto"/>
          <w:kern w:val="0"/>
          <w:szCs w:val="21"/>
          <w:highlight w:val="none"/>
        </w:rPr>
        <w:t>供应商名称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i w:val="0"/>
          <w:iCs w:val="0"/>
          <w:color w:val="auto"/>
          <w:kern w:val="0"/>
          <w:szCs w:val="21"/>
          <w:highlight w:val="none"/>
        </w:rPr>
        <w:t>：</w:t>
      </w:r>
    </w:p>
    <w:p w14:paraId="2BC6C77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宋体" w:hAnsi="宋体" w:eastAsia="宋体" w:cs="宋体"/>
          <w:b/>
          <w:i w:val="0"/>
          <w:iCs w:val="0"/>
          <w:color w:val="auto"/>
          <w:szCs w:val="21"/>
          <w:highlight w:val="none"/>
        </w:rPr>
      </w:pPr>
      <w:r>
        <w:rPr>
          <w:rFonts w:hint="eastAsia" w:ascii="宋体" w:hAnsi="宋体" w:eastAsia="宋体" w:cs="宋体"/>
          <w:i w:val="0"/>
          <w:iCs w:val="0"/>
          <w:color w:val="auto"/>
          <w:kern w:val="0"/>
          <w:szCs w:val="21"/>
          <w:highlight w:val="none"/>
          <w:lang w:val="zh-CN"/>
        </w:rPr>
        <w:t xml:space="preserve">                                                   日期：  年  月   日</w:t>
      </w:r>
    </w:p>
    <w:p w14:paraId="5D8D27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272B2A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w:t>
      </w:r>
    </w:p>
    <w:p w14:paraId="6E4279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法定代表人和委托代理人必须在授权委托书上签字，</w:t>
      </w:r>
      <w:r>
        <w:rPr>
          <w:rFonts w:hint="eastAsia" w:ascii="宋体" w:hAnsi="宋体" w:eastAsia="宋体" w:cs="宋体"/>
          <w:b/>
          <w:i w:val="0"/>
          <w:iCs w:val="0"/>
          <w:color w:val="auto"/>
          <w:szCs w:val="21"/>
          <w:highlight w:val="none"/>
        </w:rPr>
        <w:t>否则其响应文件按无效响应处理。</w:t>
      </w:r>
    </w:p>
    <w:p w14:paraId="3BB84C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928E0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法人、其他组织竞标时“我方”是指“我单位”，自然人竞标时“我方”是指“本人”。</w:t>
      </w:r>
    </w:p>
    <w:p w14:paraId="497A1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i w:val="0"/>
          <w:iCs w:val="0"/>
          <w:color w:val="auto"/>
          <w:sz w:val="32"/>
          <w:szCs w:val="32"/>
          <w:highlight w:val="none"/>
        </w:rPr>
        <w:t>授权委托书（联合体竞标格式）</w:t>
      </w:r>
    </w:p>
    <w:p w14:paraId="0FFB07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（如有委托时）</w:t>
      </w:r>
    </w:p>
    <w:p w14:paraId="22E9A7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44"/>
          <w:szCs w:val="44"/>
          <w:highlight w:val="none"/>
        </w:rPr>
      </w:pPr>
    </w:p>
    <w:p w14:paraId="0D9E86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32"/>
          <w:szCs w:val="32"/>
          <w:highlight w:val="none"/>
        </w:rPr>
      </w:pPr>
    </w:p>
    <w:p w14:paraId="5B6C79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本授权委托书声明：根据</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（牵头人名称）与</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（联合体其他成员名称）签订的《联合体竞标协议书》的内容，</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（牵头人名称）的法定代表人</w:t>
      </w:r>
      <w:r>
        <w:rPr>
          <w:rFonts w:hint="eastAsia" w:ascii="宋体" w:hAnsi="宋体" w:eastAsia="宋体" w:cs="宋体"/>
          <w:i w:val="0"/>
          <w:iCs w:val="0"/>
          <w:color w:val="auto"/>
          <w:szCs w:val="21"/>
          <w:highlight w:val="none"/>
          <w:u w:val="single"/>
        </w:rPr>
        <w:t xml:space="preserve">      （姓名）</w:t>
      </w:r>
      <w:r>
        <w:rPr>
          <w:rFonts w:hint="eastAsia" w:ascii="宋体" w:hAnsi="宋体" w:eastAsia="宋体" w:cs="宋体"/>
          <w:i w:val="0"/>
          <w:iCs w:val="0"/>
          <w:color w:val="auto"/>
          <w:szCs w:val="21"/>
          <w:highlight w:val="none"/>
        </w:rPr>
        <w:t>现授权</w:t>
      </w:r>
      <w:r>
        <w:rPr>
          <w:rFonts w:hint="eastAsia" w:ascii="宋体" w:hAnsi="宋体" w:eastAsia="宋体" w:cs="宋体"/>
          <w:i w:val="0"/>
          <w:iCs w:val="0"/>
          <w:color w:val="auto"/>
          <w:szCs w:val="21"/>
          <w:highlight w:val="none"/>
          <w:u w:val="single"/>
        </w:rPr>
        <w:t xml:space="preserve">      （姓名）</w:t>
      </w:r>
      <w:r>
        <w:rPr>
          <w:rFonts w:hint="eastAsia" w:ascii="宋体" w:hAnsi="宋体" w:eastAsia="宋体" w:cs="宋体"/>
          <w:i w:val="0"/>
          <w:iCs w:val="0"/>
          <w:color w:val="auto"/>
          <w:szCs w:val="21"/>
          <w:highlight w:val="none"/>
        </w:rPr>
        <w:t>为联合委托代理人，并代表我方全权办理针对上述项目的所有采购程序和环节的具体事务和签署相关文件。</w:t>
      </w:r>
    </w:p>
    <w:p w14:paraId="316D2E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我方对委托代理人的签字事项负全部责任。</w:t>
      </w:r>
    </w:p>
    <w:p w14:paraId="7B5172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本授权书自签署之日起生效，在撤销授权的书面通知以前，本授权书一直有效。委托代理人在授权书有效期内签署的所有文件不因授权的撤销而失效。</w:t>
      </w:r>
    </w:p>
    <w:p w14:paraId="5D13B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委托代理人无转委托权，特此委托。</w:t>
      </w:r>
    </w:p>
    <w:p w14:paraId="5041B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6B8916C6">
      <w:pPr>
        <w:keepNext w:val="0"/>
        <w:keepLines w:val="0"/>
        <w:pageBreakBefore w:val="0"/>
        <w:widowControl w:val="0"/>
        <w:kinsoku/>
        <w:wordWrap/>
        <w:overflowPunct/>
        <w:topLinePunct w:val="0"/>
        <w:autoSpaceDE/>
        <w:autoSpaceDN/>
        <w:bidi w:val="0"/>
        <w:adjustRightInd/>
        <w:snapToGrid/>
        <w:spacing w:line="360" w:lineRule="auto"/>
        <w:ind w:firstLine="1365" w:firstLineChars="65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牵头人法定代表人（签字）：</w:t>
      </w:r>
    </w:p>
    <w:p w14:paraId="5A3EFCE2">
      <w:pPr>
        <w:keepNext w:val="0"/>
        <w:keepLines w:val="0"/>
        <w:pageBreakBefore w:val="0"/>
        <w:widowControl w:val="0"/>
        <w:kinsoku/>
        <w:wordWrap/>
        <w:overflowPunct/>
        <w:topLinePunct w:val="0"/>
        <w:autoSpaceDE/>
        <w:autoSpaceDN/>
        <w:bidi w:val="0"/>
        <w:adjustRightInd/>
        <w:snapToGrid/>
        <w:spacing w:line="360" w:lineRule="auto"/>
        <w:ind w:firstLine="2730" w:firstLineChars="13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牵头人名称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i w:val="0"/>
          <w:iCs w:val="0"/>
          <w:color w:val="auto"/>
          <w:szCs w:val="21"/>
          <w:highlight w:val="none"/>
        </w:rPr>
        <w:t>：</w:t>
      </w:r>
    </w:p>
    <w:p w14:paraId="27C25548">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日期：    年   月   日</w:t>
      </w:r>
    </w:p>
    <w:p w14:paraId="382C45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4B1209A5">
      <w:pPr>
        <w:keepNext w:val="0"/>
        <w:keepLines w:val="0"/>
        <w:pageBreakBefore w:val="0"/>
        <w:widowControl w:val="0"/>
        <w:kinsoku/>
        <w:wordWrap/>
        <w:overflowPunct/>
        <w:topLinePunct w:val="0"/>
        <w:autoSpaceDE/>
        <w:autoSpaceDN/>
        <w:bidi w:val="0"/>
        <w:adjustRightInd/>
        <w:snapToGrid/>
        <w:spacing w:line="360" w:lineRule="auto"/>
        <w:ind w:firstLine="2730" w:firstLineChars="13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委托代理人（签字）：</w:t>
      </w:r>
    </w:p>
    <w:p w14:paraId="2EAF00CD">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日期：    年   月   日</w:t>
      </w:r>
    </w:p>
    <w:p w14:paraId="692910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0B46D8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w:t>
      </w:r>
    </w:p>
    <w:p w14:paraId="220BA9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法定代表人和委托代理人必须在授权委托书上签字，</w:t>
      </w:r>
      <w:r>
        <w:rPr>
          <w:rFonts w:hint="eastAsia" w:ascii="宋体" w:hAnsi="宋体" w:eastAsia="宋体" w:cs="宋体"/>
          <w:b/>
          <w:i w:val="0"/>
          <w:iCs w:val="0"/>
          <w:color w:val="auto"/>
          <w:szCs w:val="21"/>
          <w:highlight w:val="none"/>
        </w:rPr>
        <w:t>否则其响应文件按无效响应处理。</w:t>
      </w:r>
    </w:p>
    <w:p w14:paraId="49F047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2.本授权委托书应由联合体牵头人的法定代表人按上述规定签署。</w:t>
      </w:r>
    </w:p>
    <w:p w14:paraId="0FD1721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6F6199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4.法人、其他组织竞标时“我方”是指“我单位”，自然人竞标时“我方”是指“本人”。</w:t>
      </w:r>
    </w:p>
    <w:p w14:paraId="6A45FF89">
      <w:pPr>
        <w:spacing w:line="360" w:lineRule="auto"/>
        <w:ind w:firstLine="420" w:firstLineChars="200"/>
        <w:jc w:val="left"/>
        <w:rPr>
          <w:rFonts w:hint="eastAsia" w:ascii="宋体" w:hAnsi="宋体" w:eastAsia="宋体" w:cs="宋体"/>
          <w:color w:val="auto"/>
          <w:szCs w:val="21"/>
          <w:highlight w:val="none"/>
        </w:rPr>
      </w:pPr>
    </w:p>
    <w:p w14:paraId="2DCE759C">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color w:val="auto"/>
          <w:sz w:val="30"/>
          <w:szCs w:val="30"/>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color w:val="auto"/>
          <w:sz w:val="28"/>
          <w:szCs w:val="28"/>
          <w:highlight w:val="none"/>
        </w:rPr>
        <w:t>商务条款偏离表的格式：</w:t>
      </w:r>
    </w:p>
    <w:p w14:paraId="70D91404">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highlight w:val="none"/>
        </w:rPr>
      </w:pPr>
    </w:p>
    <w:p w14:paraId="3170D5A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29202C4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32"/>
          <w:szCs w:val="32"/>
          <w:highlight w:val="none"/>
        </w:rPr>
      </w:pPr>
    </w:p>
    <w:p w14:paraId="7B397232">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58966CF6">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p>
    <w:p w14:paraId="61059D3C">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p>
    <w:tbl>
      <w:tblPr>
        <w:tblStyle w:val="29"/>
        <w:tblpPr w:leftFromText="180" w:rightFromText="180" w:vertAnchor="text" w:horzAnchor="page" w:tblpX="1230" w:tblpY="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271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557E5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65C5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23073C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6DDDC8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EA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4582441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7B811C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2E482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4FE8F5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F2E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736A831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21590A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54F5E7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B9F5FA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53A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F124DB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182C1D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4B8E39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6B4354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F50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114820E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D7232E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F94C64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AA938C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B66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4E792A7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2C6AF7C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64F0F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83DE14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4F8C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A248BE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D42509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BC31FB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926C69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bl>
    <w:p w14:paraId="42CE764A">
      <w:pPr>
        <w:pStyle w:val="14"/>
        <w:keepNext w:val="0"/>
        <w:keepLines w:val="0"/>
        <w:pageBreakBefore w:val="0"/>
        <w:widowControl w:val="0"/>
        <w:kinsoku/>
        <w:wordWrap/>
        <w:overflowPunct/>
        <w:topLinePunct w:val="0"/>
        <w:autoSpaceDE/>
        <w:autoSpaceDN/>
        <w:bidi w:val="0"/>
        <w:adjustRightInd/>
        <w:spacing w:line="360" w:lineRule="auto"/>
        <w:ind w:firstLine="0" w:firstLineChars="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E7074B0">
      <w:pPr>
        <w:pStyle w:val="14"/>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1.应对照磋商文件“第二章 采购需求”中的商务条款逐条作出明确响应，并作出偏离说明。</w:t>
      </w:r>
    </w:p>
    <w:p w14:paraId="20E5D21C">
      <w:pPr>
        <w:pStyle w:val="14"/>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2.供应商应根据自身的承诺，对照磋商文件要求，在“偏离说明”中注明“正偏离”或者“负偏离”或者“无偏离”。既不属于“正偏离”也不属于“负偏离”即为“无偏离”。 当响应文件的商务内容低于竞争性磋商文件要求时，供应商应当如实写明“负偏离”，否则视为虚假应标</w:t>
      </w:r>
      <w:r>
        <w:rPr>
          <w:rFonts w:hint="eastAsia" w:ascii="宋体" w:hAnsi="宋体" w:eastAsia="宋体" w:cs="宋体"/>
          <w:color w:val="auto"/>
          <w:sz w:val="21"/>
          <w:szCs w:val="21"/>
          <w:highlight w:val="none"/>
          <w:lang w:eastAsia="zh-CN"/>
        </w:rPr>
        <w:t>。</w:t>
      </w:r>
    </w:p>
    <w:p w14:paraId="26E3E67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3.表格内容均需按要求填写，不得留空，</w:t>
      </w:r>
      <w:r>
        <w:rPr>
          <w:rFonts w:hint="eastAsia" w:ascii="宋体" w:hAnsi="宋体" w:eastAsia="宋体" w:cs="宋体"/>
          <w:b/>
          <w:bCs/>
          <w:color w:val="auto"/>
          <w:kern w:val="0"/>
          <w:szCs w:val="21"/>
          <w:highlight w:val="none"/>
        </w:rPr>
        <w:t>否则按竞标无效处理。</w:t>
      </w:r>
    </w:p>
    <w:p w14:paraId="24020071">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kern w:val="0"/>
          <w:szCs w:val="21"/>
          <w:highlight w:val="none"/>
        </w:rPr>
      </w:pPr>
    </w:p>
    <w:p w14:paraId="547F0ED7">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D25495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7C36437">
      <w:pPr>
        <w:snapToGrid w:val="0"/>
        <w:spacing w:line="360" w:lineRule="auto"/>
        <w:ind w:firstLine="602" w:firstLineChars="200"/>
        <w:rPr>
          <w:rFonts w:hint="eastAsia" w:ascii="宋体" w:hAnsi="宋体" w:eastAsia="宋体" w:cs="宋体"/>
          <w:b/>
          <w:color w:val="auto"/>
          <w:sz w:val="30"/>
          <w:szCs w:val="30"/>
          <w:highlight w:val="none"/>
        </w:rPr>
      </w:pPr>
    </w:p>
    <w:p w14:paraId="144D9927">
      <w:pPr>
        <w:snapToGrid w:val="0"/>
        <w:spacing w:line="360" w:lineRule="auto"/>
        <w:ind w:firstLine="602" w:firstLineChars="200"/>
        <w:rPr>
          <w:rFonts w:hint="eastAsia" w:ascii="宋体" w:hAnsi="宋体" w:eastAsia="宋体" w:cs="宋体"/>
          <w:b/>
          <w:color w:val="auto"/>
          <w:sz w:val="30"/>
          <w:szCs w:val="30"/>
          <w:highlight w:val="none"/>
        </w:rPr>
      </w:pPr>
    </w:p>
    <w:p w14:paraId="19F50133">
      <w:pPr>
        <w:pStyle w:val="7"/>
        <w:rPr>
          <w:rFonts w:hint="eastAsia" w:ascii="宋体" w:hAnsi="宋体" w:eastAsia="宋体" w:cs="宋体"/>
          <w:b/>
          <w:color w:val="auto"/>
          <w:sz w:val="30"/>
          <w:szCs w:val="30"/>
          <w:highlight w:val="none"/>
        </w:rPr>
      </w:pPr>
    </w:p>
    <w:p w14:paraId="2F9B251A">
      <w:pPr>
        <w:pStyle w:val="7"/>
        <w:rPr>
          <w:rFonts w:hint="eastAsia" w:ascii="宋体" w:hAnsi="宋体" w:eastAsia="宋体" w:cs="宋体"/>
          <w:b/>
          <w:color w:val="auto"/>
          <w:sz w:val="30"/>
          <w:szCs w:val="30"/>
          <w:highlight w:val="none"/>
        </w:rPr>
      </w:pPr>
    </w:p>
    <w:p w14:paraId="3085FD62">
      <w:pPr>
        <w:snapToGrid w:val="0"/>
        <w:spacing w:before="120" w:beforeLines="50" w:after="50"/>
        <w:rPr>
          <w:rFonts w:hint="eastAsia" w:ascii="宋体" w:hAnsi="宋体" w:eastAsia="宋体" w:cs="宋体"/>
          <w:b/>
          <w:color w:val="auto"/>
          <w:sz w:val="28"/>
          <w:szCs w:val="28"/>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p w14:paraId="0924ABF2">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建设工程项目管理承诺书的格式：</w:t>
      </w:r>
    </w:p>
    <w:p w14:paraId="2F37335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8"/>
          <w:szCs w:val="28"/>
          <w:highlight w:val="none"/>
        </w:rPr>
      </w:pPr>
    </w:p>
    <w:p w14:paraId="20F028F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建设工程项目管理承诺书</w:t>
      </w:r>
    </w:p>
    <w:p w14:paraId="237CC7F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highlight w:val="none"/>
        </w:rPr>
      </w:pPr>
    </w:p>
    <w:p w14:paraId="2BD44476">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（采购人名称）：</w:t>
      </w:r>
    </w:p>
    <w:p w14:paraId="67E65AB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作为参与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（项目名称）项目的供应商，根据国家、自治区相关文件规定，我方在此向采购人承诺：</w:t>
      </w:r>
    </w:p>
    <w:p w14:paraId="0DC0863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一旦成交，我方保证按照政府相关部门的规定，在成交后7个工作日内，按照《保障农民工工资支付条例》规定及广西壮族自治区有关规定开设农民工工资专用账户，专项用于支付本工程提供劳动的农民工被拖欠的工资。按照与农民工依法约定的工资支付周期和具体支付日期支付工资，保证每月至少向农民工足额支付一次工资。</w:t>
      </w:r>
    </w:p>
    <w:p w14:paraId="3156C9C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0B7D89A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4FC5CE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6EA3C4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AD3FE6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p>
    <w:p w14:paraId="7252111F">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1940E407">
      <w:pPr>
        <w:keepNext w:val="0"/>
        <w:keepLines w:val="0"/>
        <w:pageBreakBefore w:val="0"/>
        <w:widowControl w:val="0"/>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rPr>
        <w:br w:type="page"/>
      </w:r>
      <w:r>
        <w:rPr>
          <w:rFonts w:hint="eastAsia" w:ascii="宋体" w:hAnsi="宋体" w:eastAsia="宋体" w:cs="宋体"/>
          <w:b/>
          <w:bCs/>
          <w:color w:val="auto"/>
          <w:szCs w:val="21"/>
          <w:highlight w:val="none"/>
        </w:rPr>
        <w:t>广西壮族自治区建筑工程安全文明施工措施项目清单内容</w:t>
      </w:r>
    </w:p>
    <w:p w14:paraId="63B1C51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（桂建质〔2015〕16号文附件一）</w:t>
      </w:r>
    </w:p>
    <w:p w14:paraId="335D9E80">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广西壮族自治区</w:t>
      </w:r>
    </w:p>
    <w:p w14:paraId="0141C384">
      <w:pPr>
        <w:jc w:val="center"/>
        <w:rPr>
          <w:rFonts w:hint="eastAsia" w:ascii="宋体" w:hAnsi="宋体" w:eastAsia="宋体" w:cs="宋体"/>
          <w:b/>
          <w:bCs/>
          <w:color w:val="auto"/>
          <w:w w:val="90"/>
          <w:szCs w:val="21"/>
          <w:highlight w:val="none"/>
        </w:rPr>
      </w:pPr>
      <w:r>
        <w:rPr>
          <w:rFonts w:hint="eastAsia" w:ascii="宋体" w:hAnsi="宋体" w:eastAsia="宋体" w:cs="宋体"/>
          <w:b/>
          <w:bCs/>
          <w:color w:val="auto"/>
          <w:w w:val="90"/>
          <w:szCs w:val="21"/>
          <w:highlight w:val="none"/>
        </w:rPr>
        <w:t>建设工程安全文明施工措施项目清单内容</w:t>
      </w:r>
    </w:p>
    <w:p w14:paraId="369C633F">
      <w:pPr>
        <w:rPr>
          <w:rFonts w:hint="eastAsia" w:ascii="宋体" w:hAnsi="宋体" w:eastAsia="宋体" w:cs="宋体"/>
          <w:b/>
          <w:bCs/>
          <w:color w:val="auto"/>
          <w:w w:val="90"/>
          <w:szCs w:val="21"/>
          <w:highlight w:val="none"/>
        </w:rPr>
      </w:pPr>
    </w:p>
    <w:tbl>
      <w:tblPr>
        <w:tblStyle w:val="29"/>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2CB7E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tcBorders>
            <w:noWrap w:val="0"/>
            <w:vAlign w:val="center"/>
          </w:tcPr>
          <w:p w14:paraId="799F4FF0">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tcBorders>
              <w:top w:val="single" w:color="auto" w:sz="12" w:space="0"/>
            </w:tcBorders>
            <w:noWrap w:val="0"/>
            <w:vAlign w:val="center"/>
          </w:tcPr>
          <w:p w14:paraId="1A4248FA">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tcBorders>
              <w:top w:val="single" w:color="auto" w:sz="12" w:space="0"/>
            </w:tcBorders>
            <w:noWrap w:val="0"/>
            <w:vAlign w:val="center"/>
          </w:tcPr>
          <w:p w14:paraId="01869C37">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44E69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5D5B1B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文明</w:t>
            </w:r>
          </w:p>
          <w:p w14:paraId="777E16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w:t>
            </w:r>
          </w:p>
          <w:p w14:paraId="2BD95F5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w:t>
            </w:r>
          </w:p>
          <w:p w14:paraId="3ECCED6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环境</w:t>
            </w:r>
          </w:p>
          <w:p w14:paraId="78C17E2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保护</w:t>
            </w:r>
          </w:p>
        </w:tc>
        <w:tc>
          <w:tcPr>
            <w:tcW w:w="2070" w:type="dxa"/>
            <w:gridSpan w:val="2"/>
            <w:noWrap w:val="0"/>
            <w:vAlign w:val="center"/>
          </w:tcPr>
          <w:p w14:paraId="7C3A25E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安全警示</w:t>
            </w:r>
          </w:p>
          <w:p w14:paraId="653D5A5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标志牌</w:t>
            </w:r>
          </w:p>
        </w:tc>
        <w:tc>
          <w:tcPr>
            <w:tcW w:w="6645" w:type="dxa"/>
            <w:noWrap w:val="0"/>
            <w:vAlign w:val="center"/>
          </w:tcPr>
          <w:p w14:paraId="733C226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在易发伤亡事故（或危险）处设置明显的、符合国家标准要求的安全警示标志牌。</w:t>
            </w:r>
          </w:p>
        </w:tc>
      </w:tr>
      <w:tr w14:paraId="611DB7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8FBCF36">
            <w:pPr>
              <w:rPr>
                <w:rFonts w:hint="eastAsia" w:ascii="宋体" w:hAnsi="宋体" w:eastAsia="宋体" w:cs="宋体"/>
                <w:color w:val="auto"/>
                <w:szCs w:val="21"/>
                <w:highlight w:val="none"/>
              </w:rPr>
            </w:pPr>
          </w:p>
        </w:tc>
        <w:tc>
          <w:tcPr>
            <w:tcW w:w="2070" w:type="dxa"/>
            <w:gridSpan w:val="2"/>
            <w:noWrap w:val="0"/>
            <w:vAlign w:val="center"/>
          </w:tcPr>
          <w:p w14:paraId="2BFCF51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现场围挡</w:t>
            </w:r>
          </w:p>
        </w:tc>
        <w:tc>
          <w:tcPr>
            <w:tcW w:w="6645" w:type="dxa"/>
            <w:noWrap w:val="0"/>
            <w:vAlign w:val="center"/>
          </w:tcPr>
          <w:p w14:paraId="2633F0E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现场采用封闭围挡，高度不小于1.8m。</w:t>
            </w:r>
          </w:p>
          <w:p w14:paraId="12BA145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围挡材料可用彩色、定型钢板，砌块等墙体。</w:t>
            </w:r>
          </w:p>
        </w:tc>
      </w:tr>
      <w:tr w14:paraId="0D3B7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821C1D3">
            <w:pPr>
              <w:rPr>
                <w:rFonts w:hint="eastAsia" w:ascii="宋体" w:hAnsi="宋体" w:eastAsia="宋体" w:cs="宋体"/>
                <w:color w:val="auto"/>
                <w:szCs w:val="21"/>
                <w:highlight w:val="none"/>
              </w:rPr>
            </w:pPr>
          </w:p>
        </w:tc>
        <w:tc>
          <w:tcPr>
            <w:tcW w:w="2070" w:type="dxa"/>
            <w:gridSpan w:val="2"/>
            <w:noWrap w:val="0"/>
            <w:vAlign w:val="center"/>
          </w:tcPr>
          <w:p w14:paraId="5BA09D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七牌二图</w:t>
            </w:r>
          </w:p>
        </w:tc>
        <w:tc>
          <w:tcPr>
            <w:tcW w:w="6645" w:type="dxa"/>
            <w:noWrap w:val="0"/>
            <w:vAlign w:val="center"/>
          </w:tcPr>
          <w:p w14:paraId="680FF71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2604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6CB1193D">
            <w:pPr>
              <w:rPr>
                <w:rFonts w:hint="eastAsia" w:ascii="宋体" w:hAnsi="宋体" w:eastAsia="宋体" w:cs="宋体"/>
                <w:color w:val="auto"/>
                <w:szCs w:val="21"/>
                <w:highlight w:val="none"/>
              </w:rPr>
            </w:pPr>
          </w:p>
        </w:tc>
        <w:tc>
          <w:tcPr>
            <w:tcW w:w="2070" w:type="dxa"/>
            <w:gridSpan w:val="2"/>
            <w:noWrap w:val="0"/>
            <w:vAlign w:val="center"/>
          </w:tcPr>
          <w:p w14:paraId="65EC52B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企业标志</w:t>
            </w:r>
          </w:p>
        </w:tc>
        <w:tc>
          <w:tcPr>
            <w:tcW w:w="6645" w:type="dxa"/>
            <w:noWrap w:val="0"/>
            <w:vAlign w:val="center"/>
          </w:tcPr>
          <w:p w14:paraId="53EC802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现场出入的大门应设有本企业标志或企业标识。</w:t>
            </w:r>
          </w:p>
        </w:tc>
      </w:tr>
      <w:tr w14:paraId="42A95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002D2D3">
            <w:pPr>
              <w:rPr>
                <w:rFonts w:hint="eastAsia" w:ascii="宋体" w:hAnsi="宋体" w:eastAsia="宋体" w:cs="宋体"/>
                <w:color w:val="auto"/>
                <w:szCs w:val="21"/>
                <w:highlight w:val="none"/>
              </w:rPr>
            </w:pPr>
          </w:p>
        </w:tc>
        <w:tc>
          <w:tcPr>
            <w:tcW w:w="2070" w:type="dxa"/>
            <w:gridSpan w:val="2"/>
            <w:noWrap w:val="0"/>
            <w:vAlign w:val="center"/>
          </w:tcPr>
          <w:p w14:paraId="2C4413F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场容场貌</w:t>
            </w:r>
          </w:p>
        </w:tc>
        <w:tc>
          <w:tcPr>
            <w:tcW w:w="6645" w:type="dxa"/>
            <w:noWrap w:val="0"/>
            <w:vAlign w:val="center"/>
          </w:tcPr>
          <w:p w14:paraId="728A473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道路畅通。</w:t>
            </w:r>
          </w:p>
          <w:p w14:paraId="3B64A02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排水设施齐全畅通。</w:t>
            </w:r>
          </w:p>
          <w:p w14:paraId="5096EE6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工地地面硬化处理（办公区、生活区、现场道路、材料堆放、混凝土搅拌、砂浆搅拌、钢筋加工等场地和外脚手架基础等）。</w:t>
            </w:r>
          </w:p>
        </w:tc>
      </w:tr>
      <w:tr w14:paraId="69C7A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5556882">
            <w:pPr>
              <w:rPr>
                <w:rFonts w:hint="eastAsia" w:ascii="宋体" w:hAnsi="宋体" w:eastAsia="宋体" w:cs="宋体"/>
                <w:color w:val="auto"/>
                <w:szCs w:val="21"/>
                <w:highlight w:val="none"/>
              </w:rPr>
            </w:pPr>
          </w:p>
        </w:tc>
        <w:tc>
          <w:tcPr>
            <w:tcW w:w="2070" w:type="dxa"/>
            <w:gridSpan w:val="2"/>
            <w:noWrap w:val="0"/>
            <w:vAlign w:val="center"/>
          </w:tcPr>
          <w:p w14:paraId="430BE67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材料堆放</w:t>
            </w:r>
          </w:p>
        </w:tc>
        <w:tc>
          <w:tcPr>
            <w:tcW w:w="6645" w:type="dxa"/>
            <w:noWrap w:val="0"/>
            <w:vAlign w:val="center"/>
          </w:tcPr>
          <w:p w14:paraId="1690F99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材料、构件、料具等堆放时，应有名称、品种、规格等标牌。</w:t>
            </w:r>
          </w:p>
          <w:p w14:paraId="38C3ECA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水泥和其它易飞扬细颗粒建筑材料应封闭存放或采取覆盖等措施。</w:t>
            </w:r>
          </w:p>
          <w:p w14:paraId="4B0AC77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易燃、易爆和有毒有害物品分类存放。</w:t>
            </w:r>
          </w:p>
        </w:tc>
      </w:tr>
      <w:tr w14:paraId="714BA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3B9E491">
            <w:pPr>
              <w:rPr>
                <w:rFonts w:hint="eastAsia" w:ascii="宋体" w:hAnsi="宋体" w:eastAsia="宋体" w:cs="宋体"/>
                <w:color w:val="auto"/>
                <w:szCs w:val="21"/>
                <w:highlight w:val="none"/>
              </w:rPr>
            </w:pPr>
          </w:p>
        </w:tc>
        <w:tc>
          <w:tcPr>
            <w:tcW w:w="2070" w:type="dxa"/>
            <w:gridSpan w:val="2"/>
            <w:noWrap w:val="0"/>
            <w:vAlign w:val="center"/>
          </w:tcPr>
          <w:p w14:paraId="55953E7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现场防火</w:t>
            </w:r>
          </w:p>
        </w:tc>
        <w:tc>
          <w:tcPr>
            <w:tcW w:w="6645" w:type="dxa"/>
            <w:noWrap w:val="0"/>
            <w:vAlign w:val="center"/>
          </w:tcPr>
          <w:p w14:paraId="38D65F6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消防器材配置合理，符合消防要求。</w:t>
            </w:r>
          </w:p>
        </w:tc>
      </w:tr>
      <w:tr w14:paraId="04D40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52B78DE">
            <w:pPr>
              <w:rPr>
                <w:rFonts w:hint="eastAsia" w:ascii="宋体" w:hAnsi="宋体" w:eastAsia="宋体" w:cs="宋体"/>
                <w:color w:val="auto"/>
                <w:szCs w:val="21"/>
                <w:highlight w:val="none"/>
              </w:rPr>
            </w:pPr>
          </w:p>
        </w:tc>
        <w:tc>
          <w:tcPr>
            <w:tcW w:w="2070" w:type="dxa"/>
            <w:gridSpan w:val="2"/>
            <w:noWrap w:val="0"/>
            <w:vAlign w:val="center"/>
          </w:tcPr>
          <w:p w14:paraId="77AFE13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垃圾清运</w:t>
            </w:r>
          </w:p>
        </w:tc>
        <w:tc>
          <w:tcPr>
            <w:tcW w:w="6645" w:type="dxa"/>
            <w:noWrap w:val="0"/>
            <w:vAlign w:val="center"/>
          </w:tcPr>
          <w:p w14:paraId="69A99D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施工现场应设置密闭式垃圾站，施工垃圾、生活垃圾应分类存放。</w:t>
            </w:r>
          </w:p>
          <w:p w14:paraId="67F4148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施工垃圾必须采用相应容器或管道运输。</w:t>
            </w:r>
          </w:p>
        </w:tc>
      </w:tr>
      <w:tr w14:paraId="262ED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1054CC6">
            <w:pPr>
              <w:rPr>
                <w:rFonts w:hint="eastAsia" w:ascii="宋体" w:hAnsi="宋体" w:eastAsia="宋体" w:cs="宋体"/>
                <w:color w:val="auto"/>
                <w:szCs w:val="21"/>
                <w:highlight w:val="none"/>
              </w:rPr>
            </w:pPr>
          </w:p>
        </w:tc>
        <w:tc>
          <w:tcPr>
            <w:tcW w:w="2070" w:type="dxa"/>
            <w:gridSpan w:val="2"/>
            <w:noWrap w:val="0"/>
            <w:vAlign w:val="center"/>
          </w:tcPr>
          <w:p w14:paraId="70295CA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宣传栏、环保及不扰民措施</w:t>
            </w:r>
          </w:p>
        </w:tc>
        <w:tc>
          <w:tcPr>
            <w:tcW w:w="6645" w:type="dxa"/>
            <w:noWrap w:val="0"/>
            <w:vAlign w:val="center"/>
          </w:tcPr>
          <w:p w14:paraId="78F03F4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宣传栏、安全宣传标语等，洗车（防止污染市区道路）、粉尘、噪声控制和排污（污水、废气）措施等。</w:t>
            </w:r>
          </w:p>
        </w:tc>
      </w:tr>
      <w:tr w14:paraId="4FD30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15DFABC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临时设施</w:t>
            </w:r>
          </w:p>
        </w:tc>
        <w:tc>
          <w:tcPr>
            <w:tcW w:w="2070" w:type="dxa"/>
            <w:gridSpan w:val="2"/>
            <w:noWrap w:val="0"/>
            <w:vAlign w:val="center"/>
          </w:tcPr>
          <w:p w14:paraId="46B477A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现场办公</w:t>
            </w:r>
          </w:p>
          <w:p w14:paraId="0C65147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生活设施</w:t>
            </w:r>
          </w:p>
        </w:tc>
        <w:tc>
          <w:tcPr>
            <w:tcW w:w="6645" w:type="dxa"/>
            <w:noWrap w:val="0"/>
            <w:vAlign w:val="center"/>
          </w:tcPr>
          <w:p w14:paraId="37012F9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施工现场办公、生活区与作业区分开设置，保持安全距离。</w:t>
            </w:r>
          </w:p>
          <w:p w14:paraId="7874F72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工地办公室、现场宿舍、食堂、厕所、饮水、沐浴、休息场所等符合卫生、消防安全要求。</w:t>
            </w:r>
          </w:p>
        </w:tc>
      </w:tr>
      <w:tr w14:paraId="06529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FEFF7E8">
            <w:pPr>
              <w:rPr>
                <w:rFonts w:hint="eastAsia" w:ascii="宋体" w:hAnsi="宋体" w:eastAsia="宋体" w:cs="宋体"/>
                <w:color w:val="auto"/>
                <w:szCs w:val="21"/>
                <w:highlight w:val="none"/>
              </w:rPr>
            </w:pPr>
          </w:p>
        </w:tc>
        <w:tc>
          <w:tcPr>
            <w:tcW w:w="525" w:type="dxa"/>
            <w:vMerge w:val="restart"/>
            <w:noWrap w:val="0"/>
            <w:vAlign w:val="center"/>
          </w:tcPr>
          <w:p w14:paraId="5C12BA5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w:t>
            </w:r>
          </w:p>
          <w:p w14:paraId="319E552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临时用电</w:t>
            </w:r>
          </w:p>
        </w:tc>
        <w:tc>
          <w:tcPr>
            <w:tcW w:w="1545" w:type="dxa"/>
            <w:noWrap w:val="0"/>
            <w:vAlign w:val="center"/>
          </w:tcPr>
          <w:p w14:paraId="134266A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配电线路</w:t>
            </w:r>
          </w:p>
        </w:tc>
        <w:tc>
          <w:tcPr>
            <w:tcW w:w="6645" w:type="dxa"/>
            <w:noWrap w:val="0"/>
            <w:vAlign w:val="center"/>
          </w:tcPr>
          <w:p w14:paraId="23D3C3A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按照TN-S系统要求配备五芯电缆、四芯电缆和三芯电缆。</w:t>
            </w:r>
          </w:p>
          <w:p w14:paraId="4343C78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按要求架设临时用电线路的电杆、横担、瓷夹、瓷瓶等，或电缆埋地的地沟。</w:t>
            </w:r>
          </w:p>
          <w:p w14:paraId="3156F18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对靠近施工现场的外电线路，设置木质、塑料等绝缘体的防护设施。</w:t>
            </w:r>
          </w:p>
        </w:tc>
      </w:tr>
      <w:tr w14:paraId="0BD38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64F7616">
            <w:pPr>
              <w:rPr>
                <w:rFonts w:hint="eastAsia" w:ascii="宋体" w:hAnsi="宋体" w:eastAsia="宋体" w:cs="宋体"/>
                <w:color w:val="auto"/>
                <w:szCs w:val="21"/>
                <w:highlight w:val="none"/>
              </w:rPr>
            </w:pPr>
          </w:p>
        </w:tc>
        <w:tc>
          <w:tcPr>
            <w:tcW w:w="525" w:type="dxa"/>
            <w:vMerge w:val="continue"/>
            <w:noWrap w:val="0"/>
            <w:vAlign w:val="center"/>
          </w:tcPr>
          <w:p w14:paraId="2F4B132C">
            <w:pPr>
              <w:rPr>
                <w:rFonts w:hint="eastAsia" w:ascii="宋体" w:hAnsi="宋体" w:eastAsia="宋体" w:cs="宋体"/>
                <w:color w:val="auto"/>
                <w:szCs w:val="21"/>
                <w:highlight w:val="none"/>
              </w:rPr>
            </w:pPr>
          </w:p>
        </w:tc>
        <w:tc>
          <w:tcPr>
            <w:tcW w:w="1545" w:type="dxa"/>
            <w:noWrap w:val="0"/>
            <w:vAlign w:val="center"/>
          </w:tcPr>
          <w:p w14:paraId="0AE4619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配电箱</w:t>
            </w:r>
          </w:p>
          <w:p w14:paraId="682FA11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开关箱</w:t>
            </w:r>
          </w:p>
        </w:tc>
        <w:tc>
          <w:tcPr>
            <w:tcW w:w="6645" w:type="dxa"/>
            <w:noWrap w:val="0"/>
            <w:vAlign w:val="center"/>
          </w:tcPr>
          <w:p w14:paraId="684F983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按三级配电要求，配备总配电箱、分配电箱、开关箱三类（铁质）标准电箱，开关箱应符合“一机、一箱、一闸、一漏”，三类电箱中的各类电器应是合格品。</w:t>
            </w:r>
          </w:p>
          <w:p w14:paraId="7AEB75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按两级保护的要求，选取符合容量要求和质量合格的总配电箱和开关箱中的漏电保护器。</w:t>
            </w:r>
          </w:p>
          <w:p w14:paraId="3138623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对大型、落地式分配电箱、开关箱设置防护棚和通透式围挡。</w:t>
            </w:r>
          </w:p>
        </w:tc>
      </w:tr>
      <w:tr w14:paraId="10D6E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585875E1">
            <w:pPr>
              <w:rPr>
                <w:rFonts w:hint="eastAsia" w:ascii="宋体" w:hAnsi="宋体" w:eastAsia="宋体" w:cs="宋体"/>
                <w:color w:val="auto"/>
                <w:szCs w:val="21"/>
                <w:highlight w:val="none"/>
              </w:rPr>
            </w:pPr>
          </w:p>
        </w:tc>
        <w:tc>
          <w:tcPr>
            <w:tcW w:w="525" w:type="dxa"/>
            <w:vMerge w:val="continue"/>
            <w:noWrap w:val="0"/>
            <w:vAlign w:val="center"/>
          </w:tcPr>
          <w:p w14:paraId="24EB9CE4">
            <w:pPr>
              <w:rPr>
                <w:rFonts w:hint="eastAsia" w:ascii="宋体" w:hAnsi="宋体" w:eastAsia="宋体" w:cs="宋体"/>
                <w:color w:val="auto"/>
                <w:szCs w:val="21"/>
                <w:highlight w:val="none"/>
              </w:rPr>
            </w:pPr>
          </w:p>
        </w:tc>
        <w:tc>
          <w:tcPr>
            <w:tcW w:w="1545" w:type="dxa"/>
            <w:noWrap w:val="0"/>
            <w:vAlign w:val="center"/>
          </w:tcPr>
          <w:p w14:paraId="0D9657C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接地装置</w:t>
            </w:r>
          </w:p>
        </w:tc>
        <w:tc>
          <w:tcPr>
            <w:tcW w:w="6645" w:type="dxa"/>
            <w:noWrap w:val="0"/>
            <w:vAlign w:val="center"/>
          </w:tcPr>
          <w:p w14:paraId="53A2692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施工现场应设置不少于三处的重复接地装置。</w:t>
            </w:r>
          </w:p>
        </w:tc>
      </w:tr>
      <w:tr w14:paraId="2027F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021C48F7">
            <w:pPr>
              <w:rPr>
                <w:rFonts w:hint="eastAsia" w:ascii="宋体" w:hAnsi="宋体" w:eastAsia="宋体" w:cs="宋体"/>
                <w:color w:val="auto"/>
                <w:szCs w:val="21"/>
                <w:highlight w:val="none"/>
              </w:rPr>
            </w:pPr>
          </w:p>
        </w:tc>
        <w:tc>
          <w:tcPr>
            <w:tcW w:w="525" w:type="dxa"/>
            <w:vMerge w:val="continue"/>
            <w:noWrap w:val="0"/>
            <w:vAlign w:val="center"/>
          </w:tcPr>
          <w:p w14:paraId="21D2C7FD">
            <w:pPr>
              <w:rPr>
                <w:rFonts w:hint="eastAsia" w:ascii="宋体" w:hAnsi="宋体" w:eastAsia="宋体" w:cs="宋体"/>
                <w:color w:val="auto"/>
                <w:szCs w:val="21"/>
                <w:highlight w:val="none"/>
              </w:rPr>
            </w:pPr>
          </w:p>
        </w:tc>
        <w:tc>
          <w:tcPr>
            <w:tcW w:w="1545" w:type="dxa"/>
            <w:noWrap w:val="0"/>
            <w:vAlign w:val="center"/>
          </w:tcPr>
          <w:p w14:paraId="2253B54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现场变配电装置</w:t>
            </w:r>
          </w:p>
        </w:tc>
        <w:tc>
          <w:tcPr>
            <w:tcW w:w="6645" w:type="dxa"/>
            <w:noWrap w:val="0"/>
            <w:vAlign w:val="center"/>
          </w:tcPr>
          <w:p w14:paraId="7F85957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总配电房建筑材料必须达到消防防火要求，室内做硬地坪、电缆沟。</w:t>
            </w:r>
          </w:p>
        </w:tc>
      </w:tr>
      <w:tr w14:paraId="7E101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217E45AF">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799DE6EE">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noWrap w:val="0"/>
            <w:vAlign w:val="center"/>
          </w:tcPr>
          <w:p w14:paraId="55F6D51B">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6253C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30F4BB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安全施工</w:t>
            </w:r>
          </w:p>
        </w:tc>
        <w:tc>
          <w:tcPr>
            <w:tcW w:w="525" w:type="dxa"/>
            <w:vMerge w:val="restart"/>
            <w:noWrap w:val="0"/>
            <w:vAlign w:val="center"/>
          </w:tcPr>
          <w:p w14:paraId="6389D30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高处作业防护</w:t>
            </w:r>
          </w:p>
        </w:tc>
        <w:tc>
          <w:tcPr>
            <w:tcW w:w="1545" w:type="dxa"/>
            <w:noWrap w:val="0"/>
            <w:vAlign w:val="center"/>
          </w:tcPr>
          <w:p w14:paraId="27C33E5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楼层、屋面、阳台等临边</w:t>
            </w:r>
          </w:p>
        </w:tc>
        <w:tc>
          <w:tcPr>
            <w:tcW w:w="6645" w:type="dxa"/>
            <w:noWrap w:val="0"/>
            <w:vAlign w:val="center"/>
          </w:tcPr>
          <w:p w14:paraId="00F0899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设两道防护栏杆和18cm高的踢脚板，用密目式安全立网全封闭。</w:t>
            </w:r>
          </w:p>
        </w:tc>
      </w:tr>
      <w:tr w14:paraId="5EDB4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9296E93">
            <w:pPr>
              <w:rPr>
                <w:rFonts w:hint="eastAsia" w:ascii="宋体" w:hAnsi="宋体" w:eastAsia="宋体" w:cs="宋体"/>
                <w:color w:val="auto"/>
                <w:szCs w:val="21"/>
                <w:highlight w:val="none"/>
              </w:rPr>
            </w:pPr>
          </w:p>
        </w:tc>
        <w:tc>
          <w:tcPr>
            <w:tcW w:w="525" w:type="dxa"/>
            <w:vMerge w:val="continue"/>
            <w:noWrap w:val="0"/>
            <w:vAlign w:val="center"/>
          </w:tcPr>
          <w:p w14:paraId="6678D8D3">
            <w:pPr>
              <w:rPr>
                <w:rFonts w:hint="eastAsia" w:ascii="宋体" w:hAnsi="宋体" w:eastAsia="宋体" w:cs="宋体"/>
                <w:color w:val="auto"/>
                <w:szCs w:val="21"/>
                <w:highlight w:val="none"/>
              </w:rPr>
            </w:pPr>
          </w:p>
        </w:tc>
        <w:tc>
          <w:tcPr>
            <w:tcW w:w="1545" w:type="dxa"/>
            <w:noWrap w:val="0"/>
            <w:vAlign w:val="center"/>
          </w:tcPr>
          <w:p w14:paraId="4F8919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通道口</w:t>
            </w:r>
          </w:p>
        </w:tc>
        <w:tc>
          <w:tcPr>
            <w:tcW w:w="6645" w:type="dxa"/>
            <w:noWrap w:val="0"/>
            <w:vAlign w:val="center"/>
          </w:tcPr>
          <w:p w14:paraId="107D15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设防护棚，防护棚应为不小于5cm厚的木板或两道相距50cm的竹笆。两侧应沿栏杆架用密目式安全网封闭。</w:t>
            </w:r>
          </w:p>
        </w:tc>
      </w:tr>
      <w:tr w14:paraId="04F2C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2076AF9">
            <w:pPr>
              <w:rPr>
                <w:rFonts w:hint="eastAsia" w:ascii="宋体" w:hAnsi="宋体" w:eastAsia="宋体" w:cs="宋体"/>
                <w:color w:val="auto"/>
                <w:szCs w:val="21"/>
                <w:highlight w:val="none"/>
              </w:rPr>
            </w:pPr>
          </w:p>
        </w:tc>
        <w:tc>
          <w:tcPr>
            <w:tcW w:w="525" w:type="dxa"/>
            <w:vMerge w:val="continue"/>
            <w:noWrap w:val="0"/>
            <w:vAlign w:val="center"/>
          </w:tcPr>
          <w:p w14:paraId="058ADBB2">
            <w:pPr>
              <w:rPr>
                <w:rFonts w:hint="eastAsia" w:ascii="宋体" w:hAnsi="宋体" w:eastAsia="宋体" w:cs="宋体"/>
                <w:color w:val="auto"/>
                <w:szCs w:val="21"/>
                <w:highlight w:val="none"/>
              </w:rPr>
            </w:pPr>
          </w:p>
        </w:tc>
        <w:tc>
          <w:tcPr>
            <w:tcW w:w="1545" w:type="dxa"/>
            <w:noWrap w:val="0"/>
            <w:vAlign w:val="center"/>
          </w:tcPr>
          <w:p w14:paraId="3403F8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预留洞口</w:t>
            </w:r>
          </w:p>
        </w:tc>
        <w:tc>
          <w:tcPr>
            <w:tcW w:w="6645" w:type="dxa"/>
            <w:noWrap w:val="0"/>
            <w:vAlign w:val="center"/>
          </w:tcPr>
          <w:p w14:paraId="1E60F53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用硬质材料全封闭，短边超过1.5m长的洞口，除封闭外四周还应设有防护栏杆。</w:t>
            </w:r>
          </w:p>
        </w:tc>
      </w:tr>
      <w:tr w14:paraId="34E58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53CC23EC">
            <w:pPr>
              <w:rPr>
                <w:rFonts w:hint="eastAsia" w:ascii="宋体" w:hAnsi="宋体" w:eastAsia="宋体" w:cs="宋体"/>
                <w:color w:val="auto"/>
                <w:szCs w:val="21"/>
                <w:highlight w:val="none"/>
              </w:rPr>
            </w:pPr>
          </w:p>
        </w:tc>
        <w:tc>
          <w:tcPr>
            <w:tcW w:w="525" w:type="dxa"/>
            <w:vMerge w:val="continue"/>
            <w:noWrap w:val="0"/>
            <w:vAlign w:val="center"/>
          </w:tcPr>
          <w:p w14:paraId="4481C3CB">
            <w:pPr>
              <w:rPr>
                <w:rFonts w:hint="eastAsia" w:ascii="宋体" w:hAnsi="宋体" w:eastAsia="宋体" w:cs="宋体"/>
                <w:color w:val="auto"/>
                <w:szCs w:val="21"/>
                <w:highlight w:val="none"/>
              </w:rPr>
            </w:pPr>
          </w:p>
        </w:tc>
        <w:tc>
          <w:tcPr>
            <w:tcW w:w="1545" w:type="dxa"/>
            <w:noWrap w:val="0"/>
            <w:vAlign w:val="center"/>
          </w:tcPr>
          <w:p w14:paraId="087287D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电梯井口</w:t>
            </w:r>
          </w:p>
        </w:tc>
        <w:tc>
          <w:tcPr>
            <w:tcW w:w="6645" w:type="dxa"/>
            <w:noWrap w:val="0"/>
            <w:vAlign w:val="center"/>
          </w:tcPr>
          <w:p w14:paraId="2406216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设置定型化、工具化的防护门，在电梯井内每隔2层（不大于10m）设置一道水平防护。</w:t>
            </w:r>
          </w:p>
        </w:tc>
      </w:tr>
      <w:tr w14:paraId="25460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16BE47">
            <w:pPr>
              <w:rPr>
                <w:rFonts w:hint="eastAsia" w:ascii="宋体" w:hAnsi="宋体" w:eastAsia="宋体" w:cs="宋体"/>
                <w:color w:val="auto"/>
                <w:szCs w:val="21"/>
                <w:highlight w:val="none"/>
              </w:rPr>
            </w:pPr>
          </w:p>
        </w:tc>
        <w:tc>
          <w:tcPr>
            <w:tcW w:w="525" w:type="dxa"/>
            <w:vMerge w:val="continue"/>
            <w:noWrap w:val="0"/>
            <w:vAlign w:val="center"/>
          </w:tcPr>
          <w:p w14:paraId="48A2120D">
            <w:pPr>
              <w:rPr>
                <w:rFonts w:hint="eastAsia" w:ascii="宋体" w:hAnsi="宋体" w:eastAsia="宋体" w:cs="宋体"/>
                <w:color w:val="auto"/>
                <w:szCs w:val="21"/>
                <w:highlight w:val="none"/>
              </w:rPr>
            </w:pPr>
          </w:p>
        </w:tc>
        <w:tc>
          <w:tcPr>
            <w:tcW w:w="1545" w:type="dxa"/>
            <w:noWrap w:val="0"/>
            <w:vAlign w:val="center"/>
          </w:tcPr>
          <w:p w14:paraId="5325DD6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楼梯边</w:t>
            </w:r>
          </w:p>
        </w:tc>
        <w:tc>
          <w:tcPr>
            <w:tcW w:w="6645" w:type="dxa"/>
            <w:noWrap w:val="0"/>
            <w:vAlign w:val="center"/>
          </w:tcPr>
          <w:p w14:paraId="3C96D2C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设1.2m高的定型化、工具化的防护栏，18cm高的踢脚板。</w:t>
            </w:r>
          </w:p>
        </w:tc>
      </w:tr>
      <w:tr w14:paraId="06D3E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27451A3">
            <w:pPr>
              <w:rPr>
                <w:rFonts w:hint="eastAsia" w:ascii="宋体" w:hAnsi="宋体" w:eastAsia="宋体" w:cs="宋体"/>
                <w:color w:val="auto"/>
                <w:szCs w:val="21"/>
                <w:highlight w:val="none"/>
              </w:rPr>
            </w:pPr>
          </w:p>
        </w:tc>
        <w:tc>
          <w:tcPr>
            <w:tcW w:w="525" w:type="dxa"/>
            <w:vMerge w:val="continue"/>
            <w:noWrap w:val="0"/>
            <w:vAlign w:val="center"/>
          </w:tcPr>
          <w:p w14:paraId="6456D1B6">
            <w:pPr>
              <w:rPr>
                <w:rFonts w:hint="eastAsia" w:ascii="宋体" w:hAnsi="宋体" w:eastAsia="宋体" w:cs="宋体"/>
                <w:color w:val="auto"/>
                <w:szCs w:val="21"/>
                <w:highlight w:val="none"/>
              </w:rPr>
            </w:pPr>
          </w:p>
        </w:tc>
        <w:tc>
          <w:tcPr>
            <w:tcW w:w="1545" w:type="dxa"/>
            <w:noWrap w:val="0"/>
            <w:vAlign w:val="center"/>
          </w:tcPr>
          <w:p w14:paraId="2C57883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垂直方向交叉作业</w:t>
            </w:r>
          </w:p>
        </w:tc>
        <w:tc>
          <w:tcPr>
            <w:tcW w:w="6645" w:type="dxa"/>
            <w:noWrap w:val="0"/>
            <w:vAlign w:val="center"/>
          </w:tcPr>
          <w:p w14:paraId="2545753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设置防护隔离棚或其它设施。</w:t>
            </w:r>
          </w:p>
        </w:tc>
      </w:tr>
      <w:tr w14:paraId="221C6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037D3C9">
            <w:pPr>
              <w:rPr>
                <w:rFonts w:hint="eastAsia" w:ascii="宋体" w:hAnsi="宋体" w:eastAsia="宋体" w:cs="宋体"/>
                <w:color w:val="auto"/>
                <w:szCs w:val="21"/>
                <w:highlight w:val="none"/>
              </w:rPr>
            </w:pPr>
          </w:p>
        </w:tc>
        <w:tc>
          <w:tcPr>
            <w:tcW w:w="525" w:type="dxa"/>
            <w:vMerge w:val="continue"/>
            <w:noWrap w:val="0"/>
            <w:vAlign w:val="center"/>
          </w:tcPr>
          <w:p w14:paraId="14006947">
            <w:pPr>
              <w:rPr>
                <w:rFonts w:hint="eastAsia" w:ascii="宋体" w:hAnsi="宋体" w:eastAsia="宋体" w:cs="宋体"/>
                <w:color w:val="auto"/>
                <w:szCs w:val="21"/>
                <w:highlight w:val="none"/>
              </w:rPr>
            </w:pPr>
          </w:p>
        </w:tc>
        <w:tc>
          <w:tcPr>
            <w:tcW w:w="1545" w:type="dxa"/>
            <w:noWrap w:val="0"/>
            <w:vAlign w:val="center"/>
          </w:tcPr>
          <w:p w14:paraId="573F38A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w:t>
            </w:r>
          </w:p>
        </w:tc>
        <w:tc>
          <w:tcPr>
            <w:tcW w:w="6645" w:type="dxa"/>
            <w:noWrap w:val="0"/>
            <w:vAlign w:val="center"/>
          </w:tcPr>
          <w:p w14:paraId="26A5CFF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有悬挂安全带的悬索或其它设施，有操作平台，有上下的梯子或其它形式的通道。</w:t>
            </w:r>
          </w:p>
        </w:tc>
      </w:tr>
      <w:tr w14:paraId="31C9C8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50321DA">
            <w:pPr>
              <w:rPr>
                <w:rFonts w:hint="eastAsia" w:ascii="宋体" w:hAnsi="宋体" w:eastAsia="宋体" w:cs="宋体"/>
                <w:color w:val="auto"/>
                <w:szCs w:val="21"/>
                <w:highlight w:val="none"/>
              </w:rPr>
            </w:pPr>
          </w:p>
        </w:tc>
        <w:tc>
          <w:tcPr>
            <w:tcW w:w="525" w:type="dxa"/>
            <w:vMerge w:val="continue"/>
            <w:noWrap w:val="0"/>
            <w:vAlign w:val="center"/>
          </w:tcPr>
          <w:p w14:paraId="76BDB0F5">
            <w:pPr>
              <w:rPr>
                <w:rFonts w:hint="eastAsia" w:ascii="宋体" w:hAnsi="宋体" w:eastAsia="宋体" w:cs="宋体"/>
                <w:color w:val="auto"/>
                <w:szCs w:val="21"/>
                <w:highlight w:val="none"/>
              </w:rPr>
            </w:pPr>
          </w:p>
        </w:tc>
        <w:tc>
          <w:tcPr>
            <w:tcW w:w="1545" w:type="dxa"/>
            <w:noWrap w:val="0"/>
            <w:vAlign w:val="center"/>
          </w:tcPr>
          <w:p w14:paraId="54AD277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基坑、物料平台</w:t>
            </w:r>
          </w:p>
        </w:tc>
        <w:tc>
          <w:tcPr>
            <w:tcW w:w="6645" w:type="dxa"/>
            <w:noWrap w:val="0"/>
            <w:vAlign w:val="center"/>
          </w:tcPr>
          <w:p w14:paraId="665072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设1.2m高标准化的防护栏，用密目式安全立网封闭，悬挂标识。</w:t>
            </w:r>
          </w:p>
        </w:tc>
      </w:tr>
      <w:tr w14:paraId="0BD36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A260DD5">
            <w:pPr>
              <w:rPr>
                <w:rFonts w:hint="eastAsia" w:ascii="宋体" w:hAnsi="宋体" w:eastAsia="宋体" w:cs="宋体"/>
                <w:color w:val="auto"/>
                <w:szCs w:val="21"/>
                <w:highlight w:val="none"/>
              </w:rPr>
            </w:pPr>
          </w:p>
        </w:tc>
        <w:tc>
          <w:tcPr>
            <w:tcW w:w="2070" w:type="dxa"/>
            <w:gridSpan w:val="2"/>
            <w:noWrap w:val="0"/>
            <w:vAlign w:val="center"/>
          </w:tcPr>
          <w:p w14:paraId="24CF9AD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安全防护用品</w:t>
            </w:r>
          </w:p>
        </w:tc>
        <w:tc>
          <w:tcPr>
            <w:tcW w:w="6645" w:type="dxa"/>
            <w:noWrap w:val="0"/>
            <w:vAlign w:val="center"/>
          </w:tcPr>
          <w:p w14:paraId="663B13F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安全帽、安全带、特种作业人员（电工、焊工、架子工等）防护服装、用品等。</w:t>
            </w:r>
          </w:p>
        </w:tc>
      </w:tr>
      <w:tr w14:paraId="29CFA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436DA0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525" w:type="dxa"/>
            <w:vMerge w:val="restart"/>
            <w:noWrap w:val="0"/>
            <w:vAlign w:val="center"/>
          </w:tcPr>
          <w:p w14:paraId="545CE9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机械设备防护</w:t>
            </w:r>
          </w:p>
        </w:tc>
        <w:tc>
          <w:tcPr>
            <w:tcW w:w="1545" w:type="dxa"/>
            <w:noWrap w:val="0"/>
            <w:vAlign w:val="center"/>
          </w:tcPr>
          <w:p w14:paraId="3E77503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中小型机械</w:t>
            </w:r>
          </w:p>
        </w:tc>
        <w:tc>
          <w:tcPr>
            <w:tcW w:w="6645" w:type="dxa"/>
            <w:noWrap w:val="0"/>
            <w:vAlign w:val="center"/>
          </w:tcPr>
          <w:p w14:paraId="56C0B45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设防护棚（同通道口防护并有防雨措施）。</w:t>
            </w:r>
          </w:p>
        </w:tc>
      </w:tr>
      <w:tr w14:paraId="24FE4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F01ED01">
            <w:pPr>
              <w:rPr>
                <w:rFonts w:hint="eastAsia" w:ascii="宋体" w:hAnsi="宋体" w:eastAsia="宋体" w:cs="宋体"/>
                <w:color w:val="auto"/>
                <w:szCs w:val="21"/>
                <w:highlight w:val="none"/>
              </w:rPr>
            </w:pPr>
          </w:p>
        </w:tc>
        <w:tc>
          <w:tcPr>
            <w:tcW w:w="525" w:type="dxa"/>
            <w:vMerge w:val="continue"/>
            <w:noWrap w:val="0"/>
            <w:vAlign w:val="center"/>
          </w:tcPr>
          <w:p w14:paraId="136674FC">
            <w:pPr>
              <w:rPr>
                <w:rFonts w:hint="eastAsia" w:ascii="宋体" w:hAnsi="宋体" w:eastAsia="宋体" w:cs="宋体"/>
                <w:color w:val="auto"/>
                <w:szCs w:val="21"/>
                <w:highlight w:val="none"/>
              </w:rPr>
            </w:pPr>
          </w:p>
        </w:tc>
        <w:tc>
          <w:tcPr>
            <w:tcW w:w="1545" w:type="dxa"/>
            <w:noWrap w:val="0"/>
            <w:vAlign w:val="center"/>
          </w:tcPr>
          <w:p w14:paraId="2D3F9CA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垂直运输设备</w:t>
            </w:r>
          </w:p>
        </w:tc>
        <w:tc>
          <w:tcPr>
            <w:tcW w:w="6645" w:type="dxa"/>
            <w:noWrap w:val="0"/>
            <w:vAlign w:val="center"/>
          </w:tcPr>
          <w:p w14:paraId="07FFF43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垂直运输设备检测、检验、日常维护、保养等。</w:t>
            </w:r>
          </w:p>
          <w:p w14:paraId="257B0E6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物料提升机、施工电梯等物料平台搭设、外侧用密目式安全立网全封闭，有安全通道、安全防护门、防护棚等。</w:t>
            </w:r>
          </w:p>
        </w:tc>
      </w:tr>
      <w:tr w14:paraId="0B4D5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9B0BC74">
            <w:pPr>
              <w:rPr>
                <w:rFonts w:hint="eastAsia" w:ascii="宋体" w:hAnsi="宋体" w:eastAsia="宋体" w:cs="宋体"/>
                <w:color w:val="auto"/>
                <w:szCs w:val="21"/>
                <w:highlight w:val="none"/>
              </w:rPr>
            </w:pPr>
          </w:p>
        </w:tc>
        <w:tc>
          <w:tcPr>
            <w:tcW w:w="2070" w:type="dxa"/>
            <w:gridSpan w:val="2"/>
            <w:noWrap w:val="0"/>
            <w:vAlign w:val="center"/>
          </w:tcPr>
          <w:p w14:paraId="0509F90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专家论证审查</w:t>
            </w:r>
          </w:p>
        </w:tc>
        <w:tc>
          <w:tcPr>
            <w:tcW w:w="6645" w:type="dxa"/>
            <w:noWrap w:val="0"/>
            <w:vAlign w:val="center"/>
          </w:tcPr>
          <w:p w14:paraId="6CC2FBB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超过一定规模的危险性较大分部分项工程专家论证审查。</w:t>
            </w:r>
          </w:p>
        </w:tc>
      </w:tr>
      <w:tr w14:paraId="71B1E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83B921A">
            <w:pPr>
              <w:rPr>
                <w:rFonts w:hint="eastAsia" w:ascii="宋体" w:hAnsi="宋体" w:eastAsia="宋体" w:cs="宋体"/>
                <w:color w:val="auto"/>
                <w:szCs w:val="21"/>
                <w:highlight w:val="none"/>
              </w:rPr>
            </w:pPr>
          </w:p>
        </w:tc>
        <w:tc>
          <w:tcPr>
            <w:tcW w:w="2070" w:type="dxa"/>
            <w:gridSpan w:val="2"/>
            <w:noWrap w:val="0"/>
            <w:vAlign w:val="center"/>
          </w:tcPr>
          <w:p w14:paraId="3ADB4D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应急救援预案</w:t>
            </w:r>
          </w:p>
        </w:tc>
        <w:tc>
          <w:tcPr>
            <w:tcW w:w="6645" w:type="dxa"/>
            <w:noWrap w:val="0"/>
            <w:vAlign w:val="center"/>
          </w:tcPr>
          <w:p w14:paraId="7A08FDE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救援器材准备及演练等。</w:t>
            </w:r>
          </w:p>
        </w:tc>
      </w:tr>
      <w:tr w14:paraId="360C4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7F7CCD3D">
            <w:pPr>
              <w:rPr>
                <w:rFonts w:hint="eastAsia" w:ascii="宋体" w:hAnsi="宋体" w:eastAsia="宋体" w:cs="宋体"/>
                <w:color w:val="auto"/>
                <w:szCs w:val="21"/>
                <w:highlight w:val="none"/>
              </w:rPr>
            </w:pPr>
          </w:p>
        </w:tc>
        <w:tc>
          <w:tcPr>
            <w:tcW w:w="2070" w:type="dxa"/>
            <w:gridSpan w:val="2"/>
            <w:tcBorders>
              <w:bottom w:val="single" w:color="auto" w:sz="12" w:space="0"/>
            </w:tcBorders>
            <w:noWrap w:val="0"/>
            <w:vAlign w:val="center"/>
          </w:tcPr>
          <w:p w14:paraId="54FB60B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非正常情况施工</w:t>
            </w:r>
          </w:p>
        </w:tc>
        <w:tc>
          <w:tcPr>
            <w:tcW w:w="6645" w:type="dxa"/>
            <w:tcBorders>
              <w:bottom w:val="single" w:color="auto" w:sz="12" w:space="0"/>
            </w:tcBorders>
            <w:noWrap w:val="0"/>
            <w:vAlign w:val="center"/>
          </w:tcPr>
          <w:p w14:paraId="6FDB390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其它特殊情况下的防护费用，如：城市主干道、人流密集、河边等处施工及文物、古建筑、古树保护等。</w:t>
            </w:r>
          </w:p>
        </w:tc>
      </w:tr>
    </w:tbl>
    <w:p w14:paraId="6ECA4B88">
      <w:pPr>
        <w:rPr>
          <w:rFonts w:hint="eastAsia" w:ascii="宋体" w:hAnsi="宋体" w:eastAsia="宋体" w:cs="宋体"/>
          <w:b/>
          <w:bCs/>
          <w:color w:val="auto"/>
          <w:w w:val="90"/>
          <w:szCs w:val="21"/>
          <w:highlight w:val="none"/>
        </w:rPr>
      </w:pPr>
    </w:p>
    <w:p w14:paraId="4564E50A">
      <w:pPr>
        <w:rPr>
          <w:rFonts w:hint="eastAsia" w:ascii="宋体" w:hAnsi="宋体" w:eastAsia="宋体" w:cs="宋体"/>
          <w:color w:val="auto"/>
          <w:szCs w:val="21"/>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zCs w:val="21"/>
          <w:highlight w:val="none"/>
        </w:rPr>
        <w:t>注：本表所列建筑工程安全文明施工费，是依据现行法律法规及标准规范确定的。如法律法规和标准规范修订，本表所列项目应按照修订后的法律法规和标准规范进行调整。</w:t>
      </w:r>
    </w:p>
    <w:p w14:paraId="0707F382">
      <w:pPr>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技术需求偏离表的格式：</w:t>
      </w:r>
    </w:p>
    <w:p w14:paraId="583A9B24">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734C97B9">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13DDB34D">
      <w:pPr>
        <w:spacing w:line="360" w:lineRule="auto"/>
        <w:contextualSpacing/>
        <w:jc w:val="left"/>
        <w:rPr>
          <w:rFonts w:hint="eastAsia" w:ascii="宋体" w:hAnsi="宋体" w:eastAsia="宋体" w:cs="宋体"/>
          <w:color w:val="auto"/>
          <w:sz w:val="24"/>
          <w:highlight w:val="none"/>
        </w:rPr>
      </w:pPr>
    </w:p>
    <w:p w14:paraId="171DF64F">
      <w:pPr>
        <w:spacing w:line="360" w:lineRule="auto"/>
        <w:ind w:firstLine="720" w:firstLineChars="3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F581493">
      <w:pPr>
        <w:spacing w:line="360" w:lineRule="auto"/>
        <w:ind w:firstLine="720" w:firstLineChars="3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7CFAA3C6">
      <w:pPr>
        <w:spacing w:line="360" w:lineRule="auto"/>
        <w:ind w:firstLine="720" w:firstLineChars="3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tbl>
      <w:tblPr>
        <w:tblStyle w:val="29"/>
        <w:tblpPr w:leftFromText="180" w:rightFromText="180" w:vertAnchor="text" w:horzAnchor="page" w:tblpX="1586" w:tblpY="8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7EE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CC40D75">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A1ACE2A">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w:t>
            </w:r>
            <w:bookmarkStart w:id="56" w:name="OLE_LINK44"/>
            <w:r>
              <w:rPr>
                <w:rFonts w:hint="eastAsia" w:ascii="宋体" w:hAnsi="宋体" w:eastAsia="宋体" w:cs="宋体"/>
                <w:color w:val="auto"/>
                <w:szCs w:val="21"/>
                <w:highlight w:val="none"/>
              </w:rPr>
              <w:t>技术要求</w:t>
            </w:r>
            <w:bookmarkEnd w:id="56"/>
          </w:p>
        </w:tc>
        <w:tc>
          <w:tcPr>
            <w:tcW w:w="3589" w:type="dxa"/>
            <w:tcBorders>
              <w:top w:val="single" w:color="auto" w:sz="4" w:space="0"/>
              <w:left w:val="single" w:color="auto" w:sz="4" w:space="0"/>
              <w:bottom w:val="single" w:color="auto" w:sz="4" w:space="0"/>
              <w:right w:val="single" w:color="auto" w:sz="4" w:space="0"/>
            </w:tcBorders>
            <w:noWrap w:val="0"/>
            <w:vAlign w:val="center"/>
          </w:tcPr>
          <w:p w14:paraId="76A88A83">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响应文件承诺的技术要求</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238F377">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430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72381251">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AB2D8E6">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B702043">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2DA18C4">
            <w:pPr>
              <w:spacing w:line="300" w:lineRule="exact"/>
              <w:rPr>
                <w:rFonts w:hint="eastAsia" w:ascii="宋体" w:hAnsi="宋体" w:eastAsia="宋体" w:cs="宋体"/>
                <w:color w:val="auto"/>
                <w:szCs w:val="21"/>
                <w:highlight w:val="none"/>
              </w:rPr>
            </w:pPr>
          </w:p>
        </w:tc>
      </w:tr>
      <w:tr w14:paraId="6976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C6CBFEC">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8E65DA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18C96A6D">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0739AD4">
            <w:pPr>
              <w:spacing w:line="300" w:lineRule="exact"/>
              <w:rPr>
                <w:rFonts w:hint="eastAsia" w:ascii="宋体" w:hAnsi="宋体" w:eastAsia="宋体" w:cs="宋体"/>
                <w:color w:val="auto"/>
                <w:szCs w:val="21"/>
                <w:highlight w:val="none"/>
              </w:rPr>
            </w:pPr>
          </w:p>
        </w:tc>
      </w:tr>
      <w:tr w14:paraId="4C7E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0C557C87">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EEA58B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4DD0C8B">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15F2322">
            <w:pPr>
              <w:spacing w:line="300" w:lineRule="exact"/>
              <w:rPr>
                <w:rFonts w:hint="eastAsia" w:ascii="宋体" w:hAnsi="宋体" w:eastAsia="宋体" w:cs="宋体"/>
                <w:color w:val="auto"/>
                <w:szCs w:val="21"/>
                <w:highlight w:val="none"/>
              </w:rPr>
            </w:pPr>
          </w:p>
        </w:tc>
      </w:tr>
      <w:tr w14:paraId="3C99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118D6CA">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D4B406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9E19767">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36474B5">
            <w:pPr>
              <w:spacing w:line="300" w:lineRule="exact"/>
              <w:rPr>
                <w:rFonts w:hint="eastAsia" w:ascii="宋体" w:hAnsi="宋体" w:eastAsia="宋体" w:cs="宋体"/>
                <w:color w:val="auto"/>
                <w:szCs w:val="21"/>
                <w:highlight w:val="none"/>
              </w:rPr>
            </w:pPr>
          </w:p>
        </w:tc>
      </w:tr>
      <w:tr w14:paraId="2DA3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BE4F9F8">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A715294">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C6F856">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A88A5BB">
            <w:pPr>
              <w:spacing w:line="300" w:lineRule="exact"/>
              <w:rPr>
                <w:rFonts w:hint="eastAsia" w:ascii="宋体" w:hAnsi="宋体" w:eastAsia="宋体" w:cs="宋体"/>
                <w:color w:val="auto"/>
                <w:szCs w:val="21"/>
                <w:highlight w:val="none"/>
              </w:rPr>
            </w:pPr>
          </w:p>
        </w:tc>
      </w:tr>
      <w:tr w14:paraId="21E0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2C9E588">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2C1587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91198E0">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9493B3E">
            <w:pPr>
              <w:spacing w:line="300" w:lineRule="exact"/>
              <w:rPr>
                <w:rFonts w:hint="eastAsia" w:ascii="宋体" w:hAnsi="宋体" w:eastAsia="宋体" w:cs="宋体"/>
                <w:color w:val="auto"/>
                <w:szCs w:val="21"/>
                <w:highlight w:val="none"/>
              </w:rPr>
            </w:pPr>
          </w:p>
        </w:tc>
      </w:tr>
    </w:tbl>
    <w:p w14:paraId="7F66EDA8">
      <w:pPr>
        <w:pStyle w:val="12"/>
        <w:spacing w:after="0" w:line="360" w:lineRule="auto"/>
        <w:contextualSpacing/>
        <w:rPr>
          <w:rFonts w:hint="eastAsia" w:ascii="宋体" w:hAnsi="宋体" w:eastAsia="宋体" w:cs="宋体"/>
          <w:color w:val="auto"/>
          <w:kern w:val="0"/>
          <w:sz w:val="24"/>
          <w:szCs w:val="24"/>
          <w:highlight w:val="none"/>
        </w:rPr>
      </w:pPr>
    </w:p>
    <w:p w14:paraId="65A7F18F">
      <w:pPr>
        <w:pStyle w:val="12"/>
        <w:spacing w:after="0" w:line="48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37AF972">
      <w:pPr>
        <w:pStyle w:val="12"/>
        <w:spacing w:after="0" w:line="48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1.说明：应对照磋商文件“第二章”中“需求一览表”的技术要求逐条作出明确响应，并作出偏离说明。</w:t>
      </w:r>
    </w:p>
    <w:p w14:paraId="3F773298">
      <w:pPr>
        <w:pStyle w:val="14"/>
        <w:spacing w:line="48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2.供应商应根据自身的承诺，对照磋商文件要求，在“偏离说明”中注明“正偏离”或者“负偏离”或者“无偏离”。既不属于“正偏离”也不属于“负偏离”即为“无偏离”。 当响应文件的技术内容低于竞争性磋商文件要求时，供应商应当如实写明“负偏离”，否则视为虚假应标。</w:t>
      </w:r>
    </w:p>
    <w:p w14:paraId="4EA19D4E">
      <w:pPr>
        <w:spacing w:line="48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w:t>
      </w:r>
      <w:r>
        <w:rPr>
          <w:rFonts w:hint="eastAsia" w:ascii="宋体" w:hAnsi="宋体" w:eastAsia="宋体" w:cs="宋体"/>
          <w:b/>
          <w:bCs/>
          <w:color w:val="auto"/>
          <w:kern w:val="0"/>
          <w:szCs w:val="21"/>
          <w:highlight w:val="none"/>
        </w:rPr>
        <w:t>否则按竞标无效处理。</w:t>
      </w:r>
    </w:p>
    <w:p w14:paraId="2E16412C">
      <w:pPr>
        <w:pStyle w:val="14"/>
        <w:spacing w:line="480" w:lineRule="auto"/>
        <w:ind w:firstLine="42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4. 如技术偏离表中的竞标响应与佐证材料不一致的，以佐证材料为准。</w:t>
      </w:r>
    </w:p>
    <w:p w14:paraId="37D755FB">
      <w:pPr>
        <w:snapToGrid w:val="0"/>
        <w:spacing w:line="360" w:lineRule="auto"/>
        <w:ind w:firstLine="602" w:firstLineChars="200"/>
        <w:rPr>
          <w:rFonts w:hint="eastAsia" w:ascii="宋体" w:hAnsi="宋体" w:eastAsia="宋体" w:cs="宋体"/>
          <w:b/>
          <w:color w:val="auto"/>
          <w:sz w:val="30"/>
          <w:szCs w:val="30"/>
          <w:highlight w:val="none"/>
        </w:rPr>
      </w:pPr>
    </w:p>
    <w:p w14:paraId="0ECA5306">
      <w:pPr>
        <w:spacing w:line="400" w:lineRule="exact"/>
        <w:ind w:firstLine="4410" w:firstLineChars="21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5F707E76">
      <w:pPr>
        <w:snapToGrid w:val="0"/>
        <w:spacing w:line="360" w:lineRule="auto"/>
        <w:ind w:firstLine="420" w:firstLineChars="200"/>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A43F544">
      <w:pPr>
        <w:adjustRightInd w:val="0"/>
        <w:snapToGrid w:val="0"/>
        <w:spacing w:line="520" w:lineRule="exact"/>
        <w:jc w:val="center"/>
        <w:rPr>
          <w:rFonts w:hint="eastAsia" w:ascii="宋体" w:hAnsi="宋体" w:eastAsia="宋体" w:cs="宋体"/>
          <w:bCs/>
          <w:color w:val="auto"/>
          <w:sz w:val="44"/>
          <w:szCs w:val="44"/>
          <w:highlight w:val="none"/>
        </w:rPr>
      </w:pPr>
    </w:p>
    <w:p w14:paraId="1F718B4D">
      <w:pPr>
        <w:keepLines w:val="0"/>
        <w:pageBreakBefore w:val="0"/>
        <w:widowControl w:val="0"/>
        <w:kinsoku/>
        <w:wordWrap/>
        <w:overflowPunct/>
        <w:topLinePunct w:val="0"/>
        <w:bidi w:val="0"/>
        <w:adjustRightInd/>
        <w:snapToGrid w:val="0"/>
        <w:spacing w:line="360" w:lineRule="auto"/>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施工组织设计（格式自拟）</w:t>
      </w:r>
    </w:p>
    <w:p w14:paraId="2D51ECE5">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6C3EC526">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0C9F004B">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08C1E85F">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38A98E8">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00284EE">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30"/>
          <w:szCs w:val="30"/>
          <w:highlight w:val="none"/>
        </w:rPr>
      </w:pPr>
    </w:p>
    <w:p w14:paraId="737E3BB0">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28"/>
          <w:szCs w:val="28"/>
          <w:highlight w:val="none"/>
        </w:rPr>
      </w:pPr>
    </w:p>
    <w:p w14:paraId="5B86A222">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28"/>
          <w:szCs w:val="28"/>
          <w:highlight w:val="none"/>
        </w:rPr>
      </w:pPr>
    </w:p>
    <w:p w14:paraId="1E796412">
      <w:pPr>
        <w:keepLines w:val="0"/>
        <w:pageBreakBefore w:val="0"/>
        <w:widowControl w:val="0"/>
        <w:kinsoku/>
        <w:wordWrap/>
        <w:overflowPunct/>
        <w:topLinePunct w:val="0"/>
        <w:bidi w:val="0"/>
        <w:adjustRightInd/>
        <w:snapToGrid w:val="0"/>
        <w:spacing w:line="360" w:lineRule="auto"/>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项目管理机构配备情况表及主要人员简历表（格式自拟）</w:t>
      </w:r>
    </w:p>
    <w:p w14:paraId="0D885768">
      <w:pPr>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（由供应商根据采购需求及采购文件要求编制）</w:t>
      </w:r>
    </w:p>
    <w:p w14:paraId="4BAAC084">
      <w:pPr>
        <w:pStyle w:val="21"/>
        <w:keepLines w:val="0"/>
        <w:pageBreakBefore w:val="0"/>
        <w:widowControl w:val="0"/>
        <w:kinsoku/>
        <w:wordWrap/>
        <w:overflowPunct/>
        <w:topLinePunct w:val="0"/>
        <w:bidi w:val="0"/>
        <w:adjustRightInd/>
        <w:spacing w:line="360" w:lineRule="auto"/>
        <w:textAlignment w:val="auto"/>
        <w:rPr>
          <w:rFonts w:hint="eastAsia" w:ascii="宋体" w:hAnsi="宋体" w:eastAsia="宋体" w:cs="宋体"/>
          <w:color w:val="auto"/>
          <w:highlight w:val="none"/>
        </w:rPr>
      </w:pPr>
    </w:p>
    <w:p w14:paraId="6BC16E7E">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p>
    <w:p w14:paraId="4FAE46E3">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0C369D40">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9A5DED2">
      <w:pPr>
        <w:jc w:val="both"/>
        <w:outlineLvl w:val="9"/>
        <w:rPr>
          <w:rFonts w:hint="eastAsia" w:ascii="宋体" w:hAnsi="宋体" w:eastAsia="宋体" w:cs="宋体"/>
          <w:b/>
          <w:bCs/>
          <w:color w:val="auto"/>
          <w:highlight w:val="none"/>
        </w:rPr>
      </w:pPr>
    </w:p>
    <w:p w14:paraId="73248728">
      <w:pPr>
        <w:outlineLvl w:val="9"/>
        <w:rPr>
          <w:rFonts w:hint="eastAsia" w:ascii="宋体" w:hAnsi="宋体" w:eastAsia="宋体" w:cs="宋体"/>
          <w:b/>
          <w:bCs/>
          <w:color w:val="auto"/>
          <w:highlight w:val="none"/>
        </w:rPr>
      </w:pPr>
    </w:p>
    <w:p w14:paraId="43A9EA94">
      <w:pPr>
        <w:outlineLvl w:val="9"/>
        <w:rPr>
          <w:rFonts w:hint="eastAsia" w:ascii="宋体" w:hAnsi="宋体" w:eastAsia="宋体" w:cs="宋体"/>
          <w:b/>
          <w:bCs/>
          <w:color w:val="auto"/>
          <w:highlight w:val="none"/>
        </w:rPr>
      </w:pPr>
    </w:p>
    <w:p w14:paraId="1E5DC1EA">
      <w:pPr>
        <w:outlineLvl w:val="9"/>
        <w:rPr>
          <w:rFonts w:hint="eastAsia" w:ascii="宋体" w:hAnsi="宋体" w:eastAsia="宋体" w:cs="宋体"/>
          <w:b/>
          <w:bCs/>
          <w:color w:val="auto"/>
          <w:highlight w:val="none"/>
        </w:rPr>
      </w:pPr>
    </w:p>
    <w:p w14:paraId="0ED1DF4D">
      <w:pPr>
        <w:jc w:val="center"/>
        <w:outlineLvl w:val="9"/>
        <w:rPr>
          <w:rFonts w:hint="eastAsia" w:ascii="宋体" w:hAnsi="宋体" w:eastAsia="宋体" w:cs="宋体"/>
          <w:b/>
          <w:bCs/>
          <w:color w:val="auto"/>
          <w:highlight w:val="none"/>
        </w:rPr>
      </w:pPr>
    </w:p>
    <w:p w14:paraId="17676597">
      <w:pPr>
        <w:outlineLvl w:val="9"/>
        <w:rPr>
          <w:rFonts w:hint="eastAsia" w:ascii="宋体" w:hAnsi="宋体" w:eastAsia="宋体" w:cs="宋体"/>
          <w:b/>
          <w:bCs/>
          <w:color w:val="auto"/>
          <w:highlight w:val="none"/>
        </w:rPr>
      </w:pPr>
    </w:p>
    <w:p w14:paraId="44AF8D24">
      <w:pPr>
        <w:outlineLvl w:val="9"/>
        <w:rPr>
          <w:rFonts w:hint="eastAsia" w:ascii="宋体" w:hAnsi="宋体" w:eastAsia="宋体" w:cs="宋体"/>
          <w:b/>
          <w:bCs/>
          <w:color w:val="auto"/>
          <w:highlight w:val="none"/>
        </w:rPr>
      </w:pPr>
    </w:p>
    <w:p w14:paraId="0FD5E2C2">
      <w:pPr>
        <w:outlineLvl w:val="9"/>
        <w:rPr>
          <w:rFonts w:hint="eastAsia" w:ascii="宋体" w:hAnsi="宋体" w:eastAsia="宋体" w:cs="宋体"/>
          <w:b/>
          <w:bCs/>
          <w:color w:val="auto"/>
          <w:highlight w:val="none"/>
        </w:rPr>
      </w:pPr>
    </w:p>
    <w:p w14:paraId="0B5BEF92">
      <w:pPr>
        <w:outlineLvl w:val="9"/>
        <w:rPr>
          <w:rFonts w:hint="eastAsia" w:ascii="宋体" w:hAnsi="宋体" w:eastAsia="宋体" w:cs="宋体"/>
          <w:b/>
          <w:bCs/>
          <w:color w:val="auto"/>
          <w:highlight w:val="none"/>
        </w:rPr>
      </w:pPr>
    </w:p>
    <w:p w14:paraId="0425671A">
      <w:pPr>
        <w:outlineLvl w:val="9"/>
        <w:rPr>
          <w:rFonts w:hint="eastAsia" w:ascii="宋体" w:hAnsi="宋体" w:eastAsia="宋体" w:cs="宋体"/>
          <w:b/>
          <w:bCs/>
          <w:color w:val="auto"/>
          <w:highlight w:val="none"/>
        </w:rPr>
      </w:pPr>
    </w:p>
    <w:p w14:paraId="2686A9F0">
      <w:pPr>
        <w:outlineLvl w:val="9"/>
        <w:rPr>
          <w:rFonts w:hint="eastAsia" w:ascii="宋体" w:hAnsi="宋体" w:eastAsia="宋体" w:cs="宋体"/>
          <w:b/>
          <w:bCs/>
          <w:color w:val="auto"/>
          <w:highlight w:val="none"/>
        </w:rPr>
      </w:pPr>
    </w:p>
    <w:p w14:paraId="367B2124">
      <w:pPr>
        <w:jc w:val="both"/>
        <w:outlineLvl w:val="9"/>
        <w:rPr>
          <w:rFonts w:hint="eastAsia" w:ascii="宋体" w:hAnsi="宋体" w:eastAsia="宋体" w:cs="宋体"/>
          <w:b/>
          <w:bCs/>
          <w:color w:val="auto"/>
          <w:highlight w:val="none"/>
        </w:rPr>
      </w:pPr>
    </w:p>
    <w:p w14:paraId="70735897">
      <w:pPr>
        <w:outlineLvl w:val="9"/>
        <w:rPr>
          <w:rFonts w:hint="eastAsia" w:ascii="宋体" w:hAnsi="宋体" w:eastAsia="宋体" w:cs="宋体"/>
          <w:b/>
          <w:bCs/>
          <w:color w:val="auto"/>
          <w:highlight w:val="none"/>
        </w:rPr>
      </w:pPr>
    </w:p>
    <w:p w14:paraId="685B38CB">
      <w:pPr>
        <w:outlineLvl w:val="9"/>
        <w:rPr>
          <w:rFonts w:hint="eastAsia" w:ascii="宋体" w:hAnsi="宋体" w:eastAsia="宋体" w:cs="宋体"/>
          <w:b/>
          <w:bCs/>
          <w:color w:val="auto"/>
          <w:highlight w:val="none"/>
        </w:rPr>
      </w:pPr>
    </w:p>
    <w:p w14:paraId="472E07F1">
      <w:pPr>
        <w:outlineLvl w:val="9"/>
        <w:rPr>
          <w:rFonts w:hint="eastAsia" w:ascii="宋体" w:hAnsi="宋体" w:eastAsia="宋体" w:cs="宋体"/>
          <w:b/>
          <w:bCs/>
          <w:color w:val="auto"/>
          <w:highlight w:val="none"/>
        </w:rPr>
      </w:pPr>
    </w:p>
    <w:p w14:paraId="260BF5FA">
      <w:pPr>
        <w:pStyle w:val="3"/>
        <w:jc w:val="center"/>
        <w:rPr>
          <w:rFonts w:hint="eastAsia" w:ascii="宋体" w:hAnsi="宋体" w:eastAsia="宋体" w:cs="宋体"/>
          <w:b w:val="0"/>
          <w:bCs/>
          <w:color w:val="auto"/>
          <w:highlight w:val="none"/>
        </w:rPr>
      </w:pPr>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其他文书、文件格式</w:t>
      </w:r>
      <w:bookmarkEnd w:id="54"/>
      <w:bookmarkEnd w:id="55"/>
    </w:p>
    <w:p w14:paraId="33029A1E">
      <w:pPr>
        <w:jc w:val="center"/>
        <w:rPr>
          <w:rFonts w:hint="eastAsia" w:ascii="宋体" w:hAnsi="宋体" w:eastAsia="宋体" w:cs="宋体"/>
          <w:b/>
          <w:bCs/>
          <w:color w:val="auto"/>
          <w:sz w:val="32"/>
          <w:szCs w:val="32"/>
          <w:highlight w:val="none"/>
          <w:lang w:val="en"/>
        </w:rPr>
      </w:pPr>
      <w:r>
        <w:rPr>
          <w:rFonts w:hint="eastAsia" w:ascii="宋体" w:hAnsi="宋体" w:eastAsia="宋体" w:cs="宋体"/>
          <w:b/>
          <w:bCs/>
          <w:color w:val="auto"/>
          <w:sz w:val="32"/>
          <w:szCs w:val="32"/>
          <w:highlight w:val="none"/>
          <w:lang w:val="en"/>
        </w:rPr>
        <w:t>知识产权合规性声明</w:t>
      </w:r>
    </w:p>
    <w:p w14:paraId="6DE6B215">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w:t>
      </w:r>
    </w:p>
    <w:p w14:paraId="17542A7C">
      <w:pPr>
        <w:rPr>
          <w:rFonts w:hint="eastAsia" w:ascii="宋体" w:hAnsi="宋体" w:eastAsia="宋体" w:cs="宋体"/>
          <w:color w:val="auto"/>
          <w:sz w:val="30"/>
          <w:szCs w:val="30"/>
          <w:highlight w:val="none"/>
          <w:lang w:val="en"/>
        </w:rPr>
      </w:pPr>
      <w:r>
        <w:rPr>
          <w:rFonts w:hint="eastAsia" w:ascii="宋体" w:hAnsi="宋体" w:eastAsia="宋体" w:cs="宋体"/>
          <w:color w:val="auto"/>
          <w:sz w:val="30"/>
          <w:szCs w:val="30"/>
          <w:highlight w:val="none"/>
        </w:rPr>
        <w:t xml:space="preserve">    本</w:t>
      </w:r>
      <w:r>
        <w:rPr>
          <w:rFonts w:hint="eastAsia" w:ascii="宋体" w:hAnsi="宋体" w:eastAsia="宋体" w:cs="宋体"/>
          <w:color w:val="auto"/>
          <w:sz w:val="30"/>
          <w:szCs w:val="30"/>
          <w:highlight w:val="none"/>
          <w:lang w:val="en"/>
        </w:rPr>
        <w:t>企业（单位）自愿参与政府投资政府采购的</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
        </w:rPr>
        <w:t>项目，</w:t>
      </w:r>
      <w:r>
        <w:rPr>
          <w:rFonts w:hint="eastAsia" w:ascii="宋体" w:hAnsi="宋体" w:eastAsia="宋体" w:cs="宋体"/>
          <w:b/>
          <w:bCs/>
          <w:color w:val="auto"/>
          <w:sz w:val="30"/>
          <w:szCs w:val="30"/>
          <w:highlight w:val="none"/>
          <w:lang w:val="en"/>
        </w:rPr>
        <w:t>在此郑重承诺：</w:t>
      </w:r>
      <w:r>
        <w:rPr>
          <w:rFonts w:hint="eastAsia" w:ascii="宋体" w:hAnsi="宋体" w:eastAsia="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eastAsia="宋体" w:cs="宋体"/>
          <w:color w:val="auto"/>
          <w:sz w:val="30"/>
          <w:szCs w:val="30"/>
          <w:highlight w:val="none"/>
        </w:rPr>
        <w:t>单位</w:t>
      </w:r>
      <w:r>
        <w:rPr>
          <w:rFonts w:hint="eastAsia" w:ascii="宋体" w:hAnsi="宋体" w:eastAsia="宋体" w:cs="宋体"/>
          <w:color w:val="auto"/>
          <w:sz w:val="30"/>
          <w:szCs w:val="30"/>
          <w:highlight w:val="none"/>
          <w:lang w:val="en"/>
        </w:rPr>
        <w:t>）将承担由此产生的全部责任。</w:t>
      </w:r>
    </w:p>
    <w:p w14:paraId="515A26CE">
      <w:pPr>
        <w:snapToGrid w:val="0"/>
        <w:spacing w:line="360" w:lineRule="auto"/>
        <w:ind w:left="5137" w:leftChars="1736" w:hanging="1491" w:hangingChars="825"/>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 xml:space="preserve">           </w:t>
      </w:r>
    </w:p>
    <w:p w14:paraId="3B810D1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1837670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0F68295F">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506F9998">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竞标人名称(电子签章)：</w:t>
      </w:r>
    </w:p>
    <w:p w14:paraId="0C641EB7">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AB3AB03">
      <w:pPr>
        <w:widowControl/>
        <w:jc w:val="left"/>
        <w:rPr>
          <w:rFonts w:hint="eastAsia" w:ascii="宋体" w:hAnsi="宋体" w:eastAsia="宋体" w:cs="宋体"/>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5E977E1D">
      <w:pPr>
        <w:spacing w:line="520" w:lineRule="exact"/>
        <w:rPr>
          <w:rFonts w:hint="eastAsia" w:ascii="宋体" w:hAnsi="宋体" w:eastAsia="宋体" w:cs="宋体"/>
          <w:color w:val="auto"/>
          <w:sz w:val="24"/>
          <w:highlight w:val="none"/>
        </w:rPr>
      </w:pPr>
    </w:p>
    <w:p w14:paraId="18600805">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653D77A1">
      <w:pPr>
        <w:spacing w:line="520" w:lineRule="exact"/>
        <w:rPr>
          <w:rFonts w:hint="eastAsia" w:ascii="宋体" w:hAnsi="宋体" w:eastAsia="宋体" w:cs="宋体"/>
          <w:color w:val="auto"/>
          <w:sz w:val="32"/>
          <w:szCs w:val="32"/>
          <w:highlight w:val="none"/>
        </w:rPr>
      </w:pPr>
    </w:p>
    <w:p w14:paraId="2307619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项目采购活动由本单位提供服务。</w:t>
      </w:r>
    </w:p>
    <w:p w14:paraId="4F4D92D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5A7434CD">
      <w:pPr>
        <w:spacing w:line="360" w:lineRule="auto"/>
        <w:rPr>
          <w:rFonts w:hint="eastAsia" w:ascii="宋体" w:hAnsi="宋体" w:eastAsia="宋体" w:cs="宋体"/>
          <w:color w:val="auto"/>
          <w:sz w:val="24"/>
          <w:highlight w:val="none"/>
        </w:rPr>
      </w:pPr>
    </w:p>
    <w:p w14:paraId="5B91634E">
      <w:pPr>
        <w:spacing w:line="360" w:lineRule="auto"/>
        <w:rPr>
          <w:rFonts w:hint="eastAsia" w:ascii="宋体" w:hAnsi="宋体" w:eastAsia="宋体" w:cs="宋体"/>
          <w:color w:val="auto"/>
          <w:sz w:val="24"/>
          <w:highlight w:val="none"/>
        </w:rPr>
      </w:pPr>
    </w:p>
    <w:p w14:paraId="68535763">
      <w:pPr>
        <w:spacing w:line="360" w:lineRule="auto"/>
        <w:rPr>
          <w:rFonts w:hint="eastAsia" w:ascii="宋体" w:hAnsi="宋体" w:eastAsia="宋体" w:cs="宋体"/>
          <w:color w:val="auto"/>
          <w:sz w:val="24"/>
          <w:highlight w:val="none"/>
        </w:rPr>
      </w:pPr>
    </w:p>
    <w:p w14:paraId="16B4B5B4">
      <w:pPr>
        <w:spacing w:line="360" w:lineRule="auto"/>
        <w:ind w:firstLine="2400" w:firstLineChars="1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EA96D6F">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68D400DF">
      <w:pPr>
        <w:spacing w:line="360" w:lineRule="auto"/>
        <w:rPr>
          <w:rFonts w:hint="eastAsia" w:ascii="宋体" w:hAnsi="宋体" w:eastAsia="宋体" w:cs="宋体"/>
          <w:color w:val="auto"/>
          <w:sz w:val="24"/>
          <w:highlight w:val="none"/>
        </w:rPr>
      </w:pPr>
    </w:p>
    <w:p w14:paraId="71A819AE">
      <w:pPr>
        <w:spacing w:line="360" w:lineRule="auto"/>
        <w:rPr>
          <w:rFonts w:hint="eastAsia" w:ascii="宋体" w:hAnsi="宋体" w:eastAsia="宋体" w:cs="宋体"/>
          <w:color w:val="auto"/>
          <w:sz w:val="24"/>
          <w:highlight w:val="none"/>
        </w:rPr>
      </w:pPr>
    </w:p>
    <w:p w14:paraId="18159345">
      <w:pPr>
        <w:spacing w:line="360" w:lineRule="auto"/>
        <w:rPr>
          <w:rFonts w:hint="eastAsia" w:ascii="宋体" w:hAnsi="宋体" w:eastAsia="宋体" w:cs="宋体"/>
          <w:color w:val="auto"/>
          <w:sz w:val="24"/>
          <w:highlight w:val="none"/>
        </w:rPr>
      </w:pPr>
    </w:p>
    <w:p w14:paraId="4E29E60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w:t>
      </w:r>
      <w:r>
        <w:rPr>
          <w:rFonts w:hint="eastAsia" w:ascii="宋体" w:hAnsi="宋体" w:eastAsia="宋体" w:cs="宋体"/>
          <w:color w:val="auto"/>
          <w:sz w:val="24"/>
          <w:highlight w:val="none"/>
          <w:lang w:eastAsia="zh-CN"/>
        </w:rPr>
        <w:t>竞标人</w:t>
      </w:r>
      <w:r>
        <w:rPr>
          <w:rFonts w:hint="eastAsia" w:ascii="宋体" w:hAnsi="宋体" w:eastAsia="宋体" w:cs="宋体"/>
          <w:color w:val="auto"/>
          <w:sz w:val="24"/>
          <w:highlight w:val="none"/>
        </w:rPr>
        <w:t>提供由省级以上监狱管理局、戒毒管理局（含新疆生产建设兵团）出具的属于监狱企业证明文件的，视同为小型和微型企业。</w:t>
      </w:r>
    </w:p>
    <w:p w14:paraId="1BA78127">
      <w:pPr>
        <w:spacing w:line="520" w:lineRule="exact"/>
        <w:jc w:val="center"/>
        <w:rPr>
          <w:rFonts w:hint="eastAsia" w:ascii="宋体" w:hAnsi="宋体" w:eastAsia="宋体" w:cs="宋体"/>
          <w:color w:val="auto"/>
          <w:sz w:val="24"/>
          <w:highlight w:val="none"/>
        </w:rPr>
      </w:pPr>
    </w:p>
    <w:p w14:paraId="17410532">
      <w:pPr>
        <w:rPr>
          <w:rFonts w:hint="eastAsia" w:ascii="宋体" w:hAnsi="宋体" w:eastAsia="宋体" w:cs="宋体"/>
          <w:color w:val="auto"/>
          <w:szCs w:val="21"/>
          <w:highlight w:val="none"/>
        </w:rPr>
      </w:pPr>
      <w:r>
        <w:rPr>
          <w:rFonts w:hint="eastAsia" w:ascii="宋体" w:hAnsi="宋体" w:eastAsia="宋体" w:cs="宋体"/>
          <w:b/>
          <w:bCs/>
          <w:color w:val="auto"/>
          <w:kern w:val="0"/>
          <w:sz w:val="28"/>
          <w:szCs w:val="28"/>
          <w:highlight w:val="none"/>
        </w:rPr>
        <w:br w:type="page"/>
      </w:r>
    </w:p>
    <w:p w14:paraId="61666F6F">
      <w:pPr>
        <w:pStyle w:val="2"/>
        <w:numPr>
          <w:ilvl w:val="0"/>
          <w:numId w:val="3"/>
        </w:numPr>
        <w:jc w:val="center"/>
        <w:rPr>
          <w:rFonts w:hint="eastAsia" w:ascii="宋体" w:hAnsi="宋体" w:eastAsia="宋体" w:cs="宋体"/>
          <w:b w:val="0"/>
          <w:bCs w:val="0"/>
          <w:color w:val="auto"/>
          <w:highlight w:val="none"/>
        </w:rPr>
      </w:pPr>
      <w:bookmarkStart w:id="57" w:name="_Toc15154"/>
      <w:bookmarkStart w:id="58" w:name="_Toc24786"/>
      <w:bookmarkStart w:id="59" w:name="_Toc9343"/>
      <w:bookmarkStart w:id="60" w:name="_Toc4005"/>
      <w:bookmarkStart w:id="61" w:name="_Toc12748"/>
      <w:r>
        <w:rPr>
          <w:rFonts w:hint="eastAsia" w:ascii="宋体" w:hAnsi="宋体" w:eastAsia="宋体" w:cs="宋体"/>
          <w:b w:val="0"/>
          <w:bCs w:val="0"/>
          <w:color w:val="auto"/>
          <w:highlight w:val="none"/>
        </w:rPr>
        <w:t xml:space="preserve"> </w:t>
      </w:r>
      <w:bookmarkStart w:id="62" w:name="_Toc13046"/>
      <w:r>
        <w:rPr>
          <w:rFonts w:hint="eastAsia" w:ascii="宋体" w:hAnsi="宋体" w:eastAsia="宋体" w:cs="宋体"/>
          <w:b w:val="0"/>
          <w:bCs w:val="0"/>
          <w:color w:val="auto"/>
          <w:highlight w:val="none"/>
        </w:rPr>
        <w:t>合同文本</w:t>
      </w:r>
      <w:bookmarkEnd w:id="57"/>
      <w:bookmarkEnd w:id="58"/>
      <w:bookmarkEnd w:id="59"/>
      <w:bookmarkEnd w:id="60"/>
      <w:bookmarkEnd w:id="62"/>
    </w:p>
    <w:bookmarkEnd w:id="61"/>
    <w:p w14:paraId="388555B7">
      <w:pPr>
        <w:widowControl/>
        <w:shd w:val="clear" w:color="auto" w:fill="FFFFFF"/>
        <w:spacing w:before="100" w:beforeAutospacing="1" w:after="100" w:afterAutospacing="1"/>
        <w:ind w:firstLine="360"/>
        <w:jc w:val="left"/>
        <w:rPr>
          <w:rFonts w:hint="eastAsia" w:ascii="宋体" w:hAnsi="宋体" w:eastAsia="宋体" w:cs="宋体"/>
          <w:b/>
          <w:bCs/>
          <w:color w:val="auto"/>
          <w:sz w:val="28"/>
          <w:szCs w:val="28"/>
          <w:highlight w:val="none"/>
          <w:u w:val="none"/>
          <w:lang w:val="en-US" w:eastAsia="zh-CN"/>
        </w:rPr>
      </w:pPr>
      <w:bookmarkStart w:id="63" w:name="_Toc122424236"/>
      <w:bookmarkStart w:id="64" w:name="_Toc20394"/>
      <w:bookmarkStart w:id="65" w:name="_Toc19149"/>
      <w:bookmarkStart w:id="66" w:name="_Toc122424485"/>
      <w:r>
        <w:rPr>
          <w:rFonts w:hint="eastAsia" w:ascii="宋体" w:hAnsi="宋体" w:eastAsia="宋体" w:cs="宋体"/>
          <w:b/>
          <w:bCs/>
          <w:color w:val="auto"/>
          <w:sz w:val="28"/>
          <w:szCs w:val="28"/>
          <w:highlight w:val="none"/>
          <w:u w:val="none"/>
          <w:lang w:eastAsia="zh-CN"/>
        </w:rPr>
        <w:t>“</w:t>
      </w:r>
      <w:r>
        <w:rPr>
          <w:rFonts w:hint="eastAsia" w:ascii="宋体" w:hAnsi="宋体" w:eastAsia="宋体" w:cs="宋体"/>
          <w:b/>
          <w:bCs/>
          <w:color w:val="auto"/>
          <w:sz w:val="28"/>
          <w:szCs w:val="28"/>
          <w:highlight w:val="none"/>
          <w:u w:val="none"/>
          <w:lang w:val="en-US" w:eastAsia="zh-CN"/>
        </w:rPr>
        <w:t>广西政府采购云平台”平台合同编号：</w:t>
      </w:r>
    </w:p>
    <w:p w14:paraId="4890D624">
      <w:pPr>
        <w:widowControl/>
        <w:shd w:val="clear" w:color="auto" w:fill="FFFFFF"/>
        <w:spacing w:before="100" w:beforeAutospacing="1" w:after="100" w:afterAutospacing="1"/>
        <w:ind w:firstLine="360"/>
        <w:jc w:val="center"/>
        <w:rPr>
          <w:rFonts w:hint="eastAsia" w:ascii="宋体" w:hAnsi="宋体" w:eastAsia="宋体" w:cs="宋体"/>
          <w:b/>
          <w:bCs/>
          <w:color w:val="auto"/>
          <w:sz w:val="52"/>
          <w:szCs w:val="52"/>
          <w:highlight w:val="none"/>
        </w:rPr>
      </w:pPr>
    </w:p>
    <w:p w14:paraId="38535E55">
      <w:pPr>
        <w:widowControl/>
        <w:shd w:val="clear" w:color="auto" w:fill="FFFFFF"/>
        <w:spacing w:before="100" w:beforeAutospacing="1" w:after="100" w:afterAutospacing="1"/>
        <w:ind w:firstLine="360"/>
        <w:jc w:val="center"/>
        <w:rPr>
          <w:rFonts w:hint="eastAsia" w:ascii="宋体" w:hAnsi="宋体" w:eastAsia="宋体" w:cs="宋体"/>
          <w:b/>
          <w:bCs/>
          <w:color w:val="auto"/>
          <w:sz w:val="52"/>
          <w:szCs w:val="52"/>
          <w:highlight w:val="none"/>
          <w:lang w:val="en-US"/>
        </w:rPr>
      </w:pPr>
      <w:r>
        <w:rPr>
          <w:rFonts w:hint="eastAsia" w:ascii="宋体" w:hAnsi="宋体" w:eastAsia="宋体" w:cs="宋体"/>
          <w:b/>
          <w:bCs/>
          <w:color w:val="auto"/>
          <w:sz w:val="52"/>
          <w:szCs w:val="52"/>
          <w:highlight w:val="none"/>
        </w:rPr>
        <w:t>南</w:t>
      </w:r>
      <w:r>
        <w:rPr>
          <w:rFonts w:hint="eastAsia" w:ascii="宋体" w:hAnsi="宋体" w:eastAsia="宋体" w:cs="宋体"/>
          <w:b/>
          <w:bCs/>
          <w:color w:val="auto"/>
          <w:sz w:val="52"/>
          <w:szCs w:val="52"/>
          <w:highlight w:val="none"/>
          <w:lang w:val="en-US" w:eastAsia="zh-CN"/>
        </w:rPr>
        <w:t xml:space="preserve"> </w:t>
      </w:r>
      <w:r>
        <w:rPr>
          <w:rFonts w:hint="eastAsia" w:ascii="宋体" w:hAnsi="宋体" w:eastAsia="宋体" w:cs="宋体"/>
          <w:b/>
          <w:bCs/>
          <w:color w:val="auto"/>
          <w:sz w:val="52"/>
          <w:szCs w:val="52"/>
          <w:highlight w:val="none"/>
        </w:rPr>
        <w:t>宁</w:t>
      </w:r>
      <w:r>
        <w:rPr>
          <w:rFonts w:hint="eastAsia" w:ascii="宋体" w:hAnsi="宋体" w:eastAsia="宋体" w:cs="宋体"/>
          <w:b/>
          <w:bCs/>
          <w:color w:val="auto"/>
          <w:sz w:val="52"/>
          <w:szCs w:val="52"/>
          <w:highlight w:val="none"/>
          <w:lang w:val="en-US" w:eastAsia="zh-CN"/>
        </w:rPr>
        <w:t xml:space="preserve"> </w:t>
      </w:r>
      <w:r>
        <w:rPr>
          <w:rFonts w:hint="eastAsia" w:ascii="宋体" w:hAnsi="宋体" w:eastAsia="宋体" w:cs="宋体"/>
          <w:b/>
          <w:bCs/>
          <w:color w:val="auto"/>
          <w:sz w:val="52"/>
          <w:szCs w:val="52"/>
          <w:highlight w:val="none"/>
        </w:rPr>
        <w:t>市</w:t>
      </w:r>
      <w:r>
        <w:rPr>
          <w:rFonts w:hint="eastAsia" w:ascii="宋体" w:hAnsi="宋体" w:eastAsia="宋体" w:cs="宋体"/>
          <w:b/>
          <w:bCs/>
          <w:color w:val="auto"/>
          <w:sz w:val="52"/>
          <w:szCs w:val="52"/>
          <w:highlight w:val="none"/>
          <w:lang w:val="en-US" w:eastAsia="zh-CN"/>
        </w:rPr>
        <w:t xml:space="preserve"> 政 府 采 购</w:t>
      </w:r>
    </w:p>
    <w:p w14:paraId="38666D38">
      <w:pPr>
        <w:spacing w:line="360" w:lineRule="auto"/>
        <w:jc w:val="center"/>
        <w:rPr>
          <w:rFonts w:hint="eastAsia" w:ascii="宋体" w:hAnsi="宋体" w:eastAsia="宋体" w:cs="宋体"/>
          <w:b/>
          <w:bCs/>
          <w:color w:val="auto"/>
          <w:sz w:val="44"/>
          <w:szCs w:val="44"/>
          <w:highlight w:val="none"/>
          <w:lang w:val="en-US" w:eastAsia="zh-CN"/>
        </w:rPr>
      </w:pPr>
    </w:p>
    <w:p w14:paraId="23EAD39C">
      <w:pPr>
        <w:spacing w:line="360" w:lineRule="auto"/>
        <w:jc w:val="center"/>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u w:val="single"/>
          <w:lang w:val="en-US" w:eastAsia="zh-CN"/>
        </w:rPr>
        <w:t xml:space="preserve">                </w:t>
      </w:r>
      <w:r>
        <w:rPr>
          <w:rFonts w:hint="eastAsia" w:ascii="宋体" w:hAnsi="宋体" w:eastAsia="宋体" w:cs="宋体"/>
          <w:b/>
          <w:bCs/>
          <w:color w:val="auto"/>
          <w:sz w:val="44"/>
          <w:szCs w:val="44"/>
          <w:highlight w:val="none"/>
          <w:lang w:val="en-US" w:eastAsia="zh-CN"/>
        </w:rPr>
        <w:t>施工合同</w:t>
      </w:r>
    </w:p>
    <w:p w14:paraId="483DF03E">
      <w:pPr>
        <w:widowControl/>
        <w:shd w:val="clear" w:color="auto" w:fill="FFFFFF"/>
        <w:spacing w:before="100" w:beforeAutospacing="1" w:after="100" w:afterAutospacing="1"/>
        <w:ind w:firstLine="360"/>
        <w:jc w:val="center"/>
        <w:rPr>
          <w:rFonts w:hint="eastAsia" w:ascii="宋体" w:hAnsi="宋体" w:eastAsia="宋体" w:cs="宋体"/>
          <w:b/>
          <w:bCs/>
          <w:color w:val="auto"/>
          <w:sz w:val="32"/>
          <w:szCs w:val="32"/>
          <w:highlight w:val="none"/>
          <w:lang w:val="en-US" w:eastAsia="zh-CN"/>
        </w:rPr>
      </w:pPr>
    </w:p>
    <w:p w14:paraId="2D11112E">
      <w:pPr>
        <w:widowControl/>
        <w:shd w:val="clear" w:color="auto" w:fill="FFFFFF"/>
        <w:spacing w:before="100" w:beforeAutospacing="1" w:after="100" w:afterAutospacing="1"/>
        <w:ind w:firstLine="360"/>
        <w:jc w:val="center"/>
        <w:rPr>
          <w:rFonts w:hint="eastAsia" w:ascii="宋体" w:hAnsi="宋体" w:eastAsia="宋体" w:cs="宋体"/>
          <w:b/>
          <w:bCs/>
          <w:color w:val="auto"/>
          <w:sz w:val="32"/>
          <w:szCs w:val="32"/>
          <w:highlight w:val="none"/>
          <w:lang w:val="en-US" w:eastAsia="zh-CN"/>
        </w:rPr>
      </w:pPr>
    </w:p>
    <w:p w14:paraId="3F93343B">
      <w:pPr>
        <w:widowControl/>
        <w:shd w:val="clear" w:color="auto" w:fill="FFFFFF"/>
        <w:spacing w:before="100" w:beforeAutospacing="1" w:after="100" w:afterAutospacing="1"/>
        <w:ind w:firstLine="1690" w:firstLineChars="526"/>
        <w:jc w:val="both"/>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采购项目编号：</w:t>
      </w:r>
      <w:r>
        <w:rPr>
          <w:rFonts w:hint="eastAsia" w:ascii="宋体" w:hAnsi="宋体" w:cs="宋体"/>
          <w:b/>
          <w:bCs/>
          <w:color w:val="auto"/>
          <w:sz w:val="32"/>
          <w:szCs w:val="32"/>
          <w:highlight w:val="none"/>
          <w:u w:val="single"/>
          <w:lang w:val="en-US" w:eastAsia="zh-CN"/>
        </w:rPr>
        <w:t>NNZC2026-C2-070047-GXGG</w:t>
      </w:r>
    </w:p>
    <w:p w14:paraId="63A51B4E">
      <w:pPr>
        <w:widowControl/>
        <w:shd w:val="clear" w:color="auto" w:fill="FFFFFF"/>
        <w:spacing w:before="100" w:beforeAutospacing="1" w:after="100" w:afterAutospacing="1"/>
        <w:ind w:firstLine="1606" w:firstLineChars="500"/>
        <w:jc w:val="left"/>
        <w:rPr>
          <w:rFonts w:hint="default" w:ascii="宋体" w:hAnsi="宋体" w:eastAsia="宋体" w:cs="宋体"/>
          <w:color w:val="auto"/>
          <w:sz w:val="32"/>
          <w:szCs w:val="32"/>
          <w:highlight w:val="none"/>
          <w:lang w:val="en-US"/>
        </w:rPr>
      </w:pPr>
      <w:r>
        <w:rPr>
          <w:rFonts w:hint="eastAsia" w:ascii="宋体" w:hAnsi="宋体" w:eastAsia="宋体" w:cs="宋体"/>
          <w:b/>
          <w:bCs/>
          <w:color w:val="auto"/>
          <w:sz w:val="32"/>
          <w:szCs w:val="32"/>
          <w:highlight w:val="none"/>
          <w:lang w:val="en-US" w:eastAsia="zh-CN"/>
        </w:rPr>
        <w:t>采购计划编号：</w:t>
      </w:r>
      <w:r>
        <w:rPr>
          <w:rFonts w:hint="eastAsia" w:ascii="宋体" w:hAnsi="宋体" w:cs="宋体"/>
          <w:b/>
          <w:bCs/>
          <w:color w:val="auto"/>
          <w:sz w:val="32"/>
          <w:szCs w:val="32"/>
          <w:highlight w:val="none"/>
          <w:u w:val="single"/>
          <w:lang w:val="en-US" w:eastAsia="zh-CN"/>
        </w:rPr>
        <w:t xml:space="preserve"> XXTZC[2026]1172号 </w:t>
      </w:r>
    </w:p>
    <w:p w14:paraId="4E42FE70">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p>
    <w:p w14:paraId="3EAA30CC">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p>
    <w:p w14:paraId="04F533BD">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w:t>
      </w:r>
    </w:p>
    <w:p w14:paraId="3AA653E5">
      <w:pPr>
        <w:widowControl/>
        <w:shd w:val="clear" w:color="auto" w:fill="FFFFFF"/>
        <w:spacing w:before="100" w:beforeAutospacing="1" w:after="100" w:afterAutospacing="1"/>
        <w:ind w:left="745" w:leftChars="50" w:hanging="640" w:hangingChars="200"/>
        <w:rPr>
          <w:rFonts w:hint="eastAsia" w:ascii="宋体" w:hAnsi="宋体" w:eastAsia="宋体" w:cs="宋体"/>
          <w:b w:val="0"/>
          <w:bCs w:val="0"/>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采  购  人</w:t>
      </w:r>
      <w:r>
        <w:rPr>
          <w:rFonts w:hint="eastAsia" w:ascii="宋体" w:hAnsi="宋体" w:eastAsia="宋体" w:cs="宋体"/>
          <w:b w:val="0"/>
          <w:bCs w:val="0"/>
          <w:color w:val="auto"/>
          <w:sz w:val="32"/>
          <w:szCs w:val="32"/>
          <w:highlight w:val="none"/>
        </w:rPr>
        <w:t>：</w:t>
      </w:r>
      <w:r>
        <w:rPr>
          <w:rFonts w:hint="eastAsia" w:ascii="宋体" w:hAnsi="宋体" w:eastAsia="宋体" w:cs="宋体"/>
          <w:b w:val="0"/>
          <w:bCs w:val="0"/>
          <w:color w:val="auto"/>
          <w:sz w:val="32"/>
          <w:szCs w:val="32"/>
          <w:highlight w:val="none"/>
          <w:u w:val="single"/>
        </w:rPr>
        <w:t xml:space="preserve"> </w:t>
      </w:r>
      <w:r>
        <w:rPr>
          <w:rFonts w:hint="eastAsia" w:ascii="宋体" w:hAnsi="宋体" w:cs="宋体"/>
          <w:b w:val="0"/>
          <w:bCs w:val="0"/>
          <w:color w:val="auto"/>
          <w:sz w:val="32"/>
          <w:szCs w:val="32"/>
          <w:highlight w:val="none"/>
          <w:u w:val="single"/>
          <w:lang w:val="en-US" w:eastAsia="zh-CN"/>
        </w:rPr>
        <w:t>南宁市可利大道第一幼儿园</w:t>
      </w:r>
      <w:r>
        <w:rPr>
          <w:rFonts w:hint="eastAsia" w:ascii="宋体" w:hAnsi="宋体" w:eastAsia="宋体" w:cs="宋体"/>
          <w:b w:val="0"/>
          <w:bCs w:val="0"/>
          <w:color w:val="auto"/>
          <w:sz w:val="32"/>
          <w:szCs w:val="32"/>
          <w:highlight w:val="none"/>
          <w:u w:val="single"/>
        </w:rPr>
        <w:t xml:space="preserve"> </w:t>
      </w:r>
      <w:r>
        <w:rPr>
          <w:rFonts w:hint="eastAsia" w:ascii="宋体" w:hAnsi="宋体" w:eastAsia="宋体" w:cs="宋体"/>
          <w:b w:val="0"/>
          <w:bCs w:val="0"/>
          <w:color w:val="auto"/>
          <w:sz w:val="32"/>
          <w:szCs w:val="32"/>
          <w:highlight w:val="none"/>
        </w:rPr>
        <w:t xml:space="preserve"> </w:t>
      </w:r>
    </w:p>
    <w:p w14:paraId="3552C78B">
      <w:pPr>
        <w:widowControl/>
        <w:shd w:val="clear" w:color="auto" w:fill="FFFFFF"/>
        <w:spacing w:before="100" w:beforeAutospacing="1" w:after="100" w:afterAutospacing="1"/>
        <w:ind w:firstLine="1747" w:firstLineChars="546"/>
        <w:rPr>
          <w:rFonts w:hint="eastAsia" w:ascii="宋体" w:hAnsi="宋体" w:eastAsia="宋体" w:cs="宋体"/>
          <w:color w:val="auto"/>
          <w:sz w:val="32"/>
          <w:szCs w:val="32"/>
          <w:highlight w:val="none"/>
          <w:u w:val="single"/>
        </w:rPr>
      </w:pPr>
      <w:r>
        <w:rPr>
          <w:rFonts w:hint="eastAsia" w:ascii="宋体" w:hAnsi="宋体" w:eastAsia="宋体" w:cs="宋体"/>
          <w:b w:val="0"/>
          <w:bCs w:val="0"/>
          <w:color w:val="auto"/>
          <w:sz w:val="32"/>
          <w:szCs w:val="32"/>
          <w:highlight w:val="none"/>
          <w:lang w:val="en-US" w:eastAsia="zh-CN"/>
        </w:rPr>
        <w:t>成交供应商</w:t>
      </w:r>
      <w:r>
        <w:rPr>
          <w:rFonts w:hint="eastAsia" w:ascii="宋体" w:hAnsi="宋体" w:eastAsia="宋体" w:cs="宋体"/>
          <w:b w:val="0"/>
          <w:bCs w:val="0"/>
          <w:color w:val="auto"/>
          <w:sz w:val="32"/>
          <w:szCs w:val="32"/>
          <w:highlight w:val="none"/>
        </w:rPr>
        <w:t>：</w:t>
      </w:r>
      <w:r>
        <w:rPr>
          <w:rFonts w:hint="eastAsia" w:ascii="宋体" w:hAnsi="宋体" w:eastAsia="宋体" w:cs="宋体"/>
          <w:b w:val="0"/>
          <w:bCs w:val="0"/>
          <w:color w:val="auto"/>
          <w:sz w:val="32"/>
          <w:szCs w:val="32"/>
          <w:highlight w:val="none"/>
          <w:u w:val="single"/>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eastAsia="zh-CN"/>
        </w:rPr>
        <w:t xml:space="preserve">         </w:t>
      </w:r>
      <w:r>
        <w:rPr>
          <w:rFonts w:hint="eastAsia" w:ascii="宋体" w:hAnsi="宋体" w:eastAsia="宋体" w:cs="宋体"/>
          <w:b/>
          <w:bCs/>
          <w:color w:val="auto"/>
          <w:sz w:val="32"/>
          <w:szCs w:val="32"/>
          <w:highlight w:val="none"/>
          <w:u w:val="single"/>
        </w:rPr>
        <w:t xml:space="preserve">   </w:t>
      </w:r>
    </w:p>
    <w:p w14:paraId="39EDCF42">
      <w:pPr>
        <w:widowControl/>
        <w:shd w:val="clear" w:color="auto" w:fill="FFFFFF"/>
        <w:spacing w:before="100" w:beforeAutospacing="1" w:after="100" w:afterAutospacing="1"/>
        <w:ind w:firstLine="694"/>
        <w:rPr>
          <w:rFonts w:hint="eastAsia" w:ascii="宋体" w:hAnsi="宋体" w:eastAsia="宋体" w:cs="宋体"/>
          <w:color w:val="auto"/>
          <w:highlight w:val="none"/>
        </w:rPr>
      </w:pPr>
      <w:r>
        <w:rPr>
          <w:rFonts w:hint="eastAsia" w:ascii="宋体" w:hAnsi="宋体" w:eastAsia="宋体" w:cs="宋体"/>
          <w:color w:val="auto"/>
          <w:sz w:val="27"/>
          <w:szCs w:val="27"/>
          <w:highlight w:val="none"/>
        </w:rPr>
        <w:br w:type="page"/>
      </w:r>
    </w:p>
    <w:p w14:paraId="6D12CBE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w:t>
      </w:r>
      <w:r>
        <w:rPr>
          <w:rFonts w:hint="eastAsia" w:ascii="宋体" w:hAnsi="宋体" w:eastAsia="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》及有关建筑工程的法律规定条款，遵循平等、自愿、公平和诚信的原则，经双方协商一致，就本工程施工事项签订本合同。</w:t>
      </w:r>
    </w:p>
    <w:p w14:paraId="440C8BC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一、工程概况</w:t>
      </w:r>
    </w:p>
    <w:p w14:paraId="107D926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工程名称：</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南宁市可利大道第一幼儿园教学楼维修工程</w:t>
      </w:r>
      <w:r>
        <w:rPr>
          <w:rFonts w:hint="eastAsia" w:ascii="宋体" w:hAnsi="宋体" w:eastAsia="宋体" w:cs="宋体"/>
          <w:b w:val="0"/>
          <w:bCs w:val="0"/>
          <w:color w:val="auto"/>
          <w:sz w:val="24"/>
          <w:szCs w:val="24"/>
          <w:highlight w:val="none"/>
          <w:u w:val="single"/>
          <w:lang w:val="en-US" w:eastAsia="zh-CN"/>
        </w:rPr>
        <w:t xml:space="preserve"> </w:t>
      </w:r>
    </w:p>
    <w:p w14:paraId="28531246">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5A8519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C60E4E6">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二、承包范围及承包方式</w:t>
      </w:r>
    </w:p>
    <w:p w14:paraId="71FD019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1．承包范围：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39928C38">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包工包料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C175FE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三、合同期限：</w:t>
      </w:r>
    </w:p>
    <w:p w14:paraId="041559C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        年     月      日（确切开工日期以双方商定日为准）</w:t>
      </w:r>
    </w:p>
    <w:p w14:paraId="4C9B5015">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        年     月      日</w:t>
      </w:r>
    </w:p>
    <w:p w14:paraId="00D2F81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        日历天数。</w:t>
      </w:r>
    </w:p>
    <w:p w14:paraId="5A72027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四、质量标准</w:t>
      </w:r>
    </w:p>
    <w:p w14:paraId="364E844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符合国家现行建设工程施工质量评定标准和施工技术规范验收标准。承包方施工质量达不到合格时应无条件返工，由此产生的一切费用由承包人承担。</w:t>
      </w:r>
    </w:p>
    <w:p w14:paraId="31AEA33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五、安全施工</w:t>
      </w:r>
    </w:p>
    <w:p w14:paraId="089AF49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1．承包方应遵守工程建设安全生产有关管理规定，严格按安全标准组织施工，采用必要的安全防护措施，消除事故隐患。</w:t>
      </w:r>
    </w:p>
    <w:p w14:paraId="0806B234">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2．承包人应设立安全员对工作人员进行安全教育，对施工现场和过程进行监督检查，确保施工安全。如果在施工过程中发生安全或意外事故，一切责任由承包人承担，与发包人无关。</w:t>
      </w:r>
    </w:p>
    <w:p w14:paraId="5FA12EE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六、合同价款与支付</w:t>
      </w:r>
    </w:p>
    <w:p w14:paraId="0E0FBED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（一）合同价款</w:t>
      </w:r>
    </w:p>
    <w:p w14:paraId="048D12C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.签约合同价为：</w:t>
      </w:r>
    </w:p>
    <w:p w14:paraId="52EF8A9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元）</w:t>
      </w:r>
    </w:p>
    <w:p w14:paraId="2B306C4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val="en-US" w:eastAsia="zh-CN"/>
        </w:rPr>
        <w:t>合同价格形式：</w:t>
      </w:r>
      <w:r>
        <w:rPr>
          <w:rFonts w:hint="eastAsia" w:ascii="宋体" w:hAnsi="宋体" w:eastAsia="宋体" w:cs="宋体"/>
          <w:color w:val="auto"/>
          <w:sz w:val="24"/>
          <w:szCs w:val="24"/>
          <w:highlight w:val="none"/>
          <w:u w:val="single"/>
          <w:lang w:val="en-US" w:eastAsia="zh-CN"/>
        </w:rPr>
        <w:t xml:space="preserve"> 固定综合单价 </w:t>
      </w:r>
      <w:r>
        <w:rPr>
          <w:rFonts w:hint="eastAsia" w:ascii="宋体" w:hAnsi="宋体" w:eastAsia="宋体" w:cs="宋体"/>
          <w:color w:val="auto"/>
          <w:sz w:val="24"/>
          <w:szCs w:val="24"/>
          <w:highlight w:val="none"/>
        </w:rPr>
        <w:t>。</w:t>
      </w:r>
    </w:p>
    <w:p w14:paraId="1F49B43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结算工程量以双方验收的实际完成工程量为准，该工程有施工内容或工程量变化的，必须事先经发包人同意，由发包人和承包人、监理方按《南宁市西乡塘区人民政府办公室关于加强政府投资项目工程变更管理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西府办〔2024〕2号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执行，未批复前不能擅自变更。</w:t>
      </w:r>
    </w:p>
    <w:p w14:paraId="020FE16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工程竣工结算文件经发承包双方签字确认，工程竣工结算由承包人编制，由发包人委托西乡塘区</w:t>
      </w:r>
      <w:r>
        <w:rPr>
          <w:rFonts w:hint="eastAsia" w:ascii="宋体" w:hAnsi="宋体" w:cs="宋体"/>
          <w:color w:val="auto"/>
          <w:sz w:val="24"/>
          <w:szCs w:val="24"/>
          <w:highlight w:val="none"/>
          <w:lang w:eastAsia="zh-CN"/>
        </w:rPr>
        <w:t>财政</w:t>
      </w:r>
      <w:r>
        <w:rPr>
          <w:rFonts w:hint="eastAsia" w:ascii="宋体" w:hAnsi="宋体" w:eastAsia="宋体" w:cs="宋体"/>
          <w:color w:val="auto"/>
          <w:sz w:val="24"/>
          <w:szCs w:val="24"/>
          <w:highlight w:val="none"/>
        </w:rPr>
        <w:t>局定点的具有相应资质的工程造价咨询机构审核，审核结论与承包人竣工结算文件不一致的，应该提交给承包人复核，承包人应在规定期限内将同意审核结论或不同意见的说明提交工程造价咨询机构，复核后仍有异议的，一个月内，可以向有关工程造价管理机构申请调解。</w:t>
      </w:r>
    </w:p>
    <w:p w14:paraId="6E6C185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．如承包人报送的工程结算总价过高，造成该结算审减率（审减率=(送审造价-审定造价)/送审造价×100%）超过8%以上的，则全额的审核费由承包人支付；审减率小于或等于8%时，全额的审核费由发包人支付。</w:t>
      </w:r>
    </w:p>
    <w:p w14:paraId="71A528A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（二）工程款支付方式：</w:t>
      </w:r>
    </w:p>
    <w:p w14:paraId="66154686">
      <w:pPr>
        <w:keepNext w:val="0"/>
        <w:keepLines w:val="0"/>
        <w:pageBreakBefore w:val="0"/>
        <w:kinsoku/>
        <w:wordWrap/>
        <w:overflowPunct/>
        <w:topLinePunct w:val="0"/>
        <w:autoSpaceDE w:val="0"/>
        <w:autoSpaceDN w:val="0"/>
        <w:bidi w:val="0"/>
        <w:adjustRightInd w:val="0"/>
        <w:snapToGrid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双方约定的工程款（进度款）的支付方式：工程进度款按</w:t>
      </w:r>
      <w:r>
        <w:rPr>
          <w:rFonts w:hint="eastAsia" w:ascii="宋体" w:hAnsi="宋体" w:eastAsia="宋体" w:cs="宋体"/>
          <w:color w:val="auto"/>
          <w:sz w:val="24"/>
          <w:szCs w:val="24"/>
          <w:highlight w:val="none"/>
          <w:lang w:val="en-US" w:eastAsia="zh-CN"/>
        </w:rPr>
        <w:t>进度申请</w:t>
      </w:r>
      <w:r>
        <w:rPr>
          <w:rFonts w:hint="eastAsia" w:ascii="宋体" w:hAnsi="宋体" w:eastAsia="宋体" w:cs="宋体"/>
          <w:color w:val="auto"/>
          <w:sz w:val="24"/>
          <w:szCs w:val="24"/>
          <w:highlight w:val="none"/>
        </w:rPr>
        <w:t>支付，合同价款内的进度款支付额为当</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实际完成工程量价款的80%，发包人在每</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已完成的工程价款中扣留20%作为保留金，保留金限额为合同价款的20%。合同价款外的进度款支付额为当</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实际完成工程量价款的60%。工程竣工结算经审核后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工程款支付至97%。</w:t>
      </w:r>
    </w:p>
    <w:p w14:paraId="7CD1B4A4">
      <w:pPr>
        <w:keepNext w:val="0"/>
        <w:keepLines w:val="0"/>
        <w:pageBreakBefore w:val="0"/>
        <w:kinsoku/>
        <w:wordWrap/>
        <w:overflowPunct/>
        <w:topLinePunct w:val="0"/>
        <w:autoSpaceDE w:val="0"/>
        <w:autoSpaceDN w:val="0"/>
        <w:bidi w:val="0"/>
        <w:adjustRightInd w:val="0"/>
        <w:snapToGrid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建设单位按工程价款的3%作为工程质量保修金，待工程质量保修期满后无息返还给施工单位。</w:t>
      </w:r>
    </w:p>
    <w:p w14:paraId="541FAF4B">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工程竣工验收合格，结算金额经城区</w:t>
      </w:r>
      <w:r>
        <w:rPr>
          <w:rFonts w:hint="eastAsia" w:ascii="宋体" w:hAnsi="宋体" w:cs="宋体"/>
          <w:color w:val="auto"/>
          <w:sz w:val="24"/>
          <w:szCs w:val="24"/>
          <w:highlight w:val="none"/>
          <w:lang w:eastAsia="zh-CN"/>
        </w:rPr>
        <w:t>财政</w:t>
      </w:r>
      <w:r>
        <w:rPr>
          <w:rFonts w:hint="eastAsia" w:ascii="宋体" w:hAnsi="宋体" w:eastAsia="宋体" w:cs="宋体"/>
          <w:color w:val="auto"/>
          <w:sz w:val="24"/>
          <w:szCs w:val="24"/>
          <w:highlight w:val="none"/>
        </w:rPr>
        <w:t>部门对审核结论提出审核意见后，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个工作日内，付97%的工程款，余下3%的工程款的在质保期满后（具体已按照签订的工程质量保修书）后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个工作日内付清给承包人。</w:t>
      </w:r>
    </w:p>
    <w:p w14:paraId="74D2F9E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七、双方责任</w:t>
      </w:r>
    </w:p>
    <w:p w14:paraId="09871B1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1．发包人工作</w:t>
      </w:r>
    </w:p>
    <w:p w14:paraId="149F303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（1）负责办理施工所需的证件、批文。</w:t>
      </w:r>
    </w:p>
    <w:p w14:paraId="12B4CA0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（2）提供施工用水、用电的连接点及场地。</w:t>
      </w:r>
    </w:p>
    <w:p w14:paraId="151D82A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2．承包人工作</w:t>
      </w:r>
    </w:p>
    <w:p w14:paraId="7FB41C3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（1）按施工图纸所列的内容。</w:t>
      </w:r>
    </w:p>
    <w:p w14:paraId="5926137F">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（2）按国家现行标准施工规范要求，再约定时间内完成所约定的工作内容。</w:t>
      </w:r>
    </w:p>
    <w:p w14:paraId="23D312E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八、违约责任</w:t>
      </w:r>
    </w:p>
    <w:p w14:paraId="6A72C96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1．本合同第三条、第四条约定承包人违约应承担的违约责任，每延误一天，按合同价款的万分之四支付违约金（由于发包人的原因引起的除外）。</w:t>
      </w:r>
    </w:p>
    <w:p w14:paraId="4D1CC988">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九、本合同条款未尽事宜，双方参照《</w:t>
      </w:r>
      <w:r>
        <w:rPr>
          <w:rFonts w:hint="eastAsia" w:ascii="宋体" w:hAnsi="宋体" w:eastAsia="宋体" w:cs="宋体"/>
          <w:b w:val="0"/>
          <w:bCs/>
          <w:color w:val="auto"/>
          <w:sz w:val="24"/>
          <w:szCs w:val="24"/>
          <w:highlight w:val="none"/>
          <w:lang w:eastAsia="zh-CN"/>
        </w:rPr>
        <w:t>中华人民共和国民法典</w:t>
      </w:r>
      <w:r>
        <w:rPr>
          <w:rFonts w:hint="eastAsia" w:ascii="宋体" w:hAnsi="宋体" w:eastAsia="宋体" w:cs="宋体"/>
          <w:b w:val="0"/>
          <w:bCs/>
          <w:color w:val="auto"/>
          <w:sz w:val="24"/>
          <w:szCs w:val="24"/>
          <w:highlight w:val="none"/>
        </w:rPr>
        <w:t>》协商解决。</w:t>
      </w:r>
    </w:p>
    <w:p w14:paraId="13AE83C5">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十、履行本合同过程中，如发生争议，由双方协商不成，由合同订立地有管辖权的人民法院裁决。</w:t>
      </w:r>
    </w:p>
    <w:p w14:paraId="3450FAA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十一、本合同一式肆份，双方各执壹份，自双方法定代表或委托代理人签字并加盖法人章后生效。</w:t>
      </w:r>
    </w:p>
    <w:p w14:paraId="43FC65C9">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E3B0C29">
      <w:pPr>
        <w:keepNext w:val="0"/>
        <w:keepLines w:val="0"/>
        <w:pageBreakBefore w:val="0"/>
        <w:widowControl/>
        <w:shd w:val="clear" w:color="auto" w:fill="FFFFFF"/>
        <w:kinsoku/>
        <w:wordWrap/>
        <w:overflowPunct/>
        <w:topLinePunct w:val="0"/>
        <w:bidi w:val="0"/>
        <w:spacing w:beforeAutospacing="0" w:afterAutospacing="0" w:line="400" w:lineRule="exact"/>
        <w:ind w:left="7741" w:hanging="7741"/>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南宁市可利大道第一幼儿园</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承包人：</w:t>
      </w:r>
      <w:r>
        <w:rPr>
          <w:rFonts w:hint="eastAsia" w:ascii="宋体" w:hAnsi="宋体" w:eastAsia="宋体" w:cs="宋体"/>
          <w:color w:val="auto"/>
          <w:sz w:val="24"/>
          <w:szCs w:val="24"/>
          <w:highlight w:val="none"/>
          <w:u w:val="single"/>
          <w:lang w:val="en-US" w:eastAsia="zh-CN"/>
        </w:rPr>
        <w:t xml:space="preserve">                        </w:t>
      </w:r>
    </w:p>
    <w:p w14:paraId="495332D3">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90DA1EC">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法人代表（委托代理人）：        法定代表（委托代理人）：</w:t>
      </w:r>
    </w:p>
    <w:p w14:paraId="4BE29FE4">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    年  月   日</w:t>
      </w:r>
    </w:p>
    <w:p w14:paraId="741ACB51">
      <w:pPr>
        <w:pStyle w:val="116"/>
        <w:keepNext w:val="0"/>
        <w:keepLines w:val="0"/>
        <w:pageBreakBefore w:val="0"/>
        <w:kinsoku/>
        <w:wordWrap/>
        <w:overflowPunct/>
        <w:topLinePunct w:val="0"/>
        <w:bidi w:val="0"/>
        <w:spacing w:beforeAutospacing="0" w:afterAutospacing="0" w:line="400" w:lineRule="exact"/>
        <w:jc w:val="left"/>
        <w:textAlignment w:val="auto"/>
        <w:rPr>
          <w:rFonts w:hint="eastAsia" w:ascii="宋体" w:hAnsi="宋体" w:eastAsia="宋体" w:cs="宋体"/>
          <w:color w:val="auto"/>
          <w:sz w:val="24"/>
          <w:szCs w:val="24"/>
          <w:highlight w:val="none"/>
        </w:rPr>
      </w:pPr>
    </w:p>
    <w:p w14:paraId="3A7370A6">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D86DDC2">
      <w:pPr>
        <w:pStyle w:val="116"/>
        <w:keepNext w:val="0"/>
        <w:keepLines w:val="0"/>
        <w:pageBreakBefore w:val="0"/>
        <w:kinsoku/>
        <w:wordWrap/>
        <w:overflowPunct/>
        <w:topLinePunct w:val="0"/>
        <w:bidi w:val="0"/>
        <w:spacing w:beforeAutospacing="0" w:afterAutospacing="0"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p>
    <w:p w14:paraId="57690635">
      <w:pPr>
        <w:pStyle w:val="116"/>
        <w:keepNext w:val="0"/>
        <w:keepLines w:val="0"/>
        <w:pageBreakBefore w:val="0"/>
        <w:kinsoku/>
        <w:wordWrap/>
        <w:overflowPunct/>
        <w:topLinePunct w:val="0"/>
        <w:bidi w:val="0"/>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工程质量保修书（房屋建筑工程）</w:t>
      </w:r>
    </w:p>
    <w:p w14:paraId="19EA339A">
      <w:pPr>
        <w:pStyle w:val="116"/>
        <w:keepNext w:val="0"/>
        <w:keepLines w:val="0"/>
        <w:pageBreakBefore w:val="0"/>
        <w:kinsoku/>
        <w:wordWrap/>
        <w:overflowPunct/>
        <w:topLinePunct w:val="0"/>
        <w:bidi w:val="0"/>
        <w:spacing w:beforeAutospacing="0" w:afterAutospacing="0" w:line="400" w:lineRule="exact"/>
        <w:ind w:firstLine="420"/>
        <w:jc w:val="center"/>
        <w:textAlignment w:val="auto"/>
        <w:rPr>
          <w:rFonts w:hint="eastAsia" w:ascii="宋体" w:hAnsi="宋体" w:eastAsia="宋体" w:cs="宋体"/>
          <w:color w:val="auto"/>
          <w:sz w:val="24"/>
          <w:szCs w:val="24"/>
          <w:highlight w:val="none"/>
        </w:rPr>
      </w:pPr>
    </w:p>
    <w:p w14:paraId="38AFF9EF">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发包人（全称）：</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南宁市可利大道第一幼儿园</w:t>
      </w:r>
      <w:r>
        <w:rPr>
          <w:rFonts w:hint="eastAsia" w:ascii="宋体" w:hAnsi="宋体" w:eastAsia="宋体" w:cs="宋体"/>
          <w:b w:val="0"/>
          <w:bCs w:val="0"/>
          <w:color w:val="auto"/>
          <w:sz w:val="24"/>
          <w:szCs w:val="24"/>
          <w:highlight w:val="none"/>
          <w:u w:val="single"/>
          <w:lang w:val="en-US" w:eastAsia="zh-CN"/>
        </w:rPr>
        <w:t xml:space="preserve"> </w:t>
      </w:r>
    </w:p>
    <w:p w14:paraId="3E0CD77F">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p>
    <w:p w14:paraId="0DC20A18">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p>
    <w:p w14:paraId="4A3BEE33">
      <w:pPr>
        <w:pStyle w:val="116"/>
        <w:keepNext w:val="0"/>
        <w:keepLines w:val="0"/>
        <w:pageBreakBefore w:val="0"/>
        <w:kinsoku/>
        <w:wordWrap/>
        <w:overflowPunct/>
        <w:topLinePunct w:val="0"/>
        <w:bidi w:val="0"/>
        <w:spacing w:beforeAutospacing="0" w:afterAutospacing="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发包人和承包人根据《中华人民共和国建筑法》和《建设工程质量管理条例》，经协商一致就</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南宁市可利大道第一幼儿园教学楼维修工程</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（工程全称）签订工程质量保修书。</w:t>
      </w:r>
    </w:p>
    <w:p w14:paraId="3FC902CE">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一、工程质量保修范围和内容</w:t>
      </w:r>
    </w:p>
    <w:p w14:paraId="1B885C74">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承包人在质量保修期内，按照有关法律规定和合同约定，承担工程质量保修责任。</w:t>
      </w:r>
    </w:p>
    <w:p w14:paraId="653E32E3">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hint="eastAsia" w:ascii="宋体" w:hAnsi="宋体" w:eastAsia="宋体" w:cs="宋体"/>
          <w:color w:val="auto"/>
          <w:sz w:val="24"/>
          <w:szCs w:val="24"/>
          <w:highlight w:val="none"/>
          <w:u w:val="single"/>
        </w:rPr>
        <w:t>按《建设工程质量管理条例》有关规定进行质量保修。保修范围：竣工图图示范围内（含变更部分）及招标文件要求纳入投标报价的全部工作内容。</w:t>
      </w:r>
    </w:p>
    <w:p w14:paraId="44F281BD">
      <w:pPr>
        <w:pStyle w:val="116"/>
        <w:keepNext w:val="0"/>
        <w:keepLines w:val="0"/>
        <w:pageBreakBefore w:val="0"/>
        <w:kinsoku/>
        <w:wordWrap/>
        <w:overflowPunct/>
        <w:topLinePunct w:val="0"/>
        <w:bidi w:val="0"/>
        <w:spacing w:beforeAutospacing="0" w:afterAutospacing="0" w:line="400" w:lineRule="exact"/>
        <w:ind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二、质量保修期</w:t>
      </w:r>
    </w:p>
    <w:p w14:paraId="75527826">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5CAA8F1A">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0E92761D">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2．屋面防水工程、有防水要求的卫生间、房间和外墙面的防渗为</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年；</w:t>
      </w:r>
    </w:p>
    <w:p w14:paraId="1F40CFCC">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71C29FC8">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09B24234">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个采暖期、供冷期；</w:t>
      </w:r>
    </w:p>
    <w:p w14:paraId="0ED96A5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3E2438EC">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r>
        <w:rPr>
          <w:rFonts w:hint="eastAsia" w:ascii="宋体" w:hAnsi="宋体" w:eastAsia="宋体" w:cs="宋体"/>
          <w:color w:val="auto"/>
          <w:sz w:val="24"/>
          <w:szCs w:val="24"/>
          <w:highlight w:val="none"/>
          <w:u w:val="single"/>
        </w:rPr>
        <w:t xml:space="preserve">2 </w:t>
      </w:r>
      <w:r>
        <w:rPr>
          <w:rFonts w:hint="eastAsia" w:ascii="宋体" w:hAnsi="宋体" w:eastAsia="宋体" w:cs="宋体"/>
          <w:color w:val="auto"/>
          <w:sz w:val="24"/>
          <w:szCs w:val="24"/>
          <w:highlight w:val="none"/>
        </w:rPr>
        <w:t>年</w:t>
      </w:r>
    </w:p>
    <w:p w14:paraId="4E89D441">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质量保修期自工程竣工验收合格之日起计算。</w:t>
      </w:r>
    </w:p>
    <w:p w14:paraId="5AF01BF7">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三、缺陷责任期</w:t>
      </w:r>
    </w:p>
    <w:p w14:paraId="628628D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个月，缺陷责任期自工程竣工验收合格之日起计算。单位工程先于全部工程进行验收，单位工程缺陷责任期自单位工程验收合格之日起算。</w:t>
      </w:r>
    </w:p>
    <w:p w14:paraId="25574C9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6E5B3542">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四、质量保修责任</w:t>
      </w:r>
    </w:p>
    <w:p w14:paraId="6099837C">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1．属于保修范围、内容的项目，承包人应当在接到保修通知之日起7天内派人保修。承包人不在约定期限内派人保修的，发包人可以委托他人修理。</w:t>
      </w:r>
    </w:p>
    <w:p w14:paraId="196AB4F6">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18C8B3F7">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DEA08D7">
      <w:pPr>
        <w:pStyle w:val="116"/>
        <w:keepNext w:val="0"/>
        <w:keepLines w:val="0"/>
        <w:pageBreakBefore w:val="0"/>
        <w:kinsoku/>
        <w:wordWrap/>
        <w:overflowPunct/>
        <w:topLinePunct w:val="0"/>
        <w:bidi w:val="0"/>
        <w:spacing w:beforeAutospacing="0" w:afterAutospacing="0" w:line="400" w:lineRule="exact"/>
        <w:ind w:left="420" w:leftChars="200" w:firstLine="120"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1104F3E3">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五、保修费用</w:t>
      </w:r>
    </w:p>
    <w:p w14:paraId="618FDE13">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4D3A758A">
      <w:pPr>
        <w:pStyle w:val="116"/>
        <w:keepNext w:val="0"/>
        <w:keepLines w:val="0"/>
        <w:pageBreakBefore w:val="0"/>
        <w:kinsoku/>
        <w:wordWrap/>
        <w:overflowPunct/>
        <w:topLinePunct w:val="0"/>
        <w:bidi w:val="0"/>
        <w:spacing w:beforeAutospacing="0" w:afterAutospacing="0" w:line="400" w:lineRule="exact"/>
        <w:ind w:firstLine="472" w:firstLineChars="196"/>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六、双方约定的其他工程质量保修事项：</w:t>
      </w:r>
    </w:p>
    <w:p w14:paraId="59404F3C">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1．承包人未按照法律法规有关规定和合同约定履行质量保修义务的，发包人有权从质量保证金中扣留用于质量保修的各项支出。</w:t>
      </w:r>
    </w:p>
    <w:p w14:paraId="5B2822ED">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质量保证金为结算总额的3%。质量保证金分两次返还承包人：第一返还的时间及金额：发包人在工程竣工验收合格之日起满两年后14天内将保证金的90%返回给承包人。第二次返还的时间及金额：发包人在竣工验收合格之日起满五年后14天内返还剩余部分。</w:t>
      </w:r>
    </w:p>
    <w:p w14:paraId="2E02DC5A">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3．本协议未完善事宜由双方协商确定。</w:t>
      </w:r>
    </w:p>
    <w:p w14:paraId="5D340B14">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9"/>
        <w:gridCol w:w="4930"/>
      </w:tblGrid>
      <w:tr w14:paraId="769A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1A45F79C">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发包人(公章)</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u w:val="none"/>
                <w:lang w:val="en-US" w:eastAsia="zh-CN"/>
              </w:rPr>
              <w:t>南宁市可利大道第一幼儿园</w:t>
            </w:r>
          </w:p>
        </w:tc>
        <w:tc>
          <w:tcPr>
            <w:tcW w:w="4930" w:type="dxa"/>
            <w:tcBorders>
              <w:tl2br w:val="nil"/>
              <w:tr2bl w:val="nil"/>
            </w:tcBorders>
            <w:vAlign w:val="top"/>
          </w:tcPr>
          <w:p w14:paraId="5A503803">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承包人(公章)：</w:t>
            </w:r>
          </w:p>
        </w:tc>
      </w:tr>
      <w:tr w14:paraId="76A68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23F47025">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地  址：</w:t>
            </w:r>
          </w:p>
        </w:tc>
        <w:tc>
          <w:tcPr>
            <w:tcW w:w="4930" w:type="dxa"/>
            <w:tcBorders>
              <w:tl2br w:val="nil"/>
              <w:tr2bl w:val="nil"/>
            </w:tcBorders>
            <w:vAlign w:val="top"/>
          </w:tcPr>
          <w:p w14:paraId="44421E6A">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地  址：</w:t>
            </w:r>
          </w:p>
        </w:tc>
      </w:tr>
      <w:tr w14:paraId="7156D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65168300">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法定代表人(签字)：</w:t>
            </w:r>
          </w:p>
        </w:tc>
        <w:tc>
          <w:tcPr>
            <w:tcW w:w="4930" w:type="dxa"/>
            <w:tcBorders>
              <w:tl2br w:val="nil"/>
              <w:tr2bl w:val="nil"/>
            </w:tcBorders>
            <w:vAlign w:val="top"/>
          </w:tcPr>
          <w:p w14:paraId="50199E59">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法定代表人(签字)：</w:t>
            </w:r>
          </w:p>
        </w:tc>
      </w:tr>
      <w:tr w14:paraId="7FCC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48601086">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委托代理人(签字)：</w:t>
            </w:r>
          </w:p>
        </w:tc>
        <w:tc>
          <w:tcPr>
            <w:tcW w:w="4930" w:type="dxa"/>
            <w:tcBorders>
              <w:tl2br w:val="nil"/>
              <w:tr2bl w:val="nil"/>
            </w:tcBorders>
            <w:vAlign w:val="top"/>
          </w:tcPr>
          <w:p w14:paraId="436CC94B">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委托代理人(签字)：</w:t>
            </w:r>
          </w:p>
        </w:tc>
      </w:tr>
      <w:tr w14:paraId="0B46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5ED4A57">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eastAsia="zh-CN"/>
              </w:rPr>
              <w:t>：</w:t>
            </w:r>
          </w:p>
        </w:tc>
        <w:tc>
          <w:tcPr>
            <w:tcW w:w="4930" w:type="dxa"/>
            <w:tcBorders>
              <w:tl2br w:val="nil"/>
              <w:tr2bl w:val="nil"/>
            </w:tcBorders>
            <w:vAlign w:val="top"/>
          </w:tcPr>
          <w:p w14:paraId="5009E46C">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b/>
                <w:bCs/>
                <w:color w:val="auto"/>
                <w:sz w:val="24"/>
                <w:szCs w:val="24"/>
                <w:highlight w:val="none"/>
                <w:vertAlign w:val="baseline"/>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eastAsia="zh-CN"/>
              </w:rPr>
              <w:t>：</w:t>
            </w:r>
          </w:p>
        </w:tc>
      </w:tr>
      <w:tr w14:paraId="41C93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166C79F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p>
        </w:tc>
        <w:tc>
          <w:tcPr>
            <w:tcW w:w="4930" w:type="dxa"/>
            <w:tcBorders>
              <w:tl2br w:val="nil"/>
              <w:tr2bl w:val="nil"/>
            </w:tcBorders>
            <w:vAlign w:val="top"/>
          </w:tcPr>
          <w:p w14:paraId="27424209">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p>
        </w:tc>
      </w:tr>
      <w:tr w14:paraId="66AF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F7CD30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开户银行：</w:t>
            </w:r>
          </w:p>
        </w:tc>
        <w:tc>
          <w:tcPr>
            <w:tcW w:w="4930" w:type="dxa"/>
            <w:tcBorders>
              <w:tl2br w:val="nil"/>
              <w:tr2bl w:val="nil"/>
            </w:tcBorders>
            <w:vAlign w:val="top"/>
          </w:tcPr>
          <w:p w14:paraId="0C8E6E1E">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开户银行：</w:t>
            </w:r>
          </w:p>
        </w:tc>
      </w:tr>
      <w:tr w14:paraId="1C51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C5518E1">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p>
        </w:tc>
        <w:tc>
          <w:tcPr>
            <w:tcW w:w="4930" w:type="dxa"/>
            <w:tcBorders>
              <w:tl2br w:val="nil"/>
              <w:tr2bl w:val="nil"/>
            </w:tcBorders>
            <w:vAlign w:val="top"/>
          </w:tcPr>
          <w:p w14:paraId="003B26B6">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p>
        </w:tc>
      </w:tr>
      <w:tr w14:paraId="194E6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0B3AB1A0">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4930" w:type="dxa"/>
            <w:tcBorders>
              <w:tl2br w:val="nil"/>
              <w:tr2bl w:val="nil"/>
            </w:tcBorders>
            <w:vAlign w:val="top"/>
          </w:tcPr>
          <w:p w14:paraId="74A8D97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r>
    </w:tbl>
    <w:p w14:paraId="1DE3BD44">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p>
    <w:p w14:paraId="65E5060B">
      <w:pPr>
        <w:spacing w:line="360" w:lineRule="auto"/>
        <w:jc w:val="both"/>
        <w:rPr>
          <w:rFonts w:hint="eastAsia" w:ascii="宋体" w:hAnsi="宋体" w:eastAsia="宋体" w:cs="宋体"/>
          <w:color w:val="auto"/>
          <w:sz w:val="24"/>
          <w:szCs w:val="24"/>
          <w:highlight w:val="none"/>
        </w:rPr>
      </w:pPr>
    </w:p>
    <w:p w14:paraId="386F24C8">
      <w:pPr>
        <w:pStyle w:val="2"/>
        <w:spacing w:before="0" w:after="0" w:line="240" w:lineRule="auto"/>
        <w:jc w:val="center"/>
        <w:rPr>
          <w:rFonts w:hint="eastAsia" w:ascii="宋体" w:hAnsi="宋体" w:eastAsia="宋体" w:cs="宋体"/>
          <w:b w:val="0"/>
          <w:bCs w:val="0"/>
          <w:color w:val="auto"/>
          <w:highlight w:val="none"/>
        </w:rPr>
      </w:pPr>
      <w:r>
        <w:rPr>
          <w:rFonts w:hint="eastAsia" w:ascii="宋体" w:hAnsi="宋体" w:eastAsia="宋体" w:cs="宋体"/>
          <w:color w:val="auto"/>
          <w:szCs w:val="21"/>
          <w:highlight w:val="none"/>
        </w:rPr>
        <w:br w:type="page"/>
      </w:r>
      <w:bookmarkEnd w:id="63"/>
      <w:bookmarkEnd w:id="64"/>
      <w:bookmarkEnd w:id="65"/>
      <w:bookmarkEnd w:id="66"/>
      <w:bookmarkStart w:id="67" w:name="_Toc407135283"/>
      <w:bookmarkStart w:id="68" w:name="_Toc29015"/>
      <w:bookmarkStart w:id="69" w:name="_Toc10491"/>
      <w:r>
        <w:rPr>
          <w:rFonts w:hint="eastAsia" w:ascii="宋体" w:hAnsi="宋体" w:eastAsia="宋体" w:cs="宋体"/>
          <w:b w:val="0"/>
          <w:bCs w:val="0"/>
          <w:color w:val="auto"/>
          <w:highlight w:val="none"/>
        </w:rPr>
        <w:t>第七章 工程量清单</w:t>
      </w:r>
      <w:bookmarkEnd w:id="67"/>
      <w:bookmarkEnd w:id="68"/>
      <w:r>
        <w:rPr>
          <w:rFonts w:hint="eastAsia" w:ascii="宋体" w:hAnsi="宋体" w:eastAsia="宋体" w:cs="宋体"/>
          <w:b w:val="0"/>
          <w:bCs w:val="0"/>
          <w:color w:val="auto"/>
          <w:highlight w:val="none"/>
        </w:rPr>
        <w:t>、图纸</w:t>
      </w:r>
      <w:bookmarkEnd w:id="69"/>
    </w:p>
    <w:p w14:paraId="01CB923A">
      <w:pPr>
        <w:spacing w:before="0" w:after="0" w:line="360" w:lineRule="auto"/>
        <w:jc w:val="center"/>
        <w:outlineLvl w:val="9"/>
        <w:rPr>
          <w:rFonts w:hint="eastAsia" w:ascii="宋体" w:hAnsi="宋体" w:eastAsia="宋体" w:cs="宋体"/>
          <w:color w:val="auto"/>
          <w:highlight w:val="none"/>
        </w:rPr>
      </w:pPr>
    </w:p>
    <w:p w14:paraId="13EBB0C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获取方式：网上下载。本项目不发放</w:t>
      </w:r>
      <w:r>
        <w:rPr>
          <w:rFonts w:hint="eastAsia" w:ascii="宋体" w:hAnsi="宋体" w:eastAsia="宋体" w:cs="宋体"/>
          <w:color w:val="auto"/>
          <w:highlight w:val="none"/>
          <w:lang w:eastAsia="zh-CN"/>
        </w:rPr>
        <w:t>纸质版的</w:t>
      </w:r>
      <w:r>
        <w:rPr>
          <w:rFonts w:hint="eastAsia" w:ascii="宋体" w:hAnsi="宋体" w:eastAsia="宋体" w:cs="宋体"/>
          <w:color w:val="auto"/>
          <w:highlight w:val="none"/>
        </w:rPr>
        <w:t>工程量清单及图纸，由潜在供应商自行在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下载。</w:t>
      </w:r>
    </w:p>
    <w:p w14:paraId="0BB71BAB">
      <w:pPr>
        <w:pStyle w:val="7"/>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highlight w:val="none"/>
        </w:rPr>
      </w:pPr>
    </w:p>
    <w:p w14:paraId="733D9A04">
      <w:pPr>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val="0"/>
          <w:bCs/>
          <w:color w:val="auto"/>
          <w:highlight w:val="none"/>
        </w:rPr>
      </w:pPr>
      <w:bookmarkStart w:id="70" w:name="_Toc8963"/>
      <w:bookmarkStart w:id="71" w:name="_Toc178"/>
      <w:bookmarkStart w:id="72" w:name="_Toc28283"/>
      <w:bookmarkStart w:id="73" w:name="_Toc20915"/>
      <w:bookmarkStart w:id="74" w:name="_Toc29624"/>
      <w:bookmarkStart w:id="75" w:name="_Toc4654"/>
    </w:p>
    <w:p w14:paraId="0EEEBF20">
      <w:pPr>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val="0"/>
          <w:bCs/>
          <w:color w:val="auto"/>
          <w:highlight w:val="none"/>
        </w:rPr>
      </w:pPr>
      <w:r>
        <w:rPr>
          <w:rFonts w:hint="eastAsia" w:ascii="宋体" w:hAnsi="宋体" w:eastAsia="宋体" w:cs="宋体"/>
          <w:b w:val="0"/>
          <w:bCs/>
          <w:color w:val="auto"/>
          <w:highlight w:val="none"/>
        </w:rPr>
        <w:br w:type="page"/>
      </w:r>
    </w:p>
    <w:p w14:paraId="444DFDFE">
      <w:pPr>
        <w:pStyle w:val="2"/>
        <w:spacing w:before="0" w:after="0" w:line="240" w:lineRule="auto"/>
        <w:jc w:val="center"/>
        <w:rPr>
          <w:rFonts w:hint="eastAsia" w:ascii="宋体" w:hAnsi="宋体" w:eastAsia="宋体" w:cs="宋体"/>
          <w:b w:val="0"/>
          <w:bCs w:val="0"/>
          <w:color w:val="auto"/>
          <w:highlight w:val="none"/>
        </w:rPr>
        <w:sectPr>
          <w:footerReference r:id="rId12" w:type="default"/>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b w:val="0"/>
          <w:bCs w:val="0"/>
          <w:color w:val="auto"/>
          <w:highlight w:val="none"/>
        </w:rPr>
        <w:t>第八章 质疑、投诉材料格式</w:t>
      </w:r>
      <w:bookmarkEnd w:id="70"/>
      <w:bookmarkEnd w:id="71"/>
      <w:bookmarkEnd w:id="72"/>
      <w:bookmarkEnd w:id="73"/>
      <w:bookmarkEnd w:id="74"/>
      <w:bookmarkEnd w:id="75"/>
    </w:p>
    <w:p w14:paraId="167713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7B880CC">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 w:val="24"/>
          <w:highlight w:val="none"/>
        </w:rPr>
        <w:t>一</w:t>
      </w:r>
      <w:r>
        <w:rPr>
          <w:rFonts w:hint="eastAsia" w:ascii="宋体" w:hAnsi="宋体" w:eastAsia="宋体" w:cs="宋体"/>
          <w:b/>
          <w:bCs/>
          <w:color w:val="auto"/>
          <w:kern w:val="0"/>
          <w:szCs w:val="21"/>
          <w:highlight w:val="none"/>
        </w:rPr>
        <w:t>、质疑供应商基本信息：</w:t>
      </w:r>
    </w:p>
    <w:p w14:paraId="6F556F57">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质疑供应商：</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01D3A027">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E1B46C6">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5965379E">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授权代表：</w:t>
      </w:r>
      <w:r>
        <w:rPr>
          <w:rFonts w:hint="eastAsia" w:ascii="宋体" w:hAnsi="宋体" w:eastAsia="宋体" w:cs="宋体"/>
          <w:bCs/>
          <w:color w:val="auto"/>
          <w:kern w:val="0"/>
          <w:szCs w:val="21"/>
          <w:highlight w:val="none"/>
          <w:u w:val="single"/>
        </w:rPr>
        <w:t xml:space="preserve">                      </w:t>
      </w:r>
    </w:p>
    <w:p w14:paraId="0967EF7E">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36E25000">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33A9F12B">
      <w:pPr>
        <w:keepNext w:val="0"/>
        <w:keepLines w:val="0"/>
        <w:pageBreakBefore w:val="0"/>
        <w:widowControl w:val="0"/>
        <w:kinsoku/>
        <w:wordWrap/>
        <w:overflowPunct/>
        <w:topLinePunct w:val="0"/>
        <w:autoSpaceDE/>
        <w:autoSpaceDN/>
        <w:bidi w:val="0"/>
        <w:adjustRightInd/>
        <w:snapToGrid/>
        <w:spacing w:line="380" w:lineRule="exact"/>
        <w:ind w:firstLine="422" w:firstLineChars="200"/>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二、质疑项目基本情况：</w:t>
      </w:r>
    </w:p>
    <w:p w14:paraId="46FCDCA2">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质疑</w:t>
      </w:r>
      <w:r>
        <w:rPr>
          <w:rFonts w:hint="eastAsia" w:ascii="宋体" w:hAnsi="宋体" w:eastAsia="宋体" w:cs="宋体"/>
          <w:color w:val="auto"/>
          <w:kern w:val="0"/>
          <w:szCs w:val="21"/>
          <w:highlight w:val="none"/>
        </w:rPr>
        <w:t>项目的名称：</w:t>
      </w:r>
      <w:r>
        <w:rPr>
          <w:rFonts w:hint="eastAsia" w:ascii="宋体" w:hAnsi="宋体" w:eastAsia="宋体" w:cs="宋体"/>
          <w:bCs/>
          <w:color w:val="auto"/>
          <w:kern w:val="0"/>
          <w:szCs w:val="21"/>
          <w:highlight w:val="none"/>
          <w:u w:val="single"/>
        </w:rPr>
        <w:t xml:space="preserve">                                     </w:t>
      </w:r>
    </w:p>
    <w:p w14:paraId="69C1F544">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质疑</w:t>
      </w:r>
      <w:r>
        <w:rPr>
          <w:rFonts w:hint="eastAsia" w:ascii="宋体" w:hAnsi="宋体" w:eastAsia="宋体" w:cs="宋体"/>
          <w:color w:val="auto"/>
          <w:kern w:val="0"/>
          <w:szCs w:val="21"/>
          <w:highlight w:val="none"/>
        </w:rPr>
        <w:t>项目的编号：</w:t>
      </w:r>
      <w:r>
        <w:rPr>
          <w:rFonts w:hint="eastAsia" w:ascii="宋体" w:hAnsi="宋体" w:eastAsia="宋体" w:cs="宋体"/>
          <w:bCs/>
          <w:color w:val="auto"/>
          <w:kern w:val="0"/>
          <w:szCs w:val="21"/>
          <w:highlight w:val="none"/>
          <w:u w:val="single"/>
        </w:rPr>
        <w:t xml:space="preserve">                                     </w:t>
      </w:r>
    </w:p>
    <w:p w14:paraId="143EF2AC">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采购人名称：</w:t>
      </w:r>
      <w:r>
        <w:rPr>
          <w:rFonts w:hint="eastAsia" w:ascii="宋体" w:hAnsi="宋体" w:eastAsia="宋体" w:cs="宋体"/>
          <w:bCs/>
          <w:color w:val="auto"/>
          <w:kern w:val="0"/>
          <w:szCs w:val="21"/>
          <w:highlight w:val="none"/>
          <w:u w:val="single"/>
        </w:rPr>
        <w:t xml:space="preserve">                                         </w:t>
      </w:r>
    </w:p>
    <w:p w14:paraId="52D23F5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w:t>
      </w:r>
    </w:p>
    <w:p w14:paraId="07896BE4">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□采购文件   采购文件获取日期：</w:t>
      </w:r>
      <w:r>
        <w:rPr>
          <w:rFonts w:hint="eastAsia" w:ascii="宋体" w:hAnsi="宋体" w:eastAsia="宋体" w:cs="宋体"/>
          <w:bCs/>
          <w:color w:val="auto"/>
          <w:kern w:val="0"/>
          <w:szCs w:val="21"/>
          <w:highlight w:val="none"/>
          <w:u w:val="single"/>
        </w:rPr>
        <w:t xml:space="preserve">                                   </w:t>
      </w:r>
    </w:p>
    <w:p w14:paraId="50902F4D">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□采购过程   </w:t>
      </w:r>
    </w:p>
    <w:p w14:paraId="7FEA537E">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 xml:space="preserve">□成交结果   </w:t>
      </w:r>
    </w:p>
    <w:p w14:paraId="640EAB62">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6"/>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三、质疑事项具体内容</w:t>
      </w:r>
    </w:p>
    <w:p w14:paraId="606F66FF">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质疑事项1：</w:t>
      </w:r>
      <w:r>
        <w:rPr>
          <w:rFonts w:hint="eastAsia" w:ascii="宋体" w:hAnsi="宋体" w:eastAsia="宋体" w:cs="宋体"/>
          <w:bCs/>
          <w:color w:val="auto"/>
          <w:kern w:val="0"/>
          <w:szCs w:val="21"/>
          <w:highlight w:val="none"/>
          <w:u w:val="single"/>
        </w:rPr>
        <w:t xml:space="preserve">                                                                    </w:t>
      </w:r>
    </w:p>
    <w:p w14:paraId="396CA77C">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事实依据：</w:t>
      </w:r>
      <w:r>
        <w:rPr>
          <w:rFonts w:hint="eastAsia" w:ascii="宋体" w:hAnsi="宋体" w:eastAsia="宋体" w:cs="宋体"/>
          <w:bCs/>
          <w:color w:val="auto"/>
          <w:kern w:val="0"/>
          <w:szCs w:val="21"/>
          <w:highlight w:val="none"/>
          <w:u w:val="single"/>
        </w:rPr>
        <w:t xml:space="preserve">                                                                      </w:t>
      </w:r>
    </w:p>
    <w:p w14:paraId="6FFAD3E5">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法律依据：</w:t>
      </w:r>
      <w:r>
        <w:rPr>
          <w:rFonts w:hint="eastAsia" w:ascii="宋体" w:hAnsi="宋体" w:eastAsia="宋体" w:cs="宋体"/>
          <w:color w:val="auto"/>
          <w:kern w:val="0"/>
          <w:szCs w:val="21"/>
          <w:highlight w:val="none"/>
          <w:u w:val="single"/>
        </w:rPr>
        <w:t xml:space="preserve">                                                        </w:t>
      </w:r>
      <w:r>
        <w:rPr>
          <w:rFonts w:hint="eastAsia" w:ascii="宋体" w:hAnsi="宋体" w:eastAsia="宋体" w:cs="宋体"/>
          <w:bCs/>
          <w:color w:val="auto"/>
          <w:kern w:val="0"/>
          <w:szCs w:val="21"/>
          <w:highlight w:val="none"/>
          <w:u w:val="single"/>
        </w:rPr>
        <w:t xml:space="preserve">               </w:t>
      </w:r>
    </w:p>
    <w:p w14:paraId="728B41D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质疑事项2</w:t>
      </w:r>
    </w:p>
    <w:p w14:paraId="2DA86291">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5DE81946">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四、与质疑事项相关的质疑请求：</w:t>
      </w:r>
    </w:p>
    <w:p w14:paraId="45D0CB9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bCs/>
          <w:color w:val="auto"/>
          <w:kern w:val="0"/>
          <w:szCs w:val="21"/>
          <w:highlight w:val="none"/>
          <w:u w:val="single"/>
        </w:rPr>
        <w:t xml:space="preserve">                                                                </w:t>
      </w:r>
    </w:p>
    <w:p w14:paraId="7EEB8CA6">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p>
    <w:p w14:paraId="0F11589B">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28BCEA06">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日期：</w:t>
      </w:r>
    </w:p>
    <w:p w14:paraId="3D5AD9BD">
      <w:pPr>
        <w:keepNext w:val="0"/>
        <w:keepLines w:val="0"/>
        <w:pageBreakBefore w:val="0"/>
        <w:widowControl w:val="0"/>
        <w:kinsoku/>
        <w:wordWrap/>
        <w:overflowPunct/>
        <w:topLinePunct w:val="0"/>
        <w:autoSpaceDE/>
        <w:autoSpaceDN/>
        <w:bidi w:val="0"/>
        <w:adjustRightInd/>
        <w:snapToGrid/>
        <w:spacing w:line="380" w:lineRule="exact"/>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F4CDCC5">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1.供应商提出质疑时，应提交质疑函和必要的证明材料</w:t>
      </w:r>
      <w:r>
        <w:rPr>
          <w:rFonts w:hint="eastAsia" w:ascii="宋体" w:hAnsi="宋体" w:eastAsia="宋体" w:cs="宋体"/>
          <w:b/>
          <w:bCs/>
          <w:color w:val="auto"/>
          <w:kern w:val="0"/>
          <w:szCs w:val="21"/>
          <w:highlight w:val="none"/>
        </w:rPr>
        <w:t>。</w:t>
      </w:r>
    </w:p>
    <w:p w14:paraId="2734EFE9">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45A103">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3.质疑函的质疑事项应具体、明确，并有必要的事实依据和法律依据。</w:t>
      </w:r>
    </w:p>
    <w:p w14:paraId="00AB9C0B">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4.质疑函的质疑请求应与质疑事项相关。</w:t>
      </w:r>
    </w:p>
    <w:p w14:paraId="2F006CD4">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5.质疑供应商为法人或者其他组织的，质疑函应由法定代表人、主要负责人，或者其授权代表签字或者盖章，并加盖公章。</w:t>
      </w:r>
    </w:p>
    <w:p w14:paraId="64E03B4C">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4FD337AB">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4BD0683A">
      <w:pPr>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一、投诉相关主体基本情况：</w:t>
      </w:r>
    </w:p>
    <w:p w14:paraId="67090462">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供应商：</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6717C3B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F4A3001">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法定代表人/主要负责人：</w:t>
      </w:r>
      <w:r>
        <w:rPr>
          <w:rFonts w:hint="eastAsia" w:ascii="宋体" w:hAnsi="宋体" w:eastAsia="宋体" w:cs="宋体"/>
          <w:bCs/>
          <w:color w:val="auto"/>
          <w:kern w:val="0"/>
          <w:szCs w:val="21"/>
          <w:highlight w:val="none"/>
          <w:u w:val="single"/>
        </w:rPr>
        <w:t xml:space="preserve">                                                         </w:t>
      </w:r>
    </w:p>
    <w:p w14:paraId="13E09124">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69E13BB2">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授权代表：</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35D44F84">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p>
    <w:p w14:paraId="585397A2">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03026B85">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被投诉人1：</w:t>
      </w:r>
    </w:p>
    <w:p w14:paraId="4C20CF9A">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p>
    <w:p w14:paraId="452C772D">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CA85687">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56DB3FB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被投诉人2：</w:t>
      </w:r>
    </w:p>
    <w:p w14:paraId="128A16CC">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p>
    <w:p w14:paraId="1C5AD33C">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相关供应商：</w:t>
      </w:r>
      <w:r>
        <w:rPr>
          <w:rFonts w:hint="eastAsia" w:ascii="宋体" w:hAnsi="宋体" w:eastAsia="宋体" w:cs="宋体"/>
          <w:bCs/>
          <w:color w:val="auto"/>
          <w:kern w:val="0"/>
          <w:szCs w:val="21"/>
          <w:highlight w:val="none"/>
          <w:u w:val="single"/>
        </w:rPr>
        <w:t xml:space="preserve">                                                                       </w:t>
      </w:r>
    </w:p>
    <w:p w14:paraId="5241341C">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p>
    <w:p w14:paraId="00AEA9A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14F4AC2E">
      <w:pPr>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二、投诉项目基本情况：</w:t>
      </w:r>
    </w:p>
    <w:p w14:paraId="6A185616">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采购</w:t>
      </w:r>
      <w:r>
        <w:rPr>
          <w:rFonts w:hint="eastAsia" w:ascii="宋体" w:hAnsi="宋体" w:eastAsia="宋体" w:cs="宋体"/>
          <w:color w:val="auto"/>
          <w:kern w:val="0"/>
          <w:szCs w:val="21"/>
          <w:highlight w:val="none"/>
        </w:rPr>
        <w:t>项目的名称：</w:t>
      </w:r>
      <w:r>
        <w:rPr>
          <w:rFonts w:hint="eastAsia" w:ascii="宋体" w:hAnsi="宋体" w:eastAsia="宋体" w:cs="宋体"/>
          <w:bCs/>
          <w:color w:val="auto"/>
          <w:kern w:val="0"/>
          <w:szCs w:val="21"/>
          <w:highlight w:val="none"/>
          <w:u w:val="single"/>
        </w:rPr>
        <w:t xml:space="preserve">                                                                   </w:t>
      </w:r>
    </w:p>
    <w:p w14:paraId="27AFAFCB">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采购</w:t>
      </w:r>
      <w:r>
        <w:rPr>
          <w:rFonts w:hint="eastAsia" w:ascii="宋体" w:hAnsi="宋体" w:eastAsia="宋体" w:cs="宋体"/>
          <w:color w:val="auto"/>
          <w:kern w:val="0"/>
          <w:szCs w:val="21"/>
          <w:highlight w:val="none"/>
        </w:rPr>
        <w:t>项目的编号：</w:t>
      </w:r>
      <w:r>
        <w:rPr>
          <w:rFonts w:hint="eastAsia" w:ascii="宋体" w:hAnsi="宋体" w:eastAsia="宋体" w:cs="宋体"/>
          <w:bCs/>
          <w:color w:val="auto"/>
          <w:kern w:val="0"/>
          <w:szCs w:val="21"/>
          <w:highlight w:val="none"/>
          <w:u w:val="single"/>
        </w:rPr>
        <w:t xml:space="preserve">                                          </w:t>
      </w:r>
    </w:p>
    <w:p w14:paraId="42CC4D96">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采购人名称：</w:t>
      </w:r>
      <w:r>
        <w:rPr>
          <w:rFonts w:hint="eastAsia" w:ascii="宋体" w:hAnsi="宋体" w:eastAsia="宋体" w:cs="宋体"/>
          <w:bCs/>
          <w:color w:val="auto"/>
          <w:kern w:val="0"/>
          <w:szCs w:val="21"/>
          <w:highlight w:val="none"/>
          <w:u w:val="single"/>
        </w:rPr>
        <w:t xml:space="preserve">                                                                        </w:t>
      </w:r>
    </w:p>
    <w:p w14:paraId="0961B3B9">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代理机构名称：</w:t>
      </w:r>
      <w:r>
        <w:rPr>
          <w:rFonts w:hint="eastAsia" w:ascii="宋体" w:hAnsi="宋体" w:eastAsia="宋体" w:cs="宋体"/>
          <w:bCs/>
          <w:color w:val="auto"/>
          <w:kern w:val="0"/>
          <w:szCs w:val="21"/>
          <w:highlight w:val="none"/>
          <w:u w:val="single"/>
        </w:rPr>
        <w:t xml:space="preserve">                                                                      </w:t>
      </w:r>
    </w:p>
    <w:p w14:paraId="1703BCFA">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采购文件公告：</w:t>
      </w:r>
      <w:r>
        <w:rPr>
          <w:rFonts w:hint="eastAsia" w:ascii="宋体" w:hAnsi="宋体" w:eastAsia="宋体" w:cs="宋体"/>
          <w:bCs/>
          <w:color w:val="auto"/>
          <w:kern w:val="0"/>
          <w:szCs w:val="21"/>
          <w:highlight w:val="none"/>
          <w:u w:val="single"/>
        </w:rPr>
        <w:t>是/否</w:t>
      </w:r>
      <w:r>
        <w:rPr>
          <w:rFonts w:hint="eastAsia" w:ascii="宋体" w:hAnsi="宋体" w:eastAsia="宋体" w:cs="宋体"/>
          <w:bCs/>
          <w:color w:val="auto"/>
          <w:kern w:val="0"/>
          <w:szCs w:val="21"/>
          <w:highlight w:val="none"/>
        </w:rPr>
        <w:t>公告期限：</w:t>
      </w:r>
      <w:r>
        <w:rPr>
          <w:rFonts w:hint="eastAsia" w:ascii="宋体" w:hAnsi="宋体" w:eastAsia="宋体" w:cs="宋体"/>
          <w:bCs/>
          <w:color w:val="auto"/>
          <w:kern w:val="0"/>
          <w:szCs w:val="21"/>
          <w:highlight w:val="none"/>
          <w:u w:val="single"/>
        </w:rPr>
        <w:t xml:space="preserve">                                                       </w:t>
      </w:r>
    </w:p>
    <w:p w14:paraId="0143327A">
      <w:pPr>
        <w:spacing w:line="360" w:lineRule="auto"/>
        <w:ind w:left="25" w:leftChars="12" w:firstLine="413" w:firstLineChars="197"/>
        <w:rPr>
          <w:rFonts w:hint="eastAsia" w:ascii="宋体" w:hAnsi="宋体" w:eastAsia="宋体" w:cs="宋体"/>
          <w:b/>
          <w:color w:val="auto"/>
          <w:kern w:val="0"/>
          <w:szCs w:val="21"/>
          <w:highlight w:val="none"/>
        </w:rPr>
      </w:pPr>
      <w:r>
        <w:rPr>
          <w:rFonts w:hint="eastAsia" w:ascii="宋体" w:hAnsi="宋体" w:eastAsia="宋体" w:cs="宋体"/>
          <w:bCs/>
          <w:color w:val="auto"/>
          <w:kern w:val="0"/>
          <w:szCs w:val="21"/>
          <w:highlight w:val="none"/>
        </w:rPr>
        <w:t>采购结果公告：</w:t>
      </w:r>
      <w:r>
        <w:rPr>
          <w:rFonts w:hint="eastAsia" w:ascii="宋体" w:hAnsi="宋体" w:eastAsia="宋体" w:cs="宋体"/>
          <w:bCs/>
          <w:color w:val="auto"/>
          <w:kern w:val="0"/>
          <w:szCs w:val="21"/>
          <w:highlight w:val="none"/>
          <w:u w:val="single"/>
        </w:rPr>
        <w:t>是/否</w:t>
      </w:r>
      <w:r>
        <w:rPr>
          <w:rFonts w:hint="eastAsia" w:ascii="宋体" w:hAnsi="宋体" w:eastAsia="宋体" w:cs="宋体"/>
          <w:bCs/>
          <w:color w:val="auto"/>
          <w:kern w:val="0"/>
          <w:szCs w:val="21"/>
          <w:highlight w:val="none"/>
        </w:rPr>
        <w:t>公告期限：</w:t>
      </w:r>
      <w:r>
        <w:rPr>
          <w:rFonts w:hint="eastAsia" w:ascii="宋体" w:hAnsi="宋体" w:eastAsia="宋体" w:cs="宋体"/>
          <w:bCs/>
          <w:color w:val="auto"/>
          <w:kern w:val="0"/>
          <w:szCs w:val="21"/>
          <w:highlight w:val="none"/>
          <w:u w:val="single"/>
        </w:rPr>
        <w:t xml:space="preserve">                                                       </w:t>
      </w:r>
    </w:p>
    <w:p w14:paraId="139D9317">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三、质疑基本情况</w:t>
      </w:r>
    </w:p>
    <w:p w14:paraId="6FB812A0">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投诉人于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日，向</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提出质疑，质疑事项为：</w:t>
      </w:r>
    </w:p>
    <w:p w14:paraId="16F6356A">
      <w:pPr>
        <w:spacing w:line="360" w:lineRule="auto"/>
        <w:ind w:firstLine="241"/>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12D7B281">
      <w:pPr>
        <w:spacing w:line="360" w:lineRule="auto"/>
        <w:ind w:firstLine="241"/>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726D081F">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u w:val="single"/>
        </w:rPr>
        <w:t>采购人/采购代理机构</w:t>
      </w:r>
      <w:r>
        <w:rPr>
          <w:rFonts w:hint="eastAsia" w:ascii="宋体" w:hAnsi="宋体" w:eastAsia="宋体" w:cs="宋体"/>
          <w:bCs/>
          <w:color w:val="auto"/>
          <w:kern w:val="0"/>
          <w:szCs w:val="21"/>
          <w:highlight w:val="none"/>
        </w:rPr>
        <w:t>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r>
        <w:rPr>
          <w:rFonts w:hint="eastAsia" w:ascii="宋体" w:hAnsi="宋体" w:eastAsia="宋体" w:cs="宋体"/>
          <w:bCs/>
          <w:color w:val="auto"/>
          <w:kern w:val="0"/>
          <w:szCs w:val="21"/>
          <w:highlight w:val="none"/>
        </w:rPr>
        <w:t xml:space="preserve">就质疑事项作出了答复/没有在法定期限内作出答复。                                                                                             </w:t>
      </w:r>
    </w:p>
    <w:p w14:paraId="7CB11BB4">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四、投诉事项具体内容</w:t>
      </w:r>
    </w:p>
    <w:p w14:paraId="7285E45A">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投诉事项1：</w:t>
      </w:r>
      <w:r>
        <w:rPr>
          <w:rFonts w:hint="eastAsia" w:ascii="宋体" w:hAnsi="宋体" w:eastAsia="宋体" w:cs="宋体"/>
          <w:bCs/>
          <w:color w:val="auto"/>
          <w:kern w:val="0"/>
          <w:szCs w:val="21"/>
          <w:highlight w:val="none"/>
          <w:u w:val="single"/>
        </w:rPr>
        <w:t xml:space="preserve">                                                                           </w:t>
      </w:r>
    </w:p>
    <w:p w14:paraId="37768F74">
      <w:pPr>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事实依据：</w:t>
      </w: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0609D463">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u w:val="single"/>
        </w:rPr>
        <w:t xml:space="preserve">                                                                                        </w:t>
      </w:r>
    </w:p>
    <w:p w14:paraId="5A21E73B">
      <w:pPr>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法律依据：</w:t>
      </w: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709A72A0">
      <w:pPr>
        <w:spacing w:line="360" w:lineRule="auto"/>
        <w:ind w:left="25" w:leftChars="12" w:firstLine="308" w:firstLineChars="147"/>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6E4C3676">
      <w:pPr>
        <w:spacing w:line="360" w:lineRule="auto"/>
        <w:ind w:left="25" w:leftChars="12" w:firstLine="413" w:firstLineChars="197"/>
        <w:rPr>
          <w:rFonts w:hint="eastAsia" w:ascii="宋体" w:hAnsi="宋体" w:eastAsia="宋体" w:cs="宋体"/>
          <w:bCs/>
          <w:color w:val="auto"/>
          <w:kern w:val="0"/>
          <w:szCs w:val="21"/>
          <w:highlight w:val="none"/>
        </w:rPr>
      </w:pPr>
      <w:r>
        <w:rPr>
          <w:rFonts w:hint="eastAsia" w:ascii="宋体" w:hAnsi="宋体" w:eastAsia="宋体" w:cs="宋体"/>
          <w:color w:val="auto"/>
          <w:kern w:val="0"/>
          <w:szCs w:val="21"/>
          <w:highlight w:val="none"/>
        </w:rPr>
        <w:t xml:space="preserve">投诉事项2  </w:t>
      </w:r>
      <w:r>
        <w:rPr>
          <w:rFonts w:hint="eastAsia" w:ascii="宋体" w:hAnsi="宋体" w:eastAsia="宋体" w:cs="宋体"/>
          <w:bCs/>
          <w:color w:val="auto"/>
          <w:kern w:val="0"/>
          <w:szCs w:val="21"/>
          <w:highlight w:val="none"/>
        </w:rPr>
        <w:t xml:space="preserve">   </w:t>
      </w:r>
    </w:p>
    <w:p w14:paraId="589A2516">
      <w:pPr>
        <w:spacing w:line="360" w:lineRule="auto"/>
        <w:ind w:left="25" w:leftChars="12" w:firstLine="413" w:firstLineChars="197"/>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p>
    <w:p w14:paraId="361B1933">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五、与投诉事项相关的投诉请求：</w:t>
      </w:r>
    </w:p>
    <w:p w14:paraId="231C4E5E">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bCs/>
          <w:color w:val="auto"/>
          <w:kern w:val="0"/>
          <w:szCs w:val="21"/>
          <w:highlight w:val="none"/>
          <w:u w:val="single"/>
        </w:rPr>
        <w:t xml:space="preserve">                                                                                 </w:t>
      </w:r>
    </w:p>
    <w:p w14:paraId="4649598E">
      <w:pPr>
        <w:spacing w:line="360" w:lineRule="auto"/>
        <w:ind w:left="25" w:leftChars="12" w:firstLine="308" w:firstLineChars="147"/>
        <w:rPr>
          <w:rFonts w:hint="eastAsia" w:ascii="宋体" w:hAnsi="宋体" w:eastAsia="宋体" w:cs="宋体"/>
          <w:color w:val="auto"/>
          <w:kern w:val="0"/>
          <w:szCs w:val="21"/>
          <w:highlight w:val="none"/>
        </w:rPr>
      </w:pPr>
    </w:p>
    <w:p w14:paraId="031C1A0C">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440DCD50">
      <w:pPr>
        <w:spacing w:line="360" w:lineRule="auto"/>
        <w:ind w:left="25" w:leftChars="12" w:firstLine="308" w:firstLineChars="147"/>
        <w:rPr>
          <w:rFonts w:hint="eastAsia" w:ascii="宋体" w:hAnsi="宋体" w:eastAsia="宋体" w:cs="宋体"/>
          <w:color w:val="auto"/>
          <w:kern w:val="0"/>
          <w:szCs w:val="21"/>
          <w:highlight w:val="none"/>
        </w:rPr>
      </w:pPr>
    </w:p>
    <w:p w14:paraId="0B84BC25">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7888365B">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 xml:space="preserve">                                                                                 </w:t>
      </w:r>
    </w:p>
    <w:p w14:paraId="2F895523">
      <w:pPr>
        <w:snapToGrid w:val="0"/>
        <w:spacing w:line="360" w:lineRule="auto"/>
        <w:rPr>
          <w:rFonts w:hint="eastAsia" w:ascii="宋体" w:hAnsi="宋体" w:eastAsia="宋体" w:cs="宋体"/>
          <w:b/>
          <w:color w:val="auto"/>
          <w:kern w:val="0"/>
          <w:szCs w:val="21"/>
          <w:highlight w:val="none"/>
        </w:rPr>
      </w:pPr>
    </w:p>
    <w:p w14:paraId="227BF7E8">
      <w:pPr>
        <w:snapToGrid w:val="0"/>
        <w:spacing w:line="360" w:lineRule="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F2A3120">
      <w:pPr>
        <w:spacing w:line="360" w:lineRule="auto"/>
        <w:ind w:left="25" w:leftChars="12" w:firstLine="310" w:firstLineChars="147"/>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Cs w:val="21"/>
          <w:highlight w:val="none"/>
        </w:rPr>
        <w:t>。</w:t>
      </w:r>
    </w:p>
    <w:p w14:paraId="7E30AE7E">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E15A67">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3.投诉书应简要列明质疑事项，质疑函、质疑答复等作为附件材料提供。</w:t>
      </w:r>
    </w:p>
    <w:p w14:paraId="39E1A538">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4.投诉书的投诉事项应具体、明确，并有必要的事实依据和法律依据。</w:t>
      </w:r>
    </w:p>
    <w:p w14:paraId="64EB9023">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5.投诉书的投诉请求应与投诉事项相关。</w:t>
      </w:r>
    </w:p>
    <w:p w14:paraId="7CD3F8F4">
      <w:pPr>
        <w:spacing w:line="360" w:lineRule="auto"/>
        <w:ind w:left="25" w:leftChars="12" w:firstLine="310" w:firstLineChars="147"/>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6.投诉人为法人或者其他组织的，投诉书应由法定代表人、主要负责人，或者其授权代表签字或者盖章，并加盖公章。</w:t>
      </w:r>
    </w:p>
    <w:p w14:paraId="2263835C">
      <w:pPr>
        <w:rPr>
          <w:rFonts w:hint="eastAsia" w:ascii="宋体" w:hAnsi="宋体" w:eastAsia="宋体" w:cs="宋体"/>
          <w:color w:val="auto"/>
          <w:highlight w:val="none"/>
        </w:rPr>
      </w:pPr>
    </w:p>
    <w:p w14:paraId="2EBB00CB">
      <w:pPr>
        <w:spacing w:line="360" w:lineRule="auto"/>
        <w:jc w:val="center"/>
        <w:rPr>
          <w:rFonts w:hint="eastAsia" w:ascii="宋体" w:hAnsi="宋体" w:eastAsia="宋体" w:cs="宋体"/>
          <w:b/>
          <w:color w:val="auto"/>
          <w:highlight w:val="none"/>
        </w:rPr>
      </w:pPr>
    </w:p>
    <w:p w14:paraId="68546925">
      <w:pPr>
        <w:rPr>
          <w:rFonts w:hint="eastAsia" w:ascii="宋体" w:hAnsi="宋体" w:eastAsia="宋体" w:cs="宋体"/>
          <w:color w:val="auto"/>
          <w:highlight w:val="none"/>
        </w:rPr>
      </w:pPr>
    </w:p>
    <w:p w14:paraId="3D8F6D61">
      <w:pPr>
        <w:rPr>
          <w:rFonts w:hint="eastAsia" w:ascii="宋体" w:hAnsi="宋体" w:eastAsia="宋体" w:cs="宋体"/>
          <w:color w:val="auto"/>
          <w:highlight w:val="none"/>
        </w:rPr>
      </w:pPr>
    </w:p>
    <w:p w14:paraId="587164CE">
      <w:pPr>
        <w:rPr>
          <w:rFonts w:hint="eastAsia" w:ascii="宋体" w:hAnsi="宋体" w:eastAsia="宋体" w:cs="宋体"/>
          <w:color w:val="auto"/>
          <w:highlight w:val="none"/>
        </w:rPr>
      </w:pPr>
    </w:p>
    <w:p w14:paraId="5A565734">
      <w:pPr>
        <w:rPr>
          <w:rFonts w:hint="eastAsia" w:ascii="宋体" w:hAnsi="宋体" w:eastAsia="宋体" w:cs="宋体"/>
          <w:color w:val="auto"/>
          <w:highlight w:val="none"/>
        </w:rPr>
      </w:pPr>
    </w:p>
    <w:sectPr>
      <w:footerReference r:id="rId15" w:type="first"/>
      <w:headerReference r:id="rId13" w:type="default"/>
      <w:footerReference r:id="rId14" w:type="default"/>
      <w:pgSz w:w="11910" w:h="16840"/>
      <w:pgMar w:top="1340" w:right="1500" w:bottom="280" w:left="16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35B54">
    <w:pPr>
      <w:pStyle w:val="21"/>
      <w:jc w:val="center"/>
      <w:rPr>
        <w:rFonts w:hint="eastAsia" w:ascii="Calibri" w:hAnsi="Calibri"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EAEE">
    <w:pPr>
      <w:pStyle w:val="21"/>
      <w:framePr w:wrap="around" w:vAnchor="text" w:hAnchor="margin" w:xAlign="center" w:y="1"/>
      <w:rPr>
        <w:rStyle w:val="33"/>
        <w:rFonts w:ascii="Calibri" w:hAnsi="Calibri" w:eastAsia="宋体" w:cs="Times New Roman"/>
        <w:sz w:val="21"/>
      </w:rPr>
    </w:pPr>
    <w:r>
      <w:rPr>
        <w:rFonts w:ascii="Calibri" w:hAnsi="Calibri" w:eastAsia="宋体" w:cs="Times New Roman"/>
        <w:sz w:val="21"/>
      </w:rPr>
      <w:fldChar w:fldCharType="begin"/>
    </w:r>
    <w:r>
      <w:rPr>
        <w:rStyle w:val="33"/>
        <w:rFonts w:ascii="Calibri" w:hAnsi="Calibri" w:eastAsia="宋体" w:cs="Times New Roman"/>
        <w:kern w:val="2"/>
        <w:sz w:val="21"/>
        <w:szCs w:val="24"/>
      </w:rPr>
      <w:instrText xml:space="preserve">PAGE  </w:instrText>
    </w:r>
    <w:r>
      <w:rPr>
        <w:rFonts w:ascii="Calibri" w:hAnsi="Calibri" w:eastAsia="宋体" w:cs="Times New Roman"/>
        <w:sz w:val="21"/>
      </w:rPr>
      <w:fldChar w:fldCharType="separate"/>
    </w:r>
    <w:r>
      <w:rPr>
        <w:rStyle w:val="33"/>
        <w:rFonts w:ascii="Calibri" w:hAnsi="Calibri" w:eastAsia="宋体" w:cs="Times New Roman"/>
        <w:kern w:val="2"/>
        <w:sz w:val="21"/>
        <w:szCs w:val="24"/>
      </w:rPr>
      <w:t>0</w:t>
    </w:r>
    <w:r>
      <w:rPr>
        <w:rFonts w:ascii="Calibri" w:hAnsi="Calibri" w:eastAsia="宋体" w:cs="Times New Roman"/>
        <w:sz w:val="21"/>
      </w:rPr>
      <w:fldChar w:fldCharType="end"/>
    </w:r>
  </w:p>
  <w:p w14:paraId="197E385A">
    <w:pPr>
      <w:pStyle w:val="21"/>
      <w:rPr>
        <w:rFonts w:ascii="Calibri" w:hAnsi="Calibri" w:eastAsia="宋体" w:cs="Times New Roman"/>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46B6">
    <w:pPr>
      <w:pStyle w:val="21"/>
      <w:tabs>
        <w:tab w:val="center" w:pos="4439"/>
        <w:tab w:val="clear" w:pos="4153"/>
      </w:tabs>
      <w:jc w:val="both"/>
      <w:rPr>
        <w:rFonts w:ascii="Calibri" w:hAnsi="Calibri" w:eastAsia="宋体" w:cs="Times New Roman"/>
      </w:rPr>
    </w:pPr>
    <w:r>
      <w:rPr>
        <w:rFonts w:ascii="Times New Roman" w:hAnsi="Times New Roman" w:eastAsia="宋体" w:cs="Times New Roma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CA0B33">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akDMsBAACc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AmpAzLAQAAnAMAAA4AAAAAAAAAAQAgAAAAHgEAAGRycy9lMm9E&#10;b2MueG1sUEsFBgAAAAAGAAYAWQEAAFsFAAAAAA==&#10;">
              <v:fill on="f" focussize="0,0"/>
              <v:stroke on="f"/>
              <v:imagedata o:title=""/>
              <o:lock v:ext="edit" aspectratio="f"/>
              <v:textbox inset="0mm,0mm,0mm,0mm" style="mso-fit-shape-to-text:t;">
                <w:txbxContent>
                  <w:p w14:paraId="34CA0B33">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44FCD">
    <w:pPr>
      <w:pStyle w:val="21"/>
      <w:tabs>
        <w:tab w:val="center" w:pos="4439"/>
        <w:tab w:val="clear" w:pos="4153"/>
      </w:tabs>
      <w:rPr>
        <w:rFonts w:ascii="Calibri" w:hAnsi="Calibri" w:eastAsia="宋体" w:cs="Times New Roman"/>
      </w:rPr>
    </w:pPr>
    <w:r>
      <w:rPr>
        <w:rFonts w:ascii="Calibri" w:hAnsi="Calibri" w:eastAsia="宋体" w:cs="Times New Roma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121967">
                          <w:pPr>
                            <w:rPr>
                              <w:rFonts w:ascii="Calibri" w:hAnsi="Calibri" w:eastAsia="宋体" w:cs="Times New Roman"/>
                            </w:rPr>
                          </w:pP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XU4csBAACc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y11OHLAQAAnAMAAA4AAAAAAAAAAQAgAAAAHgEAAGRycy9lMm9E&#10;b2MueG1sUEsFBgAAAAAGAAYAWQEAAFsFAAAAAA==&#10;">
              <v:fill on="f" focussize="0,0"/>
              <v:stroke on="f"/>
              <v:imagedata o:title=""/>
              <o:lock v:ext="edit" aspectratio="f"/>
              <v:textbox inset="0mm,0mm,0mm,0mm" style="mso-fit-shape-to-text:t;">
                <w:txbxContent>
                  <w:p w14:paraId="27121967">
                    <w:pPr>
                      <w:rPr>
                        <w:rFonts w:ascii="Calibri" w:hAnsi="Calibri" w:eastAsia="宋体" w:cs="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9484">
    <w:pPr>
      <w:pStyle w:val="21"/>
      <w:jc w:val="center"/>
      <w:rPr>
        <w:rFonts w:ascii="Calibri" w:hAnsi="Calibri" w:eastAsia="宋体" w:cs="Times New Roman"/>
      </w:rPr>
    </w:pPr>
    <w:r>
      <w:rPr>
        <w:rFonts w:ascii="Times New Roman" w:hAnsi="Times New Roman" w:eastAsia="宋体" w:cs="Times New Roma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4BFFEC">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2</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MrF8sBAACcAwAADgAAAGRycy9lMm9Eb2MueG1srVNLjtswDN0X6B0E&#10;7SdyAkw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ZeUWG5w4Offv85//p3//iTX&#10;88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5zKxfLAQAAnAMAAA4AAAAAAAAAAQAgAAAAHgEAAGRycy9lMm9E&#10;b2MueG1sUEsFBgAAAAAGAAYAWQEAAFsFAAAAAA==&#10;">
              <v:fill on="f" focussize="0,0"/>
              <v:stroke on="f"/>
              <v:imagedata o:title=""/>
              <o:lock v:ext="edit" aspectratio="f"/>
              <v:textbox inset="0mm,0mm,0mm,0mm" style="mso-fit-shape-to-text:t;">
                <w:txbxContent>
                  <w:p w14:paraId="724BFFEC">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2</w:t>
                    </w:r>
                    <w:r>
                      <w:rPr>
                        <w:rFonts w:hint="eastAsia" w:ascii="Times New Roman" w:hAnsi="Times New Roman" w:eastAsia="宋体" w:cs="Times New Roman"/>
                      </w:rPr>
                      <w:fldChar w:fldCharType="end"/>
                    </w:r>
                  </w:p>
                </w:txbxContent>
              </v:textbox>
            </v:shape>
          </w:pict>
        </mc:Fallback>
      </mc:AlternateContent>
    </w:r>
  </w:p>
  <w:p w14:paraId="7A1B2B3B">
    <w:pPr>
      <w:pStyle w:val="21"/>
      <w:rPr>
        <w:rFonts w:ascii="Calibri" w:hAnsi="Calibri"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C622">
    <w:pPr>
      <w:pStyle w:val="21"/>
      <w:rPr>
        <w:rFonts w:ascii="Calibri" w:hAnsi="Calibri" w:eastAsia="宋体" w:cs="Times New Roman"/>
      </w:rPr>
    </w:pPr>
    <w:r>
      <w:rPr>
        <w:rFonts w:ascii="Calibri" w:hAnsi="Calibri" w:eastAsia="宋体" w:cs="Times New Roma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64138">
                          <w:pPr>
                            <w:pStyle w:val="21"/>
                            <w:rPr>
                              <w:rFonts w:hint="eastAsia" w:ascii="Calibri" w:hAnsi="Calibri" w:eastAsia="宋体" w:cs="Times New Roman"/>
                            </w:rPr>
                          </w:pPr>
                          <w:r>
                            <w:rPr>
                              <w:rFonts w:hint="eastAsia" w:ascii="Calibri" w:hAnsi="Calibri" w:eastAsia="宋体" w:cs="Times New Roman"/>
                            </w:rPr>
                            <w:fldChar w:fldCharType="begin"/>
                          </w:r>
                          <w:r>
                            <w:rPr>
                              <w:rFonts w:hint="eastAsia" w:ascii="Calibri" w:hAnsi="Calibri" w:eastAsia="宋体" w:cs="Times New Roman"/>
                            </w:rPr>
                            <w:instrText xml:space="preserve"> PAGE  \* MERGEFORMAT </w:instrText>
                          </w:r>
                          <w:r>
                            <w:rPr>
                              <w:rFonts w:hint="eastAsia" w:ascii="Calibri" w:hAnsi="Calibri" w:eastAsia="宋体" w:cs="Times New Roman"/>
                            </w:rPr>
                            <w:fldChar w:fldCharType="separate"/>
                          </w:r>
                          <w:r>
                            <w:rPr>
                              <w:rFonts w:ascii="Calibri" w:hAnsi="Calibri" w:eastAsia="宋体" w:cs="Times New Roman"/>
                            </w:rPr>
                            <w:t>63</w:t>
                          </w:r>
                          <w:r>
                            <w:rPr>
                              <w:rFonts w:hint="eastAsia" w:ascii="Calibri" w:hAnsi="Calibri" w:eastAsia="宋体" w:cs="Times New Roman"/>
                            </w:rPr>
                            <w:fldChar w:fldCharType="end"/>
                          </w:r>
                        </w:p>
                      </w:txbxContent>
                    </wps:txbx>
                    <wps:bodyPr wrap="none" lIns="0" tIns="0" rIns="0" bIns="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2kTcsBAACcAwAADgAAAGRycy9lMm9Eb2MueG1srVPNjtMwEL4j8Q6W&#10;79Rp0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fUmJ4xYHfvn+7fLj1+XnV3Kz&#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dpE3LAQAAnAMAAA4AAAAAAAAAAQAgAAAAHgEAAGRycy9lMm9E&#10;b2MueG1sUEsFBgAAAAAGAAYAWQEAAFsFAAAAAA==&#10;">
              <v:fill on="f" focussize="0,0"/>
              <v:stroke on="f"/>
              <v:imagedata o:title=""/>
              <o:lock v:ext="edit" aspectratio="f"/>
              <v:textbox inset="0mm,0mm,0mm,0mm" style="mso-fit-shape-to-text:t;">
                <w:txbxContent>
                  <w:p w14:paraId="0E764138">
                    <w:pPr>
                      <w:pStyle w:val="21"/>
                      <w:rPr>
                        <w:rFonts w:hint="eastAsia" w:ascii="Calibri" w:hAnsi="Calibri" w:eastAsia="宋体" w:cs="Times New Roman"/>
                      </w:rPr>
                    </w:pPr>
                    <w:r>
                      <w:rPr>
                        <w:rFonts w:hint="eastAsia" w:ascii="Calibri" w:hAnsi="Calibri" w:eastAsia="宋体" w:cs="Times New Roman"/>
                      </w:rPr>
                      <w:fldChar w:fldCharType="begin"/>
                    </w:r>
                    <w:r>
                      <w:rPr>
                        <w:rFonts w:hint="eastAsia" w:ascii="Calibri" w:hAnsi="Calibri" w:eastAsia="宋体" w:cs="Times New Roman"/>
                      </w:rPr>
                      <w:instrText xml:space="preserve"> PAGE  \* MERGEFORMAT </w:instrText>
                    </w:r>
                    <w:r>
                      <w:rPr>
                        <w:rFonts w:hint="eastAsia" w:ascii="Calibri" w:hAnsi="Calibri" w:eastAsia="宋体" w:cs="Times New Roman"/>
                      </w:rPr>
                      <w:fldChar w:fldCharType="separate"/>
                    </w:r>
                    <w:r>
                      <w:rPr>
                        <w:rFonts w:ascii="Calibri" w:hAnsi="Calibri" w:eastAsia="宋体" w:cs="Times New Roman"/>
                      </w:rPr>
                      <w:t>63</w:t>
                    </w:r>
                    <w:r>
                      <w:rPr>
                        <w:rFonts w:hint="eastAsia" w:ascii="Calibri" w:hAnsi="Calibri" w:eastAsia="宋体"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96163">
    <w:pPr>
      <w:pStyle w:val="21"/>
      <w:jc w:val="right"/>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1B48BD">
                          <w:pPr>
                            <w:pStyle w:val="21"/>
                            <w:jc w:val="right"/>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149</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IwSDLAQAAnAMAAA4AAAAAAAAAAQAgAAAAHgEAAGRycy9lMm9E&#10;b2MueG1sUEsFBgAAAAAGAAYAWQEAAFsFAAAAAA==&#10;">
              <v:fill on="f" focussize="0,0"/>
              <v:stroke on="f"/>
              <v:imagedata o:title=""/>
              <o:lock v:ext="edit" aspectratio="f"/>
              <v:textbox inset="0mm,0mm,0mm,0mm" style="mso-fit-shape-to-text:t;">
                <w:txbxContent>
                  <w:p w14:paraId="051B48BD">
                    <w:pPr>
                      <w:pStyle w:val="21"/>
                      <w:jc w:val="right"/>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149</w:t>
                    </w:r>
                    <w:r>
                      <w:rPr>
                        <w:rFonts w:ascii="Times New Roman" w:hAnsi="Times New Roman" w:eastAsia="宋体" w:cs="Times New Roman"/>
                      </w:rPr>
                      <w:fldChar w:fldCharType="end"/>
                    </w:r>
                  </w:p>
                </w:txbxContent>
              </v:textbox>
            </v:shape>
          </w:pict>
        </mc:Fallback>
      </mc:AlternateContent>
    </w:r>
  </w:p>
  <w:p w14:paraId="1159F290">
    <w:pPr>
      <w:pStyle w:val="13"/>
      <w:spacing w:line="14" w:lineRule="auto"/>
      <w:rPr>
        <w:rFonts w:ascii="Times New Roman" w:hAnsi="Times New Roman" w:eastAsia="宋体" w:cs="Times New Roman"/>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0071">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35D14C">
                          <w:pPr>
                            <w:pStyle w:val="21"/>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7235D14C">
                    <w:pPr>
                      <w:pStyle w:val="21"/>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7E794BBD">
    <w:pPr>
      <w:pStyle w:val="2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64291">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050BA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0C050BA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4B1D7">
    <w:pPr>
      <w:pStyle w:val="22"/>
      <w:tabs>
        <w:tab w:val="center" w:pos="0"/>
        <w:tab w:val="clear" w:pos="4153"/>
      </w:tabs>
      <w:rPr>
        <w:rFonts w:ascii="Calibri" w:hAnsi="Calibri"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4D6B">
    <w:pPr>
      <w:rPr>
        <w:rFonts w:hint="eastAsia"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6D4F2">
    <w:pPr>
      <w:pStyle w:val="22"/>
      <w:tabs>
        <w:tab w:val="center" w:pos="0"/>
        <w:tab w:val="clear" w:pos="4153"/>
      </w:tabs>
      <w:rPr>
        <w:rFonts w:ascii="Calibri" w:hAnsi="Calibri" w:eastAsia="宋体" w:cs="Times New Roman"/>
      </w:rPr>
    </w:pPr>
    <w:r>
      <w:rPr>
        <w:rFonts w:hint="eastAsia" w:ascii="Calibri" w:hAnsi="Calibri" w:eastAsia="宋体" w:cs="Times New Roman"/>
      </w:rPr>
      <w:t>南宁市政府采购竞争性磋商采购文件（项目编号：NNZC2021-C3--KLZB）</w:t>
    </w:r>
  </w:p>
  <w:p w14:paraId="70EC8357">
    <w:pPr>
      <w:pStyle w:val="22"/>
      <w:pBdr>
        <w:bottom w:val="none" w:color="auto" w:sz="0" w:space="1"/>
      </w:pBdr>
      <w:rPr>
        <w:rFonts w:ascii="Calibri" w:hAnsi="Calibri"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E171A">
    <w:pPr>
      <w:pStyle w:val="22"/>
      <w:pBdr>
        <w:bottom w:val="double" w:color="auto" w:sz="8" w:space="1"/>
      </w:pBdr>
      <w:rPr>
        <w:rFonts w:hint="eastAsia" w:ascii="宋体" w:hAnsi="宋体" w:eastAsia="宋体" w:cs="宋体"/>
        <w:sz w:val="21"/>
        <w:szCs w:val="21"/>
        <w:lang w:val="en-US" w:eastAsia="zh-CN"/>
      </w:rPr>
    </w:pPr>
    <w:r>
      <w:rPr>
        <w:rFonts w:hint="eastAsia" w:ascii="宋体" w:hAnsi="宋体" w:cs="宋体"/>
        <w:sz w:val="21"/>
        <w:szCs w:val="21"/>
        <w:lang w:eastAsia="zh-CN"/>
      </w:rPr>
      <w:t>南宁市可利大道第一幼儿园教学楼维修工程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1A3065"/>
    <w:multiLevelType w:val="singleLevel"/>
    <w:tmpl w:val="DC1A3065"/>
    <w:lvl w:ilvl="0" w:tentative="0">
      <w:start w:val="2"/>
      <w:numFmt w:val="decimal"/>
      <w:lvlText w:val="%1."/>
      <w:lvlJc w:val="left"/>
      <w:pPr>
        <w:tabs>
          <w:tab w:val="left" w:pos="312"/>
        </w:tabs>
      </w:pPr>
    </w:lvl>
  </w:abstractNum>
  <w:abstractNum w:abstractNumId="1">
    <w:nsid w:val="372AF652"/>
    <w:multiLevelType w:val="singleLevel"/>
    <w:tmpl w:val="372AF652"/>
    <w:lvl w:ilvl="0" w:tentative="0">
      <w:start w:val="6"/>
      <w:numFmt w:val="chineseCounting"/>
      <w:suff w:val="space"/>
      <w:lvlText w:val="第%1章"/>
      <w:lvlJc w:val="left"/>
      <w:rPr>
        <w:rFonts w:hint="eastAsia"/>
      </w:rPr>
    </w:lvl>
  </w:abstractNum>
  <w:abstractNum w:abstractNumId="2">
    <w:nsid w:val="508D7A92"/>
    <w:multiLevelType w:val="singleLevel"/>
    <w:tmpl w:val="508D7A9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ODFmOGU0Y2RhNTc1YzUzN2NjMTM5MGQ1YTJkOW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77E27"/>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851C90"/>
    <w:rsid w:val="01AF3D99"/>
    <w:rsid w:val="02511F9D"/>
    <w:rsid w:val="02F950B7"/>
    <w:rsid w:val="033678E4"/>
    <w:rsid w:val="03A314B8"/>
    <w:rsid w:val="03D82B98"/>
    <w:rsid w:val="03F83E8B"/>
    <w:rsid w:val="05C56868"/>
    <w:rsid w:val="06AE3E0A"/>
    <w:rsid w:val="06C47189"/>
    <w:rsid w:val="06F537E7"/>
    <w:rsid w:val="07B72767"/>
    <w:rsid w:val="07CA07CF"/>
    <w:rsid w:val="08077E72"/>
    <w:rsid w:val="08882DD0"/>
    <w:rsid w:val="08A33831"/>
    <w:rsid w:val="09CC2AAC"/>
    <w:rsid w:val="09D26E76"/>
    <w:rsid w:val="0A652D3E"/>
    <w:rsid w:val="0A8C6210"/>
    <w:rsid w:val="0B326F2A"/>
    <w:rsid w:val="0B422D73"/>
    <w:rsid w:val="0C1E2888"/>
    <w:rsid w:val="0C8C24F7"/>
    <w:rsid w:val="0C92213C"/>
    <w:rsid w:val="0CC46135"/>
    <w:rsid w:val="0D84032B"/>
    <w:rsid w:val="0E9E29B6"/>
    <w:rsid w:val="0F2A74C4"/>
    <w:rsid w:val="0F421593"/>
    <w:rsid w:val="0F50409B"/>
    <w:rsid w:val="0FD70482"/>
    <w:rsid w:val="10A27F31"/>
    <w:rsid w:val="113576B4"/>
    <w:rsid w:val="11927058"/>
    <w:rsid w:val="11D97125"/>
    <w:rsid w:val="12192C9D"/>
    <w:rsid w:val="12DF739D"/>
    <w:rsid w:val="13AF4F03"/>
    <w:rsid w:val="13B1314F"/>
    <w:rsid w:val="14736E66"/>
    <w:rsid w:val="147F458F"/>
    <w:rsid w:val="14D958EC"/>
    <w:rsid w:val="1534169A"/>
    <w:rsid w:val="15C03E03"/>
    <w:rsid w:val="162A25EB"/>
    <w:rsid w:val="16755F45"/>
    <w:rsid w:val="16FD2A55"/>
    <w:rsid w:val="17067C1A"/>
    <w:rsid w:val="17366761"/>
    <w:rsid w:val="177C01F0"/>
    <w:rsid w:val="17C73DF4"/>
    <w:rsid w:val="17CE6630"/>
    <w:rsid w:val="17D5610B"/>
    <w:rsid w:val="19C74610"/>
    <w:rsid w:val="1AD522D3"/>
    <w:rsid w:val="1AFF0AFE"/>
    <w:rsid w:val="1B4F19F8"/>
    <w:rsid w:val="1B55264E"/>
    <w:rsid w:val="1B755924"/>
    <w:rsid w:val="1BF9262F"/>
    <w:rsid w:val="1C226F03"/>
    <w:rsid w:val="1CF66653"/>
    <w:rsid w:val="1DC43CB7"/>
    <w:rsid w:val="1DF105FE"/>
    <w:rsid w:val="1ECC44FA"/>
    <w:rsid w:val="1EEA04C4"/>
    <w:rsid w:val="1F063325"/>
    <w:rsid w:val="1F672950"/>
    <w:rsid w:val="1FBC5DF5"/>
    <w:rsid w:val="1FC63F00"/>
    <w:rsid w:val="1FF90588"/>
    <w:rsid w:val="203C57B4"/>
    <w:rsid w:val="20B373C6"/>
    <w:rsid w:val="20C3623F"/>
    <w:rsid w:val="21251CA1"/>
    <w:rsid w:val="21781212"/>
    <w:rsid w:val="21B83F86"/>
    <w:rsid w:val="221178A8"/>
    <w:rsid w:val="221213CF"/>
    <w:rsid w:val="22327A92"/>
    <w:rsid w:val="226A7D59"/>
    <w:rsid w:val="22B67E76"/>
    <w:rsid w:val="22D64075"/>
    <w:rsid w:val="231D53A2"/>
    <w:rsid w:val="23225648"/>
    <w:rsid w:val="236D5383"/>
    <w:rsid w:val="23B7504C"/>
    <w:rsid w:val="23E0247D"/>
    <w:rsid w:val="240B2482"/>
    <w:rsid w:val="24571307"/>
    <w:rsid w:val="25110A2A"/>
    <w:rsid w:val="256C0944"/>
    <w:rsid w:val="259C3C81"/>
    <w:rsid w:val="25B60BEB"/>
    <w:rsid w:val="26446DE3"/>
    <w:rsid w:val="26833FB0"/>
    <w:rsid w:val="269669E7"/>
    <w:rsid w:val="26D7699F"/>
    <w:rsid w:val="26F26F4A"/>
    <w:rsid w:val="27FE6547"/>
    <w:rsid w:val="28F17ED1"/>
    <w:rsid w:val="29D55086"/>
    <w:rsid w:val="2B774624"/>
    <w:rsid w:val="2BBC10DC"/>
    <w:rsid w:val="2C7A72BE"/>
    <w:rsid w:val="2C9A7D75"/>
    <w:rsid w:val="2CC17412"/>
    <w:rsid w:val="2D297497"/>
    <w:rsid w:val="2D3644A8"/>
    <w:rsid w:val="2E635A59"/>
    <w:rsid w:val="2E9976CE"/>
    <w:rsid w:val="2F401D3C"/>
    <w:rsid w:val="2F5B24E1"/>
    <w:rsid w:val="2FA95C88"/>
    <w:rsid w:val="3041370F"/>
    <w:rsid w:val="312B50A3"/>
    <w:rsid w:val="31F94BF2"/>
    <w:rsid w:val="3238172D"/>
    <w:rsid w:val="32453A27"/>
    <w:rsid w:val="3263064A"/>
    <w:rsid w:val="32A43132"/>
    <w:rsid w:val="32AC0C06"/>
    <w:rsid w:val="32BA306B"/>
    <w:rsid w:val="33344EF5"/>
    <w:rsid w:val="33FD242F"/>
    <w:rsid w:val="3537750C"/>
    <w:rsid w:val="3537798C"/>
    <w:rsid w:val="353F57AF"/>
    <w:rsid w:val="35973E3A"/>
    <w:rsid w:val="35C13FC9"/>
    <w:rsid w:val="364257B6"/>
    <w:rsid w:val="37EA5922"/>
    <w:rsid w:val="381D40B8"/>
    <w:rsid w:val="38276B93"/>
    <w:rsid w:val="38AC3431"/>
    <w:rsid w:val="392F2E16"/>
    <w:rsid w:val="39E00529"/>
    <w:rsid w:val="39E430C3"/>
    <w:rsid w:val="3A0B64A7"/>
    <w:rsid w:val="3A574DDA"/>
    <w:rsid w:val="3AA7333A"/>
    <w:rsid w:val="3AD3075A"/>
    <w:rsid w:val="3AF46316"/>
    <w:rsid w:val="3AF74C02"/>
    <w:rsid w:val="3B0B1FFB"/>
    <w:rsid w:val="3B7D6A94"/>
    <w:rsid w:val="3C0059A5"/>
    <w:rsid w:val="3C134E78"/>
    <w:rsid w:val="3C5D26C1"/>
    <w:rsid w:val="3D693246"/>
    <w:rsid w:val="3DBE03D0"/>
    <w:rsid w:val="3DEC7285"/>
    <w:rsid w:val="3DF6345D"/>
    <w:rsid w:val="3E2B5515"/>
    <w:rsid w:val="3E4D4F28"/>
    <w:rsid w:val="3EE13701"/>
    <w:rsid w:val="3F1A4BB3"/>
    <w:rsid w:val="3FF04570"/>
    <w:rsid w:val="40192BA6"/>
    <w:rsid w:val="40923879"/>
    <w:rsid w:val="40B75BE8"/>
    <w:rsid w:val="41766EA9"/>
    <w:rsid w:val="42393F4E"/>
    <w:rsid w:val="42550A18"/>
    <w:rsid w:val="429D496A"/>
    <w:rsid w:val="42DA6073"/>
    <w:rsid w:val="42F473A1"/>
    <w:rsid w:val="43022B82"/>
    <w:rsid w:val="439F3C23"/>
    <w:rsid w:val="43A15B81"/>
    <w:rsid w:val="441E62C0"/>
    <w:rsid w:val="44FC39B7"/>
    <w:rsid w:val="45325D14"/>
    <w:rsid w:val="45811C7C"/>
    <w:rsid w:val="45906116"/>
    <w:rsid w:val="468B3EFB"/>
    <w:rsid w:val="470A6193"/>
    <w:rsid w:val="47385210"/>
    <w:rsid w:val="47B8464C"/>
    <w:rsid w:val="47DC4F5C"/>
    <w:rsid w:val="47E2687B"/>
    <w:rsid w:val="480C5CBF"/>
    <w:rsid w:val="483D2FCF"/>
    <w:rsid w:val="48B40671"/>
    <w:rsid w:val="492139EC"/>
    <w:rsid w:val="499B5738"/>
    <w:rsid w:val="499F244D"/>
    <w:rsid w:val="49D338FF"/>
    <w:rsid w:val="49D767A1"/>
    <w:rsid w:val="4A973F3F"/>
    <w:rsid w:val="4AF96BC7"/>
    <w:rsid w:val="4B5A416B"/>
    <w:rsid w:val="4B6F6A6A"/>
    <w:rsid w:val="4B862A85"/>
    <w:rsid w:val="4BAE76C0"/>
    <w:rsid w:val="4CEF36E2"/>
    <w:rsid w:val="4CEF4DC5"/>
    <w:rsid w:val="4D2C0BB1"/>
    <w:rsid w:val="4DE07F74"/>
    <w:rsid w:val="4E257655"/>
    <w:rsid w:val="4E8E7871"/>
    <w:rsid w:val="4F372380"/>
    <w:rsid w:val="4F372FFB"/>
    <w:rsid w:val="4F574EBE"/>
    <w:rsid w:val="4F762EAA"/>
    <w:rsid w:val="4F786B13"/>
    <w:rsid w:val="4F91332A"/>
    <w:rsid w:val="4FB25455"/>
    <w:rsid w:val="5025116D"/>
    <w:rsid w:val="523241A0"/>
    <w:rsid w:val="52395ECD"/>
    <w:rsid w:val="52C10D75"/>
    <w:rsid w:val="5308686A"/>
    <w:rsid w:val="53C27FF8"/>
    <w:rsid w:val="546F2DCE"/>
    <w:rsid w:val="549E1A80"/>
    <w:rsid w:val="54C658F4"/>
    <w:rsid w:val="550C4BD7"/>
    <w:rsid w:val="550F1D82"/>
    <w:rsid w:val="552C3D05"/>
    <w:rsid w:val="554C1D56"/>
    <w:rsid w:val="55572986"/>
    <w:rsid w:val="55C062DD"/>
    <w:rsid w:val="565340FA"/>
    <w:rsid w:val="56B21B93"/>
    <w:rsid w:val="5723343E"/>
    <w:rsid w:val="573D7EAB"/>
    <w:rsid w:val="57975881"/>
    <w:rsid w:val="5842734C"/>
    <w:rsid w:val="58D610C2"/>
    <w:rsid w:val="590E7F53"/>
    <w:rsid w:val="5A2F2CC8"/>
    <w:rsid w:val="5BA26962"/>
    <w:rsid w:val="5C10702D"/>
    <w:rsid w:val="5C152601"/>
    <w:rsid w:val="5C591F03"/>
    <w:rsid w:val="5C8A1B2F"/>
    <w:rsid w:val="5D914004"/>
    <w:rsid w:val="5E087BE1"/>
    <w:rsid w:val="5F561B72"/>
    <w:rsid w:val="606007BB"/>
    <w:rsid w:val="60AC7F66"/>
    <w:rsid w:val="617D2BA3"/>
    <w:rsid w:val="61BF10D9"/>
    <w:rsid w:val="61DA3D4C"/>
    <w:rsid w:val="628E1C9B"/>
    <w:rsid w:val="62A635A4"/>
    <w:rsid w:val="62AC22DC"/>
    <w:rsid w:val="62F92629"/>
    <w:rsid w:val="63057A83"/>
    <w:rsid w:val="63770981"/>
    <w:rsid w:val="637833E8"/>
    <w:rsid w:val="6477675E"/>
    <w:rsid w:val="64E45EF7"/>
    <w:rsid w:val="653F54CE"/>
    <w:rsid w:val="654237C0"/>
    <w:rsid w:val="656F7435"/>
    <w:rsid w:val="668A4527"/>
    <w:rsid w:val="6691014E"/>
    <w:rsid w:val="66C87CCE"/>
    <w:rsid w:val="677435B2"/>
    <w:rsid w:val="67A55390"/>
    <w:rsid w:val="67CB129B"/>
    <w:rsid w:val="67EF75F1"/>
    <w:rsid w:val="69124F16"/>
    <w:rsid w:val="694A5205"/>
    <w:rsid w:val="695D34D5"/>
    <w:rsid w:val="69CD5C14"/>
    <w:rsid w:val="69CF0D33"/>
    <w:rsid w:val="69F0323B"/>
    <w:rsid w:val="6B7C78A9"/>
    <w:rsid w:val="6B9946B3"/>
    <w:rsid w:val="6C0703C8"/>
    <w:rsid w:val="6C5F5E5C"/>
    <w:rsid w:val="6C640B9C"/>
    <w:rsid w:val="6C662189"/>
    <w:rsid w:val="6C7007C7"/>
    <w:rsid w:val="6CE93F71"/>
    <w:rsid w:val="6D2000FF"/>
    <w:rsid w:val="6DE76850"/>
    <w:rsid w:val="6E3522FC"/>
    <w:rsid w:val="6FB20BD4"/>
    <w:rsid w:val="6FB650F7"/>
    <w:rsid w:val="6FBA59BE"/>
    <w:rsid w:val="70296B3E"/>
    <w:rsid w:val="70611204"/>
    <w:rsid w:val="72812503"/>
    <w:rsid w:val="73445350"/>
    <w:rsid w:val="73922C6D"/>
    <w:rsid w:val="73BF2E85"/>
    <w:rsid w:val="73CC2623"/>
    <w:rsid w:val="73F14D9C"/>
    <w:rsid w:val="74FA2C30"/>
    <w:rsid w:val="754D5C4B"/>
    <w:rsid w:val="75DC0687"/>
    <w:rsid w:val="76C240A7"/>
    <w:rsid w:val="775246B7"/>
    <w:rsid w:val="781E69D1"/>
    <w:rsid w:val="78D828A4"/>
    <w:rsid w:val="7A263B6B"/>
    <w:rsid w:val="7A3E76AA"/>
    <w:rsid w:val="7AF46346"/>
    <w:rsid w:val="7B0F5EBF"/>
    <w:rsid w:val="7B130FB9"/>
    <w:rsid w:val="7BAE201A"/>
    <w:rsid w:val="7BF64EDE"/>
    <w:rsid w:val="7C400C1E"/>
    <w:rsid w:val="7CF0654C"/>
    <w:rsid w:val="7D794B3F"/>
    <w:rsid w:val="7D8027B1"/>
    <w:rsid w:val="7DD11708"/>
    <w:rsid w:val="7DE2122D"/>
    <w:rsid w:val="7EBD579E"/>
    <w:rsid w:val="7EC167BD"/>
    <w:rsid w:val="7F272D9E"/>
    <w:rsid w:val="7F7338C5"/>
    <w:rsid w:val="7F7B4E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4"/>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1"/>
    <w:unhideWhenUsed/>
    <w:qFormat/>
    <w:uiPriority w:val="0"/>
    <w:pPr>
      <w:keepNext/>
      <w:keepLines/>
      <w:spacing w:before="280" w:beforeLines="0" w:beforeAutospacing="0" w:after="290" w:afterLines="0" w:afterAutospacing="0" w:line="372" w:lineRule="auto"/>
      <w:outlineLvl w:val="3"/>
    </w:pPr>
    <w:rPr>
      <w:rFonts w:ascii="Arial" w:hAnsi="Arial" w:eastAsia="黑体" w:cs="Times New Roman"/>
      <w:b/>
      <w:sz w:val="28"/>
    </w:rPr>
  </w:style>
  <w:style w:type="paragraph" w:styleId="6">
    <w:name w:val="heading 5"/>
    <w:basedOn w:val="1"/>
    <w:next w:val="7"/>
    <w:link w:val="42"/>
    <w:unhideWhenUsed/>
    <w:qFormat/>
    <w:uiPriority w:val="0"/>
    <w:pPr>
      <w:keepNext/>
      <w:keepLines/>
      <w:spacing w:before="280" w:after="290" w:line="376" w:lineRule="auto"/>
      <w:outlineLvl w:val="4"/>
    </w:pPr>
    <w:rPr>
      <w:b/>
      <w:bCs/>
      <w:sz w:val="28"/>
      <w:szCs w:val="28"/>
    </w:rPr>
  </w:style>
  <w:style w:type="paragraph" w:styleId="8">
    <w:name w:val="heading 8"/>
    <w:basedOn w:val="1"/>
    <w:next w:val="1"/>
    <w:link w:val="43"/>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44"/>
    <w:qFormat/>
    <w:uiPriority w:val="0"/>
    <w:pPr>
      <w:jc w:val="left"/>
    </w:pPr>
  </w:style>
  <w:style w:type="paragraph" w:styleId="12">
    <w:name w:val="Body Text 3"/>
    <w:basedOn w:val="1"/>
    <w:link w:val="45"/>
    <w:qFormat/>
    <w:uiPriority w:val="0"/>
    <w:pPr>
      <w:spacing w:after="120"/>
    </w:pPr>
    <w:rPr>
      <w:sz w:val="16"/>
      <w:szCs w:val="16"/>
    </w:rPr>
  </w:style>
  <w:style w:type="paragraph" w:styleId="13">
    <w:name w:val="Body Text"/>
    <w:basedOn w:val="1"/>
    <w:link w:val="46"/>
    <w:qFormat/>
    <w:uiPriority w:val="0"/>
    <w:pPr>
      <w:spacing w:after="120"/>
    </w:pPr>
  </w:style>
  <w:style w:type="paragraph" w:styleId="14">
    <w:name w:val="Body Text Indent"/>
    <w:basedOn w:val="1"/>
    <w:link w:val="47"/>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next w:val="1"/>
    <w:link w:val="48"/>
    <w:qFormat/>
    <w:uiPriority w:val="0"/>
    <w:rPr>
      <w:rFonts w:ascii="宋体" w:hAnsi="Courier New"/>
      <w:kern w:val="0"/>
      <w:sz w:val="20"/>
      <w:szCs w:val="21"/>
    </w:rPr>
  </w:style>
  <w:style w:type="paragraph" w:styleId="18">
    <w:name w:val="Date"/>
    <w:basedOn w:val="1"/>
    <w:next w:val="1"/>
    <w:link w:val="49"/>
    <w:qFormat/>
    <w:uiPriority w:val="0"/>
    <w:pPr>
      <w:ind w:left="100" w:leftChars="2500"/>
    </w:pPr>
  </w:style>
  <w:style w:type="paragraph" w:styleId="19">
    <w:name w:val="Body Text Indent 2"/>
    <w:qFormat/>
    <w:uiPriority w:val="99"/>
    <w:pPr>
      <w:widowControl w:val="0"/>
      <w:spacing w:after="120" w:line="480" w:lineRule="auto"/>
      <w:ind w:left="420" w:leftChars="200"/>
      <w:jc w:val="both"/>
    </w:pPr>
    <w:rPr>
      <w:rFonts w:ascii="Times New Roman" w:hAnsi="Times New Roman" w:eastAsia="宋体" w:cs="Times New Roman"/>
      <w:kern w:val="2"/>
      <w:sz w:val="24"/>
      <w:szCs w:val="24"/>
      <w:lang w:val="en-US" w:eastAsia="zh-CN" w:bidi="ar-SA"/>
    </w:rPr>
  </w:style>
  <w:style w:type="paragraph" w:styleId="20">
    <w:name w:val="Balloon Text"/>
    <w:basedOn w:val="1"/>
    <w:link w:val="50"/>
    <w:qFormat/>
    <w:uiPriority w:val="0"/>
    <w:rPr>
      <w:sz w:val="18"/>
      <w:szCs w:val="18"/>
    </w:rPr>
  </w:style>
  <w:style w:type="paragraph" w:styleId="21">
    <w:name w:val="footer"/>
    <w:basedOn w:val="1"/>
    <w:link w:val="51"/>
    <w:qFormat/>
    <w:uiPriority w:val="0"/>
    <w:pPr>
      <w:tabs>
        <w:tab w:val="center" w:pos="4153"/>
        <w:tab w:val="right" w:pos="8306"/>
      </w:tabs>
      <w:snapToGrid w:val="0"/>
      <w:jc w:val="left"/>
    </w:pPr>
    <w:rPr>
      <w:kern w:val="0"/>
      <w:sz w:val="18"/>
      <w:szCs w:val="18"/>
    </w:rPr>
  </w:style>
  <w:style w:type="paragraph" w:styleId="22">
    <w:name w:val="header"/>
    <w:basedOn w:val="1"/>
    <w:link w:val="52"/>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qFormat/>
    <w:uiPriority w:val="0"/>
  </w:style>
  <w:style w:type="paragraph" w:styleId="24">
    <w:name w:val="List"/>
    <w:basedOn w:val="1"/>
    <w:qFormat/>
    <w:uiPriority w:val="0"/>
    <w:pPr>
      <w:ind w:left="200" w:hanging="200" w:hangingChars="200"/>
      <w:contextualSpacing/>
    </w:pPr>
  </w:style>
  <w:style w:type="paragraph" w:styleId="25">
    <w:name w:val="footnote text"/>
    <w:qFormat/>
    <w:uiPriority w:val="0"/>
    <w:pPr>
      <w:widowControl w:val="0"/>
      <w:adjustRightInd w:val="0"/>
      <w:spacing w:line="312" w:lineRule="atLeast"/>
      <w:jc w:val="left"/>
      <w:textAlignment w:val="baseline"/>
    </w:pPr>
    <w:rPr>
      <w:rFonts w:ascii="Times New Roman" w:hAnsi="Times New Roman" w:eastAsia="宋体" w:cs="Times New Roman"/>
      <w:kern w:val="0"/>
      <w:sz w:val="18"/>
      <w:szCs w:val="18"/>
      <w:lang w:val="en-US" w:eastAsia="zh-CN" w:bidi="ar-SA"/>
    </w:rPr>
  </w:style>
  <w:style w:type="paragraph" w:styleId="26">
    <w:name w:val="toc 2"/>
    <w:basedOn w:val="1"/>
    <w:next w:val="1"/>
    <w:qFormat/>
    <w:uiPriority w:val="0"/>
    <w:pPr>
      <w:tabs>
        <w:tab w:val="right" w:leader="dot" w:pos="8296"/>
      </w:tabs>
      <w:ind w:left="420" w:leftChars="200"/>
    </w:pPr>
  </w:style>
  <w:style w:type="paragraph" w:styleId="27">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annotation subject"/>
    <w:basedOn w:val="11"/>
    <w:next w:val="11"/>
    <w:link w:val="53"/>
    <w:qFormat/>
    <w:uiPriority w:val="0"/>
    <w:rPr>
      <w:b/>
      <w:bCs/>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qFormat/>
    <w:uiPriority w:val="0"/>
    <w:rPr>
      <w:vertAlign w:val="superscript"/>
    </w:rPr>
  </w:style>
  <w:style w:type="character" w:styleId="33">
    <w:name w:val="page number"/>
    <w:qFormat/>
    <w:uiPriority w:val="0"/>
  </w:style>
  <w:style w:type="character" w:styleId="34">
    <w:name w:val="FollowedHyperlink"/>
    <w:qFormat/>
    <w:uiPriority w:val="0"/>
    <w:rPr>
      <w:color w:val="800080"/>
      <w:u w:val="single"/>
    </w:rPr>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character" w:styleId="37">
    <w:name w:val="footnote reference"/>
    <w:unhideWhenUsed/>
    <w:qFormat/>
    <w:uiPriority w:val="0"/>
    <w:rPr>
      <w:vertAlign w:val="superscript"/>
    </w:rPr>
  </w:style>
  <w:style w:type="character" w:customStyle="1" w:styleId="38">
    <w:name w:val="标题 1 字符2"/>
    <w:link w:val="2"/>
    <w:qFormat/>
    <w:uiPriority w:val="9"/>
    <w:rPr>
      <w:b/>
      <w:bCs/>
      <w:kern w:val="44"/>
      <w:sz w:val="44"/>
      <w:szCs w:val="44"/>
    </w:rPr>
  </w:style>
  <w:style w:type="character" w:customStyle="1" w:styleId="39">
    <w:name w:val="标题 2 字符1"/>
    <w:link w:val="3"/>
    <w:qFormat/>
    <w:uiPriority w:val="9"/>
    <w:rPr>
      <w:rFonts w:ascii="Cambria" w:hAnsi="Cambria" w:eastAsia="宋体" w:cs="Times New Roman"/>
      <w:b/>
      <w:bCs/>
      <w:kern w:val="2"/>
      <w:sz w:val="32"/>
      <w:szCs w:val="32"/>
    </w:rPr>
  </w:style>
  <w:style w:type="character" w:customStyle="1" w:styleId="40">
    <w:name w:val="标题 3 字符1"/>
    <w:link w:val="4"/>
    <w:qFormat/>
    <w:uiPriority w:val="9"/>
    <w:rPr>
      <w:b/>
      <w:bCs/>
      <w:kern w:val="2"/>
      <w:sz w:val="32"/>
      <w:szCs w:val="32"/>
    </w:rPr>
  </w:style>
  <w:style w:type="character" w:customStyle="1" w:styleId="41">
    <w:name w:val="标题 4 Char"/>
    <w:link w:val="5"/>
    <w:qFormat/>
    <w:uiPriority w:val="0"/>
    <w:rPr>
      <w:rFonts w:ascii="Arial" w:hAnsi="Arial" w:eastAsia="黑体" w:cs="Times New Roman"/>
      <w:b/>
      <w:sz w:val="28"/>
    </w:rPr>
  </w:style>
  <w:style w:type="character" w:customStyle="1" w:styleId="42">
    <w:name w:val="标题 5 字符1"/>
    <w:link w:val="6"/>
    <w:qFormat/>
    <w:uiPriority w:val="9"/>
    <w:rPr>
      <w:rFonts w:ascii="Times New Roman" w:hAnsi="Times New Roman"/>
      <w:b/>
      <w:bCs/>
      <w:kern w:val="2"/>
      <w:sz w:val="28"/>
      <w:szCs w:val="28"/>
    </w:rPr>
  </w:style>
  <w:style w:type="character" w:customStyle="1" w:styleId="43">
    <w:name w:val="标题 8 字符1"/>
    <w:link w:val="8"/>
    <w:qFormat/>
    <w:uiPriority w:val="9"/>
    <w:rPr>
      <w:rFonts w:ascii="等线 Light" w:hAnsi="等线 Light" w:eastAsia="等线 Light" w:cs="Times New Roman"/>
      <w:kern w:val="2"/>
      <w:sz w:val="24"/>
      <w:szCs w:val="24"/>
    </w:rPr>
  </w:style>
  <w:style w:type="character" w:customStyle="1" w:styleId="44">
    <w:name w:val="批注文字 字符3"/>
    <w:link w:val="11"/>
    <w:qFormat/>
    <w:uiPriority w:val="0"/>
    <w:rPr>
      <w:rFonts w:ascii="Times New Roman" w:hAnsi="Times New Roman"/>
      <w:kern w:val="2"/>
      <w:sz w:val="21"/>
      <w:szCs w:val="24"/>
    </w:rPr>
  </w:style>
  <w:style w:type="character" w:customStyle="1" w:styleId="45">
    <w:name w:val="正文文本 3 字符1"/>
    <w:link w:val="12"/>
    <w:qFormat/>
    <w:uiPriority w:val="99"/>
    <w:rPr>
      <w:kern w:val="2"/>
      <w:sz w:val="16"/>
      <w:szCs w:val="16"/>
    </w:rPr>
  </w:style>
  <w:style w:type="character" w:customStyle="1" w:styleId="46">
    <w:name w:val="正文文本 字符2"/>
    <w:link w:val="13"/>
    <w:qFormat/>
    <w:uiPriority w:val="0"/>
    <w:rPr>
      <w:rFonts w:ascii="Times New Roman" w:hAnsi="Times New Roman"/>
      <w:kern w:val="2"/>
      <w:sz w:val="21"/>
      <w:szCs w:val="24"/>
    </w:rPr>
  </w:style>
  <w:style w:type="character" w:customStyle="1" w:styleId="47">
    <w:name w:val="正文文本缩进 字符1"/>
    <w:link w:val="14"/>
    <w:qFormat/>
    <w:uiPriority w:val="0"/>
    <w:rPr>
      <w:rFonts w:ascii="仿宋_GB2312" w:hAnsi="Times New Roman" w:eastAsia="仿宋_GB2312" w:cs="Times New Roman"/>
      <w:sz w:val="32"/>
      <w:szCs w:val="20"/>
    </w:rPr>
  </w:style>
  <w:style w:type="character" w:customStyle="1" w:styleId="48">
    <w:name w:val="纯文本 字符4"/>
    <w:link w:val="17"/>
    <w:qFormat/>
    <w:uiPriority w:val="0"/>
    <w:rPr>
      <w:rFonts w:ascii="宋体" w:hAnsi="Courier New" w:eastAsia="宋体" w:cs="Courier New"/>
      <w:szCs w:val="21"/>
    </w:rPr>
  </w:style>
  <w:style w:type="character" w:customStyle="1" w:styleId="49">
    <w:name w:val="日期 字符1"/>
    <w:link w:val="18"/>
    <w:qFormat/>
    <w:uiPriority w:val="99"/>
    <w:rPr>
      <w:rFonts w:ascii="Times New Roman" w:hAnsi="Times New Roman"/>
      <w:kern w:val="2"/>
      <w:sz w:val="21"/>
      <w:szCs w:val="24"/>
    </w:rPr>
  </w:style>
  <w:style w:type="character" w:customStyle="1" w:styleId="50">
    <w:name w:val="批注框文本 字符"/>
    <w:link w:val="20"/>
    <w:semiHidden/>
    <w:qFormat/>
    <w:uiPriority w:val="99"/>
    <w:rPr>
      <w:kern w:val="2"/>
      <w:sz w:val="18"/>
      <w:szCs w:val="18"/>
    </w:rPr>
  </w:style>
  <w:style w:type="character" w:customStyle="1" w:styleId="51">
    <w:name w:val="页脚 字符1"/>
    <w:link w:val="21"/>
    <w:qFormat/>
    <w:uiPriority w:val="99"/>
    <w:rPr>
      <w:sz w:val="18"/>
      <w:szCs w:val="18"/>
    </w:rPr>
  </w:style>
  <w:style w:type="character" w:customStyle="1" w:styleId="52">
    <w:name w:val="页眉 字符1"/>
    <w:link w:val="22"/>
    <w:qFormat/>
    <w:uiPriority w:val="99"/>
    <w:rPr>
      <w:sz w:val="18"/>
      <w:szCs w:val="18"/>
    </w:rPr>
  </w:style>
  <w:style w:type="character" w:customStyle="1" w:styleId="53">
    <w:name w:val="批注主题 字符1"/>
    <w:link w:val="28"/>
    <w:qFormat/>
    <w:uiPriority w:val="99"/>
    <w:rPr>
      <w:rFonts w:ascii="Times New Roman" w:hAnsi="Times New Roman"/>
      <w:b/>
      <w:bCs/>
      <w:kern w:val="2"/>
      <w:sz w:val="21"/>
      <w:szCs w:val="24"/>
    </w:rPr>
  </w:style>
  <w:style w:type="character" w:customStyle="1" w:styleId="54">
    <w:name w:val="标题 3 Char"/>
    <w:link w:val="4"/>
    <w:qFormat/>
    <w:uiPriority w:val="0"/>
    <w:rPr>
      <w:rFonts w:ascii="宋体" w:hAnsi="宋体" w:eastAsia="宋体" w:cs="宋体"/>
      <w:b/>
      <w:sz w:val="28"/>
    </w:rPr>
  </w:style>
  <w:style w:type="character" w:customStyle="1" w:styleId="55">
    <w:name w:val="纯文本 字符2"/>
    <w:qFormat/>
    <w:uiPriority w:val="0"/>
    <w:rPr>
      <w:rFonts w:ascii="宋体" w:hAnsi="Courier New" w:eastAsia="宋体" w:cs="Courier New"/>
      <w:szCs w:val="21"/>
    </w:rPr>
  </w:style>
  <w:style w:type="character" w:customStyle="1" w:styleId="56">
    <w:name w:val="apple-style-span"/>
    <w:qFormat/>
    <w:uiPriority w:val="0"/>
  </w:style>
  <w:style w:type="character" w:customStyle="1" w:styleId="57">
    <w:name w:val="标题 2 Char"/>
    <w:qFormat/>
    <w:uiPriority w:val="9"/>
    <w:rPr>
      <w:rFonts w:ascii="Cambria" w:hAnsi="Cambria" w:eastAsia="宋体" w:cs="Times New Roman"/>
      <w:b/>
      <w:bCs/>
      <w:kern w:val="2"/>
      <w:sz w:val="32"/>
      <w:szCs w:val="32"/>
    </w:rPr>
  </w:style>
  <w:style w:type="character" w:customStyle="1" w:styleId="58">
    <w:name w:val="纯文本 字符"/>
    <w:qFormat/>
    <w:uiPriority w:val="0"/>
    <w:rPr>
      <w:rFonts w:ascii="宋体" w:hAnsi="Courier New" w:eastAsia="宋体" w:cs="Courier New"/>
      <w:szCs w:val="21"/>
    </w:rPr>
  </w:style>
  <w:style w:type="character" w:customStyle="1" w:styleId="59">
    <w:name w:val="纯文本 字符1"/>
    <w:qFormat/>
    <w:uiPriority w:val="0"/>
    <w:rPr>
      <w:rFonts w:ascii="宋体" w:hAnsi="Courier New"/>
    </w:rPr>
  </w:style>
  <w:style w:type="character" w:customStyle="1" w:styleId="60">
    <w:name w:val="标题 8 Char"/>
    <w:qFormat/>
    <w:uiPriority w:val="0"/>
    <w:rPr>
      <w:rFonts w:ascii="Arial" w:hAnsi="Arial" w:eastAsia="黑体"/>
      <w:kern w:val="2"/>
      <w:sz w:val="24"/>
      <w:szCs w:val="24"/>
    </w:rPr>
  </w:style>
  <w:style w:type="character" w:customStyle="1" w:styleId="61">
    <w:name w:val="纯文本 Char"/>
    <w:qFormat/>
    <w:uiPriority w:val="0"/>
    <w:rPr>
      <w:rFonts w:ascii="宋体" w:hAnsi="Courier New" w:eastAsia="宋体" w:cs="Courier New"/>
      <w:szCs w:val="21"/>
    </w:rPr>
  </w:style>
  <w:style w:type="character" w:customStyle="1" w:styleId="62">
    <w:name w:val="正文文本 Char"/>
    <w:qFormat/>
    <w:uiPriority w:val="0"/>
    <w:rPr>
      <w:rFonts w:ascii="Times New Roman" w:hAnsi="Times New Roman"/>
      <w:kern w:val="2"/>
      <w:sz w:val="21"/>
      <w:szCs w:val="24"/>
    </w:rPr>
  </w:style>
  <w:style w:type="character" w:customStyle="1" w:styleId="63">
    <w:name w:val="批注文字 字符1"/>
    <w:qFormat/>
    <w:uiPriority w:val="0"/>
    <w:rPr>
      <w:rFonts w:ascii="Times New Roman" w:hAnsi="Times New Roman"/>
      <w:kern w:val="2"/>
      <w:sz w:val="21"/>
      <w:szCs w:val="24"/>
    </w:rPr>
  </w:style>
  <w:style w:type="character" w:customStyle="1" w:styleId="6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5">
    <w:name w:val="标题 1 字符1"/>
    <w:qFormat/>
    <w:uiPriority w:val="0"/>
    <w:rPr>
      <w:b/>
      <w:bCs/>
      <w:kern w:val="44"/>
      <w:sz w:val="44"/>
      <w:szCs w:val="44"/>
    </w:rPr>
  </w:style>
  <w:style w:type="character" w:customStyle="1" w:styleId="66">
    <w:name w:val="正文文本 字符"/>
    <w:qFormat/>
    <w:uiPriority w:val="0"/>
    <w:rPr>
      <w:rFonts w:ascii="Times New Roman" w:hAnsi="Times New Roman"/>
      <w:kern w:val="2"/>
      <w:sz w:val="21"/>
      <w:szCs w:val="24"/>
    </w:rPr>
  </w:style>
  <w:style w:type="character" w:customStyle="1" w:styleId="67">
    <w:name w:val="批注文字 字符"/>
    <w:qFormat/>
    <w:uiPriority w:val="0"/>
    <w:rPr>
      <w:rFonts w:ascii="Times New Roman" w:hAnsi="Times New Roman"/>
      <w:kern w:val="2"/>
      <w:sz w:val="21"/>
      <w:szCs w:val="24"/>
    </w:rPr>
  </w:style>
  <w:style w:type="character" w:customStyle="1" w:styleId="68">
    <w:name w:val="textcontents"/>
    <w:qFormat/>
    <w:uiPriority w:val="0"/>
  </w:style>
  <w:style w:type="character" w:customStyle="1" w:styleId="69">
    <w:name w:val="批注文字 Char"/>
    <w:qFormat/>
    <w:uiPriority w:val="0"/>
    <w:rPr>
      <w:rFonts w:ascii="Times New Roman" w:hAnsi="Times New Roman"/>
      <w:kern w:val="2"/>
      <w:sz w:val="21"/>
      <w:szCs w:val="24"/>
    </w:rPr>
  </w:style>
  <w:style w:type="paragraph" w:customStyle="1" w:styleId="70">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71">
    <w:name w:val="List Paragraph"/>
    <w:basedOn w:val="1"/>
    <w:qFormat/>
    <w:uiPriority w:val="34"/>
    <w:pPr>
      <w:ind w:firstLine="420" w:firstLineChars="200"/>
    </w:pPr>
  </w:style>
  <w:style w:type="paragraph" w:customStyle="1" w:styleId="72">
    <w:name w:val="默认段落字体 Para Char Char Char Char Char Char Char Char Char1 Char Char Char Char"/>
    <w:basedOn w:val="1"/>
    <w:qFormat/>
    <w:uiPriority w:val="99"/>
    <w:rPr>
      <w:rFonts w:ascii="Tahoma" w:hAnsi="Tahoma"/>
      <w:sz w:val="24"/>
      <w:szCs w:val="20"/>
    </w:rPr>
  </w:style>
  <w:style w:type="paragraph" w:customStyle="1" w:styleId="73">
    <w:name w:val="Table Paragraph"/>
    <w:basedOn w:val="1"/>
    <w:qFormat/>
    <w:uiPriority w:val="1"/>
    <w:pPr>
      <w:jc w:val="left"/>
    </w:pPr>
    <w:rPr>
      <w:rFonts w:ascii="Calibri" w:hAnsi="Calibri"/>
      <w:kern w:val="0"/>
      <w:sz w:val="22"/>
      <w:szCs w:val="22"/>
      <w:lang w:eastAsia="en-US"/>
    </w:rPr>
  </w:style>
  <w:style w:type="paragraph" w:customStyle="1" w:styleId="74">
    <w:name w:val="Char Char Char Char"/>
    <w:basedOn w:val="1"/>
    <w:qFormat/>
    <w:uiPriority w:val="99"/>
    <w:pPr>
      <w:widowControl/>
      <w:spacing w:after="160" w:line="240" w:lineRule="exact"/>
      <w:jc w:val="left"/>
    </w:pPr>
  </w:style>
  <w:style w:type="character" w:customStyle="1" w:styleId="75">
    <w:name w:val="_Style 74"/>
    <w:unhideWhenUsed/>
    <w:qFormat/>
    <w:uiPriority w:val="99"/>
    <w:rPr>
      <w:color w:val="605E5C"/>
      <w:shd w:val="clear" w:color="auto" w:fill="E1DFDD"/>
    </w:rPr>
  </w:style>
  <w:style w:type="paragraph" w:customStyle="1" w:styleId="76">
    <w:name w:val="_Style 75"/>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77">
    <w:name w:val="正文2 Char Char"/>
    <w:link w:val="78"/>
    <w:qFormat/>
    <w:uiPriority w:val="0"/>
    <w:rPr>
      <w:sz w:val="24"/>
    </w:rPr>
  </w:style>
  <w:style w:type="paragraph" w:customStyle="1" w:styleId="78">
    <w:name w:val="正文2"/>
    <w:basedOn w:val="1"/>
    <w:link w:val="77"/>
    <w:qFormat/>
    <w:uiPriority w:val="0"/>
    <w:pPr>
      <w:adjustRightInd w:val="0"/>
      <w:spacing w:before="156" w:line="360" w:lineRule="auto"/>
      <w:ind w:firstLine="510" w:firstLineChars="200"/>
    </w:pPr>
    <w:rPr>
      <w:kern w:val="0"/>
      <w:sz w:val="24"/>
      <w:szCs w:val="20"/>
    </w:rPr>
  </w:style>
  <w:style w:type="paragraph" w:customStyle="1" w:styleId="7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0">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1">
    <w:name w:val="标题 1 字符"/>
    <w:qFormat/>
    <w:uiPriority w:val="9"/>
    <w:rPr>
      <w:b/>
      <w:bCs/>
      <w:kern w:val="44"/>
      <w:sz w:val="44"/>
      <w:szCs w:val="44"/>
    </w:rPr>
  </w:style>
  <w:style w:type="character" w:customStyle="1" w:styleId="82">
    <w:name w:val="标题 2 字符"/>
    <w:qFormat/>
    <w:uiPriority w:val="9"/>
    <w:rPr>
      <w:rFonts w:ascii="Cambria" w:hAnsi="Cambria"/>
      <w:b/>
      <w:bCs/>
      <w:kern w:val="2"/>
      <w:sz w:val="32"/>
      <w:szCs w:val="32"/>
    </w:rPr>
  </w:style>
  <w:style w:type="character" w:customStyle="1" w:styleId="83">
    <w:name w:val="标题 3 字符"/>
    <w:qFormat/>
    <w:uiPriority w:val="9"/>
    <w:rPr>
      <w:b/>
      <w:bCs/>
      <w:kern w:val="2"/>
      <w:sz w:val="32"/>
      <w:szCs w:val="32"/>
    </w:rPr>
  </w:style>
  <w:style w:type="character" w:customStyle="1" w:styleId="84">
    <w:name w:val="标题 5 字符"/>
    <w:qFormat/>
    <w:uiPriority w:val="9"/>
    <w:rPr>
      <w:b/>
      <w:bCs/>
      <w:kern w:val="2"/>
      <w:sz w:val="28"/>
      <w:szCs w:val="28"/>
    </w:rPr>
  </w:style>
  <w:style w:type="character" w:customStyle="1" w:styleId="85">
    <w:name w:val="标题 8 字符"/>
    <w:qFormat/>
    <w:uiPriority w:val="9"/>
    <w:rPr>
      <w:rFonts w:ascii="等线 Light" w:hAnsi="等线 Light" w:eastAsia="等线 Light"/>
      <w:kern w:val="2"/>
      <w:sz w:val="24"/>
      <w:szCs w:val="24"/>
    </w:rPr>
  </w:style>
  <w:style w:type="character" w:customStyle="1" w:styleId="86">
    <w:name w:val="批注文字 字符2"/>
    <w:qFormat/>
    <w:uiPriority w:val="99"/>
    <w:rPr>
      <w:kern w:val="2"/>
      <w:sz w:val="21"/>
      <w:szCs w:val="24"/>
    </w:rPr>
  </w:style>
  <w:style w:type="character" w:customStyle="1" w:styleId="87">
    <w:name w:val="正文文本 3 字符"/>
    <w:qFormat/>
    <w:uiPriority w:val="99"/>
    <w:rPr>
      <w:kern w:val="2"/>
      <w:sz w:val="16"/>
      <w:szCs w:val="16"/>
    </w:rPr>
  </w:style>
  <w:style w:type="character" w:customStyle="1" w:styleId="88">
    <w:name w:val="正文文本 字符1"/>
    <w:qFormat/>
    <w:uiPriority w:val="99"/>
    <w:rPr>
      <w:kern w:val="2"/>
      <w:sz w:val="21"/>
      <w:szCs w:val="24"/>
    </w:rPr>
  </w:style>
  <w:style w:type="character" w:customStyle="1" w:styleId="89">
    <w:name w:val="正文文本缩进 字符"/>
    <w:qFormat/>
    <w:uiPriority w:val="99"/>
    <w:rPr>
      <w:rFonts w:ascii="仿宋_GB2312" w:eastAsia="仿宋_GB2312"/>
      <w:sz w:val="32"/>
    </w:rPr>
  </w:style>
  <w:style w:type="character" w:customStyle="1" w:styleId="90">
    <w:name w:val="纯文本 字符3"/>
    <w:qFormat/>
    <w:uiPriority w:val="99"/>
    <w:rPr>
      <w:rFonts w:ascii="宋体" w:hAnsi="Courier New"/>
      <w:szCs w:val="21"/>
    </w:rPr>
  </w:style>
  <w:style w:type="character" w:customStyle="1" w:styleId="91">
    <w:name w:val="日期 字符"/>
    <w:qFormat/>
    <w:uiPriority w:val="99"/>
    <w:rPr>
      <w:kern w:val="2"/>
      <w:sz w:val="21"/>
      <w:szCs w:val="24"/>
    </w:rPr>
  </w:style>
  <w:style w:type="character" w:customStyle="1" w:styleId="92">
    <w:name w:val="页脚 字符"/>
    <w:qFormat/>
    <w:uiPriority w:val="99"/>
    <w:rPr>
      <w:sz w:val="18"/>
      <w:szCs w:val="18"/>
    </w:rPr>
  </w:style>
  <w:style w:type="character" w:customStyle="1" w:styleId="93">
    <w:name w:val="页眉 字符"/>
    <w:qFormat/>
    <w:uiPriority w:val="99"/>
    <w:rPr>
      <w:sz w:val="18"/>
      <w:szCs w:val="18"/>
    </w:rPr>
  </w:style>
  <w:style w:type="character" w:customStyle="1" w:styleId="94">
    <w:name w:val="批注主题 字符"/>
    <w:qFormat/>
    <w:uiPriority w:val="99"/>
    <w:rPr>
      <w:rFonts w:ascii="Times New Roman" w:hAnsi="Times New Roman"/>
      <w:b/>
      <w:bCs/>
      <w:kern w:val="2"/>
      <w:sz w:val="21"/>
      <w:szCs w:val="24"/>
    </w:rPr>
  </w:style>
  <w:style w:type="paragraph" w:customStyle="1" w:styleId="95">
    <w:name w:val="_Style 94"/>
    <w:basedOn w:val="1"/>
    <w:unhideWhenUsed/>
    <w:qFormat/>
    <w:uiPriority w:val="99"/>
  </w:style>
  <w:style w:type="paragraph" w:customStyle="1" w:styleId="96">
    <w:name w:val="_Style 95"/>
    <w:basedOn w:val="1"/>
    <w:unhideWhenUsed/>
    <w:qFormat/>
    <w:uiPriority w:val="99"/>
  </w:style>
  <w:style w:type="paragraph" w:customStyle="1" w:styleId="97">
    <w:name w:val="msonormal"/>
    <w:basedOn w:val="1"/>
    <w:qFormat/>
    <w:uiPriority w:val="99"/>
    <w:rPr>
      <w:rFonts w:ascii="Calibri" w:hAnsi="Calibri"/>
      <w:kern w:val="0"/>
      <w:sz w:val="24"/>
    </w:rPr>
  </w:style>
  <w:style w:type="character" w:customStyle="1" w:styleId="98">
    <w:name w:val="font51"/>
    <w:basedOn w:val="31"/>
    <w:qFormat/>
    <w:uiPriority w:val="0"/>
    <w:rPr>
      <w:rFonts w:hint="eastAsia" w:ascii="宋体" w:hAnsi="宋体" w:eastAsia="宋体" w:cs="宋体"/>
      <w:color w:val="000000"/>
      <w:sz w:val="18"/>
      <w:szCs w:val="18"/>
      <w:u w:val="none"/>
    </w:rPr>
  </w:style>
  <w:style w:type="character" w:customStyle="1" w:styleId="99">
    <w:name w:val="font11"/>
    <w:basedOn w:val="31"/>
    <w:qFormat/>
    <w:uiPriority w:val="0"/>
    <w:rPr>
      <w:rFonts w:hint="eastAsia" w:ascii="宋体" w:hAnsi="宋体" w:eastAsia="宋体" w:cs="宋体"/>
      <w:color w:val="000000"/>
      <w:sz w:val="18"/>
      <w:szCs w:val="18"/>
      <w:u w:val="none"/>
    </w:rPr>
  </w:style>
  <w:style w:type="character" w:customStyle="1" w:styleId="100">
    <w:name w:val="font21"/>
    <w:basedOn w:val="31"/>
    <w:qFormat/>
    <w:uiPriority w:val="0"/>
    <w:rPr>
      <w:rFonts w:hint="eastAsia" w:ascii="宋体" w:hAnsi="宋体" w:eastAsia="宋体" w:cs="宋体"/>
      <w:b/>
      <w:bCs/>
      <w:color w:val="000000"/>
      <w:sz w:val="18"/>
      <w:szCs w:val="18"/>
      <w:u w:val="none"/>
    </w:rPr>
  </w:style>
  <w:style w:type="character" w:customStyle="1" w:styleId="101">
    <w:name w:val="font31"/>
    <w:basedOn w:val="31"/>
    <w:qFormat/>
    <w:uiPriority w:val="0"/>
    <w:rPr>
      <w:rFonts w:hint="default" w:ascii="Times New Roman" w:hAnsi="Times New Roman" w:eastAsia="宋体" w:cs="Times New Roman"/>
      <w:color w:val="000000"/>
      <w:sz w:val="18"/>
      <w:szCs w:val="18"/>
      <w:u w:val="none"/>
    </w:rPr>
  </w:style>
  <w:style w:type="paragraph" w:customStyle="1" w:styleId="102">
    <w:name w:val="WPSOffice手动目录 1"/>
    <w:qFormat/>
    <w:uiPriority w:val="0"/>
    <w:pPr>
      <w:ind w:leftChars="0"/>
    </w:pPr>
    <w:rPr>
      <w:rFonts w:ascii="Calibri" w:hAnsi="Calibri" w:eastAsia="宋体" w:cs="Times New Roman"/>
      <w:sz w:val="20"/>
      <w:szCs w:val="20"/>
    </w:rPr>
  </w:style>
  <w:style w:type="paragraph" w:customStyle="1" w:styleId="103">
    <w:name w:val="WPSOffice手动目录 2"/>
    <w:qFormat/>
    <w:uiPriority w:val="0"/>
    <w:pPr>
      <w:ind w:leftChars="200"/>
    </w:pPr>
    <w:rPr>
      <w:rFonts w:ascii="Calibri" w:hAnsi="Calibri" w:eastAsia="宋体" w:cs="Times New Roman"/>
      <w:sz w:val="20"/>
      <w:szCs w:val="20"/>
    </w:rPr>
  </w:style>
  <w:style w:type="paragraph" w:customStyle="1" w:styleId="104">
    <w:name w:val="WPSOffice手动目录 3"/>
    <w:qFormat/>
    <w:uiPriority w:val="0"/>
    <w:pPr>
      <w:ind w:leftChars="400"/>
    </w:pPr>
    <w:rPr>
      <w:rFonts w:ascii="Calibri" w:hAnsi="Calibri" w:eastAsia="宋体" w:cs="Times New Roman"/>
      <w:sz w:val="20"/>
      <w:szCs w:val="20"/>
    </w:rPr>
  </w:style>
  <w:style w:type="paragraph" w:customStyle="1" w:styleId="105">
    <w:name w:val="_Style 142"/>
    <w:next w:val="7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06">
    <w:name w:val="Body text|1"/>
    <w:qFormat/>
    <w:uiPriority w:val="0"/>
    <w:pPr>
      <w:widowControl w:val="0"/>
      <w:spacing w:line="360" w:lineRule="auto"/>
      <w:ind w:firstLine="400"/>
      <w:jc w:val="both"/>
    </w:pPr>
    <w:rPr>
      <w:rFonts w:ascii="宋体" w:hAnsi="宋体" w:eastAsia="宋体" w:cs="宋体"/>
      <w:kern w:val="2"/>
      <w:sz w:val="21"/>
      <w:szCs w:val="20"/>
      <w:lang w:val="zh-CN" w:eastAsia="zh-CN" w:bidi="zh-CN"/>
    </w:rPr>
  </w:style>
  <w:style w:type="paragraph" w:customStyle="1" w:styleId="107">
    <w:name w:val="表格文字"/>
    <w:qFormat/>
    <w:uiPriority w:val="0"/>
    <w:pPr>
      <w:widowControl w:val="0"/>
      <w:adjustRightInd w:val="0"/>
      <w:snapToGrid w:val="0"/>
      <w:jc w:val="center"/>
    </w:pPr>
    <w:rPr>
      <w:rFonts w:ascii="Times New Roman" w:hAnsi="Times New Roman" w:eastAsia="宋体" w:cs="Times New Roman"/>
      <w:kern w:val="0"/>
      <w:sz w:val="24"/>
      <w:szCs w:val="24"/>
      <w:lang w:val="en-US" w:eastAsia="zh-CN" w:bidi="ar-SA"/>
    </w:rPr>
  </w:style>
  <w:style w:type="paragraph" w:customStyle="1" w:styleId="10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
    <w:name w:val="首行缩进"/>
    <w:qFormat/>
    <w:uiPriority w:val="99"/>
    <w:pPr>
      <w:widowControl w:val="0"/>
      <w:ind w:firstLine="480" w:firstLineChars="200"/>
      <w:jc w:val="both"/>
    </w:pPr>
    <w:rPr>
      <w:rFonts w:ascii="Times New Roman" w:hAnsi="Times New Roman" w:eastAsia="宋体" w:cs="Times New Roman"/>
      <w:kern w:val="2"/>
      <w:sz w:val="21"/>
      <w:szCs w:val="24"/>
      <w:lang w:val="zh-CN" w:eastAsia="zh-CN" w:bidi="ar-SA"/>
    </w:rPr>
  </w:style>
  <w:style w:type="paragraph" w:customStyle="1" w:styleId="111">
    <w:name w:val="正文文本 (2)4"/>
    <w:qFormat/>
    <w:uiPriority w:val="0"/>
    <w:pPr>
      <w:widowControl w:val="0"/>
      <w:shd w:val="clear" w:color="auto" w:fill="FFFFFF"/>
      <w:autoSpaceDE/>
      <w:autoSpaceDN/>
      <w:adjustRightInd/>
      <w:spacing w:before="300" w:line="439" w:lineRule="exact"/>
      <w:jc w:val="distribute"/>
    </w:pPr>
    <w:rPr>
      <w:rFonts w:hint="default" w:ascii="MingLiU" w:hAnsi="MingLiU" w:eastAsia="MingLiU" w:cs="Times New Roman"/>
      <w:spacing w:val="20"/>
      <w:kern w:val="2"/>
      <w:sz w:val="22"/>
      <w:szCs w:val="22"/>
      <w:shd w:val="clear" w:color="auto" w:fill="FFFFFF"/>
      <w:lang w:val="en-US" w:eastAsia="zh-CN" w:bidi="ar-SA"/>
    </w:rPr>
  </w:style>
  <w:style w:type="character" w:customStyle="1" w:styleId="112">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paragraph" w:customStyle="1" w:styleId="11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Table Text"/>
    <w:basedOn w:val="113"/>
    <w:semiHidden/>
    <w:qFormat/>
    <w:uiPriority w:val="0"/>
    <w:rPr>
      <w:rFonts w:ascii="宋体" w:hAnsi="宋体" w:cs="宋体"/>
      <w:szCs w:val="21"/>
      <w:lang w:eastAsia="en-US"/>
    </w:rPr>
  </w:style>
  <w:style w:type="table" w:customStyle="1" w:styleId="115">
    <w:name w:val="Table Normal"/>
    <w:unhideWhenUsed/>
    <w:qFormat/>
    <w:uiPriority w:val="2"/>
    <w:rPr>
      <w:rFonts w:ascii="Calibri" w:hAnsi="Calibri"/>
      <w:lang w:val="en-US" w:eastAsia="zh-CN" w:bidi="ar-SA"/>
    </w:rPr>
    <w:tblPr>
      <w:tblCellMar>
        <w:top w:w="0" w:type="dxa"/>
        <w:left w:w="0" w:type="dxa"/>
        <w:bottom w:w="0" w:type="dxa"/>
        <w:right w:w="0" w:type="dxa"/>
      </w:tblCellMar>
    </w:tblPr>
  </w:style>
  <w:style w:type="paragraph" w:customStyle="1" w:styleId="11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标题 2_0"/>
    <w:basedOn w:val="117"/>
    <w:next w:val="117"/>
    <w:qFormat/>
    <w:uiPriority w:val="9"/>
    <w:pPr>
      <w:keepNext/>
      <w:keepLines/>
      <w:spacing w:before="260" w:after="260" w:line="412" w:lineRule="auto"/>
      <w:outlineLvl w:val="1"/>
    </w:pPr>
    <w:rPr>
      <w:rFonts w:ascii="Arial" w:hAnsi="Arial" w:eastAsia="黑体"/>
      <w:b/>
      <w:sz w:val="32"/>
      <w:szCs w:val="20"/>
    </w:rPr>
  </w:style>
  <w:style w:type="paragraph" w:customStyle="1" w:styleId="119">
    <w:name w:val="标题 3_0"/>
    <w:basedOn w:val="117"/>
    <w:next w:val="117"/>
    <w:unhideWhenUsed/>
    <w:qFormat/>
    <w:uiPriority w:val="9"/>
    <w:pPr>
      <w:keepNext/>
      <w:keepLines/>
      <w:spacing w:before="260" w:after="260" w:line="416" w:lineRule="auto"/>
      <w:outlineLvl w:val="2"/>
    </w:pPr>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83</Pages>
  <Words>113</Words>
  <Characters>139</Characters>
  <Lines>0</Lines>
  <Paragraphs>0</Paragraphs>
  <TotalTime>0</TotalTime>
  <ScaleCrop>false</ScaleCrop>
  <LinksUpToDate>false</LinksUpToDate>
  <CharactersWithSpaces>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2024-06-14T08:39:00Z</dcterms:created>
  <dc:creator>无知者无畏</dc:creator>
  <cp:lastModifiedBy>admin</cp:lastModifiedBy>
  <cp:lastPrinted>2021-08-26T02:26:00Z</cp:lastPrinted>
  <dcterms:modified xsi:type="dcterms:W3CDTF">2026-08-13T07:02:22Z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2FD7D141118546C8BC233EE6FBEF24C4_13</vt:lpwstr>
  </property>
  <property fmtid="{D5CDD505-2E9C-101B-9397-08002B2CF9AE}" pid="4" name="KSOTemplateDocerSaveRecord">
    <vt:lpwstr>eyJoZGlkIjoiZThmNjAzMWJlZjFkMmQwODUwMTJkYzE2ODFiYmFmYTciLCJ1c2VySWQiOiIxMTQzODI0NTMxIn0=</vt:lpwstr>
  </property>
</Properties>
</file>