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BE00D">
      <w:pPr>
        <w:pStyle w:val="59"/>
        <w:rPr>
          <w:sz w:val="30"/>
          <w:szCs w:val="30"/>
        </w:rPr>
      </w:pPr>
      <w:r>
        <w:rPr>
          <w:rFonts w:hint="eastAsia"/>
          <w:sz w:val="30"/>
          <w:szCs w:val="30"/>
        </w:rPr>
        <w:t>货物类</w:t>
      </w:r>
    </w:p>
    <w:p w14:paraId="4F5D4983">
      <w:pPr>
        <w:pStyle w:val="59"/>
        <w:rPr>
          <w:sz w:val="30"/>
          <w:szCs w:val="30"/>
        </w:rPr>
      </w:pPr>
    </w:p>
    <w:p w14:paraId="5C6BEA9F">
      <w:pPr>
        <w:pStyle w:val="59"/>
        <w:jc w:val="center"/>
        <w:rPr>
          <w:sz w:val="30"/>
          <w:szCs w:val="30"/>
        </w:rPr>
      </w:pPr>
      <w:r>
        <w:rPr>
          <w:rFonts w:eastAsia="黑体"/>
          <w:b/>
          <w:sz w:val="48"/>
        </w:rPr>
        <w:drawing>
          <wp:inline distT="0" distB="0" distL="114300" distR="114300">
            <wp:extent cx="1981200" cy="1438910"/>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1981200" cy="1438910"/>
                    </a:xfrm>
                    <a:prstGeom prst="rect">
                      <a:avLst/>
                    </a:prstGeom>
                    <a:noFill/>
                    <a:ln>
                      <a:noFill/>
                    </a:ln>
                  </pic:spPr>
                </pic:pic>
              </a:graphicData>
            </a:graphic>
          </wp:inline>
        </w:drawing>
      </w:r>
    </w:p>
    <w:p w14:paraId="7E201D7A">
      <w:pPr>
        <w:snapToGrid w:val="0"/>
        <w:spacing w:before="165" w:beforeLines="50"/>
        <w:jc w:val="center"/>
        <w:rPr>
          <w:rFonts w:ascii="宋体" w:hAnsi="宋体" w:cs="宋体"/>
          <w:sz w:val="120"/>
          <w:szCs w:val="120"/>
        </w:rPr>
      </w:pPr>
      <w:r>
        <w:rPr>
          <w:rFonts w:hint="eastAsia" w:ascii="宋体" w:hAnsi="宋体" w:cs="宋体"/>
          <w:sz w:val="120"/>
          <w:szCs w:val="120"/>
        </w:rPr>
        <w:t>招 标 文 件</w:t>
      </w:r>
    </w:p>
    <w:p w14:paraId="32F76564">
      <w:pPr>
        <w:pStyle w:val="2"/>
      </w:pPr>
    </w:p>
    <w:p w14:paraId="1902A75C">
      <w:pPr>
        <w:pStyle w:val="26"/>
        <w:snapToGrid w:val="0"/>
        <w:jc w:val="center"/>
        <w:rPr>
          <w:rFonts w:hAnsi="宋体" w:cs="宋体"/>
          <w:sz w:val="30"/>
          <w:szCs w:val="30"/>
        </w:rPr>
      </w:pPr>
      <w:r>
        <w:rPr>
          <w:rFonts w:hint="eastAsia" w:hAnsi="宋体" w:cs="宋体"/>
          <w:sz w:val="30"/>
          <w:szCs w:val="30"/>
        </w:rPr>
        <w:t>（</w:t>
      </w:r>
      <w:r>
        <w:rPr>
          <w:rFonts w:hint="eastAsia" w:hAnsi="宋体"/>
        </w:rPr>
        <w:t>全流程电子化评标</w:t>
      </w:r>
      <w:r>
        <w:rPr>
          <w:rFonts w:hint="eastAsia" w:hAnsi="宋体" w:cs="宋体"/>
          <w:sz w:val="30"/>
          <w:szCs w:val="30"/>
        </w:rPr>
        <w:t>）</w:t>
      </w:r>
    </w:p>
    <w:p w14:paraId="4B687851">
      <w:pPr>
        <w:pStyle w:val="20"/>
        <w:ind w:firstLine="210"/>
      </w:pPr>
    </w:p>
    <w:p w14:paraId="4CC1AE50">
      <w:pPr>
        <w:pStyle w:val="26"/>
        <w:snapToGrid w:val="0"/>
        <w:spacing w:line="480" w:lineRule="auto"/>
        <w:jc w:val="center"/>
        <w:rPr>
          <w:rFonts w:hAnsi="宋体" w:cs="宋体"/>
          <w:b/>
          <w:bCs/>
          <w:w w:val="95"/>
          <w:sz w:val="30"/>
          <w:szCs w:val="30"/>
        </w:rPr>
      </w:pPr>
      <w:r>
        <w:rPr>
          <w:rFonts w:hint="eastAsia" w:hAnsi="宋体" w:cs="宋体"/>
          <w:b/>
          <w:bCs/>
          <w:w w:val="95"/>
          <w:sz w:val="30"/>
          <w:szCs w:val="30"/>
        </w:rPr>
        <w:t>项目名称：广西大学药物毒理实验室一期续建设备采购</w:t>
      </w:r>
    </w:p>
    <w:p w14:paraId="6F148795">
      <w:pPr>
        <w:pStyle w:val="26"/>
        <w:snapToGrid w:val="0"/>
        <w:spacing w:line="360" w:lineRule="auto"/>
        <w:ind w:firstLine="1431" w:firstLineChars="500"/>
        <w:jc w:val="both"/>
        <w:rPr>
          <w:rFonts w:hAnsi="宋体" w:cs="宋体"/>
          <w:b/>
          <w:bCs/>
          <w:w w:val="95"/>
          <w:sz w:val="30"/>
          <w:szCs w:val="30"/>
        </w:rPr>
      </w:pPr>
      <w:r>
        <w:rPr>
          <w:rFonts w:hint="eastAsia" w:hAnsi="宋体" w:cs="宋体"/>
          <w:b/>
          <w:bCs/>
          <w:w w:val="95"/>
          <w:sz w:val="30"/>
          <w:szCs w:val="30"/>
        </w:rPr>
        <w:t>项目编号：GXZC2026-G1-002670-YJZB</w:t>
      </w:r>
    </w:p>
    <w:p w14:paraId="5444EFB0">
      <w:pPr>
        <w:pStyle w:val="26"/>
        <w:snapToGrid w:val="0"/>
        <w:spacing w:line="360" w:lineRule="auto"/>
        <w:jc w:val="center"/>
        <w:rPr>
          <w:rFonts w:hAnsi="宋体" w:cs="宋体"/>
          <w:b/>
          <w:bCs/>
          <w:w w:val="95"/>
          <w:sz w:val="30"/>
          <w:szCs w:val="30"/>
        </w:rPr>
      </w:pPr>
    </w:p>
    <w:p w14:paraId="6B71EB0F">
      <w:pPr>
        <w:pStyle w:val="26"/>
        <w:snapToGrid w:val="0"/>
        <w:spacing w:line="360" w:lineRule="auto"/>
        <w:jc w:val="center"/>
        <w:rPr>
          <w:rFonts w:hAnsi="宋体" w:cs="宋体"/>
          <w:b/>
          <w:bCs/>
          <w:w w:val="95"/>
          <w:sz w:val="30"/>
          <w:szCs w:val="30"/>
        </w:rPr>
      </w:pPr>
    </w:p>
    <w:p w14:paraId="4F5B299E">
      <w:pPr>
        <w:pStyle w:val="26"/>
        <w:snapToGrid w:val="0"/>
        <w:spacing w:line="360" w:lineRule="auto"/>
        <w:jc w:val="center"/>
        <w:rPr>
          <w:rFonts w:hAnsi="宋体" w:cs="宋体"/>
          <w:b/>
          <w:bCs/>
          <w:w w:val="95"/>
          <w:sz w:val="30"/>
          <w:szCs w:val="30"/>
        </w:rPr>
      </w:pPr>
    </w:p>
    <w:p w14:paraId="42FF104A">
      <w:pPr>
        <w:pStyle w:val="26"/>
        <w:snapToGrid w:val="0"/>
        <w:spacing w:line="360" w:lineRule="auto"/>
        <w:jc w:val="center"/>
        <w:rPr>
          <w:rFonts w:hAnsi="宋体" w:cs="宋体"/>
          <w:b/>
          <w:bCs/>
          <w:w w:val="95"/>
          <w:sz w:val="30"/>
          <w:szCs w:val="30"/>
        </w:rPr>
      </w:pPr>
    </w:p>
    <w:p w14:paraId="51056DA8">
      <w:pPr>
        <w:pStyle w:val="26"/>
        <w:snapToGrid w:val="0"/>
        <w:spacing w:line="360" w:lineRule="auto"/>
        <w:jc w:val="center"/>
        <w:rPr>
          <w:rFonts w:hAnsi="宋体" w:cs="宋体"/>
          <w:b/>
          <w:bCs/>
          <w:w w:val="95"/>
          <w:sz w:val="30"/>
          <w:szCs w:val="30"/>
        </w:rPr>
      </w:pPr>
      <w:r>
        <w:rPr>
          <w:rFonts w:hint="eastAsia" w:hAnsi="宋体" w:cs="宋体"/>
          <w:b/>
          <w:bCs/>
          <w:w w:val="95"/>
          <w:sz w:val="30"/>
          <w:szCs w:val="30"/>
        </w:rPr>
        <w:t>采 购 人：广西大学</w:t>
      </w:r>
    </w:p>
    <w:p w14:paraId="2C32CE66">
      <w:pPr>
        <w:pStyle w:val="26"/>
        <w:snapToGrid w:val="0"/>
        <w:spacing w:line="360" w:lineRule="auto"/>
        <w:jc w:val="center"/>
        <w:rPr>
          <w:rFonts w:hAnsi="宋体" w:cs="宋体"/>
          <w:b/>
          <w:bCs/>
          <w:w w:val="95"/>
          <w:sz w:val="30"/>
          <w:szCs w:val="30"/>
        </w:rPr>
      </w:pPr>
      <w:r>
        <w:rPr>
          <w:rFonts w:hint="eastAsia" w:hAnsi="宋体" w:cs="宋体"/>
          <w:b/>
          <w:bCs/>
          <w:w w:val="95"/>
          <w:sz w:val="30"/>
          <w:szCs w:val="30"/>
        </w:rPr>
        <w:t>采购代理机构：广西阳嘉招标代理有限公司</w:t>
      </w:r>
    </w:p>
    <w:p w14:paraId="4C08444E">
      <w:pPr>
        <w:pStyle w:val="26"/>
        <w:snapToGrid w:val="0"/>
        <w:spacing w:line="360" w:lineRule="auto"/>
        <w:jc w:val="center"/>
        <w:rPr>
          <w:rFonts w:hAnsi="宋体" w:cs="宋体"/>
          <w:b/>
          <w:bCs/>
          <w:w w:val="95"/>
          <w:sz w:val="30"/>
          <w:szCs w:val="30"/>
        </w:rPr>
      </w:pPr>
    </w:p>
    <w:p w14:paraId="34FB8BAC">
      <w:pPr>
        <w:pStyle w:val="26"/>
        <w:snapToGrid w:val="0"/>
        <w:spacing w:line="360" w:lineRule="auto"/>
        <w:jc w:val="center"/>
        <w:rPr>
          <w:rFonts w:hAnsi="宋体" w:cs="宋体"/>
          <w:szCs w:val="20"/>
        </w:rPr>
      </w:pPr>
      <w:r>
        <w:rPr>
          <w:rFonts w:hint="eastAsia" w:hAnsi="宋体" w:cs="宋体"/>
          <w:b/>
          <w:bCs/>
          <w:w w:val="95"/>
          <w:sz w:val="30"/>
          <w:szCs w:val="30"/>
        </w:rPr>
        <w:t>2026年 8月</w:t>
      </w:r>
      <w:r>
        <w:rPr>
          <w:rFonts w:hint="eastAsia" w:hAnsi="宋体" w:cs="宋体"/>
          <w:b/>
          <w:bCs/>
          <w:w w:val="95"/>
          <w:sz w:val="30"/>
          <w:szCs w:val="30"/>
          <w:lang w:val="en-US" w:eastAsia="zh-CN"/>
        </w:rPr>
        <w:t>19</w:t>
      </w:r>
      <w:r>
        <w:rPr>
          <w:rFonts w:hint="eastAsia" w:hAnsi="宋体" w:cs="宋体"/>
          <w:b/>
          <w:bCs/>
          <w:w w:val="95"/>
          <w:sz w:val="30"/>
          <w:szCs w:val="30"/>
        </w:rPr>
        <w:t>日</w:t>
      </w:r>
    </w:p>
    <w:p w14:paraId="3C83E58C"/>
    <w:p w14:paraId="775DD02E">
      <w:pPr>
        <w:spacing w:line="360" w:lineRule="auto"/>
        <w:jc w:val="center"/>
        <w:rPr>
          <w:rFonts w:ascii="宋体" w:hAnsi="宋体" w:cs="宋体"/>
          <w:b/>
          <w:sz w:val="52"/>
          <w:szCs w:val="52"/>
        </w:rPr>
        <w:sectPr>
          <w:pgSz w:w="11906" w:h="16838"/>
          <w:pgMar w:top="1134" w:right="1134" w:bottom="1134" w:left="1134" w:header="720" w:footer="720" w:gutter="0"/>
          <w:cols w:space="720" w:num="1"/>
          <w:docGrid w:type="lines" w:linePitch="331" w:charSpace="0"/>
        </w:sectPr>
      </w:pPr>
    </w:p>
    <w:p w14:paraId="2BF6F799">
      <w:pPr>
        <w:spacing w:line="360" w:lineRule="auto"/>
        <w:jc w:val="center"/>
        <w:rPr>
          <w:rFonts w:ascii="宋体" w:hAnsi="宋体" w:cs="宋体"/>
          <w:b/>
          <w:sz w:val="52"/>
          <w:szCs w:val="52"/>
        </w:rPr>
      </w:pPr>
      <w:r>
        <w:rPr>
          <w:rFonts w:hint="eastAsia" w:ascii="宋体" w:hAnsi="宋体" w:cs="宋体"/>
          <w:b/>
          <w:sz w:val="52"/>
          <w:szCs w:val="52"/>
        </w:rPr>
        <w:t>目  录</w:t>
      </w:r>
    </w:p>
    <w:p w14:paraId="506D6437">
      <w:pPr>
        <w:spacing w:line="360" w:lineRule="auto"/>
        <w:jc w:val="center"/>
        <w:rPr>
          <w:rFonts w:ascii="宋体" w:hAnsi="宋体" w:cs="宋体"/>
          <w:b/>
          <w:sz w:val="52"/>
          <w:szCs w:val="52"/>
        </w:rPr>
      </w:pPr>
    </w:p>
    <w:p w14:paraId="053D9DDF">
      <w:pPr>
        <w:pStyle w:val="34"/>
        <w:tabs>
          <w:tab w:val="right" w:leader="dot" w:pos="9638"/>
          <w:tab w:val="clear" w:pos="8398"/>
        </w:tabs>
      </w:pPr>
      <w:r>
        <w:rPr>
          <w:rFonts w:ascii="仿宋_GB2312" w:eastAsia="仿宋_GB2312"/>
          <w:b w:val="0"/>
        </w:rPr>
        <w:fldChar w:fldCharType="begin"/>
      </w:r>
      <w:r>
        <w:rPr>
          <w:rFonts w:ascii="仿宋_GB2312" w:eastAsia="仿宋_GB2312"/>
          <w:b w:val="0"/>
        </w:rPr>
        <w:instrText xml:space="preserve"> </w:instrText>
      </w:r>
      <w:r>
        <w:rPr>
          <w:rFonts w:hint="eastAsia" w:ascii="仿宋_GB2312" w:eastAsia="仿宋_GB2312"/>
          <w:b w:val="0"/>
        </w:rPr>
        <w:instrText xml:space="preserve">TOC \o "1-2" \h \z \u</w:instrText>
      </w:r>
      <w:r>
        <w:rPr>
          <w:rFonts w:ascii="仿宋_GB2312" w:eastAsia="仿宋_GB2312"/>
          <w:b w:val="0"/>
        </w:rPr>
        <w:instrText xml:space="preserve"> </w:instrText>
      </w:r>
      <w:r>
        <w:rPr>
          <w:rFonts w:ascii="仿宋_GB2312" w:eastAsia="仿宋_GB2312"/>
          <w:b w:val="0"/>
        </w:rPr>
        <w:fldChar w:fldCharType="separate"/>
      </w:r>
      <w:r>
        <w:fldChar w:fldCharType="begin"/>
      </w:r>
      <w:r>
        <w:instrText xml:space="preserve"> HYPERLINK \l "_Toc9008" </w:instrText>
      </w:r>
      <w:r>
        <w:fldChar w:fldCharType="separate"/>
      </w:r>
      <w:r>
        <w:rPr>
          <w:rFonts w:hint="eastAsia" w:cs="宋体"/>
        </w:rPr>
        <w:t>第一章 招标公告</w:t>
      </w:r>
      <w:r>
        <w:tab/>
      </w:r>
      <w:r>
        <w:fldChar w:fldCharType="begin"/>
      </w:r>
      <w:r>
        <w:instrText xml:space="preserve"> PAGEREF _Toc9008 \h </w:instrText>
      </w:r>
      <w:r>
        <w:fldChar w:fldCharType="separate"/>
      </w:r>
      <w:r>
        <w:t>1</w:t>
      </w:r>
      <w:r>
        <w:fldChar w:fldCharType="end"/>
      </w:r>
      <w:r>
        <w:fldChar w:fldCharType="end"/>
      </w:r>
    </w:p>
    <w:p w14:paraId="06994E1F">
      <w:pPr>
        <w:pStyle w:val="34"/>
        <w:tabs>
          <w:tab w:val="right" w:leader="dot" w:pos="9638"/>
          <w:tab w:val="clear" w:pos="8398"/>
        </w:tabs>
        <w:ind w:firstLine="241"/>
      </w:pPr>
      <w:r>
        <w:fldChar w:fldCharType="begin"/>
      </w:r>
      <w:r>
        <w:instrText xml:space="preserve"> HYPERLINK \l "_Toc25257" </w:instrText>
      </w:r>
      <w:r>
        <w:fldChar w:fldCharType="separate"/>
      </w:r>
      <w:r>
        <w:rPr>
          <w:rFonts w:hint="eastAsia" w:cs="宋体"/>
        </w:rPr>
        <w:t>第二章  采购需求</w:t>
      </w:r>
      <w:r>
        <w:tab/>
      </w:r>
      <w:r>
        <w:fldChar w:fldCharType="begin"/>
      </w:r>
      <w:r>
        <w:instrText xml:space="preserve"> PAGEREF _Toc25257 \h </w:instrText>
      </w:r>
      <w:r>
        <w:fldChar w:fldCharType="separate"/>
      </w:r>
      <w:r>
        <w:t>6</w:t>
      </w:r>
      <w:r>
        <w:fldChar w:fldCharType="end"/>
      </w:r>
      <w:r>
        <w:fldChar w:fldCharType="end"/>
      </w:r>
    </w:p>
    <w:p w14:paraId="4EB47EE2">
      <w:pPr>
        <w:pStyle w:val="34"/>
        <w:tabs>
          <w:tab w:val="right" w:leader="dot" w:pos="9638"/>
          <w:tab w:val="clear" w:pos="8398"/>
        </w:tabs>
        <w:ind w:firstLine="241"/>
      </w:pPr>
      <w:r>
        <w:fldChar w:fldCharType="begin"/>
      </w:r>
      <w:r>
        <w:instrText xml:space="preserve"> HYPERLINK \l "_Toc18691" </w:instrText>
      </w:r>
      <w:r>
        <w:fldChar w:fldCharType="separate"/>
      </w:r>
      <w:r>
        <w:rPr>
          <w:rFonts w:hint="eastAsia" w:cs="宋体"/>
        </w:rPr>
        <w:t>第三章  投标人须知</w:t>
      </w:r>
      <w:r>
        <w:tab/>
      </w:r>
      <w:r>
        <w:fldChar w:fldCharType="begin"/>
      </w:r>
      <w:r>
        <w:instrText xml:space="preserve"> PAGEREF _Toc18691 \h </w:instrText>
      </w:r>
      <w:r>
        <w:fldChar w:fldCharType="separate"/>
      </w:r>
      <w:r>
        <w:t>39</w:t>
      </w:r>
      <w:r>
        <w:fldChar w:fldCharType="end"/>
      </w:r>
      <w:r>
        <w:fldChar w:fldCharType="end"/>
      </w:r>
    </w:p>
    <w:p w14:paraId="513C42EC">
      <w:pPr>
        <w:pStyle w:val="34"/>
        <w:tabs>
          <w:tab w:val="right" w:leader="dot" w:pos="9638"/>
          <w:tab w:val="clear" w:pos="8398"/>
        </w:tabs>
        <w:ind w:firstLine="241"/>
      </w:pPr>
      <w:r>
        <w:fldChar w:fldCharType="begin"/>
      </w:r>
      <w:r>
        <w:instrText xml:space="preserve"> HYPERLINK \l "_Toc25632" </w:instrText>
      </w:r>
      <w:r>
        <w:fldChar w:fldCharType="separate"/>
      </w:r>
      <w:r>
        <w:rPr>
          <w:rFonts w:hint="eastAsia" w:cs="宋体"/>
        </w:rPr>
        <w:t>第四章  评标方法及评标标准</w:t>
      </w:r>
      <w:r>
        <w:tab/>
      </w:r>
      <w:r>
        <w:fldChar w:fldCharType="begin"/>
      </w:r>
      <w:r>
        <w:instrText xml:space="preserve"> PAGEREF _Toc25632 \h </w:instrText>
      </w:r>
      <w:r>
        <w:fldChar w:fldCharType="separate"/>
      </w:r>
      <w:r>
        <w:t>67</w:t>
      </w:r>
      <w:r>
        <w:fldChar w:fldCharType="end"/>
      </w:r>
      <w:r>
        <w:fldChar w:fldCharType="end"/>
      </w:r>
    </w:p>
    <w:p w14:paraId="47620A71">
      <w:pPr>
        <w:pStyle w:val="34"/>
        <w:tabs>
          <w:tab w:val="right" w:leader="dot" w:pos="9638"/>
          <w:tab w:val="clear" w:pos="8398"/>
        </w:tabs>
        <w:ind w:firstLine="241"/>
      </w:pPr>
      <w:r>
        <w:fldChar w:fldCharType="begin"/>
      </w:r>
      <w:r>
        <w:instrText xml:space="preserve"> HYPERLINK \l "_Toc20102" </w:instrText>
      </w:r>
      <w:r>
        <w:fldChar w:fldCharType="separate"/>
      </w:r>
      <w:r>
        <w:rPr>
          <w:rFonts w:hint="eastAsia" w:cs="宋体"/>
        </w:rPr>
        <w:t>第五章  拟签订的合同文本</w:t>
      </w:r>
      <w:r>
        <w:tab/>
      </w:r>
      <w:r>
        <w:fldChar w:fldCharType="begin"/>
      </w:r>
      <w:r>
        <w:instrText xml:space="preserve"> PAGEREF _Toc20102 \h </w:instrText>
      </w:r>
      <w:r>
        <w:fldChar w:fldCharType="separate"/>
      </w:r>
      <w:r>
        <w:t>78</w:t>
      </w:r>
      <w:r>
        <w:fldChar w:fldCharType="end"/>
      </w:r>
      <w:r>
        <w:fldChar w:fldCharType="end"/>
      </w:r>
    </w:p>
    <w:p w14:paraId="6B4AAA2E">
      <w:pPr>
        <w:pStyle w:val="34"/>
        <w:tabs>
          <w:tab w:val="right" w:leader="dot" w:pos="9638"/>
          <w:tab w:val="clear" w:pos="8398"/>
        </w:tabs>
        <w:ind w:firstLine="241"/>
      </w:pPr>
      <w:r>
        <w:fldChar w:fldCharType="begin"/>
      </w:r>
      <w:r>
        <w:instrText xml:space="preserve"> HYPERLINK \l "_Toc10251" </w:instrText>
      </w:r>
      <w:r>
        <w:fldChar w:fldCharType="separate"/>
      </w:r>
      <w:r>
        <w:rPr>
          <w:rFonts w:hint="eastAsia" w:cs="宋体"/>
        </w:rPr>
        <w:t>第六章　投标文件格式</w:t>
      </w:r>
      <w:r>
        <w:tab/>
      </w:r>
      <w:r>
        <w:fldChar w:fldCharType="begin"/>
      </w:r>
      <w:r>
        <w:instrText xml:space="preserve"> PAGEREF _Toc10251 \h </w:instrText>
      </w:r>
      <w:r>
        <w:fldChar w:fldCharType="separate"/>
      </w:r>
      <w:r>
        <w:t>89</w:t>
      </w:r>
      <w:r>
        <w:fldChar w:fldCharType="end"/>
      </w:r>
      <w:r>
        <w:fldChar w:fldCharType="end"/>
      </w:r>
    </w:p>
    <w:p w14:paraId="194E53AC">
      <w:pPr>
        <w:pStyle w:val="34"/>
        <w:tabs>
          <w:tab w:val="left" w:pos="1260"/>
        </w:tabs>
        <w:spacing w:line="480" w:lineRule="auto"/>
        <w:ind w:left="1260" w:leftChars="600" w:firstLine="0" w:firstLineChars="0"/>
        <w:rPr>
          <w:rFonts w:cs="宋体"/>
          <w:b w:val="0"/>
          <w:sz w:val="32"/>
          <w:szCs w:val="32"/>
        </w:rPr>
      </w:pPr>
      <w:r>
        <w:rPr>
          <w:rFonts w:ascii="仿宋_GB2312" w:eastAsia="仿宋_GB2312"/>
        </w:rPr>
        <w:fldChar w:fldCharType="end"/>
      </w:r>
    </w:p>
    <w:p w14:paraId="1505E46C">
      <w:pPr>
        <w:spacing w:before="165" w:beforeLines="50" w:line="480" w:lineRule="auto"/>
        <w:ind w:firstLine="1890" w:firstLineChars="525"/>
        <w:rPr>
          <w:rFonts w:ascii="宋体" w:hAnsi="宋体" w:cs="宋体"/>
          <w:sz w:val="36"/>
          <w:szCs w:val="32"/>
        </w:rPr>
      </w:pPr>
    </w:p>
    <w:p w14:paraId="552CA67F">
      <w:pPr>
        <w:spacing w:line="480" w:lineRule="auto"/>
        <w:ind w:firstLine="1260" w:firstLineChars="525"/>
        <w:rPr>
          <w:rFonts w:ascii="宋体" w:hAnsi="宋体" w:cs="宋体"/>
          <w:sz w:val="24"/>
          <w:szCs w:val="32"/>
        </w:rPr>
      </w:pPr>
    </w:p>
    <w:p w14:paraId="5E16752F">
      <w:pPr>
        <w:spacing w:before="165" w:beforeLines="50" w:line="480" w:lineRule="exact"/>
        <w:rPr>
          <w:rFonts w:ascii="宋体" w:hAnsi="宋体" w:cs="宋体"/>
          <w:sz w:val="30"/>
        </w:rPr>
      </w:pPr>
    </w:p>
    <w:p w14:paraId="6FC913E9">
      <w:pPr>
        <w:spacing w:before="165" w:beforeLines="50" w:line="480" w:lineRule="exact"/>
        <w:rPr>
          <w:rFonts w:ascii="宋体" w:hAnsi="宋体" w:cs="宋体"/>
          <w:sz w:val="30"/>
        </w:rPr>
      </w:pPr>
    </w:p>
    <w:p w14:paraId="472FDF3B">
      <w:pPr>
        <w:pStyle w:val="17"/>
        <w:rPr>
          <w:rFonts w:ascii="宋体" w:hAnsi="宋体" w:cs="宋体"/>
          <w:b/>
          <w:bCs/>
        </w:rPr>
      </w:pPr>
      <w:bookmarkStart w:id="0" w:name="_Toc254970489"/>
      <w:bookmarkStart w:id="1" w:name="_Toc254970630"/>
    </w:p>
    <w:p w14:paraId="2D545957">
      <w:pPr>
        <w:pStyle w:val="3"/>
        <w:keepNext w:val="0"/>
        <w:keepLines w:val="0"/>
        <w:tabs>
          <w:tab w:val="left" w:pos="0"/>
          <w:tab w:val="left" w:pos="3165"/>
          <w:tab w:val="center" w:pos="4153"/>
        </w:tabs>
        <w:autoSpaceDE w:val="0"/>
        <w:autoSpaceDN w:val="0"/>
        <w:adjustRightInd w:val="0"/>
        <w:spacing w:before="0" w:after="0" w:line="360" w:lineRule="auto"/>
        <w:jc w:val="center"/>
        <w:rPr>
          <w:rFonts w:ascii="宋体" w:hAnsi="宋体" w:cs="宋体"/>
        </w:rPr>
        <w:sectPr>
          <w:footerReference r:id="rId3" w:type="default"/>
          <w:pgSz w:w="11906" w:h="16838"/>
          <w:pgMar w:top="1134" w:right="1134" w:bottom="1134" w:left="1134" w:header="720" w:footer="720" w:gutter="0"/>
          <w:pgNumType w:start="1"/>
          <w:cols w:space="720" w:num="1"/>
          <w:docGrid w:type="lines" w:linePitch="331" w:charSpace="0"/>
        </w:sectPr>
      </w:pPr>
      <w:bookmarkStart w:id="2" w:name="_Toc74320800"/>
    </w:p>
    <w:p w14:paraId="7F897753">
      <w:pPr>
        <w:pStyle w:val="3"/>
        <w:keepNext w:val="0"/>
        <w:keepLines w:val="0"/>
        <w:tabs>
          <w:tab w:val="left" w:pos="0"/>
          <w:tab w:val="left" w:pos="3165"/>
          <w:tab w:val="center" w:pos="4153"/>
        </w:tabs>
        <w:autoSpaceDE w:val="0"/>
        <w:autoSpaceDN w:val="0"/>
        <w:adjustRightInd w:val="0"/>
        <w:spacing w:before="0" w:after="0" w:line="360" w:lineRule="auto"/>
        <w:jc w:val="center"/>
        <w:rPr>
          <w:rFonts w:ascii="宋体" w:hAnsi="宋体" w:cs="宋体"/>
        </w:rPr>
      </w:pPr>
      <w:bookmarkStart w:id="3" w:name="_Toc9008"/>
      <w:r>
        <w:rPr>
          <w:rFonts w:hint="eastAsia" w:ascii="宋体" w:hAnsi="宋体" w:cs="宋体"/>
        </w:rPr>
        <w:t>第一章</w:t>
      </w:r>
      <w:bookmarkEnd w:id="0"/>
      <w:bookmarkEnd w:id="1"/>
      <w:bookmarkStart w:id="4" w:name="_Toc28359001"/>
      <w:bookmarkStart w:id="5" w:name="_Toc35393789"/>
      <w:r>
        <w:rPr>
          <w:rFonts w:hint="eastAsia" w:ascii="宋体" w:hAnsi="宋体" w:cs="宋体"/>
        </w:rPr>
        <w:t xml:space="preserve"> 招标公告</w:t>
      </w:r>
      <w:bookmarkEnd w:id="2"/>
      <w:bookmarkEnd w:id="3"/>
      <w:bookmarkEnd w:id="4"/>
      <w:bookmarkEnd w:id="5"/>
    </w:p>
    <w:p w14:paraId="5D5F66CE">
      <w:pPr>
        <w:rPr>
          <w:rFonts w:ascii="宋体" w:hAnsi="宋体" w:cs="宋体"/>
        </w:rPr>
      </w:pPr>
    </w:p>
    <w:p w14:paraId="76FF429E">
      <w:pPr>
        <w:pStyle w:val="26"/>
        <w:spacing w:line="500" w:lineRule="exact"/>
        <w:jc w:val="center"/>
        <w:rPr>
          <w:rFonts w:hAnsi="宋体" w:cs="宋体"/>
          <w:b/>
          <w:sz w:val="36"/>
          <w:szCs w:val="36"/>
        </w:rPr>
      </w:pPr>
      <w:r>
        <w:rPr>
          <w:rFonts w:hint="eastAsia" w:hAnsi="宋体" w:cs="宋体"/>
          <w:b/>
          <w:sz w:val="36"/>
          <w:szCs w:val="36"/>
        </w:rPr>
        <w:t>广西阳嘉招标代理有限公司</w:t>
      </w:r>
    </w:p>
    <w:p w14:paraId="70F8F58B">
      <w:pPr>
        <w:pStyle w:val="26"/>
        <w:spacing w:line="500" w:lineRule="exact"/>
        <w:jc w:val="center"/>
        <w:rPr>
          <w:rFonts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t>广西大学药物毒理实验室一期续建设备采购</w:t>
      </w:r>
    </w:p>
    <w:p w14:paraId="5B268D98">
      <w:pPr>
        <w:pStyle w:val="3"/>
        <w:tabs>
          <w:tab w:val="left" w:pos="0"/>
          <w:tab w:val="left" w:pos="3165"/>
          <w:tab w:val="center" w:pos="4153"/>
        </w:tabs>
        <w:autoSpaceDE w:val="0"/>
        <w:autoSpaceDN w:val="0"/>
        <w:adjustRightInd w:val="0"/>
        <w:spacing w:before="0" w:after="0" w:line="500" w:lineRule="exact"/>
        <w:jc w:val="center"/>
        <w:rPr>
          <w:rFonts w:ascii="宋体" w:hAnsi="宋体" w:cs="宋体"/>
          <w:bCs w:val="0"/>
          <w:color w:val="000000" w:themeColor="text1"/>
          <w:kern w:val="2"/>
          <w:sz w:val="36"/>
          <w:szCs w:val="36"/>
          <w14:textFill>
            <w14:solidFill>
              <w14:schemeClr w14:val="tx1"/>
            </w14:solidFill>
          </w14:textFill>
        </w:rPr>
      </w:pPr>
      <w:bookmarkStart w:id="6" w:name="_Toc17938"/>
      <w:r>
        <w:rPr>
          <w:rFonts w:hint="eastAsia" w:ascii="宋体" w:hAnsi="宋体" w:cs="宋体"/>
          <w:bCs w:val="0"/>
          <w:color w:val="000000" w:themeColor="text1"/>
          <w:kern w:val="2"/>
          <w:sz w:val="36"/>
          <w:szCs w:val="36"/>
          <w14:textFill>
            <w14:solidFill>
              <w14:schemeClr w14:val="tx1"/>
            </w14:solidFill>
          </w14:textFill>
        </w:rPr>
        <w:t>（项目编号：GXZC2026-G1-002670-YJZB）</w:t>
      </w:r>
      <w:bookmarkEnd w:id="6"/>
    </w:p>
    <w:p w14:paraId="11E42EB8">
      <w:pPr>
        <w:pStyle w:val="3"/>
        <w:tabs>
          <w:tab w:val="left" w:pos="0"/>
          <w:tab w:val="left" w:pos="3165"/>
          <w:tab w:val="center" w:pos="4153"/>
        </w:tabs>
        <w:autoSpaceDE w:val="0"/>
        <w:autoSpaceDN w:val="0"/>
        <w:adjustRightInd w:val="0"/>
        <w:spacing w:before="0" w:after="0" w:line="500" w:lineRule="exact"/>
        <w:jc w:val="center"/>
        <w:rPr>
          <w:rFonts w:ascii="宋体" w:hAnsi="宋体" w:cs="宋体"/>
          <w:szCs w:val="21"/>
        </w:rPr>
      </w:pPr>
      <w:bookmarkStart w:id="7" w:name="_Toc28493"/>
      <w:r>
        <w:rPr>
          <w:rFonts w:hint="eastAsia" w:ascii="宋体" w:hAnsi="宋体" w:cs="宋体"/>
          <w:bCs w:val="0"/>
          <w:kern w:val="2"/>
          <w:sz w:val="36"/>
          <w:szCs w:val="36"/>
        </w:rPr>
        <w:t>招标公告</w:t>
      </w:r>
      <w:bookmarkEnd w:id="7"/>
    </w:p>
    <w:p w14:paraId="59902A58">
      <w:pPr>
        <w:spacing w:line="360" w:lineRule="auto"/>
        <w:rPr>
          <w:rFonts w:ascii="宋体" w:hAnsi="宋体" w:cs="宋体"/>
          <w:sz w:val="24"/>
        </w:rPr>
      </w:pPr>
    </w:p>
    <w:p w14:paraId="61D5DA92">
      <w:pPr>
        <w:pBdr>
          <w:top w:val="single" w:color="auto" w:sz="4" w:space="1"/>
          <w:left w:val="single" w:color="auto" w:sz="4" w:space="4"/>
          <w:bottom w:val="single" w:color="auto" w:sz="4" w:space="1"/>
          <w:right w:val="single" w:color="auto" w:sz="4" w:space="4"/>
        </w:pBdr>
        <w:spacing w:line="360" w:lineRule="auto"/>
        <w:rPr>
          <w:rFonts w:ascii="宋体" w:hAnsi="宋体" w:cs="宋体"/>
          <w:b/>
          <w:bCs/>
          <w:sz w:val="24"/>
        </w:rPr>
      </w:pPr>
      <w:r>
        <w:rPr>
          <w:rFonts w:hint="eastAsia" w:ascii="宋体" w:hAnsi="宋体" w:cs="宋体"/>
          <w:b/>
          <w:bCs/>
          <w:sz w:val="24"/>
        </w:rPr>
        <w:t>项目概况：</w:t>
      </w:r>
    </w:p>
    <w:p w14:paraId="2EEE049E">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s="宋体"/>
          <w:color w:val="auto"/>
          <w:sz w:val="24"/>
        </w:rPr>
      </w:pPr>
      <w:r>
        <w:rPr>
          <w:rFonts w:hint="eastAsia" w:ascii="宋体" w:hAnsi="宋体" w:cs="宋体"/>
          <w:sz w:val="24"/>
          <w:u w:val="single"/>
        </w:rPr>
        <w:t>广西大学药物毒理实验室一期续建设备采购</w:t>
      </w:r>
      <w:r>
        <w:rPr>
          <w:rFonts w:hint="eastAsia" w:ascii="宋体" w:hAnsi="宋体" w:cs="宋体"/>
          <w:sz w:val="24"/>
        </w:rPr>
        <w:t>招标项目的潜在投标人应在广西政府采购云平台（</w:t>
      </w:r>
      <w:r>
        <w:rPr>
          <w:color w:val="auto"/>
        </w:rPr>
        <w:fldChar w:fldCharType="begin"/>
      </w:r>
      <w:r>
        <w:rPr>
          <w:color w:val="auto"/>
        </w:rPr>
        <w:instrText xml:space="preserve"> HYPERLINK "%20https://www.gcy.zfcg.gxzf.gov.cn/）获取（下载）招标文件，并于****年**月**日**时**分" </w:instrText>
      </w:r>
      <w:r>
        <w:rPr>
          <w:color w:val="auto"/>
        </w:rPr>
        <w:fldChar w:fldCharType="separate"/>
      </w:r>
      <w:r>
        <w:rPr>
          <w:rStyle w:val="54"/>
          <w:rFonts w:hint="eastAsia" w:ascii="宋体" w:hAnsi="宋体" w:cs="宋体"/>
          <w:color w:val="auto"/>
          <w:sz w:val="24"/>
        </w:rPr>
        <w:t xml:space="preserve"> https://www.gcy.zfcg.gxzf.gov.cn/）获取（下载）招标文件，并于2026年</w:t>
      </w:r>
      <w:r>
        <w:rPr>
          <w:rStyle w:val="54"/>
          <w:rFonts w:hint="eastAsia" w:ascii="宋体" w:hAnsi="宋体" w:cs="宋体"/>
          <w:color w:val="auto"/>
          <w:sz w:val="24"/>
          <w:lang w:val="en-US" w:eastAsia="zh-CN"/>
        </w:rPr>
        <w:t>9</w:t>
      </w:r>
      <w:r>
        <w:rPr>
          <w:rStyle w:val="54"/>
          <w:rFonts w:hint="eastAsia" w:ascii="宋体" w:hAnsi="宋体" w:cs="宋体"/>
          <w:color w:val="auto"/>
          <w:sz w:val="24"/>
        </w:rPr>
        <w:t>月</w:t>
      </w:r>
      <w:r>
        <w:rPr>
          <w:rStyle w:val="54"/>
          <w:rFonts w:hint="eastAsia" w:ascii="宋体" w:hAnsi="宋体" w:cs="宋体"/>
          <w:color w:val="auto"/>
          <w:sz w:val="24"/>
          <w:lang w:val="en-US" w:eastAsia="zh-CN"/>
        </w:rPr>
        <w:t>10</w:t>
      </w:r>
      <w:r>
        <w:rPr>
          <w:rStyle w:val="54"/>
          <w:rFonts w:hint="eastAsia" w:ascii="宋体" w:hAnsi="宋体" w:cs="宋体"/>
          <w:color w:val="auto"/>
          <w:sz w:val="24"/>
        </w:rPr>
        <w:t>日9时30分</w:t>
      </w:r>
      <w:r>
        <w:rPr>
          <w:rStyle w:val="54"/>
          <w:rFonts w:hint="eastAsia" w:ascii="宋体" w:hAnsi="宋体" w:cs="宋体"/>
          <w:color w:val="auto"/>
          <w:sz w:val="24"/>
        </w:rPr>
        <w:fldChar w:fldCharType="end"/>
      </w:r>
      <w:r>
        <w:rPr>
          <w:rFonts w:hint="eastAsia" w:ascii="宋体" w:hAnsi="宋体" w:cs="宋体"/>
          <w:bCs/>
          <w:color w:val="auto"/>
          <w:sz w:val="24"/>
        </w:rPr>
        <w:t>（北京时间）前递交投标文件</w:t>
      </w:r>
      <w:r>
        <w:rPr>
          <w:rFonts w:hint="eastAsia" w:ascii="宋体" w:hAnsi="宋体" w:cs="宋体"/>
          <w:color w:val="auto"/>
          <w:sz w:val="24"/>
        </w:rPr>
        <w:t>。</w:t>
      </w:r>
    </w:p>
    <w:p w14:paraId="77412FC6">
      <w:pPr>
        <w:spacing w:line="360" w:lineRule="auto"/>
        <w:rPr>
          <w:rFonts w:ascii="宋体" w:hAnsi="宋体" w:cs="宋体"/>
          <w:sz w:val="24"/>
        </w:rPr>
      </w:pPr>
    </w:p>
    <w:p w14:paraId="0DD722FD">
      <w:pPr>
        <w:spacing w:line="360" w:lineRule="auto"/>
        <w:ind w:firstLine="482" w:firstLineChars="200"/>
        <w:rPr>
          <w:rFonts w:ascii="宋体" w:hAnsi="宋体" w:cs="宋体"/>
          <w:b/>
          <w:bCs/>
          <w:sz w:val="24"/>
        </w:rPr>
      </w:pPr>
      <w:bookmarkStart w:id="8" w:name="_Toc35393790"/>
      <w:bookmarkStart w:id="9" w:name="_Toc28359079"/>
      <w:bookmarkStart w:id="10" w:name="_Toc35393621"/>
      <w:bookmarkStart w:id="11" w:name="_Toc28359002"/>
      <w:bookmarkStart w:id="12" w:name="_Hlk24379207"/>
      <w:r>
        <w:rPr>
          <w:rFonts w:hint="eastAsia" w:ascii="宋体" w:hAnsi="宋体" w:cs="宋体"/>
          <w:b/>
          <w:bCs/>
          <w:sz w:val="24"/>
        </w:rPr>
        <w:t>一、项目基本情况</w:t>
      </w:r>
      <w:bookmarkEnd w:id="8"/>
      <w:bookmarkEnd w:id="9"/>
      <w:bookmarkEnd w:id="10"/>
      <w:bookmarkEnd w:id="11"/>
    </w:p>
    <w:p w14:paraId="002949B0">
      <w:pPr>
        <w:spacing w:line="360" w:lineRule="auto"/>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项目名称：广西大学药物毒理实验室一期续建设备采购</w:t>
      </w:r>
    </w:p>
    <w:p w14:paraId="160A980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项目编号：GXZC2026-G1-002670-YJZB</w:t>
      </w:r>
    </w:p>
    <w:p w14:paraId="1AFD145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采购计划编号：</w:t>
      </w:r>
      <w:bookmarkEnd w:id="12"/>
      <w:r>
        <w:rPr>
          <w:rFonts w:hint="eastAsia" w:ascii="宋体" w:hAnsi="宋体" w:cs="宋体"/>
          <w:color w:val="000000" w:themeColor="text1"/>
          <w:sz w:val="24"/>
          <w14:textFill>
            <w14:solidFill>
              <w14:schemeClr w14:val="tx1"/>
            </w14:solidFill>
          </w14:textFill>
        </w:rPr>
        <w:t>广西政采[2026]16657号</w:t>
      </w:r>
    </w:p>
    <w:p w14:paraId="2B724508">
      <w:pPr>
        <w:spacing w:line="360" w:lineRule="auto"/>
        <w:ind w:firstLine="480" w:firstLineChars="200"/>
        <w:rPr>
          <w:rFonts w:ascii="宋体" w:hAnsi="宋体" w:cs="宋体"/>
          <w:bCs/>
          <w:sz w:val="24"/>
        </w:rPr>
      </w:pPr>
      <w:r>
        <w:rPr>
          <w:rFonts w:hint="eastAsia" w:ascii="宋体" w:hAnsi="宋体" w:cs="宋体"/>
          <w:bCs/>
          <w:sz w:val="24"/>
        </w:rPr>
        <w:t>预算金额（人民币）：</w:t>
      </w:r>
      <w:r>
        <w:rPr>
          <w:rFonts w:hint="eastAsia" w:ascii="宋体" w:hAnsi="宋体" w:cs="宋体"/>
          <w:sz w:val="24"/>
        </w:rPr>
        <w:t>肆佰贰拾贰万元整（¥4220000.00）</w:t>
      </w:r>
    </w:p>
    <w:p w14:paraId="66525121">
      <w:pPr>
        <w:spacing w:line="360" w:lineRule="auto"/>
        <w:ind w:firstLine="480" w:firstLineChars="200"/>
        <w:rPr>
          <w:rFonts w:ascii="宋体" w:hAnsi="宋体" w:cs="宋体"/>
          <w:bCs/>
          <w:sz w:val="24"/>
        </w:rPr>
      </w:pPr>
      <w:r>
        <w:rPr>
          <w:rFonts w:hint="eastAsia" w:ascii="宋体" w:hAnsi="宋体" w:cs="宋体"/>
          <w:bCs/>
          <w:sz w:val="24"/>
        </w:rPr>
        <w:t>采购需求：</w:t>
      </w:r>
    </w:p>
    <w:tbl>
      <w:tblPr>
        <w:tblStyle w:val="49"/>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2122"/>
        <w:gridCol w:w="900"/>
        <w:gridCol w:w="945"/>
        <w:gridCol w:w="2775"/>
        <w:gridCol w:w="1443"/>
        <w:gridCol w:w="1417"/>
      </w:tblGrid>
      <w:tr w14:paraId="45CB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528" w:type="dxa"/>
            <w:vAlign w:val="center"/>
          </w:tcPr>
          <w:p w14:paraId="354B96A0">
            <w:pPr>
              <w:pStyle w:val="58"/>
              <w:jc w:val="center"/>
              <w:rPr>
                <w:rFonts w:ascii="宋体" w:hAnsi="宋体" w:cs="宋体"/>
                <w:sz w:val="24"/>
              </w:rPr>
            </w:pPr>
            <w:r>
              <w:rPr>
                <w:rFonts w:hint="eastAsia" w:ascii="宋体" w:hAnsi="宋体" w:cs="宋体"/>
                <w:sz w:val="24"/>
              </w:rPr>
              <w:t>序号</w:t>
            </w:r>
          </w:p>
        </w:tc>
        <w:tc>
          <w:tcPr>
            <w:tcW w:w="2122" w:type="dxa"/>
            <w:vAlign w:val="center"/>
          </w:tcPr>
          <w:p w14:paraId="280471BC">
            <w:pPr>
              <w:pStyle w:val="58"/>
              <w:jc w:val="center"/>
              <w:rPr>
                <w:rFonts w:ascii="宋体" w:hAnsi="宋体" w:cs="宋体"/>
                <w:sz w:val="24"/>
              </w:rPr>
            </w:pPr>
            <w:r>
              <w:rPr>
                <w:rFonts w:hint="eastAsia" w:ascii="宋体" w:hAnsi="宋体" w:cs="宋体"/>
                <w:sz w:val="24"/>
              </w:rPr>
              <w:t>货物名称</w:t>
            </w:r>
          </w:p>
        </w:tc>
        <w:tc>
          <w:tcPr>
            <w:tcW w:w="900" w:type="dxa"/>
            <w:vAlign w:val="center"/>
          </w:tcPr>
          <w:p w14:paraId="1335C330">
            <w:pPr>
              <w:pStyle w:val="58"/>
              <w:jc w:val="center"/>
              <w:rPr>
                <w:rFonts w:ascii="宋体" w:hAnsi="宋体" w:cs="宋体"/>
                <w:sz w:val="24"/>
              </w:rPr>
            </w:pPr>
            <w:r>
              <w:rPr>
                <w:rFonts w:hint="eastAsia" w:ascii="宋体" w:hAnsi="宋体" w:cs="宋体"/>
                <w:sz w:val="24"/>
              </w:rPr>
              <w:t>数量</w:t>
            </w:r>
          </w:p>
        </w:tc>
        <w:tc>
          <w:tcPr>
            <w:tcW w:w="945" w:type="dxa"/>
            <w:vAlign w:val="center"/>
          </w:tcPr>
          <w:p w14:paraId="6104168A">
            <w:pPr>
              <w:pStyle w:val="58"/>
              <w:jc w:val="center"/>
              <w:rPr>
                <w:rFonts w:ascii="宋体" w:hAnsi="宋体" w:cs="宋体"/>
                <w:sz w:val="24"/>
              </w:rPr>
            </w:pPr>
            <w:r>
              <w:rPr>
                <w:rFonts w:hint="eastAsia" w:ascii="宋体" w:hAnsi="宋体" w:cs="宋体"/>
                <w:sz w:val="24"/>
              </w:rPr>
              <w:t>单位</w:t>
            </w:r>
          </w:p>
        </w:tc>
        <w:tc>
          <w:tcPr>
            <w:tcW w:w="2775" w:type="dxa"/>
            <w:vAlign w:val="center"/>
          </w:tcPr>
          <w:p w14:paraId="2A168E08">
            <w:pPr>
              <w:pStyle w:val="58"/>
              <w:jc w:val="center"/>
              <w:rPr>
                <w:rFonts w:ascii="宋体" w:hAnsi="宋体" w:cs="宋体"/>
                <w:sz w:val="24"/>
              </w:rPr>
            </w:pPr>
            <w:r>
              <w:rPr>
                <w:rFonts w:hint="eastAsia" w:ascii="宋体" w:hAnsi="宋体" w:cs="宋体"/>
                <w:sz w:val="24"/>
              </w:rPr>
              <w:t>技术需求摘要</w:t>
            </w:r>
          </w:p>
        </w:tc>
        <w:tc>
          <w:tcPr>
            <w:tcW w:w="1443" w:type="dxa"/>
            <w:vAlign w:val="center"/>
          </w:tcPr>
          <w:p w14:paraId="46B8C039">
            <w:pPr>
              <w:pStyle w:val="58"/>
              <w:jc w:val="center"/>
              <w:rPr>
                <w:rFonts w:ascii="宋体" w:hAnsi="宋体" w:cs="宋体"/>
                <w:sz w:val="24"/>
              </w:rPr>
            </w:pPr>
            <w:r>
              <w:rPr>
                <w:rFonts w:hint="eastAsia" w:ascii="宋体" w:hAnsi="宋体" w:cs="宋体"/>
                <w:sz w:val="24"/>
              </w:rPr>
              <w:t>预算单价</w:t>
            </w:r>
          </w:p>
          <w:p w14:paraId="2AA2C9FB">
            <w:pPr>
              <w:pStyle w:val="58"/>
              <w:jc w:val="center"/>
              <w:rPr>
                <w:rFonts w:ascii="宋体" w:hAnsi="宋体" w:cs="宋体"/>
                <w:sz w:val="24"/>
              </w:rPr>
            </w:pPr>
            <w:r>
              <w:rPr>
                <w:rFonts w:hint="eastAsia" w:ascii="宋体" w:hAnsi="宋体" w:cs="宋体"/>
                <w:sz w:val="24"/>
              </w:rPr>
              <w:t>（万元/人民币）</w:t>
            </w:r>
          </w:p>
        </w:tc>
        <w:tc>
          <w:tcPr>
            <w:tcW w:w="1417" w:type="dxa"/>
            <w:vAlign w:val="center"/>
          </w:tcPr>
          <w:p w14:paraId="4AF383AF">
            <w:pPr>
              <w:pStyle w:val="58"/>
              <w:jc w:val="center"/>
              <w:rPr>
                <w:rFonts w:ascii="宋体" w:hAnsi="宋体" w:cs="宋体"/>
                <w:sz w:val="24"/>
              </w:rPr>
            </w:pPr>
            <w:r>
              <w:rPr>
                <w:rFonts w:hint="eastAsia" w:ascii="宋体" w:hAnsi="宋体" w:cs="宋体"/>
                <w:sz w:val="24"/>
              </w:rPr>
              <w:t>单项预算合计（万元/人民币）</w:t>
            </w:r>
          </w:p>
        </w:tc>
      </w:tr>
      <w:tr w14:paraId="1FF6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528" w:type="dxa"/>
            <w:vAlign w:val="center"/>
          </w:tcPr>
          <w:p w14:paraId="3EC537D8">
            <w:pPr>
              <w:pStyle w:val="58"/>
              <w:jc w:val="center"/>
              <w:rPr>
                <w:rFonts w:ascii="宋体" w:hAnsi="宋体" w:cs="宋体"/>
                <w:sz w:val="24"/>
              </w:rPr>
            </w:pPr>
            <w:r>
              <w:rPr>
                <w:rFonts w:hint="eastAsia" w:ascii="宋体" w:hAnsi="宋体" w:cs="宋体"/>
                <w:sz w:val="24"/>
              </w:rPr>
              <w:t>1</w:t>
            </w:r>
          </w:p>
        </w:tc>
        <w:tc>
          <w:tcPr>
            <w:tcW w:w="2122" w:type="dxa"/>
            <w:vAlign w:val="center"/>
          </w:tcPr>
          <w:p w14:paraId="4CE0A51D">
            <w:pPr>
              <w:jc w:val="center"/>
              <w:rPr>
                <w:rFonts w:ascii="宋体" w:hAnsi="宋体" w:cs="宋体"/>
                <w:sz w:val="24"/>
              </w:rPr>
            </w:pPr>
            <w:r>
              <w:rPr>
                <w:color w:val="000000"/>
                <w:szCs w:val="21"/>
              </w:rPr>
              <w:t>多功能酶标仪</w:t>
            </w:r>
          </w:p>
        </w:tc>
        <w:tc>
          <w:tcPr>
            <w:tcW w:w="900" w:type="dxa"/>
            <w:vAlign w:val="center"/>
          </w:tcPr>
          <w:p w14:paraId="04E9CE16">
            <w:pPr>
              <w:pStyle w:val="58"/>
              <w:jc w:val="center"/>
              <w:rPr>
                <w:rFonts w:ascii="宋体" w:hAnsi="宋体" w:cs="宋体"/>
                <w:sz w:val="24"/>
              </w:rPr>
            </w:pPr>
            <w:r>
              <w:rPr>
                <w:rFonts w:hint="eastAsia" w:ascii="宋体" w:hAnsi="宋体" w:cs="宋体"/>
                <w:sz w:val="24"/>
              </w:rPr>
              <w:t>1</w:t>
            </w:r>
          </w:p>
        </w:tc>
        <w:tc>
          <w:tcPr>
            <w:tcW w:w="945" w:type="dxa"/>
            <w:vAlign w:val="center"/>
          </w:tcPr>
          <w:p w14:paraId="5116999D">
            <w:pPr>
              <w:pStyle w:val="58"/>
              <w:jc w:val="center"/>
              <w:rPr>
                <w:rFonts w:ascii="宋体" w:hAnsi="宋体" w:cs="宋体"/>
                <w:sz w:val="24"/>
              </w:rPr>
            </w:pPr>
            <w:r>
              <w:rPr>
                <w:rFonts w:hint="eastAsia" w:ascii="宋体" w:hAnsi="宋体" w:cs="宋体"/>
                <w:sz w:val="24"/>
              </w:rPr>
              <w:t>台</w:t>
            </w:r>
          </w:p>
        </w:tc>
        <w:tc>
          <w:tcPr>
            <w:tcW w:w="2775" w:type="dxa"/>
            <w:vAlign w:val="center"/>
          </w:tcPr>
          <w:p w14:paraId="0D606DD2">
            <w:pPr>
              <w:pStyle w:val="58"/>
              <w:jc w:val="center"/>
              <w:rPr>
                <w:rFonts w:ascii="宋体" w:hAnsi="宋体" w:cs="宋体"/>
                <w:sz w:val="24"/>
              </w:rPr>
            </w:pPr>
            <w:r>
              <w:rPr>
                <w:rFonts w:ascii="宋体" w:hAnsi="宋体" w:cs="宋体"/>
                <w:sz w:val="24"/>
              </w:rPr>
              <w:t>具体详见采购需求</w:t>
            </w:r>
          </w:p>
        </w:tc>
        <w:tc>
          <w:tcPr>
            <w:tcW w:w="1443" w:type="dxa"/>
            <w:vAlign w:val="center"/>
          </w:tcPr>
          <w:p w14:paraId="14062E13">
            <w:pPr>
              <w:pStyle w:val="58"/>
              <w:jc w:val="center"/>
              <w:rPr>
                <w:rFonts w:ascii="宋体" w:hAnsi="宋体" w:cs="宋体"/>
                <w:sz w:val="24"/>
              </w:rPr>
            </w:pPr>
            <w:r>
              <w:rPr>
                <w:rFonts w:hint="eastAsia" w:ascii="宋体" w:hAnsi="宋体" w:cs="宋体"/>
                <w:sz w:val="24"/>
              </w:rPr>
              <w:t>39</w:t>
            </w:r>
          </w:p>
        </w:tc>
        <w:tc>
          <w:tcPr>
            <w:tcW w:w="1417" w:type="dxa"/>
            <w:vAlign w:val="center"/>
          </w:tcPr>
          <w:p w14:paraId="0C318389">
            <w:pPr>
              <w:pStyle w:val="58"/>
              <w:jc w:val="center"/>
              <w:rPr>
                <w:rFonts w:ascii="宋体" w:hAnsi="宋体" w:cs="宋体"/>
                <w:sz w:val="24"/>
              </w:rPr>
            </w:pPr>
            <w:r>
              <w:rPr>
                <w:rFonts w:hint="eastAsia" w:ascii="宋体" w:hAnsi="宋体" w:cs="宋体"/>
                <w:sz w:val="24"/>
              </w:rPr>
              <w:t>39</w:t>
            </w:r>
          </w:p>
        </w:tc>
      </w:tr>
      <w:tr w14:paraId="01A6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28" w:type="dxa"/>
            <w:vAlign w:val="center"/>
          </w:tcPr>
          <w:p w14:paraId="0A760C06">
            <w:pPr>
              <w:pStyle w:val="58"/>
              <w:jc w:val="center"/>
              <w:rPr>
                <w:rFonts w:ascii="宋体" w:hAnsi="宋体" w:cs="宋体"/>
                <w:sz w:val="24"/>
              </w:rPr>
            </w:pPr>
            <w:r>
              <w:rPr>
                <w:rFonts w:hint="eastAsia" w:ascii="宋体" w:hAnsi="宋体" w:cs="宋体"/>
                <w:sz w:val="24"/>
              </w:rPr>
              <w:t>2</w:t>
            </w:r>
          </w:p>
        </w:tc>
        <w:tc>
          <w:tcPr>
            <w:tcW w:w="2122" w:type="dxa"/>
            <w:vAlign w:val="center"/>
          </w:tcPr>
          <w:p w14:paraId="3C926933">
            <w:pPr>
              <w:jc w:val="center"/>
              <w:rPr>
                <w:rFonts w:ascii="宋体" w:hAnsi="宋体" w:cs="宋体"/>
                <w:sz w:val="24"/>
              </w:rPr>
            </w:pPr>
            <w:r>
              <w:rPr>
                <w:color w:val="000000"/>
                <w:szCs w:val="21"/>
              </w:rPr>
              <w:t>蛋白核酸定量设备</w:t>
            </w:r>
          </w:p>
        </w:tc>
        <w:tc>
          <w:tcPr>
            <w:tcW w:w="900" w:type="dxa"/>
            <w:vAlign w:val="center"/>
          </w:tcPr>
          <w:p w14:paraId="6CDB14FE">
            <w:pPr>
              <w:pStyle w:val="58"/>
              <w:jc w:val="center"/>
              <w:rPr>
                <w:rFonts w:ascii="宋体" w:hAnsi="宋体" w:cs="宋体"/>
                <w:sz w:val="24"/>
              </w:rPr>
            </w:pPr>
            <w:r>
              <w:rPr>
                <w:rFonts w:hint="eastAsia" w:ascii="宋体" w:hAnsi="宋体" w:cs="宋体"/>
                <w:sz w:val="24"/>
              </w:rPr>
              <w:t>2</w:t>
            </w:r>
          </w:p>
        </w:tc>
        <w:tc>
          <w:tcPr>
            <w:tcW w:w="945" w:type="dxa"/>
            <w:vAlign w:val="center"/>
          </w:tcPr>
          <w:p w14:paraId="63D7B2D5">
            <w:pPr>
              <w:pStyle w:val="58"/>
              <w:jc w:val="center"/>
              <w:rPr>
                <w:rFonts w:ascii="宋体" w:hAnsi="宋体" w:cs="宋体"/>
                <w:sz w:val="24"/>
              </w:rPr>
            </w:pPr>
            <w:r>
              <w:rPr>
                <w:rFonts w:hint="eastAsia" w:ascii="宋体" w:hAnsi="宋体" w:cs="宋体"/>
                <w:sz w:val="24"/>
              </w:rPr>
              <w:t>台</w:t>
            </w:r>
          </w:p>
        </w:tc>
        <w:tc>
          <w:tcPr>
            <w:tcW w:w="2775" w:type="dxa"/>
          </w:tcPr>
          <w:p w14:paraId="366B8B0C">
            <w:pPr>
              <w:jc w:val="center"/>
              <w:rPr>
                <w:rFonts w:ascii="宋体" w:hAnsi="宋体" w:cs="宋体"/>
                <w:sz w:val="24"/>
              </w:rPr>
            </w:pPr>
            <w:r>
              <w:rPr>
                <w:rFonts w:ascii="宋体" w:hAnsi="宋体" w:cs="宋体"/>
                <w:sz w:val="24"/>
              </w:rPr>
              <w:t>具体详见采购需求</w:t>
            </w:r>
          </w:p>
        </w:tc>
        <w:tc>
          <w:tcPr>
            <w:tcW w:w="1443" w:type="dxa"/>
            <w:vAlign w:val="center"/>
          </w:tcPr>
          <w:p w14:paraId="11B37628">
            <w:pPr>
              <w:pStyle w:val="58"/>
              <w:jc w:val="center"/>
              <w:rPr>
                <w:rFonts w:ascii="宋体" w:hAnsi="宋体" w:cs="宋体"/>
                <w:sz w:val="24"/>
              </w:rPr>
            </w:pPr>
            <w:r>
              <w:rPr>
                <w:rFonts w:hint="eastAsia" w:ascii="宋体" w:hAnsi="宋体" w:cs="宋体"/>
                <w:sz w:val="24"/>
              </w:rPr>
              <w:t>20</w:t>
            </w:r>
          </w:p>
        </w:tc>
        <w:tc>
          <w:tcPr>
            <w:tcW w:w="1417" w:type="dxa"/>
            <w:vAlign w:val="center"/>
          </w:tcPr>
          <w:p w14:paraId="5618F7BC">
            <w:pPr>
              <w:pStyle w:val="58"/>
              <w:jc w:val="center"/>
              <w:rPr>
                <w:rFonts w:ascii="宋体" w:hAnsi="宋体" w:cs="宋体"/>
                <w:sz w:val="24"/>
              </w:rPr>
            </w:pPr>
            <w:r>
              <w:rPr>
                <w:rFonts w:hint="eastAsia" w:ascii="宋体" w:hAnsi="宋体" w:cs="宋体"/>
                <w:sz w:val="24"/>
              </w:rPr>
              <w:t>40</w:t>
            </w:r>
          </w:p>
        </w:tc>
      </w:tr>
      <w:tr w14:paraId="53FE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39976BE0">
            <w:pPr>
              <w:pStyle w:val="58"/>
              <w:jc w:val="center"/>
              <w:rPr>
                <w:rFonts w:ascii="宋体" w:hAnsi="宋体" w:cs="宋体"/>
                <w:sz w:val="24"/>
              </w:rPr>
            </w:pPr>
            <w:r>
              <w:rPr>
                <w:rFonts w:hint="eastAsia" w:ascii="宋体" w:hAnsi="宋体" w:cs="宋体"/>
                <w:sz w:val="24"/>
              </w:rPr>
              <w:t>3</w:t>
            </w:r>
          </w:p>
        </w:tc>
        <w:tc>
          <w:tcPr>
            <w:tcW w:w="2122" w:type="dxa"/>
            <w:vAlign w:val="center"/>
          </w:tcPr>
          <w:p w14:paraId="3E18100F">
            <w:pPr>
              <w:jc w:val="center"/>
              <w:rPr>
                <w:rFonts w:ascii="宋体" w:hAnsi="宋体" w:cs="宋体"/>
                <w:sz w:val="24"/>
              </w:rPr>
            </w:pPr>
            <w:r>
              <w:rPr>
                <w:szCs w:val="21"/>
              </w:rPr>
              <w:t>冷冻切片系统</w:t>
            </w:r>
          </w:p>
        </w:tc>
        <w:tc>
          <w:tcPr>
            <w:tcW w:w="900" w:type="dxa"/>
            <w:vAlign w:val="center"/>
          </w:tcPr>
          <w:p w14:paraId="7122EE64">
            <w:pPr>
              <w:pStyle w:val="58"/>
              <w:jc w:val="center"/>
              <w:rPr>
                <w:rFonts w:ascii="宋体" w:hAnsi="宋体" w:cs="宋体"/>
                <w:sz w:val="24"/>
              </w:rPr>
            </w:pPr>
            <w:r>
              <w:rPr>
                <w:rFonts w:hint="eastAsia" w:ascii="宋体" w:hAnsi="宋体" w:cs="宋体"/>
                <w:sz w:val="24"/>
              </w:rPr>
              <w:t>1</w:t>
            </w:r>
          </w:p>
        </w:tc>
        <w:tc>
          <w:tcPr>
            <w:tcW w:w="945" w:type="dxa"/>
            <w:vAlign w:val="center"/>
          </w:tcPr>
          <w:p w14:paraId="13D72547">
            <w:pPr>
              <w:pStyle w:val="58"/>
              <w:jc w:val="center"/>
              <w:rPr>
                <w:rFonts w:ascii="宋体" w:hAnsi="宋体" w:cs="宋体"/>
                <w:sz w:val="24"/>
              </w:rPr>
            </w:pPr>
            <w:r>
              <w:rPr>
                <w:rFonts w:hint="eastAsia" w:ascii="宋体" w:hAnsi="宋体" w:cs="宋体"/>
                <w:sz w:val="24"/>
              </w:rPr>
              <w:t>套</w:t>
            </w:r>
          </w:p>
        </w:tc>
        <w:tc>
          <w:tcPr>
            <w:tcW w:w="2775" w:type="dxa"/>
          </w:tcPr>
          <w:p w14:paraId="7C9A13DA">
            <w:pPr>
              <w:jc w:val="center"/>
              <w:rPr>
                <w:rFonts w:ascii="宋体" w:hAnsi="宋体" w:cs="宋体"/>
                <w:sz w:val="24"/>
              </w:rPr>
            </w:pPr>
            <w:r>
              <w:rPr>
                <w:rFonts w:ascii="宋体" w:hAnsi="宋体" w:cs="宋体"/>
                <w:sz w:val="24"/>
              </w:rPr>
              <w:t>具体详见采购需求</w:t>
            </w:r>
          </w:p>
        </w:tc>
        <w:tc>
          <w:tcPr>
            <w:tcW w:w="1443" w:type="dxa"/>
            <w:vAlign w:val="center"/>
          </w:tcPr>
          <w:p w14:paraId="4F0CD7E1">
            <w:pPr>
              <w:pStyle w:val="58"/>
              <w:jc w:val="center"/>
              <w:rPr>
                <w:rFonts w:ascii="宋体" w:hAnsi="宋体" w:cs="宋体"/>
                <w:sz w:val="24"/>
              </w:rPr>
            </w:pPr>
            <w:r>
              <w:rPr>
                <w:rFonts w:hint="eastAsia" w:ascii="宋体" w:hAnsi="宋体" w:cs="宋体"/>
                <w:sz w:val="24"/>
              </w:rPr>
              <w:t>34</w:t>
            </w:r>
          </w:p>
        </w:tc>
        <w:tc>
          <w:tcPr>
            <w:tcW w:w="1417" w:type="dxa"/>
            <w:vAlign w:val="center"/>
          </w:tcPr>
          <w:p w14:paraId="36927B2F">
            <w:pPr>
              <w:pStyle w:val="58"/>
              <w:jc w:val="center"/>
              <w:rPr>
                <w:rFonts w:ascii="宋体" w:hAnsi="宋体" w:cs="宋体"/>
                <w:sz w:val="24"/>
              </w:rPr>
            </w:pPr>
            <w:r>
              <w:rPr>
                <w:rFonts w:hint="eastAsia" w:ascii="宋体" w:hAnsi="宋体" w:cs="宋体"/>
                <w:sz w:val="24"/>
              </w:rPr>
              <w:t>34</w:t>
            </w:r>
          </w:p>
        </w:tc>
      </w:tr>
      <w:tr w14:paraId="7AA3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39FEA035">
            <w:pPr>
              <w:pStyle w:val="58"/>
              <w:jc w:val="center"/>
              <w:rPr>
                <w:rFonts w:ascii="宋体" w:hAnsi="宋体" w:cs="宋体"/>
                <w:sz w:val="24"/>
              </w:rPr>
            </w:pPr>
            <w:r>
              <w:rPr>
                <w:rFonts w:hint="eastAsia" w:ascii="宋体" w:hAnsi="宋体" w:cs="宋体"/>
                <w:sz w:val="24"/>
              </w:rPr>
              <w:t>4</w:t>
            </w:r>
          </w:p>
        </w:tc>
        <w:tc>
          <w:tcPr>
            <w:tcW w:w="2122" w:type="dxa"/>
            <w:vAlign w:val="center"/>
          </w:tcPr>
          <w:p w14:paraId="567A28D7">
            <w:pPr>
              <w:jc w:val="center"/>
              <w:rPr>
                <w:rFonts w:ascii="宋体" w:hAnsi="宋体" w:cs="宋体"/>
                <w:sz w:val="24"/>
              </w:rPr>
            </w:pPr>
            <w:r>
              <w:rPr>
                <w:color w:val="000000"/>
                <w:szCs w:val="21"/>
              </w:rPr>
              <w:t>液氮罐</w:t>
            </w:r>
          </w:p>
        </w:tc>
        <w:tc>
          <w:tcPr>
            <w:tcW w:w="900" w:type="dxa"/>
            <w:vAlign w:val="center"/>
          </w:tcPr>
          <w:p w14:paraId="5B5C1FB7">
            <w:pPr>
              <w:pStyle w:val="58"/>
              <w:jc w:val="center"/>
              <w:rPr>
                <w:rFonts w:ascii="宋体" w:hAnsi="宋体" w:cs="宋体"/>
                <w:sz w:val="24"/>
              </w:rPr>
            </w:pPr>
            <w:r>
              <w:rPr>
                <w:rFonts w:hint="eastAsia" w:ascii="宋体" w:hAnsi="宋体" w:cs="宋体"/>
                <w:sz w:val="24"/>
              </w:rPr>
              <w:t>2</w:t>
            </w:r>
          </w:p>
        </w:tc>
        <w:tc>
          <w:tcPr>
            <w:tcW w:w="945" w:type="dxa"/>
            <w:vAlign w:val="center"/>
          </w:tcPr>
          <w:p w14:paraId="1381A87E">
            <w:pPr>
              <w:pStyle w:val="58"/>
              <w:jc w:val="center"/>
              <w:rPr>
                <w:rFonts w:ascii="宋体" w:hAnsi="宋体" w:cs="宋体"/>
                <w:sz w:val="24"/>
              </w:rPr>
            </w:pPr>
            <w:r>
              <w:rPr>
                <w:rFonts w:hint="eastAsia" w:ascii="宋体" w:hAnsi="宋体" w:cs="宋体"/>
                <w:sz w:val="24"/>
              </w:rPr>
              <w:t>个</w:t>
            </w:r>
          </w:p>
        </w:tc>
        <w:tc>
          <w:tcPr>
            <w:tcW w:w="2775" w:type="dxa"/>
          </w:tcPr>
          <w:p w14:paraId="122B2837">
            <w:pPr>
              <w:jc w:val="center"/>
              <w:rPr>
                <w:rFonts w:ascii="宋体" w:hAnsi="宋体" w:cs="宋体"/>
                <w:sz w:val="24"/>
              </w:rPr>
            </w:pPr>
            <w:r>
              <w:rPr>
                <w:rFonts w:ascii="宋体" w:hAnsi="宋体" w:cs="宋体"/>
                <w:sz w:val="24"/>
              </w:rPr>
              <w:t>具体详见采购需求</w:t>
            </w:r>
          </w:p>
        </w:tc>
        <w:tc>
          <w:tcPr>
            <w:tcW w:w="1443" w:type="dxa"/>
            <w:vAlign w:val="center"/>
          </w:tcPr>
          <w:p w14:paraId="3FA37C46">
            <w:pPr>
              <w:pStyle w:val="58"/>
              <w:jc w:val="center"/>
              <w:rPr>
                <w:rFonts w:ascii="宋体" w:hAnsi="宋体" w:cs="宋体"/>
                <w:sz w:val="24"/>
              </w:rPr>
            </w:pPr>
            <w:r>
              <w:rPr>
                <w:rFonts w:hint="eastAsia" w:ascii="宋体" w:hAnsi="宋体" w:cs="宋体"/>
                <w:sz w:val="24"/>
              </w:rPr>
              <w:t>6</w:t>
            </w:r>
          </w:p>
        </w:tc>
        <w:tc>
          <w:tcPr>
            <w:tcW w:w="1417" w:type="dxa"/>
            <w:vAlign w:val="center"/>
          </w:tcPr>
          <w:p w14:paraId="34C4CDDA">
            <w:pPr>
              <w:pStyle w:val="58"/>
              <w:jc w:val="center"/>
              <w:rPr>
                <w:rFonts w:ascii="宋体" w:hAnsi="宋体" w:cs="宋体"/>
                <w:sz w:val="24"/>
              </w:rPr>
            </w:pPr>
            <w:r>
              <w:rPr>
                <w:rFonts w:hint="eastAsia" w:ascii="宋体" w:hAnsi="宋体" w:cs="宋体"/>
                <w:sz w:val="24"/>
              </w:rPr>
              <w:t>12</w:t>
            </w:r>
          </w:p>
        </w:tc>
      </w:tr>
      <w:tr w14:paraId="43B5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6791FA31">
            <w:pPr>
              <w:pStyle w:val="58"/>
              <w:jc w:val="center"/>
              <w:rPr>
                <w:rFonts w:ascii="宋体" w:hAnsi="宋体" w:cs="宋体"/>
                <w:sz w:val="24"/>
              </w:rPr>
            </w:pPr>
            <w:r>
              <w:rPr>
                <w:rFonts w:hint="eastAsia" w:ascii="宋体" w:hAnsi="宋体" w:cs="宋体"/>
                <w:sz w:val="24"/>
              </w:rPr>
              <w:t>5</w:t>
            </w:r>
          </w:p>
        </w:tc>
        <w:tc>
          <w:tcPr>
            <w:tcW w:w="2122" w:type="dxa"/>
            <w:vAlign w:val="center"/>
          </w:tcPr>
          <w:p w14:paraId="6E0865BA">
            <w:pPr>
              <w:jc w:val="center"/>
              <w:rPr>
                <w:rFonts w:ascii="宋体" w:hAnsi="宋体" w:cs="宋体"/>
                <w:sz w:val="24"/>
              </w:rPr>
            </w:pPr>
            <w:r>
              <w:rPr>
                <w:szCs w:val="21"/>
              </w:rPr>
              <w:t>三维冷冻研磨仪</w:t>
            </w:r>
          </w:p>
        </w:tc>
        <w:tc>
          <w:tcPr>
            <w:tcW w:w="900" w:type="dxa"/>
            <w:vAlign w:val="center"/>
          </w:tcPr>
          <w:p w14:paraId="133CCB92">
            <w:pPr>
              <w:pStyle w:val="58"/>
              <w:jc w:val="center"/>
              <w:rPr>
                <w:rFonts w:ascii="宋体" w:hAnsi="宋体" w:cs="宋体"/>
                <w:sz w:val="24"/>
              </w:rPr>
            </w:pPr>
            <w:r>
              <w:rPr>
                <w:rFonts w:hint="eastAsia" w:ascii="宋体" w:hAnsi="宋体" w:cs="宋体"/>
                <w:sz w:val="24"/>
              </w:rPr>
              <w:t>1</w:t>
            </w:r>
          </w:p>
        </w:tc>
        <w:tc>
          <w:tcPr>
            <w:tcW w:w="945" w:type="dxa"/>
            <w:vAlign w:val="center"/>
          </w:tcPr>
          <w:p w14:paraId="76E0C27B">
            <w:pPr>
              <w:pStyle w:val="58"/>
              <w:jc w:val="center"/>
              <w:rPr>
                <w:rFonts w:ascii="宋体" w:hAnsi="宋体" w:cs="宋体"/>
                <w:sz w:val="24"/>
              </w:rPr>
            </w:pPr>
            <w:r>
              <w:rPr>
                <w:rFonts w:hint="eastAsia" w:ascii="宋体" w:hAnsi="宋体" w:cs="宋体"/>
                <w:sz w:val="24"/>
              </w:rPr>
              <w:t>台</w:t>
            </w:r>
          </w:p>
        </w:tc>
        <w:tc>
          <w:tcPr>
            <w:tcW w:w="2775" w:type="dxa"/>
          </w:tcPr>
          <w:p w14:paraId="47A554BF">
            <w:pPr>
              <w:jc w:val="center"/>
              <w:rPr>
                <w:rFonts w:ascii="宋体" w:hAnsi="宋体" w:cs="宋体"/>
                <w:sz w:val="24"/>
              </w:rPr>
            </w:pPr>
            <w:r>
              <w:rPr>
                <w:rFonts w:ascii="宋体" w:hAnsi="宋体" w:cs="宋体"/>
                <w:sz w:val="24"/>
              </w:rPr>
              <w:t>具体详见采购需求</w:t>
            </w:r>
          </w:p>
        </w:tc>
        <w:tc>
          <w:tcPr>
            <w:tcW w:w="1443" w:type="dxa"/>
            <w:vAlign w:val="center"/>
          </w:tcPr>
          <w:p w14:paraId="2C23D184">
            <w:pPr>
              <w:pStyle w:val="58"/>
              <w:jc w:val="center"/>
              <w:rPr>
                <w:rFonts w:ascii="宋体" w:hAnsi="宋体" w:cs="宋体"/>
                <w:sz w:val="24"/>
              </w:rPr>
            </w:pPr>
            <w:r>
              <w:rPr>
                <w:rFonts w:hint="eastAsia" w:ascii="宋体" w:hAnsi="宋体" w:cs="宋体"/>
                <w:sz w:val="24"/>
              </w:rPr>
              <w:t>6</w:t>
            </w:r>
          </w:p>
        </w:tc>
        <w:tc>
          <w:tcPr>
            <w:tcW w:w="1417" w:type="dxa"/>
            <w:vAlign w:val="center"/>
          </w:tcPr>
          <w:p w14:paraId="4DD59ECE">
            <w:pPr>
              <w:pStyle w:val="58"/>
              <w:jc w:val="center"/>
              <w:rPr>
                <w:rFonts w:hint="default" w:ascii="宋体" w:hAnsi="宋体" w:eastAsia="宋体" w:cs="宋体"/>
                <w:sz w:val="24"/>
                <w:lang w:val="en-US" w:eastAsia="zh-CN"/>
              </w:rPr>
            </w:pPr>
            <w:r>
              <w:rPr>
                <w:rFonts w:hint="eastAsia" w:ascii="宋体" w:hAnsi="宋体" w:cs="宋体"/>
                <w:sz w:val="24"/>
              </w:rPr>
              <w:t>6</w:t>
            </w:r>
          </w:p>
        </w:tc>
      </w:tr>
      <w:tr w14:paraId="530E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488326BF">
            <w:pPr>
              <w:pStyle w:val="58"/>
              <w:jc w:val="center"/>
              <w:rPr>
                <w:rFonts w:ascii="宋体" w:hAnsi="宋体" w:cs="宋体"/>
                <w:sz w:val="24"/>
              </w:rPr>
            </w:pPr>
            <w:r>
              <w:rPr>
                <w:rFonts w:hint="eastAsia" w:ascii="宋体" w:hAnsi="宋体" w:cs="宋体"/>
                <w:sz w:val="24"/>
              </w:rPr>
              <w:t>6</w:t>
            </w:r>
          </w:p>
        </w:tc>
        <w:tc>
          <w:tcPr>
            <w:tcW w:w="2122" w:type="dxa"/>
            <w:vAlign w:val="center"/>
          </w:tcPr>
          <w:p w14:paraId="7668122C">
            <w:pPr>
              <w:jc w:val="center"/>
              <w:rPr>
                <w:rFonts w:ascii="宋体" w:hAnsi="宋体" w:cs="宋体"/>
                <w:sz w:val="24"/>
              </w:rPr>
            </w:pPr>
            <w:r>
              <w:rPr>
                <w:color w:val="000000"/>
                <w:szCs w:val="21"/>
              </w:rPr>
              <w:t>全自动石蜡切片机</w:t>
            </w:r>
          </w:p>
        </w:tc>
        <w:tc>
          <w:tcPr>
            <w:tcW w:w="900" w:type="dxa"/>
            <w:vAlign w:val="center"/>
          </w:tcPr>
          <w:p w14:paraId="4B32DB4B">
            <w:pPr>
              <w:pStyle w:val="58"/>
              <w:jc w:val="center"/>
              <w:rPr>
                <w:rFonts w:ascii="宋体" w:hAnsi="宋体" w:cs="宋体"/>
                <w:sz w:val="24"/>
              </w:rPr>
            </w:pPr>
            <w:r>
              <w:rPr>
                <w:rFonts w:hint="eastAsia" w:ascii="宋体" w:hAnsi="宋体" w:cs="宋体"/>
                <w:sz w:val="24"/>
              </w:rPr>
              <w:t>1</w:t>
            </w:r>
          </w:p>
        </w:tc>
        <w:tc>
          <w:tcPr>
            <w:tcW w:w="945" w:type="dxa"/>
            <w:vAlign w:val="center"/>
          </w:tcPr>
          <w:p w14:paraId="27B383F1">
            <w:pPr>
              <w:pStyle w:val="58"/>
              <w:jc w:val="center"/>
              <w:rPr>
                <w:rFonts w:ascii="宋体" w:hAnsi="宋体" w:cs="宋体"/>
                <w:sz w:val="24"/>
              </w:rPr>
            </w:pPr>
            <w:r>
              <w:rPr>
                <w:rFonts w:hint="eastAsia" w:ascii="宋体" w:hAnsi="宋体" w:cs="宋体"/>
                <w:sz w:val="24"/>
              </w:rPr>
              <w:t>台</w:t>
            </w:r>
          </w:p>
        </w:tc>
        <w:tc>
          <w:tcPr>
            <w:tcW w:w="2775" w:type="dxa"/>
          </w:tcPr>
          <w:p w14:paraId="11591E28">
            <w:pPr>
              <w:jc w:val="center"/>
              <w:rPr>
                <w:rFonts w:ascii="宋体" w:hAnsi="宋体" w:cs="宋体"/>
                <w:sz w:val="24"/>
              </w:rPr>
            </w:pPr>
            <w:r>
              <w:rPr>
                <w:rFonts w:ascii="宋体" w:hAnsi="宋体" w:cs="宋体"/>
                <w:sz w:val="24"/>
              </w:rPr>
              <w:t>具体详见采购需求</w:t>
            </w:r>
          </w:p>
        </w:tc>
        <w:tc>
          <w:tcPr>
            <w:tcW w:w="1443" w:type="dxa"/>
            <w:vAlign w:val="center"/>
          </w:tcPr>
          <w:p w14:paraId="3FD3830C">
            <w:pPr>
              <w:pStyle w:val="58"/>
              <w:jc w:val="center"/>
              <w:rPr>
                <w:rFonts w:ascii="宋体" w:hAnsi="宋体" w:cs="宋体"/>
                <w:sz w:val="24"/>
              </w:rPr>
            </w:pPr>
            <w:r>
              <w:rPr>
                <w:rFonts w:hint="eastAsia" w:ascii="宋体" w:hAnsi="宋体" w:cs="宋体"/>
                <w:sz w:val="24"/>
              </w:rPr>
              <w:t>14</w:t>
            </w:r>
          </w:p>
        </w:tc>
        <w:tc>
          <w:tcPr>
            <w:tcW w:w="1417" w:type="dxa"/>
            <w:vAlign w:val="center"/>
          </w:tcPr>
          <w:p w14:paraId="7CAFF1D3">
            <w:pPr>
              <w:pStyle w:val="58"/>
              <w:jc w:val="center"/>
              <w:rPr>
                <w:rFonts w:ascii="宋体" w:hAnsi="宋体" w:cs="宋体"/>
                <w:sz w:val="24"/>
              </w:rPr>
            </w:pPr>
            <w:r>
              <w:rPr>
                <w:rFonts w:hint="eastAsia" w:ascii="宋体" w:hAnsi="宋体" w:cs="宋体"/>
                <w:sz w:val="24"/>
              </w:rPr>
              <w:t>14</w:t>
            </w:r>
          </w:p>
        </w:tc>
      </w:tr>
      <w:tr w14:paraId="42087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057E31E0">
            <w:pPr>
              <w:pStyle w:val="58"/>
              <w:jc w:val="center"/>
              <w:rPr>
                <w:rFonts w:ascii="宋体" w:hAnsi="宋体" w:cs="宋体"/>
                <w:sz w:val="24"/>
              </w:rPr>
            </w:pPr>
            <w:r>
              <w:rPr>
                <w:rFonts w:hint="eastAsia" w:ascii="宋体" w:hAnsi="宋体" w:cs="宋体"/>
                <w:sz w:val="24"/>
              </w:rPr>
              <w:t>7</w:t>
            </w:r>
          </w:p>
        </w:tc>
        <w:tc>
          <w:tcPr>
            <w:tcW w:w="2122" w:type="dxa"/>
            <w:vAlign w:val="center"/>
          </w:tcPr>
          <w:p w14:paraId="0492BA3C">
            <w:pPr>
              <w:jc w:val="center"/>
              <w:rPr>
                <w:rFonts w:ascii="宋体" w:hAnsi="宋体" w:cs="宋体"/>
                <w:sz w:val="24"/>
              </w:rPr>
            </w:pPr>
            <w:r>
              <w:rPr>
                <w:color w:val="000000"/>
                <w:szCs w:val="21"/>
              </w:rPr>
              <w:t>生物安全柜</w:t>
            </w:r>
          </w:p>
        </w:tc>
        <w:tc>
          <w:tcPr>
            <w:tcW w:w="900" w:type="dxa"/>
            <w:vAlign w:val="center"/>
          </w:tcPr>
          <w:p w14:paraId="2ECF1642">
            <w:pPr>
              <w:pStyle w:val="58"/>
              <w:jc w:val="center"/>
              <w:rPr>
                <w:rFonts w:ascii="宋体" w:hAnsi="宋体" w:cs="宋体"/>
                <w:sz w:val="24"/>
              </w:rPr>
            </w:pPr>
            <w:r>
              <w:rPr>
                <w:rFonts w:hint="eastAsia" w:ascii="宋体" w:hAnsi="宋体" w:cs="宋体"/>
                <w:sz w:val="24"/>
              </w:rPr>
              <w:t>2</w:t>
            </w:r>
          </w:p>
        </w:tc>
        <w:tc>
          <w:tcPr>
            <w:tcW w:w="945" w:type="dxa"/>
            <w:vAlign w:val="center"/>
          </w:tcPr>
          <w:p w14:paraId="36364496">
            <w:pPr>
              <w:pStyle w:val="58"/>
              <w:jc w:val="center"/>
              <w:rPr>
                <w:rFonts w:ascii="宋体" w:hAnsi="宋体" w:cs="宋体"/>
                <w:sz w:val="24"/>
              </w:rPr>
            </w:pPr>
            <w:r>
              <w:rPr>
                <w:rFonts w:hint="eastAsia" w:ascii="宋体" w:hAnsi="宋体" w:cs="宋体"/>
                <w:sz w:val="24"/>
              </w:rPr>
              <w:t>个</w:t>
            </w:r>
          </w:p>
        </w:tc>
        <w:tc>
          <w:tcPr>
            <w:tcW w:w="2775" w:type="dxa"/>
          </w:tcPr>
          <w:p w14:paraId="2F5D48F0">
            <w:pPr>
              <w:jc w:val="center"/>
              <w:rPr>
                <w:rFonts w:ascii="宋体" w:hAnsi="宋体" w:cs="宋体"/>
                <w:sz w:val="24"/>
              </w:rPr>
            </w:pPr>
            <w:r>
              <w:rPr>
                <w:rFonts w:ascii="宋体" w:hAnsi="宋体" w:cs="宋体"/>
                <w:sz w:val="24"/>
              </w:rPr>
              <w:t>具体详见采购需求</w:t>
            </w:r>
          </w:p>
        </w:tc>
        <w:tc>
          <w:tcPr>
            <w:tcW w:w="1443" w:type="dxa"/>
            <w:vAlign w:val="center"/>
          </w:tcPr>
          <w:p w14:paraId="355BF424">
            <w:pPr>
              <w:pStyle w:val="58"/>
              <w:jc w:val="center"/>
              <w:rPr>
                <w:rFonts w:ascii="宋体" w:hAnsi="宋体" w:cs="宋体"/>
                <w:sz w:val="24"/>
              </w:rPr>
            </w:pPr>
            <w:r>
              <w:rPr>
                <w:rFonts w:hint="eastAsia" w:ascii="宋体" w:hAnsi="宋体" w:cs="宋体"/>
                <w:sz w:val="24"/>
              </w:rPr>
              <w:t>9</w:t>
            </w:r>
          </w:p>
        </w:tc>
        <w:tc>
          <w:tcPr>
            <w:tcW w:w="1417" w:type="dxa"/>
            <w:vAlign w:val="center"/>
          </w:tcPr>
          <w:p w14:paraId="3807F7D6">
            <w:pPr>
              <w:pStyle w:val="58"/>
              <w:jc w:val="center"/>
              <w:rPr>
                <w:rFonts w:ascii="宋体" w:hAnsi="宋体" w:cs="宋体"/>
                <w:sz w:val="24"/>
              </w:rPr>
            </w:pPr>
            <w:r>
              <w:rPr>
                <w:rFonts w:hint="eastAsia" w:ascii="宋体" w:hAnsi="宋体" w:cs="宋体"/>
                <w:sz w:val="24"/>
              </w:rPr>
              <w:t>18</w:t>
            </w:r>
          </w:p>
        </w:tc>
      </w:tr>
      <w:tr w14:paraId="5058E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41EA1FB2">
            <w:pPr>
              <w:pStyle w:val="58"/>
              <w:jc w:val="center"/>
              <w:rPr>
                <w:rFonts w:ascii="宋体" w:hAnsi="宋体" w:cs="宋体"/>
                <w:sz w:val="24"/>
              </w:rPr>
            </w:pPr>
            <w:r>
              <w:rPr>
                <w:rFonts w:hint="eastAsia" w:ascii="宋体" w:hAnsi="宋体" w:cs="宋体"/>
                <w:sz w:val="24"/>
              </w:rPr>
              <w:t>8</w:t>
            </w:r>
          </w:p>
        </w:tc>
        <w:tc>
          <w:tcPr>
            <w:tcW w:w="2122" w:type="dxa"/>
            <w:vAlign w:val="center"/>
          </w:tcPr>
          <w:p w14:paraId="25E0CE6C">
            <w:pPr>
              <w:jc w:val="center"/>
              <w:rPr>
                <w:rFonts w:ascii="宋体" w:hAnsi="宋体" w:cs="宋体"/>
                <w:sz w:val="24"/>
              </w:rPr>
            </w:pPr>
            <w:r>
              <w:rPr>
                <w:color w:val="000000"/>
                <w:szCs w:val="21"/>
              </w:rPr>
              <w:t>细胞二氧化碳培养箱</w:t>
            </w:r>
          </w:p>
        </w:tc>
        <w:tc>
          <w:tcPr>
            <w:tcW w:w="900" w:type="dxa"/>
            <w:vAlign w:val="center"/>
          </w:tcPr>
          <w:p w14:paraId="275ABEE6">
            <w:pPr>
              <w:pStyle w:val="58"/>
              <w:jc w:val="center"/>
              <w:rPr>
                <w:rFonts w:ascii="宋体" w:hAnsi="宋体" w:cs="宋体"/>
                <w:sz w:val="24"/>
              </w:rPr>
            </w:pPr>
            <w:r>
              <w:rPr>
                <w:rFonts w:hint="eastAsia" w:ascii="宋体" w:hAnsi="宋体" w:cs="宋体"/>
                <w:sz w:val="24"/>
              </w:rPr>
              <w:t>3</w:t>
            </w:r>
          </w:p>
        </w:tc>
        <w:tc>
          <w:tcPr>
            <w:tcW w:w="945" w:type="dxa"/>
            <w:vAlign w:val="center"/>
          </w:tcPr>
          <w:p w14:paraId="507F0753">
            <w:pPr>
              <w:pStyle w:val="58"/>
              <w:jc w:val="center"/>
              <w:rPr>
                <w:rFonts w:ascii="宋体" w:hAnsi="宋体" w:cs="宋体"/>
                <w:sz w:val="24"/>
              </w:rPr>
            </w:pPr>
            <w:r>
              <w:rPr>
                <w:rFonts w:hint="eastAsia" w:ascii="宋体" w:hAnsi="宋体" w:cs="宋体"/>
                <w:sz w:val="24"/>
              </w:rPr>
              <w:t>台</w:t>
            </w:r>
          </w:p>
        </w:tc>
        <w:tc>
          <w:tcPr>
            <w:tcW w:w="2775" w:type="dxa"/>
          </w:tcPr>
          <w:p w14:paraId="3C4CD1D2">
            <w:pPr>
              <w:jc w:val="center"/>
              <w:rPr>
                <w:rFonts w:ascii="宋体" w:hAnsi="宋体" w:cs="宋体"/>
                <w:sz w:val="24"/>
              </w:rPr>
            </w:pPr>
            <w:r>
              <w:rPr>
                <w:rFonts w:ascii="宋体" w:hAnsi="宋体" w:cs="宋体"/>
                <w:sz w:val="24"/>
              </w:rPr>
              <w:t>具体详见采购需求</w:t>
            </w:r>
          </w:p>
        </w:tc>
        <w:tc>
          <w:tcPr>
            <w:tcW w:w="1443" w:type="dxa"/>
            <w:vAlign w:val="center"/>
          </w:tcPr>
          <w:p w14:paraId="0EF5A6E7">
            <w:pPr>
              <w:pStyle w:val="58"/>
              <w:jc w:val="center"/>
              <w:rPr>
                <w:rFonts w:ascii="宋体" w:hAnsi="宋体" w:cs="宋体"/>
                <w:sz w:val="24"/>
              </w:rPr>
            </w:pPr>
            <w:r>
              <w:rPr>
                <w:rFonts w:hint="eastAsia" w:ascii="宋体" w:hAnsi="宋体" w:cs="宋体"/>
                <w:sz w:val="24"/>
              </w:rPr>
              <w:t>9</w:t>
            </w:r>
          </w:p>
        </w:tc>
        <w:tc>
          <w:tcPr>
            <w:tcW w:w="1417" w:type="dxa"/>
            <w:vAlign w:val="center"/>
          </w:tcPr>
          <w:p w14:paraId="5B09A992">
            <w:pPr>
              <w:pStyle w:val="58"/>
              <w:jc w:val="center"/>
              <w:rPr>
                <w:rFonts w:ascii="宋体" w:hAnsi="宋体" w:cs="宋体"/>
                <w:sz w:val="24"/>
              </w:rPr>
            </w:pPr>
            <w:r>
              <w:rPr>
                <w:rFonts w:hint="eastAsia" w:ascii="宋体" w:hAnsi="宋体" w:cs="宋体"/>
                <w:sz w:val="24"/>
              </w:rPr>
              <w:t>27</w:t>
            </w:r>
          </w:p>
        </w:tc>
      </w:tr>
      <w:tr w14:paraId="301B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37C838E9">
            <w:pPr>
              <w:pStyle w:val="58"/>
              <w:jc w:val="center"/>
              <w:rPr>
                <w:rFonts w:ascii="宋体" w:hAnsi="宋体" w:cs="宋体"/>
                <w:sz w:val="24"/>
              </w:rPr>
            </w:pPr>
            <w:r>
              <w:rPr>
                <w:rFonts w:hint="eastAsia" w:ascii="宋体" w:hAnsi="宋体" w:cs="宋体"/>
                <w:sz w:val="24"/>
              </w:rPr>
              <w:t>9</w:t>
            </w:r>
          </w:p>
        </w:tc>
        <w:tc>
          <w:tcPr>
            <w:tcW w:w="2122" w:type="dxa"/>
            <w:vAlign w:val="center"/>
          </w:tcPr>
          <w:p w14:paraId="2689B4F6">
            <w:pPr>
              <w:jc w:val="center"/>
              <w:rPr>
                <w:rFonts w:ascii="宋体" w:hAnsi="宋体" w:cs="宋体"/>
                <w:sz w:val="24"/>
              </w:rPr>
            </w:pPr>
            <w:r>
              <w:rPr>
                <w:szCs w:val="21"/>
              </w:rPr>
              <w:t>PCR仪</w:t>
            </w:r>
          </w:p>
        </w:tc>
        <w:tc>
          <w:tcPr>
            <w:tcW w:w="900" w:type="dxa"/>
            <w:vAlign w:val="center"/>
          </w:tcPr>
          <w:p w14:paraId="67A1EB07">
            <w:pPr>
              <w:pStyle w:val="58"/>
              <w:jc w:val="center"/>
              <w:rPr>
                <w:rFonts w:ascii="宋体" w:hAnsi="宋体" w:cs="宋体"/>
                <w:sz w:val="24"/>
              </w:rPr>
            </w:pPr>
            <w:r>
              <w:rPr>
                <w:rFonts w:hint="eastAsia" w:ascii="宋体" w:hAnsi="宋体" w:cs="宋体"/>
                <w:sz w:val="24"/>
              </w:rPr>
              <w:t>3</w:t>
            </w:r>
          </w:p>
        </w:tc>
        <w:tc>
          <w:tcPr>
            <w:tcW w:w="945" w:type="dxa"/>
            <w:vAlign w:val="center"/>
          </w:tcPr>
          <w:p w14:paraId="7E7B40C2">
            <w:pPr>
              <w:pStyle w:val="58"/>
              <w:jc w:val="center"/>
              <w:rPr>
                <w:rFonts w:ascii="宋体" w:hAnsi="宋体" w:cs="宋体"/>
                <w:sz w:val="24"/>
              </w:rPr>
            </w:pPr>
            <w:r>
              <w:rPr>
                <w:rFonts w:hint="eastAsia" w:ascii="宋体" w:hAnsi="宋体" w:cs="宋体"/>
                <w:sz w:val="24"/>
              </w:rPr>
              <w:t>台</w:t>
            </w:r>
          </w:p>
        </w:tc>
        <w:tc>
          <w:tcPr>
            <w:tcW w:w="2775" w:type="dxa"/>
          </w:tcPr>
          <w:p w14:paraId="100C7E2C">
            <w:pPr>
              <w:jc w:val="center"/>
              <w:rPr>
                <w:rFonts w:ascii="宋体" w:hAnsi="宋体" w:cs="宋体"/>
                <w:sz w:val="24"/>
              </w:rPr>
            </w:pPr>
            <w:r>
              <w:rPr>
                <w:rFonts w:ascii="宋体" w:hAnsi="宋体" w:cs="宋体"/>
                <w:sz w:val="24"/>
              </w:rPr>
              <w:t>具体详见采购需求</w:t>
            </w:r>
          </w:p>
        </w:tc>
        <w:tc>
          <w:tcPr>
            <w:tcW w:w="1443" w:type="dxa"/>
            <w:vAlign w:val="center"/>
          </w:tcPr>
          <w:p w14:paraId="461DB1C8">
            <w:pPr>
              <w:pStyle w:val="58"/>
              <w:jc w:val="center"/>
              <w:rPr>
                <w:rFonts w:ascii="宋体" w:hAnsi="宋体" w:cs="宋体"/>
                <w:sz w:val="24"/>
              </w:rPr>
            </w:pPr>
            <w:r>
              <w:rPr>
                <w:rFonts w:hint="eastAsia" w:ascii="宋体" w:hAnsi="宋体" w:cs="宋体"/>
                <w:sz w:val="24"/>
              </w:rPr>
              <w:t>10</w:t>
            </w:r>
          </w:p>
        </w:tc>
        <w:tc>
          <w:tcPr>
            <w:tcW w:w="1417" w:type="dxa"/>
            <w:vAlign w:val="center"/>
          </w:tcPr>
          <w:p w14:paraId="35D4B533">
            <w:pPr>
              <w:pStyle w:val="58"/>
              <w:jc w:val="center"/>
              <w:rPr>
                <w:rFonts w:ascii="宋体" w:hAnsi="宋体" w:cs="宋体"/>
                <w:sz w:val="24"/>
              </w:rPr>
            </w:pPr>
            <w:r>
              <w:rPr>
                <w:rFonts w:hint="eastAsia" w:ascii="宋体" w:hAnsi="宋体" w:cs="宋体"/>
                <w:sz w:val="24"/>
              </w:rPr>
              <w:t>30</w:t>
            </w:r>
          </w:p>
        </w:tc>
      </w:tr>
      <w:tr w14:paraId="0E65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0C9C216E">
            <w:pPr>
              <w:pStyle w:val="58"/>
              <w:jc w:val="center"/>
              <w:rPr>
                <w:rFonts w:ascii="宋体" w:hAnsi="宋体" w:cs="宋体"/>
                <w:sz w:val="24"/>
              </w:rPr>
            </w:pPr>
            <w:r>
              <w:rPr>
                <w:rFonts w:hint="eastAsia" w:ascii="宋体" w:hAnsi="宋体" w:cs="宋体"/>
                <w:sz w:val="24"/>
              </w:rPr>
              <w:t>10</w:t>
            </w:r>
          </w:p>
        </w:tc>
        <w:tc>
          <w:tcPr>
            <w:tcW w:w="2122" w:type="dxa"/>
            <w:vAlign w:val="center"/>
          </w:tcPr>
          <w:p w14:paraId="0160640C">
            <w:pPr>
              <w:jc w:val="center"/>
              <w:rPr>
                <w:rFonts w:ascii="宋体" w:hAnsi="宋体" w:cs="宋体"/>
                <w:sz w:val="24"/>
              </w:rPr>
            </w:pPr>
            <w:r>
              <w:rPr>
                <w:szCs w:val="21"/>
              </w:rPr>
              <w:t>超高速离心机</w:t>
            </w:r>
          </w:p>
        </w:tc>
        <w:tc>
          <w:tcPr>
            <w:tcW w:w="900" w:type="dxa"/>
            <w:vAlign w:val="center"/>
          </w:tcPr>
          <w:p w14:paraId="0672D7F1">
            <w:pPr>
              <w:pStyle w:val="58"/>
              <w:jc w:val="center"/>
              <w:rPr>
                <w:rFonts w:ascii="宋体" w:hAnsi="宋体" w:cs="宋体"/>
                <w:sz w:val="24"/>
              </w:rPr>
            </w:pPr>
            <w:r>
              <w:rPr>
                <w:rFonts w:hint="eastAsia" w:ascii="宋体" w:hAnsi="宋体" w:cs="宋体"/>
                <w:sz w:val="24"/>
              </w:rPr>
              <w:t>1</w:t>
            </w:r>
          </w:p>
        </w:tc>
        <w:tc>
          <w:tcPr>
            <w:tcW w:w="945" w:type="dxa"/>
            <w:vAlign w:val="center"/>
          </w:tcPr>
          <w:p w14:paraId="13DF1F20">
            <w:pPr>
              <w:pStyle w:val="58"/>
              <w:jc w:val="center"/>
              <w:rPr>
                <w:rFonts w:ascii="宋体" w:hAnsi="宋体" w:cs="宋体"/>
                <w:sz w:val="24"/>
              </w:rPr>
            </w:pPr>
            <w:r>
              <w:rPr>
                <w:rFonts w:hint="eastAsia" w:ascii="宋体" w:hAnsi="宋体" w:cs="宋体"/>
                <w:sz w:val="24"/>
              </w:rPr>
              <w:t>台</w:t>
            </w:r>
          </w:p>
        </w:tc>
        <w:tc>
          <w:tcPr>
            <w:tcW w:w="2775" w:type="dxa"/>
          </w:tcPr>
          <w:p w14:paraId="42830EC7">
            <w:pPr>
              <w:jc w:val="center"/>
              <w:rPr>
                <w:rFonts w:ascii="宋体" w:hAnsi="宋体" w:cs="宋体"/>
                <w:sz w:val="24"/>
              </w:rPr>
            </w:pPr>
            <w:r>
              <w:rPr>
                <w:rFonts w:ascii="宋体" w:hAnsi="宋体" w:cs="宋体"/>
                <w:sz w:val="24"/>
              </w:rPr>
              <w:t>具体详见采购需求</w:t>
            </w:r>
          </w:p>
        </w:tc>
        <w:tc>
          <w:tcPr>
            <w:tcW w:w="1443" w:type="dxa"/>
            <w:vAlign w:val="center"/>
          </w:tcPr>
          <w:p w14:paraId="539D5AF6">
            <w:pPr>
              <w:pStyle w:val="58"/>
              <w:jc w:val="center"/>
              <w:rPr>
                <w:rFonts w:ascii="宋体" w:hAnsi="宋体" w:cs="宋体"/>
                <w:sz w:val="24"/>
              </w:rPr>
            </w:pPr>
            <w:r>
              <w:rPr>
                <w:rFonts w:hint="eastAsia" w:ascii="宋体" w:hAnsi="宋体" w:cs="宋体"/>
                <w:sz w:val="24"/>
              </w:rPr>
              <w:t>60</w:t>
            </w:r>
          </w:p>
        </w:tc>
        <w:tc>
          <w:tcPr>
            <w:tcW w:w="1417" w:type="dxa"/>
            <w:vAlign w:val="center"/>
          </w:tcPr>
          <w:p w14:paraId="6AC889B2">
            <w:pPr>
              <w:pStyle w:val="58"/>
              <w:jc w:val="center"/>
              <w:rPr>
                <w:rFonts w:ascii="宋体" w:hAnsi="宋体" w:cs="宋体"/>
                <w:sz w:val="24"/>
              </w:rPr>
            </w:pPr>
            <w:r>
              <w:rPr>
                <w:rFonts w:hint="eastAsia" w:ascii="宋体" w:hAnsi="宋体" w:cs="宋体"/>
                <w:sz w:val="24"/>
              </w:rPr>
              <w:t>60</w:t>
            </w:r>
          </w:p>
        </w:tc>
      </w:tr>
      <w:tr w14:paraId="565E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605075CF">
            <w:pPr>
              <w:pStyle w:val="58"/>
              <w:jc w:val="center"/>
              <w:rPr>
                <w:rFonts w:ascii="宋体" w:hAnsi="宋体" w:cs="宋体"/>
                <w:sz w:val="24"/>
              </w:rPr>
            </w:pPr>
            <w:r>
              <w:rPr>
                <w:rFonts w:hint="eastAsia" w:ascii="宋体" w:hAnsi="宋体" w:cs="宋体"/>
                <w:sz w:val="24"/>
              </w:rPr>
              <w:t>11</w:t>
            </w:r>
          </w:p>
        </w:tc>
        <w:tc>
          <w:tcPr>
            <w:tcW w:w="2122" w:type="dxa"/>
            <w:vAlign w:val="center"/>
          </w:tcPr>
          <w:p w14:paraId="3209F1F8">
            <w:pPr>
              <w:jc w:val="center"/>
              <w:rPr>
                <w:rFonts w:ascii="宋体" w:hAnsi="宋体" w:cs="宋体"/>
                <w:sz w:val="24"/>
              </w:rPr>
            </w:pPr>
            <w:r>
              <w:rPr>
                <w:szCs w:val="21"/>
              </w:rPr>
              <w:t>立式常规冷冻离心机</w:t>
            </w:r>
          </w:p>
        </w:tc>
        <w:tc>
          <w:tcPr>
            <w:tcW w:w="900" w:type="dxa"/>
            <w:vAlign w:val="center"/>
          </w:tcPr>
          <w:p w14:paraId="0D268728">
            <w:pPr>
              <w:pStyle w:val="58"/>
              <w:jc w:val="center"/>
              <w:rPr>
                <w:rFonts w:ascii="宋体" w:hAnsi="宋体" w:cs="宋体"/>
                <w:sz w:val="24"/>
              </w:rPr>
            </w:pPr>
            <w:r>
              <w:rPr>
                <w:rFonts w:hint="eastAsia" w:ascii="宋体" w:hAnsi="宋体" w:cs="宋体"/>
                <w:sz w:val="24"/>
              </w:rPr>
              <w:t>1</w:t>
            </w:r>
          </w:p>
        </w:tc>
        <w:tc>
          <w:tcPr>
            <w:tcW w:w="945" w:type="dxa"/>
            <w:vAlign w:val="center"/>
          </w:tcPr>
          <w:p w14:paraId="4B7DD50C">
            <w:pPr>
              <w:pStyle w:val="58"/>
              <w:jc w:val="center"/>
              <w:rPr>
                <w:rFonts w:ascii="宋体" w:hAnsi="宋体" w:cs="宋体"/>
                <w:sz w:val="24"/>
              </w:rPr>
            </w:pPr>
            <w:r>
              <w:rPr>
                <w:rFonts w:hint="eastAsia" w:ascii="宋体" w:hAnsi="宋体" w:cs="宋体"/>
                <w:sz w:val="24"/>
              </w:rPr>
              <w:t>台</w:t>
            </w:r>
          </w:p>
        </w:tc>
        <w:tc>
          <w:tcPr>
            <w:tcW w:w="2775" w:type="dxa"/>
          </w:tcPr>
          <w:p w14:paraId="500C7497">
            <w:pPr>
              <w:jc w:val="center"/>
              <w:rPr>
                <w:rFonts w:ascii="宋体" w:hAnsi="宋体" w:cs="宋体"/>
                <w:sz w:val="24"/>
              </w:rPr>
            </w:pPr>
            <w:r>
              <w:rPr>
                <w:rFonts w:ascii="宋体" w:hAnsi="宋体" w:cs="宋体"/>
                <w:sz w:val="24"/>
              </w:rPr>
              <w:t>具体详见采购需求</w:t>
            </w:r>
          </w:p>
        </w:tc>
        <w:tc>
          <w:tcPr>
            <w:tcW w:w="1443" w:type="dxa"/>
            <w:vAlign w:val="center"/>
          </w:tcPr>
          <w:p w14:paraId="7067408A">
            <w:pPr>
              <w:pStyle w:val="58"/>
              <w:jc w:val="center"/>
              <w:rPr>
                <w:rFonts w:ascii="宋体" w:hAnsi="宋体" w:cs="宋体"/>
                <w:sz w:val="24"/>
              </w:rPr>
            </w:pPr>
            <w:r>
              <w:rPr>
                <w:rFonts w:hint="eastAsia" w:ascii="宋体" w:hAnsi="宋体" w:cs="宋体"/>
                <w:sz w:val="24"/>
              </w:rPr>
              <w:t>35</w:t>
            </w:r>
          </w:p>
        </w:tc>
        <w:tc>
          <w:tcPr>
            <w:tcW w:w="1417" w:type="dxa"/>
            <w:vAlign w:val="center"/>
          </w:tcPr>
          <w:p w14:paraId="5861DEBE">
            <w:pPr>
              <w:pStyle w:val="58"/>
              <w:jc w:val="center"/>
              <w:rPr>
                <w:rFonts w:ascii="宋体" w:hAnsi="宋体" w:cs="宋体"/>
                <w:sz w:val="24"/>
              </w:rPr>
            </w:pPr>
            <w:r>
              <w:rPr>
                <w:rFonts w:hint="eastAsia" w:ascii="宋体" w:hAnsi="宋体" w:cs="宋体"/>
                <w:sz w:val="24"/>
              </w:rPr>
              <w:t>35</w:t>
            </w:r>
          </w:p>
        </w:tc>
      </w:tr>
      <w:tr w14:paraId="281F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11AD3EE6">
            <w:pPr>
              <w:pStyle w:val="58"/>
              <w:jc w:val="center"/>
              <w:rPr>
                <w:rFonts w:ascii="宋体" w:hAnsi="宋体" w:cs="宋体"/>
                <w:sz w:val="24"/>
              </w:rPr>
            </w:pPr>
            <w:r>
              <w:rPr>
                <w:rFonts w:hint="eastAsia" w:ascii="宋体" w:hAnsi="宋体" w:cs="宋体"/>
                <w:sz w:val="24"/>
              </w:rPr>
              <w:t>12</w:t>
            </w:r>
          </w:p>
        </w:tc>
        <w:tc>
          <w:tcPr>
            <w:tcW w:w="2122" w:type="dxa"/>
            <w:vAlign w:val="center"/>
          </w:tcPr>
          <w:p w14:paraId="4C3F6403">
            <w:pPr>
              <w:jc w:val="center"/>
              <w:rPr>
                <w:rFonts w:ascii="宋体" w:hAnsi="宋体" w:cs="宋体"/>
                <w:sz w:val="24"/>
              </w:rPr>
            </w:pPr>
            <w:r>
              <w:rPr>
                <w:szCs w:val="21"/>
              </w:rPr>
              <w:t>台式冷冻微量离心机</w:t>
            </w:r>
          </w:p>
        </w:tc>
        <w:tc>
          <w:tcPr>
            <w:tcW w:w="900" w:type="dxa"/>
            <w:vAlign w:val="center"/>
          </w:tcPr>
          <w:p w14:paraId="3E8D8E1C">
            <w:pPr>
              <w:pStyle w:val="58"/>
              <w:jc w:val="center"/>
              <w:rPr>
                <w:rFonts w:ascii="宋体" w:hAnsi="宋体" w:cs="宋体"/>
                <w:sz w:val="24"/>
              </w:rPr>
            </w:pPr>
            <w:r>
              <w:rPr>
                <w:rFonts w:hint="eastAsia" w:ascii="宋体" w:hAnsi="宋体" w:cs="宋体"/>
                <w:sz w:val="24"/>
              </w:rPr>
              <w:t>1</w:t>
            </w:r>
          </w:p>
        </w:tc>
        <w:tc>
          <w:tcPr>
            <w:tcW w:w="945" w:type="dxa"/>
            <w:vAlign w:val="center"/>
          </w:tcPr>
          <w:p w14:paraId="6EAF7DEE">
            <w:pPr>
              <w:pStyle w:val="58"/>
              <w:jc w:val="center"/>
              <w:rPr>
                <w:rFonts w:ascii="宋体" w:hAnsi="宋体" w:cs="宋体"/>
                <w:sz w:val="24"/>
              </w:rPr>
            </w:pPr>
            <w:r>
              <w:rPr>
                <w:rFonts w:hint="eastAsia" w:ascii="宋体" w:hAnsi="宋体" w:cs="宋体"/>
                <w:sz w:val="24"/>
              </w:rPr>
              <w:t>台</w:t>
            </w:r>
          </w:p>
        </w:tc>
        <w:tc>
          <w:tcPr>
            <w:tcW w:w="2775" w:type="dxa"/>
          </w:tcPr>
          <w:p w14:paraId="624AA0D4">
            <w:pPr>
              <w:jc w:val="center"/>
              <w:rPr>
                <w:rFonts w:ascii="宋体" w:hAnsi="宋体" w:cs="宋体"/>
                <w:sz w:val="24"/>
              </w:rPr>
            </w:pPr>
            <w:r>
              <w:rPr>
                <w:rFonts w:ascii="宋体" w:hAnsi="宋体" w:cs="宋体"/>
                <w:sz w:val="24"/>
              </w:rPr>
              <w:t>具体详见采购需求</w:t>
            </w:r>
          </w:p>
        </w:tc>
        <w:tc>
          <w:tcPr>
            <w:tcW w:w="1443" w:type="dxa"/>
            <w:vAlign w:val="center"/>
          </w:tcPr>
          <w:p w14:paraId="32B89623">
            <w:pPr>
              <w:pStyle w:val="58"/>
              <w:jc w:val="center"/>
              <w:rPr>
                <w:rFonts w:ascii="宋体" w:hAnsi="宋体" w:cs="宋体"/>
                <w:sz w:val="24"/>
              </w:rPr>
            </w:pPr>
            <w:r>
              <w:rPr>
                <w:rFonts w:hint="eastAsia" w:ascii="宋体" w:hAnsi="宋体" w:cs="宋体"/>
                <w:sz w:val="24"/>
              </w:rPr>
              <w:t>9</w:t>
            </w:r>
          </w:p>
        </w:tc>
        <w:tc>
          <w:tcPr>
            <w:tcW w:w="1417" w:type="dxa"/>
            <w:vAlign w:val="center"/>
          </w:tcPr>
          <w:p w14:paraId="4DC0F4DB">
            <w:pPr>
              <w:pStyle w:val="58"/>
              <w:jc w:val="center"/>
              <w:rPr>
                <w:rFonts w:ascii="宋体" w:hAnsi="宋体" w:cs="宋体"/>
                <w:sz w:val="24"/>
              </w:rPr>
            </w:pPr>
            <w:r>
              <w:rPr>
                <w:rFonts w:hint="eastAsia" w:ascii="宋体" w:hAnsi="宋体" w:cs="宋体"/>
                <w:sz w:val="24"/>
              </w:rPr>
              <w:t>9</w:t>
            </w:r>
          </w:p>
        </w:tc>
      </w:tr>
      <w:tr w14:paraId="5F47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28" w:type="dxa"/>
            <w:vAlign w:val="center"/>
          </w:tcPr>
          <w:p w14:paraId="33F49FBF">
            <w:pPr>
              <w:pStyle w:val="58"/>
              <w:jc w:val="center"/>
              <w:rPr>
                <w:rFonts w:ascii="宋体" w:hAnsi="宋体" w:cs="宋体"/>
                <w:sz w:val="24"/>
              </w:rPr>
            </w:pPr>
            <w:r>
              <w:rPr>
                <w:rFonts w:hint="eastAsia" w:ascii="宋体" w:hAnsi="宋体" w:cs="宋体"/>
                <w:sz w:val="24"/>
              </w:rPr>
              <w:t>13</w:t>
            </w:r>
          </w:p>
        </w:tc>
        <w:tc>
          <w:tcPr>
            <w:tcW w:w="2122" w:type="dxa"/>
            <w:vAlign w:val="center"/>
          </w:tcPr>
          <w:p w14:paraId="3B480D5E">
            <w:pPr>
              <w:jc w:val="center"/>
              <w:rPr>
                <w:rFonts w:ascii="宋体" w:hAnsi="宋体" w:cs="宋体"/>
                <w:sz w:val="24"/>
              </w:rPr>
            </w:pPr>
            <w:r>
              <w:rPr>
                <w:color w:val="000000"/>
                <w:szCs w:val="21"/>
              </w:rPr>
              <w:t>组织全景全自动玻片扫描仪</w:t>
            </w:r>
          </w:p>
        </w:tc>
        <w:tc>
          <w:tcPr>
            <w:tcW w:w="900" w:type="dxa"/>
            <w:vAlign w:val="center"/>
          </w:tcPr>
          <w:p w14:paraId="2E6D1304">
            <w:pPr>
              <w:pStyle w:val="58"/>
              <w:jc w:val="center"/>
              <w:rPr>
                <w:rFonts w:ascii="宋体" w:hAnsi="宋体" w:cs="宋体"/>
                <w:sz w:val="24"/>
              </w:rPr>
            </w:pPr>
            <w:r>
              <w:rPr>
                <w:rFonts w:hint="eastAsia" w:ascii="宋体" w:hAnsi="宋体" w:cs="宋体"/>
                <w:sz w:val="24"/>
              </w:rPr>
              <w:t>1</w:t>
            </w:r>
          </w:p>
        </w:tc>
        <w:tc>
          <w:tcPr>
            <w:tcW w:w="945" w:type="dxa"/>
            <w:vAlign w:val="center"/>
          </w:tcPr>
          <w:p w14:paraId="0E0B1939">
            <w:pPr>
              <w:pStyle w:val="58"/>
              <w:jc w:val="center"/>
              <w:rPr>
                <w:rFonts w:ascii="宋体" w:hAnsi="宋体" w:cs="宋体"/>
                <w:sz w:val="24"/>
              </w:rPr>
            </w:pPr>
            <w:r>
              <w:rPr>
                <w:rFonts w:hint="eastAsia" w:ascii="宋体" w:hAnsi="宋体" w:cs="宋体"/>
                <w:sz w:val="24"/>
              </w:rPr>
              <w:t>台</w:t>
            </w:r>
          </w:p>
        </w:tc>
        <w:tc>
          <w:tcPr>
            <w:tcW w:w="2775" w:type="dxa"/>
          </w:tcPr>
          <w:p w14:paraId="2BF9B896">
            <w:pPr>
              <w:jc w:val="center"/>
              <w:rPr>
                <w:rFonts w:ascii="宋体" w:hAnsi="宋体" w:cs="宋体"/>
                <w:sz w:val="24"/>
              </w:rPr>
            </w:pPr>
            <w:r>
              <w:rPr>
                <w:rFonts w:ascii="宋体" w:hAnsi="宋体" w:cs="宋体"/>
                <w:sz w:val="24"/>
              </w:rPr>
              <w:t>具体详见采购需求</w:t>
            </w:r>
          </w:p>
        </w:tc>
        <w:tc>
          <w:tcPr>
            <w:tcW w:w="1443" w:type="dxa"/>
            <w:vAlign w:val="center"/>
          </w:tcPr>
          <w:p w14:paraId="502BC893">
            <w:pPr>
              <w:pStyle w:val="58"/>
              <w:jc w:val="center"/>
              <w:rPr>
                <w:rFonts w:ascii="宋体" w:hAnsi="宋体" w:cs="宋体"/>
                <w:sz w:val="24"/>
              </w:rPr>
            </w:pPr>
            <w:r>
              <w:rPr>
                <w:rFonts w:hint="eastAsia" w:ascii="宋体" w:hAnsi="宋体" w:cs="宋体"/>
                <w:sz w:val="24"/>
              </w:rPr>
              <w:t>98</w:t>
            </w:r>
          </w:p>
        </w:tc>
        <w:tc>
          <w:tcPr>
            <w:tcW w:w="1417" w:type="dxa"/>
            <w:vAlign w:val="center"/>
          </w:tcPr>
          <w:p w14:paraId="3FAC5AE9">
            <w:pPr>
              <w:pStyle w:val="58"/>
              <w:jc w:val="center"/>
              <w:rPr>
                <w:rFonts w:ascii="宋体" w:hAnsi="宋体" w:cs="宋体"/>
                <w:sz w:val="24"/>
              </w:rPr>
            </w:pPr>
            <w:r>
              <w:rPr>
                <w:rFonts w:hint="eastAsia" w:ascii="宋体" w:hAnsi="宋体" w:cs="宋体"/>
                <w:sz w:val="24"/>
              </w:rPr>
              <w:t>98</w:t>
            </w:r>
          </w:p>
        </w:tc>
      </w:tr>
      <w:tr w14:paraId="4D71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0130" w:type="dxa"/>
            <w:gridSpan w:val="7"/>
            <w:vAlign w:val="center"/>
          </w:tcPr>
          <w:p w14:paraId="407D030E">
            <w:pPr>
              <w:pStyle w:val="58"/>
              <w:jc w:val="left"/>
              <w:rPr>
                <w:rFonts w:ascii="宋体" w:hAnsi="宋体" w:cs="宋体"/>
                <w:sz w:val="24"/>
              </w:rPr>
            </w:pPr>
            <w:r>
              <w:rPr>
                <w:rFonts w:hint="eastAsia" w:ascii="宋体" w:hAnsi="宋体" w:cs="宋体"/>
                <w:sz w:val="24"/>
              </w:rPr>
              <w:t>预算合计金额（人民币大写）：</w:t>
            </w:r>
            <w:r>
              <w:rPr>
                <w:rFonts w:hint="eastAsia" w:ascii="宋体" w:hAnsi="宋体" w:cs="宋体"/>
                <w:sz w:val="24"/>
                <w:u w:val="single"/>
              </w:rPr>
              <w:t>肆佰贰拾贰万元整（¥4220000.00）</w:t>
            </w:r>
          </w:p>
        </w:tc>
      </w:tr>
    </w:tbl>
    <w:p w14:paraId="1177155D">
      <w:pPr>
        <w:spacing w:line="360" w:lineRule="auto"/>
        <w:ind w:firstLine="480" w:firstLineChars="200"/>
        <w:rPr>
          <w:rFonts w:ascii="宋体" w:hAnsi="宋体" w:cs="宋体"/>
          <w:bCs/>
          <w:sz w:val="24"/>
        </w:rPr>
      </w:pPr>
      <w:r>
        <w:rPr>
          <w:rFonts w:hint="eastAsia" w:ascii="宋体" w:hAnsi="宋体" w:cs="宋体"/>
          <w:bCs/>
          <w:sz w:val="24"/>
        </w:rPr>
        <w:t>详见第二章采购需求表。</w:t>
      </w:r>
    </w:p>
    <w:p w14:paraId="02ACF7B8">
      <w:pPr>
        <w:spacing w:line="360" w:lineRule="auto"/>
        <w:ind w:firstLine="480" w:firstLineChars="200"/>
        <w:rPr>
          <w:rFonts w:ascii="宋体" w:hAnsi="宋体" w:cs="宋体"/>
          <w:bCs/>
          <w:sz w:val="24"/>
        </w:rPr>
      </w:pPr>
      <w:r>
        <w:rPr>
          <w:rFonts w:hint="eastAsia" w:ascii="宋体" w:hAnsi="宋体" w:cs="宋体"/>
          <w:sz w:val="24"/>
        </w:rPr>
        <w:t xml:space="preserve">合同履行期限：国产设备自签订合同之日起 </w:t>
      </w:r>
      <w:r>
        <w:rPr>
          <w:rFonts w:ascii="宋体" w:hAnsi="宋体" w:cs="宋体"/>
          <w:sz w:val="24"/>
        </w:rPr>
        <w:t>60</w:t>
      </w:r>
      <w:r>
        <w:rPr>
          <w:rFonts w:hint="eastAsia" w:ascii="宋体" w:hAnsi="宋体" w:cs="宋体"/>
          <w:sz w:val="24"/>
        </w:rPr>
        <w:t>日历天内到货安装调试完成并通过验收。进口设备自签订合同之日起 120 日历天内到货安装调试完成并通过验收。</w:t>
      </w:r>
    </w:p>
    <w:p w14:paraId="78F18495">
      <w:pPr>
        <w:spacing w:line="360" w:lineRule="auto"/>
        <w:ind w:firstLine="482" w:firstLineChars="200"/>
        <w:rPr>
          <w:rFonts w:ascii="宋体" w:hAnsi="宋体" w:cs="宋体"/>
          <w:b/>
          <w:color w:val="FF0000"/>
          <w:sz w:val="24"/>
        </w:rPr>
      </w:pPr>
      <w:r>
        <w:rPr>
          <w:rFonts w:hint="eastAsia" w:ascii="宋体" w:hAnsi="宋体" w:cs="宋体"/>
          <w:b/>
          <w:sz w:val="24"/>
        </w:rPr>
        <w:t>本项目是否接受联合体投标：否。</w:t>
      </w:r>
    </w:p>
    <w:p w14:paraId="6619AA1F">
      <w:pPr>
        <w:spacing w:line="360" w:lineRule="auto"/>
        <w:ind w:firstLine="482" w:firstLineChars="200"/>
        <w:rPr>
          <w:rFonts w:ascii="宋体" w:hAnsi="宋体" w:cs="宋体"/>
          <w:b/>
          <w:bCs/>
          <w:sz w:val="24"/>
        </w:rPr>
      </w:pPr>
      <w:bookmarkStart w:id="13" w:name="_Toc28359003"/>
      <w:bookmarkStart w:id="14" w:name="_Toc28359080"/>
      <w:bookmarkStart w:id="15" w:name="_Toc35393791"/>
      <w:bookmarkStart w:id="16" w:name="_Toc35393622"/>
      <w:r>
        <w:rPr>
          <w:rFonts w:hint="eastAsia" w:ascii="宋体" w:hAnsi="宋体" w:cs="宋体"/>
          <w:b/>
          <w:bCs/>
          <w:sz w:val="24"/>
        </w:rPr>
        <w:t>二、申请人的资格要求：</w:t>
      </w:r>
      <w:bookmarkEnd w:id="13"/>
      <w:bookmarkEnd w:id="14"/>
      <w:bookmarkEnd w:id="15"/>
      <w:bookmarkEnd w:id="16"/>
    </w:p>
    <w:p w14:paraId="24EAB357">
      <w:pPr>
        <w:spacing w:line="360" w:lineRule="auto"/>
        <w:ind w:firstLine="480" w:firstLineChars="200"/>
        <w:rPr>
          <w:rFonts w:ascii="宋体" w:hAnsi="宋体" w:cs="宋体"/>
          <w:sz w:val="24"/>
        </w:rPr>
      </w:pPr>
      <w:bookmarkStart w:id="17" w:name="_Hlk51746371"/>
      <w:r>
        <w:rPr>
          <w:rFonts w:hint="eastAsia" w:ascii="宋体" w:hAnsi="宋体" w:cs="宋体"/>
          <w:sz w:val="24"/>
        </w:rPr>
        <w:t>1.满足《中华人民共和国政府采购法》第二十二条规定；</w:t>
      </w:r>
    </w:p>
    <w:p w14:paraId="42C0B4D4">
      <w:pPr>
        <w:spacing w:line="360" w:lineRule="auto"/>
        <w:ind w:firstLine="480" w:firstLineChars="200"/>
        <w:rPr>
          <w:rFonts w:ascii="宋体" w:hAnsi="宋体"/>
          <w:sz w:val="24"/>
        </w:rPr>
      </w:pPr>
      <w:bookmarkStart w:id="18" w:name="_Toc28359004"/>
      <w:bookmarkStart w:id="19" w:name="_Toc28359081"/>
      <w:r>
        <w:rPr>
          <w:rFonts w:hint="eastAsia" w:ascii="宋体" w:hAnsi="宋体" w:cs="宋体"/>
          <w:sz w:val="24"/>
        </w:rPr>
        <w:t>2.落实政府采购政策需满足的资格要求：</w:t>
      </w:r>
      <w:r>
        <w:rPr>
          <w:rFonts w:hint="eastAsia" w:ascii="宋体" w:hAnsi="宋体"/>
          <w:sz w:val="24"/>
        </w:rPr>
        <w:t>专门面向中小企业采购（</w:t>
      </w:r>
      <w:r>
        <w:rPr>
          <w:rFonts w:hint="eastAsia" w:ascii="宋体" w:hAnsi="宋体"/>
          <w:sz w:val="24"/>
        </w:rPr>
        <w:sym w:font="Wingdings" w:char="00A8"/>
      </w:r>
      <w:r>
        <w:rPr>
          <w:rFonts w:hint="eastAsia" w:ascii="宋体" w:hAnsi="宋体"/>
          <w:sz w:val="24"/>
        </w:rPr>
        <w:t>是</w:t>
      </w:r>
      <w:r>
        <w:rPr>
          <w:rFonts w:hint="eastAsia" w:ascii="宋体" w:hAnsi="宋体"/>
          <w:sz w:val="24"/>
        </w:rPr>
        <w:sym w:font="Wingdings" w:char="00FE"/>
      </w:r>
      <w:r>
        <w:rPr>
          <w:rFonts w:hint="eastAsia" w:ascii="宋体" w:hAnsi="宋体"/>
          <w:sz w:val="24"/>
        </w:rPr>
        <w:t>否）；</w:t>
      </w:r>
    </w:p>
    <w:p w14:paraId="7FA36CE3">
      <w:pPr>
        <w:spacing w:line="360" w:lineRule="auto"/>
        <w:ind w:firstLine="480" w:firstLineChars="200"/>
        <w:rPr>
          <w:rFonts w:ascii="宋体" w:hAnsi="宋体" w:cs="宋体"/>
          <w:sz w:val="24"/>
        </w:rPr>
      </w:pPr>
      <w:r>
        <w:rPr>
          <w:rFonts w:hint="eastAsia" w:ascii="宋体" w:hAnsi="宋体" w:cs="宋体"/>
          <w:sz w:val="24"/>
        </w:rPr>
        <w:t>3.本项目的特定资格要求：</w:t>
      </w:r>
      <w:bookmarkEnd w:id="17"/>
      <w:r>
        <w:rPr>
          <w:rFonts w:hint="eastAsia" w:ascii="宋体" w:hAnsi="宋体" w:cs="宋体"/>
          <w:sz w:val="24"/>
        </w:rPr>
        <w:t>无。</w:t>
      </w:r>
    </w:p>
    <w:p w14:paraId="546F78C8">
      <w:pPr>
        <w:spacing w:line="360" w:lineRule="auto"/>
        <w:ind w:firstLine="482" w:firstLineChars="200"/>
        <w:rPr>
          <w:rFonts w:ascii="宋体" w:hAnsi="宋体" w:cs="宋体"/>
          <w:b/>
          <w:bCs/>
          <w:sz w:val="24"/>
        </w:rPr>
      </w:pPr>
      <w:bookmarkStart w:id="20" w:name="_Toc35393623"/>
      <w:bookmarkStart w:id="21" w:name="_Toc35393792"/>
      <w:r>
        <w:rPr>
          <w:rFonts w:hint="eastAsia" w:ascii="宋体" w:hAnsi="宋体" w:cs="宋体"/>
          <w:b/>
          <w:bCs/>
          <w:sz w:val="24"/>
        </w:rPr>
        <w:t>三、获取招标文件</w:t>
      </w:r>
      <w:bookmarkEnd w:id="18"/>
      <w:bookmarkEnd w:id="19"/>
      <w:bookmarkEnd w:id="20"/>
      <w:bookmarkEnd w:id="21"/>
    </w:p>
    <w:p w14:paraId="3574B89D">
      <w:pPr>
        <w:spacing w:line="360" w:lineRule="auto"/>
        <w:ind w:firstLine="480" w:firstLineChars="200"/>
        <w:rPr>
          <w:rFonts w:ascii="宋体" w:hAnsi="宋体" w:cs="宋体"/>
          <w:bCs/>
          <w:color w:val="auto"/>
          <w:kern w:val="0"/>
          <w:sz w:val="24"/>
        </w:rPr>
      </w:pPr>
      <w:r>
        <w:rPr>
          <w:rFonts w:hint="eastAsia" w:ascii="宋体" w:hAnsi="宋体" w:cs="宋体"/>
          <w:bCs/>
          <w:color w:val="auto"/>
          <w:kern w:val="0"/>
          <w:sz w:val="24"/>
        </w:rPr>
        <w:t>时间：</w:t>
      </w:r>
      <w:r>
        <w:rPr>
          <w:rFonts w:hint="eastAsia" w:ascii="宋体" w:hAnsi="宋体" w:cs="宋体"/>
          <w:color w:val="auto"/>
          <w:sz w:val="24"/>
        </w:rPr>
        <w:t>2026年</w:t>
      </w:r>
      <w:r>
        <w:rPr>
          <w:rFonts w:hint="eastAsia" w:ascii="宋体" w:hAnsi="宋体" w:cs="宋体"/>
          <w:color w:val="auto"/>
          <w:sz w:val="24"/>
          <w:lang w:val="en-US" w:eastAsia="zh-CN"/>
        </w:rPr>
        <w:t>8</w:t>
      </w:r>
      <w:r>
        <w:rPr>
          <w:rFonts w:hint="eastAsia" w:ascii="宋体" w:hAnsi="宋体" w:cs="宋体"/>
          <w:color w:val="auto"/>
          <w:sz w:val="24"/>
        </w:rPr>
        <w:t>月</w:t>
      </w:r>
      <w:r>
        <w:rPr>
          <w:rFonts w:hint="eastAsia" w:ascii="宋体" w:hAnsi="宋体" w:cs="宋体"/>
          <w:color w:val="auto"/>
          <w:sz w:val="24"/>
          <w:lang w:val="en-US" w:eastAsia="zh-CN"/>
        </w:rPr>
        <w:t>19</w:t>
      </w:r>
      <w:r>
        <w:rPr>
          <w:rFonts w:hint="eastAsia" w:ascii="宋体" w:hAnsi="宋体" w:cs="宋体"/>
          <w:color w:val="auto"/>
          <w:sz w:val="24"/>
        </w:rPr>
        <w:t>日至2026年</w:t>
      </w:r>
      <w:r>
        <w:rPr>
          <w:rFonts w:hint="eastAsia" w:ascii="宋体" w:hAnsi="宋体" w:cs="宋体"/>
          <w:color w:val="auto"/>
          <w:sz w:val="24"/>
          <w:lang w:val="en-US" w:eastAsia="zh-CN"/>
        </w:rPr>
        <w:t>8</w:t>
      </w:r>
      <w:r>
        <w:rPr>
          <w:rFonts w:hint="eastAsia" w:ascii="宋体" w:hAnsi="宋体" w:cs="宋体"/>
          <w:color w:val="auto"/>
          <w:sz w:val="24"/>
        </w:rPr>
        <w:t>月</w:t>
      </w:r>
      <w:r>
        <w:rPr>
          <w:rFonts w:hint="eastAsia" w:ascii="宋体" w:hAnsi="宋体" w:cs="宋体"/>
          <w:color w:val="auto"/>
          <w:sz w:val="24"/>
          <w:lang w:val="en-US" w:eastAsia="zh-CN"/>
        </w:rPr>
        <w:t>26</w:t>
      </w:r>
      <w:r>
        <w:rPr>
          <w:rFonts w:hint="eastAsia" w:ascii="宋体" w:hAnsi="宋体" w:cs="宋体"/>
          <w:color w:val="auto"/>
          <w:sz w:val="24"/>
        </w:rPr>
        <w:t>日，</w:t>
      </w:r>
      <w:r>
        <w:rPr>
          <w:rFonts w:ascii="宋体" w:hAnsi="宋体" w:cs="宋体"/>
          <w:color w:val="auto"/>
          <w:sz w:val="24"/>
        </w:rPr>
        <w:t>每天上午00</w:t>
      </w:r>
      <w:r>
        <w:rPr>
          <w:rFonts w:hint="eastAsia" w:ascii="宋体" w:hAnsi="宋体" w:cs="宋体"/>
          <w:color w:val="auto"/>
          <w:sz w:val="24"/>
        </w:rPr>
        <w:t>:</w:t>
      </w:r>
      <w:r>
        <w:rPr>
          <w:rFonts w:ascii="宋体" w:hAnsi="宋体" w:cs="宋体"/>
          <w:color w:val="auto"/>
          <w:sz w:val="24"/>
        </w:rPr>
        <w:t>00至12</w:t>
      </w:r>
      <w:r>
        <w:rPr>
          <w:rFonts w:hint="eastAsia" w:ascii="宋体" w:hAnsi="宋体" w:cs="宋体"/>
          <w:color w:val="auto"/>
          <w:sz w:val="24"/>
        </w:rPr>
        <w:t>:</w:t>
      </w:r>
      <w:r>
        <w:rPr>
          <w:rFonts w:ascii="宋体" w:hAnsi="宋体" w:cs="宋体"/>
          <w:color w:val="auto"/>
          <w:sz w:val="24"/>
        </w:rPr>
        <w:t>00 ，下午12</w:t>
      </w:r>
      <w:r>
        <w:rPr>
          <w:rFonts w:hint="eastAsia" w:ascii="宋体" w:hAnsi="宋体" w:cs="宋体"/>
          <w:color w:val="auto"/>
          <w:sz w:val="24"/>
        </w:rPr>
        <w:t>:</w:t>
      </w:r>
      <w:r>
        <w:rPr>
          <w:rFonts w:ascii="宋体" w:hAnsi="宋体" w:cs="宋体"/>
          <w:color w:val="auto"/>
          <w:sz w:val="24"/>
        </w:rPr>
        <w:t>00至23</w:t>
      </w:r>
      <w:r>
        <w:rPr>
          <w:rFonts w:hint="eastAsia" w:ascii="宋体" w:hAnsi="宋体" w:cs="宋体"/>
          <w:color w:val="auto"/>
          <w:sz w:val="24"/>
        </w:rPr>
        <w:t>:</w:t>
      </w:r>
      <w:r>
        <w:rPr>
          <w:rFonts w:ascii="宋体" w:hAnsi="宋体" w:cs="宋体"/>
          <w:color w:val="auto"/>
          <w:sz w:val="24"/>
        </w:rPr>
        <w:t>59</w:t>
      </w:r>
      <w:r>
        <w:rPr>
          <w:rFonts w:hint="eastAsia" w:ascii="宋体" w:hAnsi="宋体" w:cs="宋体"/>
          <w:color w:val="auto"/>
          <w:sz w:val="24"/>
        </w:rPr>
        <w:t>（北京时间，法定节假日除外）</w:t>
      </w:r>
    </w:p>
    <w:p w14:paraId="2CE917FE">
      <w:pPr>
        <w:spacing w:line="360" w:lineRule="auto"/>
        <w:ind w:firstLine="480" w:firstLineChars="200"/>
        <w:rPr>
          <w:rFonts w:ascii="宋体" w:hAnsi="宋体" w:cs="宋体"/>
          <w:bCs/>
          <w:kern w:val="0"/>
          <w:sz w:val="24"/>
        </w:rPr>
      </w:pPr>
      <w:r>
        <w:rPr>
          <w:rFonts w:hint="eastAsia" w:ascii="宋体" w:hAnsi="宋体" w:cs="宋体"/>
          <w:bCs/>
          <w:kern w:val="0"/>
          <w:sz w:val="24"/>
        </w:rPr>
        <w:t>地点：</w:t>
      </w:r>
      <w:r>
        <w:rPr>
          <w:rFonts w:hint="eastAsia" w:ascii="宋体" w:hAnsi="宋体" w:cs="宋体"/>
          <w:sz w:val="24"/>
        </w:rPr>
        <w:t>广西政府采购云平台</w:t>
      </w:r>
      <w:r>
        <w:rPr>
          <w:rFonts w:hint="eastAsia" w:ascii="宋体" w:hAnsi="宋体" w:cs="宋体"/>
          <w:bCs/>
          <w:kern w:val="0"/>
          <w:sz w:val="24"/>
        </w:rPr>
        <w:t>（</w:t>
      </w:r>
      <w:r>
        <w:rPr>
          <w:rFonts w:hint="eastAsia" w:ascii="宋体" w:hAnsi="宋体" w:cs="宋体"/>
          <w:sz w:val="24"/>
        </w:rPr>
        <w:t>https://www.gcy.zfcg.gxzf.gov.cn/</w:t>
      </w:r>
      <w:r>
        <w:rPr>
          <w:rFonts w:hint="eastAsia" w:ascii="宋体" w:hAnsi="宋体" w:cs="宋体"/>
          <w:bCs/>
          <w:kern w:val="0"/>
          <w:sz w:val="24"/>
        </w:rPr>
        <w:t>）</w:t>
      </w:r>
    </w:p>
    <w:p w14:paraId="2A2735DD">
      <w:pPr>
        <w:spacing w:line="360" w:lineRule="auto"/>
        <w:ind w:firstLine="480" w:firstLineChars="200"/>
        <w:rPr>
          <w:rFonts w:ascii="宋体" w:hAnsi="宋体" w:cs="宋体"/>
          <w:bCs/>
          <w:kern w:val="0"/>
          <w:sz w:val="24"/>
        </w:rPr>
      </w:pPr>
      <w:r>
        <w:rPr>
          <w:rFonts w:hint="eastAsia" w:ascii="宋体" w:hAnsi="宋体" w:cs="宋体"/>
          <w:bCs/>
          <w:kern w:val="0"/>
          <w:sz w:val="24"/>
        </w:rPr>
        <w:t>方式：网上下载。本项目不发放纸质文件，供应商应自行在</w:t>
      </w:r>
      <w:r>
        <w:fldChar w:fldCharType="begin"/>
      </w:r>
      <w:r>
        <w:instrText xml:space="preserve"> HYPERLINK </w:instrText>
      </w:r>
      <w:r>
        <w:fldChar w:fldCharType="separate"/>
      </w:r>
      <w:r>
        <w:fldChar w:fldCharType="end"/>
      </w:r>
      <w:r>
        <w:rPr>
          <w:rFonts w:hint="eastAsia" w:ascii="宋体" w:hAnsi="宋体" w:cs="宋体"/>
          <w:sz w:val="24"/>
        </w:rPr>
        <w:t>广西政府采购云平台</w:t>
      </w:r>
      <w:r>
        <w:rPr>
          <w:rFonts w:hint="eastAsia" w:ascii="宋体" w:hAnsi="宋体" w:cs="宋体"/>
          <w:bCs/>
          <w:kern w:val="0"/>
          <w:sz w:val="24"/>
        </w:rPr>
        <w:t>（</w:t>
      </w:r>
      <w:r>
        <w:rPr>
          <w:rFonts w:hint="eastAsia" w:ascii="宋体" w:hAnsi="宋体" w:cs="宋体"/>
          <w:sz w:val="24"/>
        </w:rPr>
        <w:t>https://www.gcy.zfcg.gxzf.gov.cn/</w:t>
      </w:r>
      <w:r>
        <w:rPr>
          <w:rFonts w:hint="eastAsia" w:ascii="宋体" w:hAnsi="宋体" w:cs="宋体"/>
          <w:bCs/>
          <w:kern w:val="0"/>
          <w:sz w:val="24"/>
        </w:rPr>
        <w:t>）下载招标文件（操作路径：登录</w:t>
      </w:r>
      <w:r>
        <w:rPr>
          <w:rFonts w:hint="eastAsia" w:ascii="宋体" w:hAnsi="宋体" w:cs="宋体"/>
          <w:sz w:val="24"/>
        </w:rPr>
        <w:t>广西政府采购云平台</w:t>
      </w:r>
      <w:r>
        <w:rPr>
          <w:rFonts w:hint="eastAsia" w:ascii="宋体" w:hAnsi="宋体" w:cs="宋体"/>
          <w:bCs/>
          <w:kern w:val="0"/>
          <w:sz w:val="24"/>
        </w:rPr>
        <w:t>-项目采购-获取采购文件-找到本项目-点击“申请获取采购文件”），电子投标文件制作需要基于</w:t>
      </w:r>
      <w:r>
        <w:rPr>
          <w:rFonts w:hint="eastAsia" w:ascii="宋体" w:hAnsi="宋体" w:cs="宋体"/>
          <w:sz w:val="24"/>
        </w:rPr>
        <w:t>广西政府采购云平台</w:t>
      </w:r>
      <w:r>
        <w:rPr>
          <w:rFonts w:hint="eastAsia" w:ascii="宋体" w:hAnsi="宋体" w:cs="宋体"/>
          <w:bCs/>
          <w:kern w:val="0"/>
          <w:sz w:val="24"/>
        </w:rPr>
        <w:t>获取的招标文件编制，通过其他方式获取招标文件的，将有可能导致供应商无法在</w:t>
      </w:r>
      <w:r>
        <w:rPr>
          <w:rFonts w:hint="eastAsia" w:ascii="宋体" w:hAnsi="宋体" w:cs="宋体"/>
          <w:sz w:val="24"/>
        </w:rPr>
        <w:t>广西政府采购云平台</w:t>
      </w:r>
      <w:r>
        <w:rPr>
          <w:rFonts w:hint="eastAsia" w:ascii="宋体" w:hAnsi="宋体" w:cs="宋体"/>
          <w:bCs/>
          <w:kern w:val="0"/>
          <w:sz w:val="24"/>
        </w:rPr>
        <w:t>编制及上传投标文件。</w:t>
      </w:r>
    </w:p>
    <w:p w14:paraId="00571901">
      <w:pPr>
        <w:spacing w:line="360" w:lineRule="auto"/>
        <w:ind w:firstLine="480" w:firstLineChars="200"/>
        <w:rPr>
          <w:rFonts w:ascii="宋体" w:hAnsi="宋体" w:cs="宋体"/>
          <w:sz w:val="24"/>
        </w:rPr>
      </w:pPr>
      <w:r>
        <w:rPr>
          <w:rFonts w:hint="eastAsia" w:ascii="宋体" w:hAnsi="宋体" w:cs="宋体"/>
          <w:bCs/>
          <w:kern w:val="0"/>
          <w:sz w:val="24"/>
        </w:rPr>
        <w:t>售价：0元。</w:t>
      </w:r>
    </w:p>
    <w:p w14:paraId="3DE5C36B">
      <w:pPr>
        <w:spacing w:line="360" w:lineRule="auto"/>
        <w:ind w:firstLine="482" w:firstLineChars="200"/>
        <w:rPr>
          <w:rFonts w:ascii="宋体" w:hAnsi="宋体" w:cs="宋体"/>
          <w:b/>
          <w:bCs/>
          <w:sz w:val="24"/>
        </w:rPr>
      </w:pPr>
      <w:bookmarkStart w:id="22" w:name="_Toc28359082"/>
      <w:bookmarkStart w:id="23" w:name="_Toc28359005"/>
      <w:bookmarkStart w:id="24" w:name="_Toc35393793"/>
      <w:bookmarkStart w:id="25" w:name="_Toc35393624"/>
      <w:r>
        <w:rPr>
          <w:rFonts w:hint="eastAsia" w:ascii="宋体" w:hAnsi="宋体" w:cs="宋体"/>
          <w:b/>
          <w:bCs/>
          <w:sz w:val="24"/>
        </w:rPr>
        <w:t>四、提交投标文件</w:t>
      </w:r>
      <w:bookmarkEnd w:id="22"/>
      <w:bookmarkEnd w:id="23"/>
      <w:r>
        <w:rPr>
          <w:rFonts w:hint="eastAsia" w:ascii="宋体" w:hAnsi="宋体" w:cs="宋体"/>
          <w:b/>
          <w:bCs/>
          <w:sz w:val="24"/>
        </w:rPr>
        <w:t>截止时间、开标时间和地点</w:t>
      </w:r>
      <w:bookmarkEnd w:id="24"/>
      <w:bookmarkEnd w:id="25"/>
    </w:p>
    <w:p w14:paraId="78978D66">
      <w:pPr>
        <w:spacing w:line="360" w:lineRule="auto"/>
        <w:ind w:firstLine="480" w:firstLineChars="200"/>
        <w:rPr>
          <w:rFonts w:ascii="宋体" w:hAnsi="宋体" w:cs="宋体"/>
          <w:color w:val="auto"/>
          <w:sz w:val="24"/>
        </w:rPr>
      </w:pPr>
      <w:bookmarkStart w:id="26" w:name="_Toc28359084"/>
      <w:bookmarkStart w:id="27" w:name="_Toc28359007"/>
      <w:bookmarkStart w:id="28" w:name="_Toc35393794"/>
      <w:bookmarkStart w:id="29" w:name="_Toc35393625"/>
      <w:r>
        <w:rPr>
          <w:rFonts w:hint="eastAsia" w:ascii="宋体" w:hAnsi="宋体" w:cs="宋体"/>
          <w:color w:val="auto"/>
          <w:sz w:val="24"/>
        </w:rPr>
        <w:t>1.提交投标文件</w:t>
      </w:r>
      <w:r>
        <w:rPr>
          <w:rFonts w:hint="eastAsia" w:ascii="宋体" w:hAnsi="宋体" w:cs="宋体"/>
          <w:color w:val="auto"/>
          <w:sz w:val="24"/>
          <w:lang w:bidi="ar"/>
        </w:rPr>
        <w:t>截止时间：</w:t>
      </w:r>
      <w:r>
        <w:rPr>
          <w:rFonts w:hint="eastAsia" w:ascii="宋体" w:hAnsi="宋体" w:cs="宋体"/>
          <w:color w:val="auto"/>
          <w:sz w:val="24"/>
        </w:rPr>
        <w:t>2026年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日9点30分（北京时间）</w:t>
      </w:r>
    </w:p>
    <w:p w14:paraId="30D2C8D3">
      <w:pPr>
        <w:spacing w:line="360" w:lineRule="auto"/>
        <w:ind w:firstLine="480" w:firstLineChars="20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bidi="ar"/>
        </w:rPr>
        <w:t>开标时间</w:t>
      </w:r>
      <w:r>
        <w:rPr>
          <w:rFonts w:hint="eastAsia" w:ascii="宋体" w:hAnsi="宋体" w:cs="宋体"/>
          <w:color w:val="auto"/>
          <w:sz w:val="24"/>
        </w:rPr>
        <w:t>：2026年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日9点30分（北京时间）</w:t>
      </w:r>
    </w:p>
    <w:p w14:paraId="6C76FF29">
      <w:pPr>
        <w:spacing w:line="360" w:lineRule="auto"/>
        <w:ind w:firstLine="480" w:firstLineChars="200"/>
        <w:rPr>
          <w:rFonts w:ascii="宋体" w:hAnsi="宋体" w:cs="宋体"/>
          <w:sz w:val="24"/>
          <w:lang w:bidi="ar"/>
        </w:rPr>
      </w:pPr>
      <w:r>
        <w:rPr>
          <w:rFonts w:ascii="宋体" w:hAnsi="宋体" w:cs="宋体"/>
          <w:sz w:val="24"/>
        </w:rPr>
        <w:t>3</w:t>
      </w:r>
      <w:r>
        <w:rPr>
          <w:rFonts w:hint="eastAsia" w:ascii="宋体" w:hAnsi="宋体" w:cs="宋体"/>
          <w:sz w:val="24"/>
        </w:rPr>
        <w:t>.地点：广西政府采购云平台</w:t>
      </w:r>
      <w:r>
        <w:rPr>
          <w:rFonts w:hint="eastAsia" w:ascii="宋体" w:hAnsi="宋体" w:cs="宋体"/>
          <w:sz w:val="24"/>
          <w:lang w:bidi="ar"/>
        </w:rPr>
        <w:t>电子开标大厅。</w:t>
      </w:r>
    </w:p>
    <w:p w14:paraId="397B73D6">
      <w:pPr>
        <w:widowControl/>
        <w:spacing w:line="360" w:lineRule="auto"/>
        <w:ind w:firstLine="482" w:firstLineChars="200"/>
        <w:rPr>
          <w:rFonts w:ascii="宋体" w:hAnsi="宋体" w:cs="宋体"/>
          <w:b/>
          <w:color w:val="auto"/>
          <w:sz w:val="24"/>
        </w:rPr>
      </w:pPr>
      <w:r>
        <w:rPr>
          <w:rFonts w:hint="eastAsia" w:ascii="宋体" w:hAnsi="宋体" w:cs="宋体"/>
          <w:b/>
          <w:color w:val="auto"/>
          <w:sz w:val="24"/>
        </w:rPr>
        <w:t>五、开启</w:t>
      </w:r>
    </w:p>
    <w:p w14:paraId="776F3CE5">
      <w:pPr>
        <w:spacing w:line="360" w:lineRule="auto"/>
        <w:ind w:firstLine="480" w:firstLineChars="200"/>
        <w:rPr>
          <w:rFonts w:ascii="宋体" w:hAnsi="宋体" w:cs="宋体"/>
          <w:bCs/>
          <w:color w:val="auto"/>
          <w:sz w:val="24"/>
          <w:u w:val="single"/>
        </w:rPr>
      </w:pPr>
      <w:r>
        <w:rPr>
          <w:rFonts w:hint="eastAsia" w:ascii="宋体" w:hAnsi="宋体" w:cs="宋体"/>
          <w:color w:val="auto"/>
          <w:sz w:val="24"/>
        </w:rPr>
        <w:t>1</w:t>
      </w:r>
      <w:r>
        <w:rPr>
          <w:rFonts w:hint="eastAsia" w:ascii="宋体" w:hAnsi="宋体"/>
          <w:color w:val="auto"/>
          <w:sz w:val="24"/>
        </w:rPr>
        <w:t>.投标</w:t>
      </w:r>
      <w:r>
        <w:rPr>
          <w:rFonts w:hint="eastAsia" w:ascii="宋体" w:hAnsi="宋体" w:cs="宋体"/>
          <w:color w:val="auto"/>
          <w:sz w:val="24"/>
        </w:rPr>
        <w:t>文件开启时间：</w:t>
      </w:r>
      <w:r>
        <w:rPr>
          <w:rFonts w:hint="eastAsia" w:ascii="宋体" w:hAnsi="宋体" w:cs="宋体"/>
          <w:bCs/>
          <w:color w:val="auto"/>
          <w:kern w:val="0"/>
          <w:sz w:val="24"/>
        </w:rPr>
        <w:t>2026年</w:t>
      </w:r>
      <w:r>
        <w:rPr>
          <w:rFonts w:hint="eastAsia" w:ascii="宋体" w:hAnsi="宋体" w:cs="宋体"/>
          <w:bCs/>
          <w:color w:val="auto"/>
          <w:kern w:val="0"/>
          <w:sz w:val="24"/>
          <w:lang w:val="en-US" w:eastAsia="zh-CN"/>
        </w:rPr>
        <w:t>9</w:t>
      </w:r>
      <w:r>
        <w:rPr>
          <w:rFonts w:hint="eastAsia" w:ascii="宋体" w:hAnsi="宋体" w:cs="宋体"/>
          <w:bCs/>
          <w:color w:val="auto"/>
          <w:kern w:val="0"/>
          <w:sz w:val="24"/>
        </w:rPr>
        <w:t>月</w:t>
      </w:r>
      <w:r>
        <w:rPr>
          <w:rFonts w:hint="eastAsia" w:ascii="宋体" w:hAnsi="宋体" w:cs="宋体"/>
          <w:bCs/>
          <w:color w:val="auto"/>
          <w:kern w:val="0"/>
          <w:sz w:val="24"/>
          <w:lang w:val="en-US" w:eastAsia="zh-CN"/>
        </w:rPr>
        <w:t>10</w:t>
      </w:r>
      <w:r>
        <w:rPr>
          <w:rFonts w:hint="eastAsia" w:ascii="宋体" w:hAnsi="宋体" w:cs="宋体"/>
          <w:bCs/>
          <w:color w:val="auto"/>
          <w:kern w:val="0"/>
          <w:sz w:val="24"/>
        </w:rPr>
        <w:t>日9点30分（北京时间）</w:t>
      </w:r>
    </w:p>
    <w:p w14:paraId="2C51AFFA">
      <w:pPr>
        <w:spacing w:line="360" w:lineRule="auto"/>
        <w:ind w:firstLine="480" w:firstLineChars="200"/>
        <w:rPr>
          <w:lang w:bidi="ar"/>
        </w:rPr>
      </w:pPr>
      <w:r>
        <w:rPr>
          <w:rFonts w:hint="eastAsia" w:ascii="宋体" w:hAnsi="宋体" w:cs="宋体"/>
          <w:sz w:val="24"/>
        </w:rPr>
        <w:t>2</w:t>
      </w:r>
      <w:r>
        <w:rPr>
          <w:rFonts w:hint="eastAsia" w:ascii="宋体" w:hAnsi="宋体"/>
          <w:sz w:val="24"/>
        </w:rPr>
        <w:t>.</w:t>
      </w:r>
      <w:r>
        <w:rPr>
          <w:rFonts w:hint="eastAsia" w:ascii="宋体" w:hAnsi="宋体" w:cs="宋体"/>
          <w:sz w:val="24"/>
        </w:rPr>
        <w:t>地点：</w:t>
      </w:r>
      <w:r>
        <w:rPr>
          <w:rFonts w:hint="eastAsia" w:ascii="宋体" w:hAnsi="宋体" w:cs="宋体"/>
          <w:sz w:val="24"/>
          <w:lang w:bidi="ar"/>
        </w:rPr>
        <w:t>本项目将在</w:t>
      </w:r>
      <w:r>
        <w:rPr>
          <w:rFonts w:hint="eastAsia" w:ascii="宋体" w:hAnsi="宋体" w:cs="宋体"/>
          <w:sz w:val="24"/>
        </w:rPr>
        <w:t>广西政府采购云平台</w:t>
      </w:r>
      <w:r>
        <w:rPr>
          <w:rFonts w:hint="eastAsia" w:ascii="宋体" w:hAnsi="宋体" w:cs="宋体"/>
          <w:sz w:val="24"/>
          <w:lang w:bidi="ar"/>
        </w:rPr>
        <w:t>电子开标大厅解密、开启。</w:t>
      </w:r>
    </w:p>
    <w:p w14:paraId="0D5E3BAE">
      <w:pPr>
        <w:spacing w:line="360" w:lineRule="auto"/>
        <w:ind w:firstLine="482" w:firstLineChars="200"/>
        <w:rPr>
          <w:rFonts w:ascii="宋体" w:hAnsi="宋体" w:cs="宋体"/>
          <w:b/>
          <w:bCs/>
          <w:sz w:val="24"/>
        </w:rPr>
      </w:pPr>
      <w:r>
        <w:rPr>
          <w:rFonts w:hint="eastAsia" w:ascii="宋体" w:hAnsi="宋体" w:cs="宋体"/>
          <w:b/>
          <w:bCs/>
          <w:sz w:val="24"/>
        </w:rPr>
        <w:t>六、公告期限</w:t>
      </w:r>
      <w:bookmarkEnd w:id="26"/>
      <w:bookmarkEnd w:id="27"/>
      <w:bookmarkEnd w:id="28"/>
      <w:bookmarkEnd w:id="29"/>
    </w:p>
    <w:p w14:paraId="7230F1C6">
      <w:pPr>
        <w:spacing w:line="360" w:lineRule="auto"/>
        <w:ind w:firstLine="480" w:firstLineChars="200"/>
        <w:rPr>
          <w:rFonts w:ascii="宋体" w:hAnsi="宋体" w:cs="宋体"/>
          <w:kern w:val="0"/>
          <w:sz w:val="24"/>
        </w:rPr>
      </w:pPr>
      <w:r>
        <w:rPr>
          <w:rFonts w:hint="eastAsia" w:ascii="宋体" w:hAnsi="宋体" w:cs="宋体"/>
          <w:kern w:val="0"/>
          <w:sz w:val="24"/>
        </w:rPr>
        <w:t>自本公告发布之日起5个工作日。</w:t>
      </w:r>
    </w:p>
    <w:p w14:paraId="46CBDC60">
      <w:pPr>
        <w:spacing w:line="360" w:lineRule="auto"/>
        <w:ind w:firstLine="482" w:firstLineChars="200"/>
        <w:rPr>
          <w:rFonts w:ascii="宋体" w:hAnsi="宋体" w:cs="宋体"/>
          <w:b/>
          <w:bCs/>
          <w:sz w:val="24"/>
        </w:rPr>
      </w:pPr>
      <w:bookmarkStart w:id="30" w:name="_Hlk37429674"/>
      <w:r>
        <w:rPr>
          <w:rFonts w:hint="eastAsia" w:ascii="宋体" w:hAnsi="宋体" w:cs="宋体"/>
          <w:b/>
          <w:bCs/>
          <w:sz w:val="24"/>
        </w:rPr>
        <w:t>七、其他补充事宜：</w:t>
      </w:r>
    </w:p>
    <w:p w14:paraId="7233F0F2">
      <w:pPr>
        <w:spacing w:line="360" w:lineRule="auto"/>
        <w:ind w:firstLine="480" w:firstLineChars="200"/>
        <w:rPr>
          <w:rFonts w:ascii="宋体" w:hAnsi="宋体" w:cs="宋体"/>
          <w:kern w:val="0"/>
          <w:sz w:val="24"/>
        </w:rPr>
      </w:pPr>
      <w:r>
        <w:rPr>
          <w:rFonts w:hint="eastAsia" w:ascii="宋体" w:hAnsi="宋体" w:cs="宋体"/>
          <w:kern w:val="0"/>
          <w:sz w:val="24"/>
        </w:rPr>
        <w:t>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53625FEC">
      <w:pPr>
        <w:spacing w:line="360" w:lineRule="auto"/>
        <w:ind w:firstLine="480" w:firstLineChars="200"/>
        <w:rPr>
          <w:rFonts w:ascii="宋体" w:hAnsi="宋体" w:cs="宋体"/>
          <w:kern w:val="0"/>
          <w:sz w:val="24"/>
        </w:rPr>
      </w:pPr>
      <w:r>
        <w:rPr>
          <w:rFonts w:hint="eastAsia" w:ascii="宋体" w:hAnsi="宋体" w:cs="宋体"/>
          <w:kern w:val="0"/>
          <w:sz w:val="24"/>
        </w:rPr>
        <w:t>2.根据财政部《关于在政府采购活动中查询及使用信用记录有关问题的通知》（财库〔2016〕125号）的规定，对在“信用中国”网站(www.creditchina.gov.cn)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政府采购活动。</w:t>
      </w:r>
    </w:p>
    <w:p w14:paraId="4E5B2ABE">
      <w:pPr>
        <w:spacing w:line="360" w:lineRule="auto"/>
        <w:ind w:left="420" w:leftChars="200"/>
        <w:rPr>
          <w:rFonts w:ascii="宋体" w:hAnsi="宋体" w:cs="宋体"/>
          <w:kern w:val="0"/>
          <w:sz w:val="24"/>
        </w:rPr>
      </w:pPr>
      <w:r>
        <w:rPr>
          <w:rFonts w:hint="eastAsia" w:ascii="宋体" w:hAnsi="宋体" w:cs="宋体"/>
          <w:kern w:val="0"/>
          <w:sz w:val="24"/>
        </w:rPr>
        <w:t>3.网上查询地址：</w:t>
      </w:r>
      <w:r>
        <w:rPr>
          <w:rFonts w:ascii="宋体" w:hAnsi="宋体" w:cs="宋体"/>
          <w:kern w:val="0"/>
          <w:sz w:val="24"/>
        </w:rPr>
        <w:t xml:space="preserve"> </w:t>
      </w:r>
    </w:p>
    <w:p w14:paraId="2FD121ED">
      <w:pPr>
        <w:spacing w:line="360" w:lineRule="auto"/>
        <w:ind w:left="420" w:leftChars="200"/>
        <w:rPr>
          <w:rFonts w:ascii="宋体" w:hAnsi="宋体" w:cs="宋体"/>
          <w:sz w:val="24"/>
        </w:rPr>
      </w:pPr>
      <w:r>
        <w:rPr>
          <w:rFonts w:hint="eastAsia" w:ascii="宋体" w:hAnsi="宋体" w:cs="宋体"/>
          <w:sz w:val="24"/>
        </w:rPr>
        <w:t>（1）中国政府采购网（</w:t>
      </w:r>
      <w:r>
        <w:rPr>
          <w:rFonts w:hint="eastAsia"/>
        </w:rPr>
        <w:fldChar w:fldCharType="begin"/>
      </w:r>
      <w:r>
        <w:instrText xml:space="preserve"> HYPERLINK "http://www.ccgp.gov.cn" </w:instrText>
      </w:r>
      <w:r>
        <w:rPr>
          <w:rFonts w:hint="eastAsia"/>
        </w:rPr>
        <w:fldChar w:fldCharType="separate"/>
      </w:r>
      <w:r>
        <w:rPr>
          <w:rStyle w:val="55"/>
          <w:rFonts w:hint="eastAsia" w:ascii="宋体" w:hAnsi="宋体" w:cs="宋体"/>
          <w:color w:val="auto"/>
          <w:sz w:val="24"/>
        </w:rPr>
        <w:t>www.ccgp.gov.cn</w:t>
      </w:r>
      <w:r>
        <w:rPr>
          <w:rStyle w:val="55"/>
          <w:rFonts w:hint="eastAsia" w:ascii="宋体" w:hAnsi="宋体" w:cs="宋体"/>
          <w:color w:val="auto"/>
          <w:sz w:val="24"/>
        </w:rPr>
        <w:fldChar w:fldCharType="end"/>
      </w:r>
      <w:r>
        <w:rPr>
          <w:rFonts w:hint="eastAsia" w:ascii="宋体" w:hAnsi="宋体" w:cs="宋体"/>
          <w:sz w:val="24"/>
        </w:rPr>
        <w:t>）</w:t>
      </w:r>
    </w:p>
    <w:p w14:paraId="1A2916D3">
      <w:pPr>
        <w:spacing w:line="360" w:lineRule="auto"/>
        <w:ind w:left="420" w:leftChars="200"/>
        <w:rPr>
          <w:rFonts w:ascii="宋体" w:hAnsi="宋体" w:cs="宋体"/>
          <w:sz w:val="24"/>
        </w:rPr>
      </w:pPr>
      <w:r>
        <w:rPr>
          <w:rFonts w:hint="eastAsia" w:ascii="宋体" w:hAnsi="宋体" w:cs="宋体"/>
          <w:sz w:val="24"/>
        </w:rPr>
        <w:t>（2）广西政府采购网（zfcg.gxzf.gov.cn）</w:t>
      </w:r>
    </w:p>
    <w:p w14:paraId="27C94E68">
      <w:pPr>
        <w:spacing w:line="360" w:lineRule="auto"/>
        <w:ind w:left="420" w:leftChars="200"/>
        <w:rPr>
          <w:rFonts w:ascii="宋体" w:hAnsi="宋体" w:cs="宋体"/>
          <w:sz w:val="24"/>
        </w:rPr>
      </w:pPr>
      <w:r>
        <w:rPr>
          <w:rFonts w:hint="eastAsia" w:ascii="宋体" w:hAnsi="宋体" w:cs="宋体"/>
          <w:sz w:val="24"/>
        </w:rPr>
        <w:t>（3）广西壮族自治区公共资源交易中心网站（http：//gxggzy.gxzf.gov.cn）</w:t>
      </w:r>
    </w:p>
    <w:p w14:paraId="01368EA6">
      <w:pPr>
        <w:spacing w:line="360" w:lineRule="auto"/>
        <w:ind w:left="420" w:leftChars="200"/>
        <w:rPr>
          <w:rFonts w:ascii="宋体" w:hAnsi="宋体" w:cs="宋体"/>
          <w:sz w:val="24"/>
        </w:rPr>
      </w:pPr>
      <w:r>
        <w:rPr>
          <w:rFonts w:hint="eastAsia" w:ascii="宋体" w:hAnsi="宋体" w:cs="宋体"/>
          <w:sz w:val="24"/>
        </w:rPr>
        <w:t>（4）中国招标投标公共服务平台（http://www.cebpubservice.com）</w:t>
      </w:r>
      <w:r>
        <w:rPr>
          <w:rFonts w:hint="eastAsia" w:ascii="宋体" w:hAnsi="宋体" w:cs="宋体"/>
          <w:sz w:val="24"/>
        </w:rPr>
        <w:br w:type="textWrapping"/>
      </w:r>
      <w:r>
        <w:rPr>
          <w:rFonts w:hint="eastAsia" w:ascii="宋体" w:hAnsi="宋体" w:cs="宋体"/>
          <w:sz w:val="24"/>
        </w:rPr>
        <w:t>（5）广西壮族自治区招标投标公共服务平台（http://zbtb.gxi.gov.cn:9000）</w:t>
      </w:r>
      <w:r>
        <w:rPr>
          <w:rFonts w:hint="eastAsia" w:ascii="宋体" w:hAnsi="宋体" w:cs="宋体"/>
          <w:sz w:val="24"/>
        </w:rPr>
        <w:br w:type="textWrapping"/>
      </w:r>
      <w:r>
        <w:rPr>
          <w:rFonts w:hint="eastAsia" w:ascii="宋体" w:hAnsi="宋体" w:cs="宋体"/>
          <w:sz w:val="24"/>
        </w:rPr>
        <w:t>（6）全国公共资源交易平台（广西壮族自治区）http://ggzy.jgswj.gxzf.gov.cn/gxggzy/网站。</w:t>
      </w:r>
    </w:p>
    <w:p w14:paraId="1043AC78">
      <w:pPr>
        <w:spacing w:line="360" w:lineRule="auto"/>
        <w:ind w:firstLine="480" w:firstLineChars="200"/>
        <w:rPr>
          <w:rFonts w:ascii="宋体" w:hAnsi="宋体" w:cs="宋体"/>
          <w:kern w:val="0"/>
          <w:sz w:val="24"/>
        </w:rPr>
      </w:pPr>
      <w:r>
        <w:rPr>
          <w:rFonts w:hint="eastAsia" w:ascii="宋体" w:hAnsi="宋体" w:cs="宋体"/>
          <w:kern w:val="0"/>
          <w:sz w:val="24"/>
        </w:rPr>
        <w:t>4.本项目需要落实的政府采购政策：</w:t>
      </w:r>
    </w:p>
    <w:p w14:paraId="716F3847">
      <w:pPr>
        <w:spacing w:line="360" w:lineRule="auto"/>
        <w:ind w:firstLine="480" w:firstLineChars="200"/>
        <w:rPr>
          <w:rFonts w:ascii="宋体" w:hAnsi="宋体" w:cs="宋体"/>
          <w:kern w:val="0"/>
          <w:sz w:val="24"/>
        </w:rPr>
      </w:pPr>
      <w:r>
        <w:rPr>
          <w:rFonts w:hint="eastAsia" w:ascii="宋体" w:hAnsi="宋体" w:cs="宋体"/>
          <w:kern w:val="0"/>
          <w:sz w:val="24"/>
        </w:rPr>
        <w:t>（1）政府采购促进中小企业发展。</w:t>
      </w:r>
    </w:p>
    <w:p w14:paraId="0528A17C">
      <w:pPr>
        <w:spacing w:line="360" w:lineRule="auto"/>
        <w:ind w:firstLine="480" w:firstLineChars="200"/>
        <w:rPr>
          <w:rFonts w:ascii="宋体" w:hAnsi="宋体" w:cs="宋体"/>
          <w:kern w:val="0"/>
          <w:sz w:val="24"/>
        </w:rPr>
      </w:pPr>
      <w:r>
        <w:rPr>
          <w:rFonts w:hint="eastAsia" w:ascii="宋体" w:hAnsi="宋体" w:cs="宋体"/>
          <w:kern w:val="0"/>
          <w:sz w:val="24"/>
        </w:rPr>
        <w:t>（2）政府采购支持采用本国产品的政策。</w:t>
      </w:r>
    </w:p>
    <w:p w14:paraId="49AF5C50">
      <w:pPr>
        <w:spacing w:line="360" w:lineRule="auto"/>
        <w:ind w:firstLine="480" w:firstLineChars="200"/>
        <w:rPr>
          <w:rFonts w:ascii="宋体" w:hAnsi="宋体" w:cs="宋体"/>
          <w:kern w:val="0"/>
          <w:sz w:val="24"/>
        </w:rPr>
      </w:pPr>
      <w:r>
        <w:rPr>
          <w:rFonts w:hint="eastAsia" w:ascii="宋体" w:hAnsi="宋体" w:cs="宋体"/>
          <w:kern w:val="0"/>
          <w:sz w:val="24"/>
        </w:rPr>
        <w:t>（3）强制采购节能产品；优先采购节能产品、环境标志产品。</w:t>
      </w:r>
    </w:p>
    <w:p w14:paraId="508D57A5">
      <w:pPr>
        <w:spacing w:line="360" w:lineRule="auto"/>
        <w:ind w:firstLine="480" w:firstLineChars="200"/>
        <w:rPr>
          <w:rFonts w:ascii="宋体" w:hAnsi="宋体" w:cs="宋体"/>
          <w:kern w:val="0"/>
          <w:sz w:val="24"/>
        </w:rPr>
      </w:pPr>
      <w:r>
        <w:rPr>
          <w:rFonts w:hint="eastAsia" w:ascii="宋体" w:hAnsi="宋体" w:cs="宋体"/>
          <w:kern w:val="0"/>
          <w:sz w:val="24"/>
        </w:rPr>
        <w:t>（4）政府采购促进残疾人就业政策。</w:t>
      </w:r>
    </w:p>
    <w:p w14:paraId="36D403E2">
      <w:pPr>
        <w:spacing w:line="360" w:lineRule="auto"/>
        <w:ind w:firstLine="480" w:firstLineChars="200"/>
        <w:rPr>
          <w:rFonts w:ascii="宋体" w:hAnsi="宋体" w:cs="宋体"/>
          <w:kern w:val="0"/>
          <w:sz w:val="24"/>
        </w:rPr>
      </w:pPr>
      <w:r>
        <w:rPr>
          <w:rFonts w:hint="eastAsia" w:ascii="宋体" w:hAnsi="宋体" w:cs="宋体"/>
          <w:kern w:val="0"/>
          <w:sz w:val="24"/>
        </w:rPr>
        <w:t>（5）政府采购支持监狱企业发展。</w:t>
      </w:r>
    </w:p>
    <w:p w14:paraId="6CCCE98F">
      <w:pPr>
        <w:widowControl/>
        <w:spacing w:line="360" w:lineRule="auto"/>
        <w:ind w:firstLine="480" w:firstLineChars="200"/>
        <w:rPr>
          <w:rFonts w:ascii="宋体" w:hAnsi="宋体" w:cs="宋体"/>
          <w:sz w:val="24"/>
          <w:lang w:bidi="ar"/>
        </w:rPr>
      </w:pPr>
      <w:r>
        <w:rPr>
          <w:rFonts w:hint="eastAsia" w:ascii="宋体" w:hAnsi="宋体" w:cs="宋体"/>
          <w:sz w:val="24"/>
          <w:lang w:bidi="ar"/>
        </w:rPr>
        <w:t>5.投标注意事项：</w:t>
      </w:r>
    </w:p>
    <w:p w14:paraId="5330F586">
      <w:pPr>
        <w:widowControl/>
        <w:spacing w:line="360" w:lineRule="auto"/>
        <w:ind w:firstLine="480" w:firstLineChars="200"/>
        <w:rPr>
          <w:rFonts w:ascii="宋体" w:hAnsi="宋体" w:cs="宋体"/>
          <w:bCs/>
          <w:sz w:val="24"/>
        </w:rPr>
      </w:pPr>
      <w:r>
        <w:rPr>
          <w:rFonts w:hint="eastAsia" w:ascii="宋体" w:hAnsi="宋体" w:cs="宋体"/>
          <w:sz w:val="24"/>
          <w:lang w:bidi="ar"/>
        </w:rPr>
        <w:t>（1）投标文件提交方式：本项目为全流程电子化政府采购项目，通过</w:t>
      </w:r>
      <w:r>
        <w:rPr>
          <w:rFonts w:hint="eastAsia" w:ascii="宋体" w:hAnsi="宋体" w:cs="宋体"/>
          <w:sz w:val="24"/>
        </w:rPr>
        <w:t>广西政府采购云平台</w:t>
      </w:r>
      <w:r>
        <w:rPr>
          <w:rFonts w:hint="eastAsia" w:ascii="宋体" w:hAnsi="宋体" w:cs="宋体"/>
          <w:sz w:val="24"/>
          <w:lang w:bidi="ar"/>
        </w:rPr>
        <w:t>（</w:t>
      </w:r>
      <w:r>
        <w:rPr>
          <w:rFonts w:hint="eastAsia" w:ascii="宋体" w:hAnsi="宋体" w:cs="宋体"/>
          <w:sz w:val="24"/>
        </w:rPr>
        <w:t>https://www.gcy.zfcg.gxzf.gov.cn/</w:t>
      </w:r>
      <w:r>
        <w:rPr>
          <w:rFonts w:hint="eastAsia" w:ascii="宋体" w:hAnsi="宋体" w:cs="宋体"/>
          <w:sz w:val="24"/>
          <w:lang w:bidi="ar"/>
        </w:rPr>
        <w:t>）实行在线电子投标，供应商应先安装“</w:t>
      </w:r>
      <w:r>
        <w:rPr>
          <w:rFonts w:hint="eastAsia" w:ascii="宋体" w:hAnsi="宋体" w:cs="宋体"/>
          <w:sz w:val="24"/>
        </w:rPr>
        <w:t>广西政府采购云平台</w:t>
      </w:r>
      <w:r>
        <w:rPr>
          <w:rFonts w:hint="eastAsia" w:ascii="宋体" w:hAnsi="宋体" w:cs="宋体"/>
          <w:sz w:val="24"/>
          <w:lang w:bidi="ar"/>
        </w:rPr>
        <w:t>电子交易客户端”（请自行前往</w:t>
      </w:r>
      <w:r>
        <w:rPr>
          <w:rFonts w:hint="eastAsia" w:ascii="宋体" w:hAnsi="宋体" w:cs="宋体"/>
          <w:sz w:val="24"/>
        </w:rPr>
        <w:t>广西政府采购云平台</w:t>
      </w:r>
      <w:r>
        <w:rPr>
          <w:rFonts w:hint="eastAsia" w:ascii="宋体" w:hAnsi="宋体" w:cs="宋体"/>
          <w:sz w:val="24"/>
          <w:lang w:bidi="ar"/>
        </w:rPr>
        <w:t>进行下载），并按照本项目招标文件和</w:t>
      </w:r>
      <w:r>
        <w:rPr>
          <w:rFonts w:hint="eastAsia" w:ascii="宋体" w:hAnsi="宋体" w:cs="宋体"/>
          <w:sz w:val="24"/>
        </w:rPr>
        <w:t>广西政府采购云平台</w:t>
      </w:r>
      <w:r>
        <w:rPr>
          <w:rFonts w:hint="eastAsia" w:ascii="宋体" w:hAnsi="宋体" w:cs="宋体"/>
          <w:sz w:val="24"/>
          <w:lang w:bidi="ar"/>
        </w:rPr>
        <w:t>的要求编制、加密后在投标截止时间前通过网络上传至</w:t>
      </w:r>
      <w:r>
        <w:rPr>
          <w:rFonts w:hint="eastAsia" w:ascii="宋体" w:hAnsi="宋体" w:cs="宋体"/>
          <w:sz w:val="24"/>
        </w:rPr>
        <w:t>广西政府采购云平台</w:t>
      </w:r>
      <w:r>
        <w:rPr>
          <w:rFonts w:hint="eastAsia" w:ascii="宋体" w:hAnsi="宋体" w:cs="宋体"/>
          <w:sz w:val="24"/>
          <w:lang w:bidi="ar"/>
        </w:rPr>
        <w:t>，</w:t>
      </w:r>
      <w:r>
        <w:rPr>
          <w:rFonts w:hint="eastAsia" w:ascii="宋体" w:hAnsi="宋体" w:cs="宋体"/>
          <w:b/>
          <w:sz w:val="24"/>
          <w:lang w:bidi="ar"/>
        </w:rPr>
        <w:t>供应商在广西政府采购云平台提交电子版投标文件时，请填写参加远程开标活动经办人联系方式。</w:t>
      </w:r>
    </w:p>
    <w:p w14:paraId="34998779">
      <w:pPr>
        <w:widowControl/>
        <w:spacing w:line="360" w:lineRule="auto"/>
        <w:ind w:firstLine="480" w:firstLineChars="200"/>
        <w:rPr>
          <w:rFonts w:ascii="宋体" w:hAnsi="宋体" w:cs="宋体"/>
          <w:sz w:val="24"/>
          <w:lang w:bidi="ar"/>
        </w:rPr>
      </w:pPr>
      <w:r>
        <w:rPr>
          <w:rFonts w:hint="eastAsia" w:ascii="宋体" w:hAnsi="宋体" w:cs="宋体"/>
          <w:sz w:val="24"/>
          <w:lang w:bidi="ar"/>
        </w:rPr>
        <w:t>（2）供应商应及时熟悉掌握电子标系统操作指南（见</w:t>
      </w:r>
      <w:r>
        <w:rPr>
          <w:rFonts w:hint="eastAsia" w:ascii="宋体" w:hAnsi="宋体" w:cs="宋体"/>
          <w:sz w:val="24"/>
        </w:rPr>
        <w:t>广西政府采购云平台</w:t>
      </w:r>
      <w:r>
        <w:rPr>
          <w:rFonts w:hint="eastAsia" w:ascii="宋体" w:hAnsi="宋体" w:cs="宋体"/>
          <w:sz w:val="24"/>
          <w:lang w:bidi="ar"/>
        </w:rPr>
        <w:t>电子卖场首页右上角—服务中心—帮助文档—项目采购）；及时完成CA申领和绑定（见广西壮族自治区政府采购网—办事服务—下载专区-</w:t>
      </w:r>
      <w:r>
        <w:rPr>
          <w:rFonts w:hint="eastAsia" w:ascii="宋体" w:hAnsi="宋体" w:cs="宋体"/>
          <w:sz w:val="24"/>
        </w:rPr>
        <w:t>广西政府采购云平台</w:t>
      </w:r>
      <w:r>
        <w:rPr>
          <w:rFonts w:hint="eastAsia" w:ascii="宋体" w:hAnsi="宋体" w:cs="宋体"/>
          <w:sz w:val="24"/>
          <w:lang w:bidi="ar"/>
        </w:rPr>
        <w:t>CA证书办理操作指南）。</w:t>
      </w:r>
    </w:p>
    <w:p w14:paraId="1A85AE6B">
      <w:pPr>
        <w:widowControl/>
        <w:spacing w:line="360" w:lineRule="auto"/>
        <w:ind w:firstLine="480" w:firstLineChars="200"/>
        <w:rPr>
          <w:rFonts w:ascii="宋体" w:hAnsi="宋体" w:cs="宋体"/>
          <w:sz w:val="24"/>
        </w:rPr>
      </w:pPr>
      <w:r>
        <w:rPr>
          <w:rFonts w:hint="eastAsia" w:ascii="宋体" w:hAnsi="宋体" w:cs="宋体"/>
          <w:sz w:val="24"/>
          <w:lang w:bidi="ar"/>
        </w:rPr>
        <w:t>（3）未进行网上注册并办理数字证书（CA认证）的供应商将无法参与本项目政府采购活动，潜在供应商应当在投标截止时间前，完成电子交易平台上的CA数字证书办理及投标文件的提交。完成CA数字证书办理预计7日左右，投标人只需办理其中一家CA数字证书及签章，建议各投标人抓紧时间办理。</w:t>
      </w:r>
    </w:p>
    <w:p w14:paraId="2398F74E">
      <w:pPr>
        <w:widowControl/>
        <w:spacing w:line="360" w:lineRule="auto"/>
        <w:ind w:firstLine="480" w:firstLineChars="200"/>
        <w:rPr>
          <w:rFonts w:ascii="宋体" w:hAnsi="宋体" w:cs="宋体"/>
          <w:sz w:val="24"/>
        </w:rPr>
      </w:pPr>
      <w:r>
        <w:rPr>
          <w:rFonts w:hint="eastAsia" w:ascii="宋体" w:hAnsi="宋体" w:cs="宋体"/>
          <w:sz w:val="24"/>
          <w:lang w:bidi="ar"/>
        </w:rPr>
        <w:t>（4）为确保网上操作合法、有效和安全，请投标人确保在电子投标过程中能够对相关数据电文进行加密和使用电子签章，妥善保管CA数字证书并使用有效的CA数字证书参与整个采购活动。</w:t>
      </w:r>
    </w:p>
    <w:p w14:paraId="07CF52FA">
      <w:pPr>
        <w:widowControl/>
        <w:spacing w:line="360" w:lineRule="auto"/>
        <w:ind w:firstLine="482" w:firstLineChars="200"/>
        <w:rPr>
          <w:rFonts w:ascii="楷体" w:hAnsi="楷体" w:eastAsia="楷体" w:cs="宋体"/>
          <w:sz w:val="24"/>
          <w:lang w:bidi="ar"/>
        </w:rPr>
      </w:pPr>
      <w:r>
        <w:rPr>
          <w:rFonts w:hint="eastAsia" w:ascii="楷体" w:hAnsi="楷体" w:eastAsia="楷体" w:cs="宋体"/>
          <w:b/>
          <w:bCs/>
          <w:sz w:val="24"/>
          <w:lang w:bidi="ar"/>
        </w:rPr>
        <w:t>注：投标人应当在投标截止时间前完成电子投标文件的上传、递交，投标截止时间前可以补充、修改或者撤回投标文件。补充或者修改投标文件的，应当先行撤回原文件，补充、修改后重新上传、递交。投标截止时间前未完成上传、递交的，视为撤回投标文件。投标截止时间以后上传递交的投标文件，广西政府采购云平台将予以拒收。</w:t>
      </w:r>
    </w:p>
    <w:p w14:paraId="3B705163">
      <w:pPr>
        <w:widowControl/>
        <w:spacing w:line="360" w:lineRule="auto"/>
        <w:ind w:firstLine="480" w:firstLineChars="200"/>
        <w:rPr>
          <w:rFonts w:ascii="宋体" w:hAnsi="宋体" w:cs="宋体"/>
          <w:kern w:val="0"/>
          <w:sz w:val="24"/>
        </w:rPr>
      </w:pPr>
      <w:r>
        <w:rPr>
          <w:rFonts w:hint="eastAsia" w:ascii="宋体" w:hAnsi="宋体" w:cs="宋体"/>
          <w:sz w:val="24"/>
          <w:lang w:bidi="ar"/>
        </w:rPr>
        <w:t>6.CA证书在线解密：供应商投标时，需携带制作投标文件时用来加</w:t>
      </w:r>
      <w:r>
        <w:rPr>
          <w:rFonts w:hint="eastAsia" w:ascii="宋体" w:hAnsi="宋体" w:cs="宋体"/>
          <w:kern w:val="0"/>
          <w:sz w:val="24"/>
          <w:lang w:bidi="ar"/>
        </w:rPr>
        <w:t>密的有效数字证书（CA认证）登录</w:t>
      </w:r>
      <w:r>
        <w:rPr>
          <w:rFonts w:hint="eastAsia" w:ascii="宋体" w:hAnsi="宋体" w:cs="宋体"/>
          <w:sz w:val="24"/>
        </w:rPr>
        <w:t>广西政府采购云平台</w:t>
      </w:r>
      <w:r>
        <w:rPr>
          <w:rFonts w:hint="eastAsia" w:ascii="宋体" w:hAnsi="宋体" w:cs="宋体"/>
          <w:kern w:val="0"/>
          <w:sz w:val="24"/>
          <w:lang w:bidi="ar"/>
        </w:rPr>
        <w:t>电子开标大厅现场按规定时间对加密的投标文件进行解密，否则后果自负。</w:t>
      </w:r>
    </w:p>
    <w:p w14:paraId="1B2A63A5">
      <w:pPr>
        <w:spacing w:line="360" w:lineRule="auto"/>
        <w:ind w:firstLine="480" w:firstLineChars="200"/>
        <w:rPr>
          <w:rFonts w:ascii="宋体" w:hAnsi="宋体" w:cs="宋体"/>
          <w:kern w:val="0"/>
          <w:sz w:val="24"/>
        </w:rPr>
      </w:pPr>
      <w:r>
        <w:rPr>
          <w:rFonts w:hint="eastAsia" w:ascii="宋体" w:hAnsi="宋体" w:cs="宋体"/>
          <w:kern w:val="0"/>
          <w:sz w:val="24"/>
        </w:rPr>
        <w:t>7.若对项目采购电子交易系统操作有疑问，可登录</w:t>
      </w:r>
      <w:r>
        <w:rPr>
          <w:rFonts w:hint="eastAsia" w:ascii="宋体" w:hAnsi="宋体" w:cs="宋体"/>
          <w:sz w:val="24"/>
        </w:rPr>
        <w:t>广西政府采购云平台</w:t>
      </w:r>
      <w:r>
        <w:rPr>
          <w:rFonts w:hint="eastAsia" w:ascii="宋体" w:hAnsi="宋体" w:cs="宋体"/>
          <w:kern w:val="0"/>
          <w:sz w:val="24"/>
        </w:rPr>
        <w:t>（</w:t>
      </w:r>
      <w:r>
        <w:rPr>
          <w:rFonts w:hint="eastAsia" w:ascii="宋体" w:hAnsi="宋体" w:cs="宋体"/>
          <w:sz w:val="24"/>
        </w:rPr>
        <w:t>https://www.gcy.zfcg.gxzf.gov.cn/</w:t>
      </w:r>
      <w:r>
        <w:rPr>
          <w:rFonts w:hint="eastAsia" w:ascii="宋体" w:hAnsi="宋体" w:cs="宋体"/>
          <w:kern w:val="0"/>
          <w:sz w:val="24"/>
        </w:rPr>
        <w:t>），点击右侧咨询小采，获取采小蜜智能服务管家帮助，或拨打</w:t>
      </w:r>
      <w:r>
        <w:rPr>
          <w:rFonts w:hint="eastAsia" w:ascii="宋体" w:hAnsi="宋体" w:cs="宋体"/>
          <w:sz w:val="24"/>
        </w:rPr>
        <w:t>广西政府采购云平台</w:t>
      </w:r>
      <w:r>
        <w:rPr>
          <w:rFonts w:hint="eastAsia" w:ascii="宋体" w:hAnsi="宋体" w:cs="宋体"/>
          <w:kern w:val="0"/>
          <w:sz w:val="24"/>
        </w:rPr>
        <w:t>服务热线</w:t>
      </w:r>
      <w:r>
        <w:rPr>
          <w:rFonts w:ascii="宋体" w:hAnsi="宋体" w:cs="宋体"/>
          <w:kern w:val="0"/>
          <w:sz w:val="24"/>
        </w:rPr>
        <w:t>95763</w:t>
      </w:r>
      <w:r>
        <w:rPr>
          <w:rFonts w:hint="eastAsia" w:ascii="宋体" w:hAnsi="宋体" w:cs="宋体"/>
          <w:kern w:val="0"/>
          <w:sz w:val="24"/>
        </w:rPr>
        <w:t>获取热线服务帮助。</w:t>
      </w:r>
      <w:bookmarkEnd w:id="30"/>
    </w:p>
    <w:p w14:paraId="04B9C8BF">
      <w:pPr>
        <w:spacing w:line="360" w:lineRule="auto"/>
        <w:ind w:firstLine="482" w:firstLineChars="200"/>
        <w:rPr>
          <w:rFonts w:ascii="宋体" w:hAnsi="宋体" w:cs="宋体"/>
          <w:b/>
          <w:bCs/>
          <w:sz w:val="24"/>
        </w:rPr>
      </w:pPr>
      <w:bookmarkStart w:id="31" w:name="_Toc35393627"/>
      <w:bookmarkStart w:id="32" w:name="_Toc28359085"/>
      <w:bookmarkStart w:id="33" w:name="_Toc28359008"/>
      <w:bookmarkStart w:id="34" w:name="_Toc35393796"/>
      <w:r>
        <w:rPr>
          <w:rFonts w:hint="eastAsia" w:ascii="宋体" w:hAnsi="宋体" w:cs="宋体"/>
          <w:b/>
          <w:bCs/>
          <w:sz w:val="24"/>
        </w:rPr>
        <w:t>八、对本次招标提出询问，请按以下方式联系。</w:t>
      </w:r>
      <w:bookmarkEnd w:id="31"/>
      <w:bookmarkEnd w:id="32"/>
      <w:bookmarkEnd w:id="33"/>
      <w:bookmarkEnd w:id="34"/>
    </w:p>
    <w:p w14:paraId="0BA7A646">
      <w:pPr>
        <w:spacing w:line="360" w:lineRule="auto"/>
        <w:ind w:firstLine="648" w:firstLineChars="270"/>
        <w:jc w:val="left"/>
        <w:rPr>
          <w:rFonts w:ascii="宋体" w:hAnsi="宋体" w:cs="宋体"/>
          <w:sz w:val="24"/>
        </w:rPr>
      </w:pPr>
      <w:r>
        <w:rPr>
          <w:rFonts w:hint="eastAsia" w:ascii="宋体" w:hAnsi="宋体" w:cs="宋体"/>
          <w:sz w:val="24"/>
        </w:rPr>
        <w:t>1.采购人信息</w:t>
      </w:r>
    </w:p>
    <w:p w14:paraId="139EB830">
      <w:pPr>
        <w:spacing w:line="360" w:lineRule="auto"/>
        <w:ind w:firstLine="648" w:firstLineChars="270"/>
        <w:jc w:val="left"/>
        <w:rPr>
          <w:rFonts w:ascii="宋体" w:hAnsi="宋体" w:cs="宋体"/>
          <w:sz w:val="24"/>
        </w:rPr>
      </w:pPr>
      <w:r>
        <w:rPr>
          <w:rFonts w:hint="eastAsia" w:ascii="宋体" w:hAnsi="宋体" w:cs="宋体"/>
          <w:sz w:val="24"/>
        </w:rPr>
        <w:t>名 称：广西大学    地址：广西壮族自治区南宁市大学东路100号</w:t>
      </w:r>
    </w:p>
    <w:p w14:paraId="60C7AA4C">
      <w:pPr>
        <w:spacing w:line="360" w:lineRule="auto"/>
        <w:ind w:firstLine="648" w:firstLineChars="270"/>
        <w:jc w:val="left"/>
        <w:rPr>
          <w:rFonts w:ascii="宋体" w:hAnsi="宋体" w:cs="宋体"/>
          <w:sz w:val="24"/>
        </w:rPr>
      </w:pPr>
      <w:r>
        <w:rPr>
          <w:rFonts w:hint="eastAsia" w:ascii="宋体" w:hAnsi="宋体" w:cs="宋体"/>
          <w:sz w:val="24"/>
        </w:rPr>
        <w:t>联系人：肖祖宁     联系电话：0771-3274121 　　　</w:t>
      </w:r>
    </w:p>
    <w:p w14:paraId="24968CA5">
      <w:pPr>
        <w:spacing w:line="360" w:lineRule="auto"/>
        <w:ind w:firstLine="648" w:firstLineChars="270"/>
        <w:jc w:val="left"/>
        <w:rPr>
          <w:rFonts w:ascii="宋体" w:hAnsi="宋体" w:cs="宋体"/>
          <w:sz w:val="24"/>
        </w:rPr>
      </w:pPr>
      <w:r>
        <w:rPr>
          <w:rFonts w:hint="eastAsia" w:ascii="宋体" w:hAnsi="宋体" w:cs="宋体"/>
          <w:sz w:val="24"/>
        </w:rPr>
        <w:t>2.采购代理机构信息</w:t>
      </w:r>
    </w:p>
    <w:p w14:paraId="43FDA6FC">
      <w:pPr>
        <w:spacing w:line="360" w:lineRule="auto"/>
        <w:ind w:firstLine="648" w:firstLineChars="270"/>
        <w:rPr>
          <w:rFonts w:ascii="宋体" w:hAnsi="宋体" w:cs="宋体"/>
          <w:sz w:val="24"/>
        </w:rPr>
      </w:pPr>
      <w:r>
        <w:rPr>
          <w:rFonts w:hint="eastAsia" w:ascii="宋体" w:hAnsi="宋体" w:cs="宋体"/>
          <w:sz w:val="24"/>
        </w:rPr>
        <w:t xml:space="preserve">名 称：广西阳嘉招标代理有限公司    </w:t>
      </w:r>
    </w:p>
    <w:p w14:paraId="2EFB0E0D">
      <w:pPr>
        <w:spacing w:line="360" w:lineRule="auto"/>
        <w:ind w:firstLine="648" w:firstLineChars="270"/>
        <w:rPr>
          <w:rFonts w:ascii="宋体" w:hAnsi="宋体" w:cs="宋体"/>
          <w:sz w:val="24"/>
        </w:rPr>
      </w:pPr>
      <w:r>
        <w:rPr>
          <w:rFonts w:hint="eastAsia" w:ascii="宋体" w:hAnsi="宋体" w:cs="宋体"/>
          <w:sz w:val="24"/>
        </w:rPr>
        <w:t>地　址：</w:t>
      </w:r>
      <w:bookmarkStart w:id="35" w:name="_Toc28359010"/>
      <w:bookmarkStart w:id="36" w:name="_Toc28359087"/>
      <w:r>
        <w:rPr>
          <w:rFonts w:hint="eastAsia" w:ascii="宋体" w:hAnsi="宋体" w:cs="宋体"/>
          <w:sz w:val="24"/>
        </w:rPr>
        <w:t>广西壮族自治区南宁市青秀区双拥路36-1号绿城画卷A座31楼3108室</w:t>
      </w:r>
    </w:p>
    <w:p w14:paraId="236B1D0C">
      <w:pPr>
        <w:spacing w:line="360" w:lineRule="auto"/>
        <w:ind w:firstLine="648" w:firstLineChars="270"/>
        <w:rPr>
          <w:rFonts w:ascii="宋体" w:hAnsi="宋体" w:cs="宋体"/>
          <w:sz w:val="24"/>
        </w:rPr>
      </w:pPr>
      <w:r>
        <w:rPr>
          <w:rFonts w:hint="eastAsia" w:ascii="宋体" w:hAnsi="宋体" w:cs="宋体"/>
          <w:sz w:val="24"/>
        </w:rPr>
        <w:t xml:space="preserve">联系人：苏秀露、邓永辉、杜涛 </w:t>
      </w:r>
      <w:r>
        <w:rPr>
          <w:rFonts w:ascii="宋体" w:hAnsi="宋体" w:cs="宋体"/>
          <w:sz w:val="24"/>
        </w:rPr>
        <w:t xml:space="preserve">    </w:t>
      </w:r>
      <w:r>
        <w:rPr>
          <w:rFonts w:hint="eastAsia" w:ascii="宋体" w:hAnsi="宋体" w:cs="宋体"/>
          <w:sz w:val="24"/>
        </w:rPr>
        <w:t>联系电话：0771-5383100</w:t>
      </w:r>
      <w:r>
        <w:rPr>
          <w:rFonts w:ascii="宋体" w:hAnsi="宋体" w:cs="宋体"/>
          <w:sz w:val="24"/>
        </w:rPr>
        <w:t xml:space="preserve">  </w:t>
      </w:r>
    </w:p>
    <w:p w14:paraId="2D730AE1">
      <w:pPr>
        <w:spacing w:line="360" w:lineRule="auto"/>
        <w:ind w:firstLine="648" w:firstLineChars="270"/>
        <w:rPr>
          <w:rFonts w:ascii="宋体" w:hAnsi="宋体" w:cs="宋体"/>
          <w:sz w:val="24"/>
        </w:rPr>
      </w:pPr>
      <w:r>
        <w:rPr>
          <w:rFonts w:hint="eastAsia" w:ascii="宋体" w:hAnsi="宋体" w:cs="宋体"/>
          <w:sz w:val="24"/>
        </w:rPr>
        <w:t>3.项目联系方式</w:t>
      </w:r>
      <w:bookmarkEnd w:id="35"/>
      <w:bookmarkEnd w:id="36"/>
    </w:p>
    <w:p w14:paraId="3F67803E">
      <w:pPr>
        <w:spacing w:line="360" w:lineRule="auto"/>
        <w:ind w:left="420" w:leftChars="200" w:firstLine="218" w:firstLineChars="91"/>
        <w:rPr>
          <w:rFonts w:ascii="宋体" w:hAnsi="宋体" w:cs="宋体"/>
          <w:sz w:val="24"/>
        </w:rPr>
      </w:pPr>
      <w:r>
        <w:rPr>
          <w:rFonts w:hint="eastAsia" w:ascii="宋体" w:hAnsi="宋体" w:cs="宋体"/>
          <w:sz w:val="24"/>
        </w:rPr>
        <w:t xml:space="preserve">项目联系人：苏秀露、邓永辉、杜涛 </w:t>
      </w:r>
      <w:r>
        <w:rPr>
          <w:rFonts w:ascii="宋体" w:hAnsi="宋体" w:cs="宋体"/>
          <w:sz w:val="24"/>
        </w:rPr>
        <w:t xml:space="preserve">   </w:t>
      </w:r>
      <w:r>
        <w:rPr>
          <w:rFonts w:hint="eastAsia" w:ascii="宋体" w:hAnsi="宋体" w:cs="宋体"/>
          <w:sz w:val="24"/>
        </w:rPr>
        <w:t xml:space="preserve">   电　话：0771-5383100 </w:t>
      </w:r>
      <w:r>
        <w:rPr>
          <w:rFonts w:ascii="宋体" w:hAnsi="宋体" w:cs="宋体"/>
          <w:sz w:val="24"/>
        </w:rPr>
        <w:t xml:space="preserve">      </w:t>
      </w:r>
    </w:p>
    <w:p w14:paraId="200E399A">
      <w:pPr>
        <w:spacing w:line="360" w:lineRule="auto"/>
        <w:ind w:firstLine="7080" w:firstLineChars="2950"/>
        <w:rPr>
          <w:rFonts w:ascii="宋体" w:hAnsi="宋体" w:cs="宋体"/>
          <w:sz w:val="24"/>
        </w:rPr>
      </w:pPr>
    </w:p>
    <w:p w14:paraId="0B299D1E">
      <w:pPr>
        <w:spacing w:line="360" w:lineRule="auto"/>
        <w:jc w:val="right"/>
        <w:rPr>
          <w:rFonts w:ascii="宋体" w:hAnsi="宋体" w:cs="宋体"/>
          <w:sz w:val="24"/>
        </w:rPr>
      </w:pPr>
    </w:p>
    <w:p w14:paraId="3650188E">
      <w:pPr>
        <w:spacing w:line="360" w:lineRule="auto"/>
        <w:jc w:val="right"/>
        <w:rPr>
          <w:rFonts w:ascii="宋体" w:hAnsi="宋体" w:cs="宋体"/>
          <w:sz w:val="24"/>
        </w:rPr>
      </w:pPr>
      <w:bookmarkStart w:id="37" w:name="_Toc74320801"/>
      <w:r>
        <w:rPr>
          <w:rFonts w:hint="eastAsia" w:ascii="宋体" w:hAnsi="宋体" w:cs="宋体"/>
          <w:sz w:val="24"/>
        </w:rPr>
        <w:t xml:space="preserve">代理机构：广西阳嘉招标代理有限公司                                         </w:t>
      </w:r>
    </w:p>
    <w:p w14:paraId="7D9EDD23">
      <w:pPr>
        <w:spacing w:line="360" w:lineRule="auto"/>
        <w:jc w:val="right"/>
        <w:rPr>
          <w:rFonts w:ascii="宋体" w:hAnsi="宋体" w:cs="宋体"/>
        </w:rPr>
      </w:pPr>
      <w:r>
        <w:rPr>
          <w:rFonts w:hint="eastAsia" w:ascii="宋体" w:hAnsi="宋体" w:cs="宋体"/>
          <w:sz w:val="24"/>
        </w:rPr>
        <w:t>20</w:t>
      </w:r>
      <w:bookmarkStart w:id="174" w:name="_GoBack"/>
      <w:bookmarkEnd w:id="174"/>
      <w:r>
        <w:rPr>
          <w:rFonts w:hint="eastAsia" w:ascii="宋体" w:hAnsi="宋体" w:cs="宋体"/>
          <w:sz w:val="24"/>
        </w:rPr>
        <w:t>26年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19</w:t>
      </w:r>
      <w:r>
        <w:rPr>
          <w:rFonts w:hint="eastAsia" w:ascii="宋体" w:hAnsi="宋体" w:cs="宋体"/>
          <w:sz w:val="24"/>
        </w:rPr>
        <w:t xml:space="preserve">日 </w:t>
      </w:r>
      <w:r>
        <w:rPr>
          <w:rFonts w:hint="eastAsia" w:ascii="宋体" w:hAnsi="宋体" w:cs="宋体"/>
        </w:rPr>
        <w:br w:type="page"/>
      </w:r>
    </w:p>
    <w:p w14:paraId="086A1F62">
      <w:pPr>
        <w:pStyle w:val="3"/>
        <w:spacing w:line="240" w:lineRule="auto"/>
        <w:jc w:val="center"/>
        <w:rPr>
          <w:rFonts w:ascii="宋体" w:hAnsi="宋体" w:cs="宋体"/>
        </w:rPr>
      </w:pPr>
      <w:bookmarkStart w:id="38" w:name="_Toc25257"/>
      <w:r>
        <w:rPr>
          <w:rFonts w:hint="eastAsia" w:ascii="宋体" w:hAnsi="宋体" w:cs="宋体"/>
        </w:rPr>
        <w:t>第二章  采购需求</w:t>
      </w:r>
      <w:bookmarkEnd w:id="37"/>
      <w:bookmarkEnd w:id="38"/>
    </w:p>
    <w:p w14:paraId="5CEC24F1">
      <w:pPr>
        <w:jc w:val="left"/>
        <w:rPr>
          <w:rFonts w:ascii="宋体" w:hAnsi="宋体" w:cs="宋体"/>
          <w:bCs/>
          <w:sz w:val="24"/>
        </w:rPr>
      </w:pPr>
      <w:bookmarkStart w:id="39" w:name="_Toc254970631"/>
      <w:bookmarkStart w:id="40" w:name="_Toc254970490"/>
      <w:r>
        <w:rPr>
          <w:rFonts w:hint="eastAsia" w:ascii="宋体" w:hAnsi="宋体" w:cs="宋体"/>
          <w:bCs/>
          <w:sz w:val="24"/>
        </w:rPr>
        <w:t>说明：</w:t>
      </w:r>
    </w:p>
    <w:p w14:paraId="44928948">
      <w:pPr>
        <w:spacing w:line="360" w:lineRule="auto"/>
        <w:ind w:left="-10" w:leftChars="-5" w:right="2" w:rightChars="1" w:firstLine="480" w:firstLineChars="200"/>
        <w:rPr>
          <w:bCs/>
          <w:sz w:val="24"/>
        </w:rPr>
      </w:pPr>
      <w:r>
        <w:rPr>
          <w:bCs/>
          <w:sz w:val="24"/>
        </w:rPr>
        <w:t>1</w:t>
      </w:r>
      <w:r>
        <w:rPr>
          <w:rFonts w:hint="eastAsia"/>
          <w:bCs/>
          <w:sz w:val="24"/>
        </w:rPr>
        <w:t>．</w:t>
      </w:r>
      <w:r>
        <w:rPr>
          <w:bCs/>
          <w:sz w:val="24"/>
        </w:rPr>
        <w:t>采购需求中如出现品牌、型号或者生产厂家等均仅起参考作用，不属于指定品牌、型号或者生产厂家的情形，投标人可参照或者选用其他相当的品牌、型号或者生产供应商替代。但投标人的产品实质上应相当于或优于本</w:t>
      </w:r>
      <w:r>
        <w:rPr>
          <w:rFonts w:hint="eastAsia"/>
          <w:bCs/>
          <w:sz w:val="24"/>
        </w:rPr>
        <w:t>《采购</w:t>
      </w:r>
      <w:r>
        <w:rPr>
          <w:bCs/>
          <w:sz w:val="24"/>
        </w:rPr>
        <w:t>需求</w:t>
      </w:r>
      <w:r>
        <w:rPr>
          <w:rFonts w:hint="eastAsia"/>
          <w:bCs/>
          <w:sz w:val="24"/>
        </w:rPr>
        <w:t>》</w:t>
      </w:r>
      <w:r>
        <w:rPr>
          <w:bCs/>
          <w:sz w:val="24"/>
        </w:rPr>
        <w:t>中的技术要求。</w:t>
      </w:r>
    </w:p>
    <w:p w14:paraId="15EB8F97">
      <w:pPr>
        <w:spacing w:line="360" w:lineRule="auto"/>
        <w:ind w:left="-10" w:leftChars="-5" w:right="2" w:rightChars="1" w:firstLine="480" w:firstLineChars="200"/>
        <w:rPr>
          <w:bCs/>
          <w:sz w:val="24"/>
        </w:rPr>
      </w:pPr>
      <w:r>
        <w:rPr>
          <w:bCs/>
          <w:sz w:val="24"/>
        </w:rPr>
        <w:t>2</w:t>
      </w:r>
      <w:r>
        <w:rPr>
          <w:rFonts w:hint="eastAsia"/>
          <w:bCs/>
          <w:sz w:val="24"/>
        </w:rPr>
        <w:t>．</w:t>
      </w:r>
      <w:r>
        <w:rPr>
          <w:bCs/>
          <w:sz w:val="24"/>
        </w:rPr>
        <w:t>凡在</w:t>
      </w:r>
      <w:r>
        <w:rPr>
          <w:rFonts w:hint="eastAsia"/>
          <w:bCs/>
          <w:sz w:val="24"/>
        </w:rPr>
        <w:t>“</w:t>
      </w:r>
      <w:r>
        <w:rPr>
          <w:bCs/>
          <w:sz w:val="24"/>
        </w:rPr>
        <w:t>技术要求</w:t>
      </w:r>
      <w:r>
        <w:rPr>
          <w:rFonts w:hint="eastAsia"/>
          <w:bCs/>
          <w:sz w:val="24"/>
        </w:rPr>
        <w:t>”</w:t>
      </w:r>
      <w:r>
        <w:rPr>
          <w:bCs/>
          <w:sz w:val="24"/>
        </w:rPr>
        <w:t>中表述为</w:t>
      </w:r>
      <w:r>
        <w:rPr>
          <w:rFonts w:hint="eastAsia"/>
          <w:bCs/>
          <w:sz w:val="24"/>
        </w:rPr>
        <w:t>“</w:t>
      </w:r>
      <w:r>
        <w:rPr>
          <w:bCs/>
          <w:sz w:val="24"/>
        </w:rPr>
        <w:t>标配</w:t>
      </w:r>
      <w:r>
        <w:rPr>
          <w:rFonts w:hint="eastAsia"/>
          <w:bCs/>
          <w:sz w:val="24"/>
        </w:rPr>
        <w:t>”</w:t>
      </w:r>
      <w:r>
        <w:rPr>
          <w:bCs/>
          <w:sz w:val="24"/>
        </w:rPr>
        <w:t>或</w:t>
      </w:r>
      <w:r>
        <w:rPr>
          <w:rFonts w:hint="eastAsia"/>
          <w:bCs/>
          <w:sz w:val="24"/>
        </w:rPr>
        <w:t>“</w:t>
      </w:r>
      <w:r>
        <w:rPr>
          <w:bCs/>
          <w:sz w:val="24"/>
        </w:rPr>
        <w:t>标准配置</w:t>
      </w:r>
      <w:r>
        <w:rPr>
          <w:rFonts w:hint="eastAsia"/>
          <w:bCs/>
          <w:sz w:val="24"/>
        </w:rPr>
        <w:t>”</w:t>
      </w:r>
      <w:r>
        <w:rPr>
          <w:bCs/>
          <w:sz w:val="24"/>
        </w:rPr>
        <w:t>的设备，投标人应在投标设备性能配置清单中将其标配参数详细列明。</w:t>
      </w:r>
    </w:p>
    <w:p w14:paraId="40DF3877">
      <w:pPr>
        <w:spacing w:line="360" w:lineRule="auto"/>
        <w:ind w:left="-10" w:leftChars="-5" w:right="2" w:rightChars="1" w:firstLine="480" w:firstLineChars="200"/>
        <w:rPr>
          <w:bCs/>
          <w:sz w:val="24"/>
        </w:rPr>
      </w:pPr>
      <w:r>
        <w:rPr>
          <w:bCs/>
          <w:sz w:val="24"/>
        </w:rPr>
        <w:t>3</w:t>
      </w:r>
      <w:r>
        <w:rPr>
          <w:rFonts w:hint="eastAsia"/>
          <w:bCs/>
          <w:sz w:val="24"/>
        </w:rPr>
        <w:t>．</w:t>
      </w:r>
      <w:r>
        <w:rPr>
          <w:bCs/>
          <w:sz w:val="24"/>
        </w:rPr>
        <w:t>根据《财政部发展改革委生态环境部市场监管总局关于调整优化节能产品、环境标志产品政府采购执行机制的通知》（财库〔2019〕9 号）和《关于印发节能产品政府采购品目清单的通知》（财库〔2019〕19 号）的规定，采购需求中的产品属于节能产品政府采购品目清单内标注</w:t>
      </w:r>
      <w:r>
        <w:rPr>
          <w:rFonts w:hint="eastAsia"/>
          <w:bCs/>
          <w:sz w:val="24"/>
        </w:rPr>
        <w:t>“</w:t>
      </w:r>
      <w:r>
        <w:rPr>
          <w:rFonts w:hint="eastAsia" w:ascii="Segoe UI Symbol" w:hAnsi="Segoe UI Symbol" w:cs="Segoe UI Symbol"/>
          <w:bCs/>
          <w:sz w:val="24"/>
        </w:rPr>
        <w:t>★</w:t>
      </w:r>
      <w:r>
        <w:rPr>
          <w:rFonts w:hint="eastAsia"/>
          <w:bCs/>
          <w:sz w:val="24"/>
        </w:rPr>
        <w:t>”</w:t>
      </w:r>
      <w:r>
        <w:rPr>
          <w:bCs/>
          <w:sz w:val="24"/>
        </w:rPr>
        <w:t>的（详见本章后附的节能产品政府采购品目清单），投标人的投标货物必须使用政府强制采购的节能产品，</w:t>
      </w:r>
      <w:r>
        <w:rPr>
          <w:rFonts w:hint="eastAsia"/>
          <w:bCs/>
          <w:sz w:val="24"/>
        </w:rPr>
        <w:t>投标人必须在投标文件（商务及技术文件）中提供所投标产品的节能产品认证证书复印件（加盖投标人电子签章），否则按无效投标处理。</w:t>
      </w:r>
    </w:p>
    <w:p w14:paraId="20FA05DB">
      <w:pPr>
        <w:spacing w:line="360" w:lineRule="auto"/>
        <w:ind w:left="-10" w:leftChars="-5" w:right="2" w:rightChars="1" w:firstLine="480" w:firstLineChars="200"/>
        <w:rPr>
          <w:bCs/>
          <w:sz w:val="24"/>
        </w:rPr>
      </w:pPr>
      <w:r>
        <w:rPr>
          <w:bCs/>
          <w:sz w:val="24"/>
        </w:rPr>
        <w:t>4</w:t>
      </w:r>
      <w:r>
        <w:rPr>
          <w:rFonts w:hint="eastAsia"/>
          <w:bCs/>
          <w:sz w:val="24"/>
        </w:rPr>
        <w:t>．</w:t>
      </w:r>
      <w:r>
        <w:rPr>
          <w:bCs/>
          <w:sz w:val="24"/>
        </w:rPr>
        <w:t>如投标人投标产品存在侵犯他人的知识产权或者专利成果行为的，由投标人自行承担相应法律责任。</w:t>
      </w:r>
    </w:p>
    <w:p w14:paraId="61C77AC8">
      <w:pPr>
        <w:spacing w:line="360" w:lineRule="auto"/>
        <w:ind w:left="-10" w:leftChars="-5" w:right="2" w:rightChars="1" w:firstLine="482" w:firstLineChars="200"/>
        <w:rPr>
          <w:b/>
          <w:sz w:val="24"/>
          <w:u w:val="single"/>
        </w:rPr>
      </w:pPr>
      <w:r>
        <w:rPr>
          <w:b/>
          <w:sz w:val="24"/>
        </w:rPr>
        <w:t>5</w:t>
      </w:r>
      <w:r>
        <w:rPr>
          <w:rFonts w:hint="eastAsia"/>
          <w:b/>
          <w:sz w:val="24"/>
        </w:rPr>
        <w:t>．“</w:t>
      </w:r>
      <w:r>
        <w:rPr>
          <w:b/>
          <w:sz w:val="24"/>
        </w:rPr>
        <w:t>实质性要求</w:t>
      </w:r>
      <w:r>
        <w:rPr>
          <w:rFonts w:hint="eastAsia"/>
          <w:b/>
          <w:sz w:val="24"/>
        </w:rPr>
        <w:t>”</w:t>
      </w:r>
      <w:r>
        <w:rPr>
          <w:b/>
          <w:sz w:val="24"/>
        </w:rPr>
        <w:t>是指招标文件中已经指明不满足则投标无效的条款，或者不</w:t>
      </w:r>
      <w:r>
        <w:rPr>
          <w:rFonts w:hint="eastAsia"/>
          <w:b/>
          <w:sz w:val="24"/>
        </w:rPr>
        <w:t>容许</w:t>
      </w:r>
      <w:r>
        <w:rPr>
          <w:b/>
          <w:sz w:val="24"/>
        </w:rPr>
        <w:t>负偏离的条款，或者采购需求中带</w:t>
      </w:r>
      <w:r>
        <w:rPr>
          <w:rFonts w:hint="eastAsia"/>
          <w:b/>
          <w:sz w:val="24"/>
        </w:rPr>
        <w:t>“▲”</w:t>
      </w:r>
      <w:r>
        <w:rPr>
          <w:b/>
          <w:sz w:val="24"/>
        </w:rPr>
        <w:t>的条款。</w:t>
      </w:r>
      <w:r>
        <w:rPr>
          <w:rFonts w:hint="eastAsia"/>
          <w:b/>
          <w:sz w:val="24"/>
        </w:rPr>
        <w:t>未标注“</w:t>
      </w:r>
      <w:r>
        <w:rPr>
          <w:rFonts w:hint="eastAsia" w:ascii="Segoe UI Symbol" w:hAnsi="Segoe UI Symbol" w:cs="Segoe UI Symbol"/>
          <w:b/>
          <w:sz w:val="24"/>
        </w:rPr>
        <w:t>▲</w:t>
      </w:r>
      <w:r>
        <w:rPr>
          <w:rFonts w:hint="eastAsia"/>
          <w:b/>
          <w:sz w:val="24"/>
        </w:rPr>
        <w:t>”号</w:t>
      </w:r>
      <w:r>
        <w:rPr>
          <w:b/>
          <w:sz w:val="24"/>
        </w:rPr>
        <w:t>的</w:t>
      </w:r>
      <w:r>
        <w:rPr>
          <w:rFonts w:hint="eastAsia"/>
          <w:b/>
          <w:sz w:val="24"/>
        </w:rPr>
        <w:t>非实质性</w:t>
      </w:r>
      <w:r>
        <w:rPr>
          <w:b/>
          <w:sz w:val="24"/>
        </w:rPr>
        <w:t>条款</w:t>
      </w:r>
      <w:r>
        <w:rPr>
          <w:rFonts w:hint="eastAsia" w:ascii="宋体" w:hAnsi="宋体" w:cs="宋体"/>
          <w:b/>
          <w:sz w:val="24"/>
        </w:rPr>
        <w:t>允许负偏离的条款数为9项，10项及以上的负偏离则投标无效。</w:t>
      </w:r>
    </w:p>
    <w:p w14:paraId="6B7754B2">
      <w:pPr>
        <w:spacing w:line="360" w:lineRule="auto"/>
        <w:ind w:left="-10" w:leftChars="-5" w:right="2" w:rightChars="1" w:firstLine="480" w:firstLineChars="200"/>
        <w:rPr>
          <w:bCs/>
          <w:sz w:val="24"/>
        </w:rPr>
      </w:pPr>
      <w:r>
        <w:rPr>
          <w:bCs/>
          <w:sz w:val="24"/>
        </w:rPr>
        <w:t>采购预算：详见采购公告</w:t>
      </w:r>
    </w:p>
    <w:p w14:paraId="07D95C76">
      <w:pPr>
        <w:spacing w:line="360" w:lineRule="auto"/>
        <w:ind w:left="-10" w:leftChars="-5" w:right="2" w:rightChars="1" w:firstLine="480" w:firstLineChars="200"/>
        <w:rPr>
          <w:bCs/>
          <w:sz w:val="24"/>
        </w:rPr>
      </w:pPr>
      <w:r>
        <w:rPr>
          <w:bCs/>
          <w:sz w:val="24"/>
        </w:rPr>
        <w:t>项目所属行业：工业</w:t>
      </w:r>
      <w:r>
        <w:rPr>
          <w:rFonts w:hint="eastAsia"/>
          <w:bCs/>
          <w:sz w:val="24"/>
        </w:rPr>
        <w:t>。</w:t>
      </w:r>
    </w:p>
    <w:tbl>
      <w:tblPr>
        <w:tblStyle w:val="49"/>
        <w:tblW w:w="10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318"/>
        <w:gridCol w:w="557"/>
        <w:gridCol w:w="660"/>
        <w:gridCol w:w="152"/>
        <w:gridCol w:w="4976"/>
        <w:gridCol w:w="1134"/>
        <w:gridCol w:w="1275"/>
      </w:tblGrid>
      <w:tr w14:paraId="52A4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10FE802B">
            <w:pPr>
              <w:widowControl/>
              <w:spacing w:line="440" w:lineRule="exact"/>
              <w:jc w:val="center"/>
              <w:rPr>
                <w:rFonts w:ascii="宋体" w:hAnsi="宋体" w:cs="宋体"/>
                <w:b/>
                <w:bCs/>
                <w:kern w:val="0"/>
                <w:sz w:val="24"/>
              </w:rPr>
            </w:pPr>
            <w:r>
              <w:rPr>
                <w:rFonts w:hint="eastAsia" w:ascii="宋体" w:hAnsi="宋体" w:cs="宋体"/>
                <w:b/>
                <w:bCs/>
                <w:kern w:val="0"/>
                <w:sz w:val="24"/>
              </w:rPr>
              <w:t>序号</w:t>
            </w:r>
          </w:p>
        </w:tc>
        <w:tc>
          <w:tcPr>
            <w:tcW w:w="1318" w:type="dxa"/>
            <w:vAlign w:val="center"/>
          </w:tcPr>
          <w:p w14:paraId="22C9785E">
            <w:pPr>
              <w:widowControl/>
              <w:spacing w:line="440" w:lineRule="exact"/>
              <w:jc w:val="center"/>
              <w:rPr>
                <w:rFonts w:ascii="宋体" w:hAnsi="宋体" w:cs="宋体"/>
                <w:b/>
                <w:bCs/>
                <w:kern w:val="0"/>
                <w:sz w:val="24"/>
              </w:rPr>
            </w:pPr>
            <w:r>
              <w:rPr>
                <w:rFonts w:hint="eastAsia" w:ascii="宋体" w:hAnsi="宋体" w:cs="宋体"/>
                <w:b/>
                <w:bCs/>
                <w:kern w:val="0"/>
                <w:sz w:val="24"/>
              </w:rPr>
              <w:t>标的名称</w:t>
            </w:r>
          </w:p>
        </w:tc>
        <w:tc>
          <w:tcPr>
            <w:tcW w:w="557" w:type="dxa"/>
            <w:vAlign w:val="center"/>
          </w:tcPr>
          <w:p w14:paraId="7A376E43">
            <w:pPr>
              <w:widowControl/>
              <w:spacing w:line="440" w:lineRule="exact"/>
              <w:jc w:val="center"/>
              <w:rPr>
                <w:rFonts w:ascii="宋体" w:hAnsi="宋体" w:cs="宋体"/>
                <w:b/>
                <w:bCs/>
                <w:kern w:val="0"/>
                <w:sz w:val="24"/>
              </w:rPr>
            </w:pPr>
            <w:r>
              <w:rPr>
                <w:rFonts w:hint="eastAsia" w:ascii="宋体" w:hAnsi="宋体" w:cs="宋体"/>
                <w:b/>
                <w:bCs/>
                <w:kern w:val="0"/>
                <w:sz w:val="24"/>
              </w:rPr>
              <w:t>数量</w:t>
            </w:r>
          </w:p>
        </w:tc>
        <w:tc>
          <w:tcPr>
            <w:tcW w:w="660" w:type="dxa"/>
            <w:vAlign w:val="center"/>
          </w:tcPr>
          <w:p w14:paraId="1062987A">
            <w:pPr>
              <w:widowControl/>
              <w:spacing w:line="440" w:lineRule="exact"/>
              <w:jc w:val="center"/>
              <w:rPr>
                <w:rFonts w:ascii="宋体" w:hAnsi="宋体" w:cs="宋体"/>
                <w:b/>
                <w:bCs/>
                <w:kern w:val="0"/>
                <w:sz w:val="24"/>
              </w:rPr>
            </w:pPr>
            <w:r>
              <w:rPr>
                <w:rFonts w:hint="eastAsia" w:ascii="宋体" w:hAnsi="宋体" w:cs="宋体"/>
                <w:b/>
                <w:bCs/>
                <w:kern w:val="0"/>
                <w:sz w:val="24"/>
              </w:rPr>
              <w:t>单位</w:t>
            </w:r>
          </w:p>
        </w:tc>
        <w:tc>
          <w:tcPr>
            <w:tcW w:w="5128" w:type="dxa"/>
            <w:gridSpan w:val="2"/>
            <w:vAlign w:val="center"/>
          </w:tcPr>
          <w:p w14:paraId="73EF0020">
            <w:pPr>
              <w:widowControl/>
              <w:spacing w:line="440" w:lineRule="exact"/>
              <w:jc w:val="center"/>
              <w:rPr>
                <w:rFonts w:ascii="宋体" w:hAnsi="宋体" w:cs="宋体"/>
                <w:b/>
                <w:bCs/>
                <w:kern w:val="0"/>
                <w:sz w:val="24"/>
              </w:rPr>
            </w:pPr>
            <w:r>
              <w:rPr>
                <w:rFonts w:hint="eastAsia" w:ascii="宋体" w:hAnsi="宋体" w:cs="宋体"/>
                <w:b/>
                <w:bCs/>
                <w:kern w:val="0"/>
                <w:sz w:val="24"/>
              </w:rPr>
              <w:t>技术参数及性能（配置）要求</w:t>
            </w:r>
          </w:p>
        </w:tc>
        <w:tc>
          <w:tcPr>
            <w:tcW w:w="1134" w:type="dxa"/>
          </w:tcPr>
          <w:p w14:paraId="0E16D047">
            <w:pPr>
              <w:widowControl/>
              <w:spacing w:line="440" w:lineRule="exact"/>
              <w:jc w:val="center"/>
              <w:rPr>
                <w:rFonts w:ascii="宋体" w:hAnsi="宋体" w:cs="宋体"/>
                <w:b/>
                <w:bCs/>
                <w:kern w:val="0"/>
                <w:sz w:val="24"/>
              </w:rPr>
            </w:pPr>
            <w:r>
              <w:rPr>
                <w:rFonts w:hint="eastAsia" w:ascii="宋体" w:hAnsi="宋体" w:cs="宋体"/>
                <w:b/>
                <w:bCs/>
                <w:kern w:val="0"/>
                <w:sz w:val="24"/>
              </w:rPr>
              <w:t>预算单价（万元/人民币）</w:t>
            </w:r>
          </w:p>
        </w:tc>
        <w:tc>
          <w:tcPr>
            <w:tcW w:w="1275" w:type="dxa"/>
          </w:tcPr>
          <w:p w14:paraId="4CB1931B">
            <w:pPr>
              <w:widowControl/>
              <w:spacing w:line="440" w:lineRule="exact"/>
              <w:jc w:val="center"/>
              <w:rPr>
                <w:rFonts w:ascii="宋体" w:hAnsi="宋体" w:cs="宋体"/>
                <w:b/>
                <w:bCs/>
                <w:kern w:val="0"/>
                <w:sz w:val="24"/>
              </w:rPr>
            </w:pPr>
            <w:r>
              <w:rPr>
                <w:rFonts w:hint="eastAsia" w:ascii="宋体" w:hAnsi="宋体" w:cs="宋体"/>
                <w:b/>
                <w:bCs/>
                <w:kern w:val="0"/>
                <w:sz w:val="24"/>
              </w:rPr>
              <w:t>单项预算合计（万元/人民币）</w:t>
            </w:r>
          </w:p>
        </w:tc>
      </w:tr>
      <w:tr w14:paraId="53EC0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2851269B">
            <w:pPr>
              <w:spacing w:line="440" w:lineRule="exact"/>
              <w:jc w:val="center"/>
              <w:rPr>
                <w:rFonts w:ascii="宋体" w:hAnsi="宋体" w:cs="宋体"/>
                <w:sz w:val="24"/>
              </w:rPr>
            </w:pPr>
            <w:r>
              <w:rPr>
                <w:rFonts w:hint="eastAsia" w:ascii="宋体" w:hAnsi="宋体" w:cs="宋体"/>
                <w:sz w:val="24"/>
              </w:rPr>
              <w:t>1</w:t>
            </w:r>
          </w:p>
        </w:tc>
        <w:tc>
          <w:tcPr>
            <w:tcW w:w="1318" w:type="dxa"/>
            <w:vAlign w:val="center"/>
          </w:tcPr>
          <w:p w14:paraId="6F403F5E">
            <w:pPr>
              <w:jc w:val="center"/>
              <w:rPr>
                <w:rFonts w:ascii="宋体" w:hAnsi="宋体" w:cs="宋体"/>
                <w:sz w:val="24"/>
              </w:rPr>
            </w:pPr>
            <w:r>
              <w:rPr>
                <w:rFonts w:hint="eastAsia" w:ascii="宋体" w:hAnsi="宋体" w:cs="宋体"/>
                <w:color w:val="000000"/>
                <w:sz w:val="24"/>
              </w:rPr>
              <w:t>多功能酶标仪</w:t>
            </w:r>
          </w:p>
        </w:tc>
        <w:tc>
          <w:tcPr>
            <w:tcW w:w="557" w:type="dxa"/>
            <w:vAlign w:val="center"/>
          </w:tcPr>
          <w:p w14:paraId="039F9F27">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69D78146">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22CFD3D8">
            <w:pPr>
              <w:numPr>
                <w:ilvl w:val="0"/>
                <w:numId w:val="3"/>
              </w:numPr>
              <w:spacing w:line="400" w:lineRule="exact"/>
              <w:rPr>
                <w:rFonts w:ascii="宋体" w:hAnsi="宋体" w:cs="宋体"/>
                <w:sz w:val="24"/>
              </w:rPr>
            </w:pPr>
            <w:r>
              <w:rPr>
                <w:rFonts w:hint="eastAsia" w:ascii="宋体" w:hAnsi="宋体" w:cs="宋体"/>
                <w:sz w:val="24"/>
              </w:rPr>
              <w:t>检测类型：6-384孔微孔板，24孔超微量检测板。</w:t>
            </w:r>
          </w:p>
          <w:p w14:paraId="08E3F67D">
            <w:pPr>
              <w:numPr>
                <w:ilvl w:val="0"/>
                <w:numId w:val="3"/>
              </w:numPr>
              <w:spacing w:line="400" w:lineRule="exact"/>
              <w:rPr>
                <w:rFonts w:ascii="宋体" w:hAnsi="宋体" w:cs="宋体"/>
                <w:sz w:val="24"/>
              </w:rPr>
            </w:pPr>
            <w:r>
              <w:rPr>
                <w:rFonts w:hint="eastAsia" w:ascii="宋体" w:hAnsi="宋体" w:cs="宋体"/>
                <w:sz w:val="24"/>
              </w:rPr>
              <w:t>应用范围：基于四光栅技术：吸收光、荧光强度、化学发光和荧光共振能量转移。</w:t>
            </w:r>
          </w:p>
          <w:p w14:paraId="65823C6C">
            <w:pPr>
              <w:numPr>
                <w:ilvl w:val="0"/>
                <w:numId w:val="3"/>
              </w:numPr>
              <w:spacing w:line="400" w:lineRule="exact"/>
              <w:rPr>
                <w:rFonts w:ascii="宋体" w:hAnsi="宋体" w:cs="宋体"/>
                <w:sz w:val="24"/>
              </w:rPr>
            </w:pPr>
            <w:r>
              <w:rPr>
                <w:rFonts w:hint="eastAsia" w:ascii="宋体" w:hAnsi="宋体" w:cs="宋体"/>
                <w:sz w:val="24"/>
              </w:rPr>
              <w:t>光源：高能氙闪灯光。</w:t>
            </w:r>
          </w:p>
          <w:p w14:paraId="7824818A">
            <w:pPr>
              <w:spacing w:line="400" w:lineRule="exact"/>
              <w:rPr>
                <w:rFonts w:ascii="宋体" w:hAnsi="宋体" w:cs="宋体"/>
                <w:sz w:val="24"/>
              </w:rPr>
            </w:pPr>
            <w:r>
              <w:rPr>
                <w:rFonts w:hint="eastAsia" w:ascii="宋体" w:hAnsi="宋体" w:cs="宋体"/>
                <w:sz w:val="24"/>
              </w:rPr>
              <w:t>4. 温度控制：室温+5℃-66℃。</w:t>
            </w:r>
          </w:p>
          <w:p w14:paraId="1A93111E">
            <w:pPr>
              <w:spacing w:line="400" w:lineRule="exact"/>
              <w:rPr>
                <w:rFonts w:ascii="宋体" w:hAnsi="宋体" w:cs="宋体"/>
                <w:sz w:val="24"/>
              </w:rPr>
            </w:pPr>
            <w:r>
              <w:rPr>
                <w:rFonts w:hint="eastAsia" w:ascii="宋体" w:hAnsi="宋体" w:cs="宋体"/>
                <w:sz w:val="24"/>
              </w:rPr>
              <w:t>5. 温度均一性：± 0.75 °C。</w:t>
            </w:r>
          </w:p>
          <w:p w14:paraId="565F6DFD">
            <w:pPr>
              <w:spacing w:line="400" w:lineRule="exact"/>
              <w:rPr>
                <w:rFonts w:ascii="宋体" w:hAnsi="宋体" w:cs="宋体"/>
                <w:sz w:val="24"/>
              </w:rPr>
            </w:pPr>
            <w:r>
              <w:rPr>
                <w:rFonts w:hint="eastAsia" w:ascii="宋体" w:hAnsi="宋体" w:cs="宋体"/>
                <w:sz w:val="24"/>
              </w:rPr>
              <w:t>6. 温度准确度：±1 ℃ @ 37 ℃。</w:t>
            </w:r>
          </w:p>
          <w:p w14:paraId="29D8141A">
            <w:pPr>
              <w:spacing w:line="400" w:lineRule="exact"/>
              <w:rPr>
                <w:rFonts w:ascii="宋体" w:hAnsi="宋体" w:cs="宋体"/>
                <w:sz w:val="24"/>
              </w:rPr>
            </w:pPr>
            <w:r>
              <w:rPr>
                <w:rFonts w:hint="eastAsia" w:ascii="宋体" w:hAnsi="宋体" w:cs="宋体"/>
                <w:sz w:val="24"/>
              </w:rPr>
              <w:t>7. 震荡方式：线性、圆周、双圆周（强度和速度可调）。</w:t>
            </w:r>
          </w:p>
          <w:p w14:paraId="6AD85251">
            <w:pPr>
              <w:spacing w:line="400" w:lineRule="exact"/>
              <w:rPr>
                <w:rFonts w:ascii="宋体" w:hAnsi="宋体" w:cs="宋体"/>
                <w:sz w:val="24"/>
              </w:rPr>
            </w:pPr>
            <w:r>
              <w:rPr>
                <w:rFonts w:hint="eastAsia"/>
                <w:b/>
                <w:sz w:val="24"/>
              </w:rPr>
              <w:t>▲</w:t>
            </w:r>
            <w:r>
              <w:rPr>
                <w:rFonts w:hint="eastAsia" w:ascii="宋体" w:hAnsi="宋体" w:cs="宋体"/>
                <w:sz w:val="24"/>
              </w:rPr>
              <w:t>8. 检测器：-5 ℃制冷PMT。</w:t>
            </w:r>
          </w:p>
          <w:p w14:paraId="5F5B5142">
            <w:pPr>
              <w:spacing w:line="400" w:lineRule="exact"/>
              <w:rPr>
                <w:rFonts w:ascii="宋体" w:hAnsi="宋体" w:cs="宋体"/>
                <w:sz w:val="24"/>
              </w:rPr>
            </w:pPr>
            <w:r>
              <w:rPr>
                <w:rFonts w:hint="eastAsia" w:ascii="宋体" w:hAnsi="宋体" w:cs="宋体"/>
                <w:sz w:val="24"/>
              </w:rPr>
              <w:t>9. 检测模式：终点法（所有模式），动力学（所有模式），全波长扫描（所有模式），区域扫描（可达20×20密度/孔）。</w:t>
            </w:r>
          </w:p>
          <w:p w14:paraId="19590CD2">
            <w:pPr>
              <w:spacing w:line="400" w:lineRule="exact"/>
              <w:rPr>
                <w:rFonts w:ascii="宋体" w:hAnsi="宋体" w:cs="宋体"/>
                <w:sz w:val="24"/>
              </w:rPr>
            </w:pPr>
            <w:r>
              <w:rPr>
                <w:rFonts w:hint="eastAsia" w:ascii="宋体" w:hAnsi="宋体" w:cs="宋体"/>
                <w:sz w:val="24"/>
              </w:rPr>
              <w:t>10. 电脑连接方式：USB连接。</w:t>
            </w:r>
          </w:p>
          <w:p w14:paraId="0D949C55">
            <w:pPr>
              <w:spacing w:line="400" w:lineRule="exact"/>
              <w:rPr>
                <w:rFonts w:ascii="宋体" w:hAnsi="宋体" w:cs="宋体"/>
                <w:sz w:val="24"/>
              </w:rPr>
            </w:pPr>
            <w:r>
              <w:rPr>
                <w:rFonts w:hint="eastAsia" w:ascii="宋体" w:hAnsi="宋体" w:cs="宋体"/>
                <w:sz w:val="24"/>
              </w:rPr>
              <w:t>11. 吸收光：</w:t>
            </w:r>
          </w:p>
          <w:p w14:paraId="00A1BF97">
            <w:pPr>
              <w:spacing w:line="400" w:lineRule="exact"/>
              <w:rPr>
                <w:rFonts w:ascii="宋体" w:hAnsi="宋体" w:cs="宋体"/>
                <w:sz w:val="24"/>
              </w:rPr>
            </w:pPr>
            <w:r>
              <w:rPr>
                <w:rFonts w:hint="eastAsia" w:ascii="宋体" w:hAnsi="宋体" w:cs="宋体"/>
                <w:sz w:val="24"/>
              </w:rPr>
              <w:t>11.1 波长范围：230 nm-1000 nm，1nm可调。</w:t>
            </w:r>
          </w:p>
          <w:p w14:paraId="3BE939B7">
            <w:pPr>
              <w:spacing w:line="400" w:lineRule="exact"/>
              <w:rPr>
                <w:rFonts w:ascii="宋体" w:hAnsi="宋体" w:cs="宋体"/>
                <w:sz w:val="24"/>
              </w:rPr>
            </w:pPr>
            <w:r>
              <w:rPr>
                <w:rFonts w:hint="eastAsia" w:ascii="宋体" w:hAnsi="宋体" w:cs="宋体"/>
                <w:sz w:val="24"/>
              </w:rPr>
              <w:t>11.2 波长带宽：</w:t>
            </w:r>
            <w:r>
              <w:rPr>
                <w:rFonts w:hint="eastAsia"/>
              </w:rPr>
              <w:t>≤</w:t>
            </w:r>
            <w:r>
              <w:rPr>
                <w:rFonts w:hint="eastAsia" w:ascii="宋体" w:hAnsi="宋体" w:cs="宋体"/>
                <w:sz w:val="24"/>
              </w:rPr>
              <w:t>4.0 nm。</w:t>
            </w:r>
          </w:p>
          <w:p w14:paraId="22436592">
            <w:pPr>
              <w:spacing w:line="400" w:lineRule="exact"/>
              <w:rPr>
                <w:rFonts w:ascii="宋体" w:hAnsi="宋体" w:cs="宋体"/>
                <w:sz w:val="24"/>
              </w:rPr>
            </w:pPr>
            <w:r>
              <w:rPr>
                <w:rFonts w:hint="eastAsia" w:ascii="宋体" w:hAnsi="宋体" w:cs="宋体"/>
                <w:sz w:val="24"/>
              </w:rPr>
              <w:t>11.3 波长准确度：±2.0 nm。</w:t>
            </w:r>
          </w:p>
          <w:p w14:paraId="55CA5651">
            <w:pPr>
              <w:spacing w:line="400" w:lineRule="exact"/>
              <w:rPr>
                <w:rFonts w:ascii="宋体" w:hAnsi="宋体" w:cs="宋体"/>
                <w:sz w:val="24"/>
              </w:rPr>
            </w:pPr>
            <w:r>
              <w:rPr>
                <w:rFonts w:hint="eastAsia" w:ascii="宋体" w:hAnsi="宋体" w:cs="宋体"/>
                <w:sz w:val="24"/>
              </w:rPr>
              <w:t>11.4 波长重复性：±1 nm。</w:t>
            </w:r>
          </w:p>
          <w:p w14:paraId="5256055F">
            <w:pPr>
              <w:spacing w:line="400" w:lineRule="exact"/>
              <w:rPr>
                <w:rFonts w:ascii="宋体" w:hAnsi="宋体" w:cs="宋体"/>
                <w:sz w:val="24"/>
              </w:rPr>
            </w:pPr>
            <w:r>
              <w:rPr>
                <w:rFonts w:hint="eastAsia" w:ascii="宋体" w:hAnsi="宋体" w:cs="宋体"/>
                <w:sz w:val="24"/>
              </w:rPr>
              <w:t>11.5 光度量范围：0-4.0（OD）。</w:t>
            </w:r>
          </w:p>
          <w:p w14:paraId="6BD045A7">
            <w:pPr>
              <w:spacing w:line="400" w:lineRule="exact"/>
              <w:rPr>
                <w:rFonts w:ascii="宋体" w:hAnsi="宋体" w:cs="宋体"/>
                <w:sz w:val="24"/>
              </w:rPr>
            </w:pPr>
            <w:r>
              <w:rPr>
                <w:rFonts w:hint="eastAsia" w:ascii="宋体" w:hAnsi="宋体" w:cs="宋体"/>
                <w:sz w:val="24"/>
              </w:rPr>
              <w:t>11.6 分光检测分辨率：</w:t>
            </w:r>
            <w:r>
              <w:rPr>
                <w:rFonts w:hint="eastAsia"/>
              </w:rPr>
              <w:t>≤</w:t>
            </w:r>
            <w:r>
              <w:rPr>
                <w:rFonts w:hint="eastAsia" w:ascii="宋体" w:hAnsi="宋体" w:cs="宋体"/>
                <w:sz w:val="24"/>
              </w:rPr>
              <w:t>0.001 OD。</w:t>
            </w:r>
          </w:p>
          <w:p w14:paraId="4B6A0253">
            <w:pPr>
              <w:spacing w:line="400" w:lineRule="exact"/>
              <w:rPr>
                <w:rFonts w:ascii="宋体" w:hAnsi="宋体" w:cs="宋体"/>
                <w:sz w:val="24"/>
              </w:rPr>
            </w:pPr>
            <w:r>
              <w:rPr>
                <w:rFonts w:hint="eastAsia" w:ascii="宋体" w:hAnsi="宋体" w:cs="宋体"/>
                <w:sz w:val="24"/>
              </w:rPr>
              <w:t>11.7 测定准确度：</w:t>
            </w:r>
            <w:r>
              <w:rPr>
                <w:rFonts w:hint="eastAsia"/>
              </w:rPr>
              <w:t>≤</w:t>
            </w:r>
            <w:r>
              <w:rPr>
                <w:rFonts w:hint="eastAsia" w:ascii="宋体" w:hAnsi="宋体" w:cs="宋体"/>
                <w:sz w:val="24"/>
              </w:rPr>
              <w:t>±0.010 OD±1.0%，0-3.0 OD。</w:t>
            </w:r>
          </w:p>
          <w:p w14:paraId="08DC1DAC">
            <w:pPr>
              <w:spacing w:line="400" w:lineRule="exact"/>
              <w:rPr>
                <w:rFonts w:ascii="宋体" w:hAnsi="宋体" w:cs="宋体"/>
                <w:sz w:val="24"/>
              </w:rPr>
            </w:pPr>
            <w:r>
              <w:rPr>
                <w:rFonts w:hint="eastAsia"/>
                <w:b/>
                <w:sz w:val="24"/>
              </w:rPr>
              <w:t>▲</w:t>
            </w:r>
            <w:r>
              <w:rPr>
                <w:rFonts w:hint="eastAsia" w:ascii="宋体" w:hAnsi="宋体" w:cs="宋体"/>
                <w:sz w:val="24"/>
              </w:rPr>
              <w:t>11.8 测定精确度：</w:t>
            </w:r>
            <w:r>
              <w:rPr>
                <w:rFonts w:hint="eastAsia"/>
              </w:rPr>
              <w:t>≤</w:t>
            </w:r>
            <w:r>
              <w:rPr>
                <w:rFonts w:hint="eastAsia" w:ascii="宋体" w:hAnsi="宋体" w:cs="宋体"/>
                <w:sz w:val="24"/>
              </w:rPr>
              <w:t>±0.003 OD±1.0%，0-3.0 OD。</w:t>
            </w:r>
          </w:p>
          <w:p w14:paraId="04C3DE7B">
            <w:pPr>
              <w:spacing w:line="400" w:lineRule="exact"/>
              <w:rPr>
                <w:rFonts w:ascii="宋体" w:hAnsi="宋体" w:cs="宋体"/>
                <w:sz w:val="24"/>
              </w:rPr>
            </w:pPr>
            <w:r>
              <w:rPr>
                <w:rFonts w:hint="eastAsia" w:ascii="宋体" w:hAnsi="宋体" w:cs="宋体"/>
                <w:sz w:val="24"/>
              </w:rPr>
              <w:t>11.9 杂散光：</w:t>
            </w:r>
            <w:r>
              <w:rPr>
                <w:rFonts w:hint="eastAsia"/>
              </w:rPr>
              <w:t>≤</w:t>
            </w:r>
            <w:r>
              <w:rPr>
                <w:rFonts w:hint="eastAsia" w:ascii="宋体" w:hAnsi="宋体" w:cs="宋体"/>
                <w:sz w:val="24"/>
              </w:rPr>
              <w:t>0.05 % @ 230 nm。</w:t>
            </w:r>
          </w:p>
          <w:p w14:paraId="4F6A3D0D">
            <w:pPr>
              <w:spacing w:line="400" w:lineRule="exact"/>
              <w:rPr>
                <w:rFonts w:ascii="宋体" w:hAnsi="宋体" w:cs="宋体"/>
                <w:sz w:val="24"/>
              </w:rPr>
            </w:pPr>
            <w:r>
              <w:rPr>
                <w:rFonts w:hint="eastAsia" w:ascii="宋体" w:hAnsi="宋体" w:cs="宋体"/>
                <w:sz w:val="24"/>
              </w:rPr>
              <w:t>11.10 光程校正技术：配有PathCheck光径传感器技术，可以将实测的光密度值校正为1cm光径下的吸光度值，使对微孔板的测读达到分光光度计的精度，校正结果不随温度变化而变化。</w:t>
            </w:r>
          </w:p>
          <w:p w14:paraId="73CAFAC6">
            <w:pPr>
              <w:spacing w:line="400" w:lineRule="exact"/>
              <w:rPr>
                <w:rFonts w:ascii="宋体" w:hAnsi="宋体" w:cs="宋体"/>
                <w:sz w:val="24"/>
              </w:rPr>
            </w:pPr>
            <w:r>
              <w:rPr>
                <w:rFonts w:hint="eastAsia" w:ascii="宋体" w:hAnsi="宋体" w:cs="宋体"/>
                <w:sz w:val="24"/>
              </w:rPr>
              <w:t>12. 荧光强度：</w:t>
            </w:r>
          </w:p>
          <w:p w14:paraId="1E213122">
            <w:pPr>
              <w:spacing w:line="400" w:lineRule="exact"/>
              <w:rPr>
                <w:rFonts w:ascii="宋体" w:hAnsi="宋体" w:cs="宋体"/>
                <w:sz w:val="24"/>
              </w:rPr>
            </w:pPr>
            <w:r>
              <w:rPr>
                <w:rFonts w:hint="eastAsia" w:ascii="宋体" w:hAnsi="宋体" w:cs="宋体"/>
                <w:sz w:val="24"/>
              </w:rPr>
              <w:t>12.1 荧光检测支持：微孔板顶部及底部检测。</w:t>
            </w:r>
          </w:p>
          <w:p w14:paraId="2C202CA3">
            <w:pPr>
              <w:spacing w:line="400" w:lineRule="exact"/>
              <w:rPr>
                <w:rFonts w:ascii="宋体" w:hAnsi="宋体" w:cs="宋体"/>
                <w:sz w:val="24"/>
              </w:rPr>
            </w:pPr>
            <w:r>
              <w:rPr>
                <w:rFonts w:hint="eastAsia" w:ascii="宋体" w:hAnsi="宋体" w:cs="宋体"/>
                <w:sz w:val="24"/>
              </w:rPr>
              <w:t>12.2 波长范围：250 nm-850 nm，1 nm可调。</w:t>
            </w:r>
          </w:p>
          <w:p w14:paraId="1D53CF4A">
            <w:pPr>
              <w:spacing w:line="400" w:lineRule="exact"/>
              <w:rPr>
                <w:rFonts w:ascii="宋体" w:hAnsi="宋体" w:cs="宋体"/>
                <w:sz w:val="24"/>
              </w:rPr>
            </w:pPr>
            <w:r>
              <w:rPr>
                <w:rFonts w:hint="eastAsia" w:ascii="宋体" w:hAnsi="宋体" w:cs="宋体"/>
                <w:sz w:val="24"/>
              </w:rPr>
              <w:t>12.3 带宽：（EX）15 nm；（EM）25 nm。</w:t>
            </w:r>
          </w:p>
          <w:p w14:paraId="181975CA">
            <w:pPr>
              <w:spacing w:line="400" w:lineRule="exact"/>
              <w:rPr>
                <w:rFonts w:ascii="宋体" w:hAnsi="宋体" w:cs="宋体"/>
                <w:sz w:val="24"/>
              </w:rPr>
            </w:pPr>
            <w:r>
              <w:rPr>
                <w:rFonts w:hint="eastAsia" w:ascii="宋体" w:hAnsi="宋体" w:cs="宋体"/>
                <w:sz w:val="24"/>
              </w:rPr>
              <w:t>12.4 动态学范围：≥6个数量级。</w:t>
            </w:r>
          </w:p>
          <w:p w14:paraId="60B0285B">
            <w:pPr>
              <w:spacing w:line="400" w:lineRule="exact"/>
              <w:rPr>
                <w:rFonts w:ascii="宋体" w:hAnsi="宋体" w:cs="宋体"/>
                <w:sz w:val="24"/>
              </w:rPr>
            </w:pPr>
            <w:r>
              <w:rPr>
                <w:rFonts w:hint="eastAsia" w:ascii="宋体" w:hAnsi="宋体" w:cs="宋体"/>
                <w:sz w:val="24"/>
              </w:rPr>
              <w:t>12.5 灵敏度（优化）：</w:t>
            </w:r>
          </w:p>
          <w:p w14:paraId="789BEB6C">
            <w:pPr>
              <w:spacing w:line="400" w:lineRule="exact"/>
              <w:rPr>
                <w:rFonts w:ascii="宋体" w:hAnsi="宋体" w:cs="宋体"/>
                <w:sz w:val="24"/>
              </w:rPr>
            </w:pPr>
            <w:r>
              <w:rPr>
                <w:rFonts w:hint="eastAsia"/>
              </w:rPr>
              <w:t>≤</w:t>
            </w:r>
            <w:r>
              <w:rPr>
                <w:rFonts w:hint="eastAsia" w:ascii="宋体" w:hAnsi="宋体" w:cs="宋体"/>
                <w:sz w:val="24"/>
              </w:rPr>
              <w:t xml:space="preserve"> 1 pM荧光素，96孔板顶读；</w:t>
            </w:r>
            <w:r>
              <w:rPr>
                <w:rFonts w:hint="eastAsia"/>
              </w:rPr>
              <w:t>≤</w:t>
            </w:r>
            <w:r>
              <w:rPr>
                <w:rFonts w:hint="eastAsia" w:ascii="宋体" w:hAnsi="宋体" w:cs="宋体"/>
                <w:sz w:val="24"/>
              </w:rPr>
              <w:t xml:space="preserve"> 2 pM荧光素，96孔板底读；</w:t>
            </w:r>
          </w:p>
          <w:p w14:paraId="3198486D">
            <w:pPr>
              <w:spacing w:line="400" w:lineRule="exact"/>
              <w:rPr>
                <w:rFonts w:ascii="宋体" w:hAnsi="宋体" w:cs="宋体"/>
                <w:sz w:val="24"/>
              </w:rPr>
            </w:pPr>
            <w:r>
              <w:rPr>
                <w:rFonts w:hint="eastAsia"/>
              </w:rPr>
              <w:t>≤</w:t>
            </w:r>
            <w:r>
              <w:rPr>
                <w:rFonts w:hint="eastAsia" w:ascii="宋体" w:hAnsi="宋体" w:cs="宋体"/>
                <w:sz w:val="24"/>
              </w:rPr>
              <w:t xml:space="preserve"> 1 pM荧光素，384孔板顶读；</w:t>
            </w:r>
            <w:r>
              <w:rPr>
                <w:rFonts w:hint="eastAsia"/>
              </w:rPr>
              <w:t>≤</w:t>
            </w:r>
            <w:r>
              <w:rPr>
                <w:rFonts w:hint="eastAsia" w:ascii="宋体" w:hAnsi="宋体" w:cs="宋体"/>
                <w:sz w:val="24"/>
              </w:rPr>
              <w:t xml:space="preserve"> 2.5 pM荧光素，384孔板底读。</w:t>
            </w:r>
          </w:p>
          <w:p w14:paraId="0F08371D">
            <w:pPr>
              <w:spacing w:line="400" w:lineRule="exact"/>
              <w:rPr>
                <w:rFonts w:ascii="宋体" w:hAnsi="宋体" w:cs="宋体"/>
                <w:sz w:val="24"/>
              </w:rPr>
            </w:pPr>
            <w:r>
              <w:rPr>
                <w:rFonts w:hint="eastAsia" w:ascii="宋体" w:hAnsi="宋体" w:cs="宋体"/>
                <w:sz w:val="24"/>
              </w:rPr>
              <w:t>13. 化学发光：</w:t>
            </w:r>
          </w:p>
          <w:p w14:paraId="4CC6210F">
            <w:pPr>
              <w:spacing w:line="400" w:lineRule="exact"/>
              <w:rPr>
                <w:rFonts w:ascii="宋体" w:hAnsi="宋体" w:cs="宋体"/>
                <w:sz w:val="24"/>
              </w:rPr>
            </w:pPr>
            <w:r>
              <w:rPr>
                <w:rFonts w:hint="eastAsia" w:ascii="宋体" w:hAnsi="宋体" w:cs="宋体"/>
                <w:sz w:val="24"/>
              </w:rPr>
              <w:t>13.1 化学发光检测支持：微孔板顶部检测。</w:t>
            </w:r>
          </w:p>
          <w:p w14:paraId="4BFF6556">
            <w:pPr>
              <w:spacing w:line="400" w:lineRule="exact"/>
              <w:rPr>
                <w:rFonts w:ascii="宋体" w:hAnsi="宋体" w:cs="宋体"/>
                <w:sz w:val="24"/>
              </w:rPr>
            </w:pPr>
            <w:r>
              <w:rPr>
                <w:rFonts w:hint="eastAsia" w:ascii="宋体" w:hAnsi="宋体" w:cs="宋体"/>
                <w:sz w:val="24"/>
              </w:rPr>
              <w:t>13.2 波长范围：300 nm-850 nm，1 nm可调。</w:t>
            </w:r>
          </w:p>
          <w:p w14:paraId="3D3EB6A5">
            <w:pPr>
              <w:spacing w:line="400" w:lineRule="exact"/>
              <w:rPr>
                <w:rFonts w:ascii="宋体" w:hAnsi="宋体" w:cs="宋体"/>
                <w:sz w:val="24"/>
              </w:rPr>
            </w:pPr>
            <w:r>
              <w:rPr>
                <w:rFonts w:hint="eastAsia" w:ascii="宋体" w:hAnsi="宋体" w:cs="宋体"/>
                <w:sz w:val="24"/>
              </w:rPr>
              <w:t>13.3 动态学范围：</w:t>
            </w:r>
            <w:r>
              <w:rPr>
                <w:rFonts w:hint="eastAsia"/>
              </w:rPr>
              <w:t>≥</w:t>
            </w:r>
            <w:r>
              <w:rPr>
                <w:rFonts w:hint="eastAsia" w:ascii="宋体" w:hAnsi="宋体" w:cs="宋体"/>
                <w:sz w:val="24"/>
              </w:rPr>
              <w:t>7个数量级。</w:t>
            </w:r>
          </w:p>
          <w:p w14:paraId="743D1D06">
            <w:pPr>
              <w:spacing w:line="400" w:lineRule="exact"/>
              <w:rPr>
                <w:rFonts w:ascii="宋体" w:hAnsi="宋体" w:cs="宋体"/>
                <w:sz w:val="24"/>
              </w:rPr>
            </w:pPr>
            <w:r>
              <w:rPr>
                <w:rFonts w:hint="eastAsia" w:ascii="宋体" w:hAnsi="宋体" w:cs="宋体"/>
                <w:sz w:val="24"/>
              </w:rPr>
              <w:t xml:space="preserve">13.4 灵敏度（辉光）： </w:t>
            </w:r>
            <w:r>
              <w:rPr>
                <w:rFonts w:hint="eastAsia"/>
              </w:rPr>
              <w:t>≤</w:t>
            </w:r>
            <w:r>
              <w:rPr>
                <w:rFonts w:hint="eastAsia" w:ascii="宋体" w:hAnsi="宋体" w:cs="宋体"/>
                <w:sz w:val="24"/>
              </w:rPr>
              <w:t xml:space="preserve"> 2 pM ATP 96孔板，</w:t>
            </w:r>
            <w:r>
              <w:rPr>
                <w:rFonts w:hint="eastAsia"/>
              </w:rPr>
              <w:t>≤</w:t>
            </w:r>
            <w:r>
              <w:rPr>
                <w:rFonts w:hint="eastAsia" w:ascii="宋体" w:hAnsi="宋体" w:cs="宋体"/>
                <w:sz w:val="24"/>
              </w:rPr>
              <w:t xml:space="preserve"> 4 pM ATP 384孔板。</w:t>
            </w:r>
          </w:p>
          <w:p w14:paraId="6D874E23">
            <w:pPr>
              <w:spacing w:line="400" w:lineRule="exact"/>
              <w:rPr>
                <w:rFonts w:ascii="宋体" w:hAnsi="宋体" w:cs="宋体"/>
                <w:sz w:val="24"/>
              </w:rPr>
            </w:pPr>
            <w:r>
              <w:rPr>
                <w:rFonts w:hint="eastAsia" w:ascii="宋体" w:hAnsi="宋体" w:cs="宋体"/>
                <w:sz w:val="24"/>
              </w:rPr>
              <w:t xml:space="preserve">13.5 灵敏度（闪光）： </w:t>
            </w:r>
            <w:r>
              <w:rPr>
                <w:rFonts w:hint="eastAsia"/>
              </w:rPr>
              <w:t>≤</w:t>
            </w:r>
            <w:r>
              <w:rPr>
                <w:rFonts w:hint="eastAsia" w:ascii="宋体" w:hAnsi="宋体" w:cs="宋体"/>
                <w:sz w:val="24"/>
              </w:rPr>
              <w:t>20 amol ATP（Promega ENLITEN ATP Assay System）。</w:t>
            </w:r>
          </w:p>
          <w:p w14:paraId="49C18BBF">
            <w:pPr>
              <w:spacing w:line="400" w:lineRule="exact"/>
              <w:rPr>
                <w:rFonts w:ascii="宋体" w:hAnsi="宋体" w:cs="宋体"/>
                <w:sz w:val="24"/>
              </w:rPr>
            </w:pPr>
            <w:r>
              <w:rPr>
                <w:rFonts w:hint="eastAsia" w:ascii="宋体" w:hAnsi="宋体" w:cs="宋体"/>
                <w:sz w:val="24"/>
              </w:rPr>
              <w:t>13.6 孔间干扰：</w:t>
            </w:r>
            <w:r>
              <w:rPr>
                <w:rFonts w:hint="eastAsia"/>
              </w:rPr>
              <w:t>≤</w:t>
            </w:r>
            <w:r>
              <w:rPr>
                <w:rFonts w:hint="eastAsia" w:ascii="宋体" w:hAnsi="宋体" w:cs="宋体"/>
                <w:sz w:val="24"/>
              </w:rPr>
              <w:t>0.1%，白色96孔板；</w:t>
            </w:r>
            <w:r>
              <w:rPr>
                <w:rFonts w:hint="eastAsia"/>
              </w:rPr>
              <w:t>≤</w:t>
            </w:r>
            <w:r>
              <w:rPr>
                <w:rFonts w:hint="eastAsia" w:ascii="宋体" w:hAnsi="宋体" w:cs="宋体"/>
                <w:sz w:val="24"/>
              </w:rPr>
              <w:t>0.2%，白色384孔板。</w:t>
            </w:r>
          </w:p>
          <w:p w14:paraId="42FC2165">
            <w:pPr>
              <w:spacing w:line="400" w:lineRule="exact"/>
              <w:rPr>
                <w:rFonts w:ascii="宋体" w:hAnsi="宋体" w:cs="宋体"/>
                <w:sz w:val="24"/>
              </w:rPr>
            </w:pPr>
            <w:r>
              <w:rPr>
                <w:rFonts w:hint="eastAsia" w:ascii="宋体" w:hAnsi="宋体" w:cs="宋体"/>
                <w:sz w:val="24"/>
              </w:rPr>
              <w:t xml:space="preserve">14. 检测时间：          </w:t>
            </w:r>
          </w:p>
          <w:p w14:paraId="4CFABADE">
            <w:pPr>
              <w:spacing w:line="400" w:lineRule="exact"/>
              <w:rPr>
                <w:rFonts w:ascii="宋体" w:hAnsi="宋体" w:cs="宋体"/>
                <w:sz w:val="24"/>
              </w:rPr>
            </w:pPr>
            <w:r>
              <w:rPr>
                <w:rFonts w:hint="eastAsia" w:ascii="宋体" w:hAnsi="宋体" w:cs="宋体"/>
                <w:sz w:val="24"/>
              </w:rPr>
              <w:t xml:space="preserve">          6孔板        96孔板    384孔板</w:t>
            </w:r>
          </w:p>
          <w:p w14:paraId="720B4B71">
            <w:pPr>
              <w:spacing w:line="400" w:lineRule="exact"/>
              <w:rPr>
                <w:rFonts w:ascii="宋体" w:hAnsi="宋体" w:cs="宋体"/>
                <w:sz w:val="24"/>
              </w:rPr>
            </w:pPr>
            <w:r>
              <w:rPr>
                <w:rFonts w:hint="eastAsia" w:ascii="宋体" w:hAnsi="宋体" w:cs="宋体"/>
                <w:sz w:val="24"/>
              </w:rPr>
              <w:t xml:space="preserve">吸收光：  </w:t>
            </w:r>
            <w:r>
              <w:rPr>
                <w:rFonts w:hint="eastAsia"/>
              </w:rPr>
              <w:t>≤</w:t>
            </w:r>
            <w:r>
              <w:rPr>
                <w:rFonts w:hint="eastAsia" w:ascii="宋体" w:hAnsi="宋体" w:cs="宋体"/>
                <w:sz w:val="24"/>
              </w:rPr>
              <w:t xml:space="preserve">28秒（优化） </w:t>
            </w:r>
            <w:r>
              <w:rPr>
                <w:rFonts w:hint="eastAsia"/>
              </w:rPr>
              <w:t>≤</w:t>
            </w:r>
            <w:r>
              <w:rPr>
                <w:rFonts w:hint="eastAsia" w:ascii="宋体" w:hAnsi="宋体" w:cs="宋体"/>
                <w:sz w:val="24"/>
              </w:rPr>
              <w:t xml:space="preserve">30秒    </w:t>
            </w:r>
            <w:r>
              <w:rPr>
                <w:rFonts w:hint="eastAsia"/>
              </w:rPr>
              <w:t>≤</w:t>
            </w:r>
            <w:r>
              <w:rPr>
                <w:rFonts w:hint="eastAsia" w:ascii="宋体" w:hAnsi="宋体" w:cs="宋体"/>
                <w:sz w:val="24"/>
              </w:rPr>
              <w:t>1分25秒</w:t>
            </w:r>
          </w:p>
          <w:p w14:paraId="453D416A">
            <w:pPr>
              <w:spacing w:line="400" w:lineRule="exact"/>
              <w:rPr>
                <w:rFonts w:ascii="宋体" w:hAnsi="宋体" w:cs="宋体"/>
                <w:sz w:val="24"/>
              </w:rPr>
            </w:pPr>
            <w:r>
              <w:rPr>
                <w:rFonts w:hint="eastAsia" w:ascii="宋体" w:hAnsi="宋体" w:cs="宋体"/>
                <w:sz w:val="24"/>
              </w:rPr>
              <w:t>荧光强度：</w:t>
            </w:r>
            <w:r>
              <w:rPr>
                <w:rFonts w:hint="eastAsia"/>
              </w:rPr>
              <w:t>≤</w:t>
            </w:r>
            <w:r>
              <w:rPr>
                <w:rFonts w:hint="eastAsia" w:ascii="宋体" w:hAnsi="宋体" w:cs="宋体"/>
                <w:sz w:val="24"/>
              </w:rPr>
              <w:t xml:space="preserve">21秒（优化） </w:t>
            </w:r>
            <w:r>
              <w:rPr>
                <w:rFonts w:hint="eastAsia"/>
              </w:rPr>
              <w:t>≤</w:t>
            </w:r>
            <w:r>
              <w:rPr>
                <w:rFonts w:hint="eastAsia" w:ascii="宋体" w:hAnsi="宋体" w:cs="宋体"/>
                <w:sz w:val="24"/>
              </w:rPr>
              <w:t xml:space="preserve">30秒     </w:t>
            </w:r>
            <w:r>
              <w:rPr>
                <w:rFonts w:hint="eastAsia"/>
              </w:rPr>
              <w:t>≤</w:t>
            </w:r>
            <w:r>
              <w:rPr>
                <w:rFonts w:hint="eastAsia" w:ascii="宋体" w:hAnsi="宋体" w:cs="宋体"/>
                <w:sz w:val="24"/>
              </w:rPr>
              <w:t>53秒</w:t>
            </w:r>
          </w:p>
          <w:p w14:paraId="598B0E25">
            <w:pPr>
              <w:spacing w:line="400" w:lineRule="exact"/>
              <w:rPr>
                <w:rFonts w:ascii="宋体" w:hAnsi="宋体" w:cs="宋体"/>
                <w:sz w:val="24"/>
              </w:rPr>
            </w:pPr>
            <w:r>
              <w:rPr>
                <w:rFonts w:hint="eastAsia" w:ascii="宋体" w:hAnsi="宋体" w:cs="宋体"/>
                <w:sz w:val="24"/>
              </w:rPr>
              <w:t>化学发光：</w:t>
            </w:r>
            <w:r>
              <w:rPr>
                <w:rFonts w:hint="eastAsia"/>
              </w:rPr>
              <w:t>≤</w:t>
            </w:r>
            <w:r>
              <w:rPr>
                <w:rFonts w:hint="eastAsia" w:ascii="宋体" w:hAnsi="宋体" w:cs="宋体"/>
                <w:sz w:val="24"/>
              </w:rPr>
              <w:t xml:space="preserve">21秒（优化）  </w:t>
            </w:r>
            <w:r>
              <w:rPr>
                <w:rFonts w:hint="eastAsia"/>
              </w:rPr>
              <w:t>≤</w:t>
            </w:r>
            <w:r>
              <w:rPr>
                <w:rFonts w:hint="eastAsia" w:ascii="宋体" w:hAnsi="宋体" w:cs="宋体"/>
                <w:sz w:val="24"/>
              </w:rPr>
              <w:t xml:space="preserve">30秒    </w:t>
            </w:r>
            <w:r>
              <w:rPr>
                <w:rFonts w:hint="eastAsia"/>
              </w:rPr>
              <w:t>≤</w:t>
            </w:r>
            <w:r>
              <w:rPr>
                <w:rFonts w:hint="eastAsia" w:ascii="宋体" w:hAnsi="宋体" w:cs="宋体"/>
                <w:sz w:val="24"/>
              </w:rPr>
              <w:t>1分01秒</w:t>
            </w:r>
          </w:p>
          <w:p w14:paraId="60A843D1">
            <w:pPr>
              <w:spacing w:line="400" w:lineRule="exact"/>
              <w:rPr>
                <w:rFonts w:ascii="宋体" w:hAnsi="宋体" w:cs="宋体"/>
                <w:sz w:val="24"/>
              </w:rPr>
            </w:pPr>
            <w:r>
              <w:rPr>
                <w:rFonts w:hint="eastAsia" w:ascii="宋体" w:hAnsi="宋体" w:cs="宋体"/>
                <w:sz w:val="24"/>
              </w:rPr>
              <w:t>15. 机器臂兼容性：兼容。</w:t>
            </w:r>
          </w:p>
          <w:p w14:paraId="467647EF">
            <w:pPr>
              <w:spacing w:line="400" w:lineRule="exact"/>
              <w:rPr>
                <w:rFonts w:ascii="宋体" w:hAnsi="宋体" w:cs="宋体"/>
                <w:sz w:val="24"/>
              </w:rPr>
            </w:pPr>
            <w:r>
              <w:rPr>
                <w:rFonts w:hint="eastAsia" w:ascii="宋体" w:hAnsi="宋体" w:cs="宋体"/>
                <w:sz w:val="24"/>
              </w:rPr>
              <w:t>16. 注射器模块：</w:t>
            </w:r>
          </w:p>
          <w:p w14:paraId="0B207D07">
            <w:pPr>
              <w:spacing w:line="400" w:lineRule="exact"/>
              <w:rPr>
                <w:rFonts w:ascii="宋体" w:hAnsi="宋体" w:cs="宋体"/>
                <w:sz w:val="24"/>
              </w:rPr>
            </w:pPr>
            <w:r>
              <w:rPr>
                <w:rFonts w:hint="eastAsia" w:ascii="宋体" w:hAnsi="宋体" w:cs="宋体"/>
                <w:sz w:val="24"/>
              </w:rPr>
              <w:t>16.1 注射器通道：内置双通道，1 µL增量。</w:t>
            </w:r>
          </w:p>
          <w:p w14:paraId="3694CFFC">
            <w:pPr>
              <w:spacing w:line="400" w:lineRule="exact"/>
              <w:rPr>
                <w:rFonts w:ascii="宋体" w:hAnsi="宋体" w:cs="宋体"/>
                <w:sz w:val="24"/>
              </w:rPr>
            </w:pPr>
            <w:r>
              <w:rPr>
                <w:rFonts w:hint="eastAsia" w:ascii="宋体" w:hAnsi="宋体" w:cs="宋体"/>
                <w:sz w:val="24"/>
              </w:rPr>
              <w:t>16.2 支持的模式：ABS, FI和Lumi。</w:t>
            </w:r>
          </w:p>
          <w:p w14:paraId="4063EB5B">
            <w:pPr>
              <w:spacing w:line="400" w:lineRule="exact"/>
              <w:rPr>
                <w:rFonts w:ascii="宋体" w:hAnsi="宋体" w:cs="宋体"/>
                <w:sz w:val="24"/>
              </w:rPr>
            </w:pPr>
            <w:r>
              <w:rPr>
                <w:rFonts w:hint="eastAsia" w:ascii="宋体" w:hAnsi="宋体" w:cs="宋体"/>
                <w:sz w:val="24"/>
              </w:rPr>
              <w:t>16.3 分液准确性：± 5%@100 µL。</w:t>
            </w:r>
          </w:p>
          <w:p w14:paraId="73145039">
            <w:pPr>
              <w:spacing w:line="400" w:lineRule="exact"/>
              <w:rPr>
                <w:rFonts w:ascii="宋体" w:hAnsi="宋体" w:cs="宋体"/>
                <w:sz w:val="24"/>
              </w:rPr>
            </w:pPr>
            <w:r>
              <w:rPr>
                <w:rFonts w:hint="eastAsia" w:ascii="宋体" w:hAnsi="宋体" w:cs="宋体"/>
                <w:sz w:val="24"/>
              </w:rPr>
              <w:t>16.4 分液精确性：</w:t>
            </w:r>
            <w:r>
              <w:rPr>
                <w:rFonts w:hint="eastAsia"/>
              </w:rPr>
              <w:t>≤</w:t>
            </w:r>
            <w:r>
              <w:rPr>
                <w:rFonts w:hint="eastAsia" w:ascii="宋体" w:hAnsi="宋体" w:cs="宋体"/>
                <w:sz w:val="24"/>
              </w:rPr>
              <w:t>2% cv@100 µL。</w:t>
            </w:r>
          </w:p>
          <w:p w14:paraId="7C909B55">
            <w:pPr>
              <w:spacing w:line="400" w:lineRule="exact"/>
              <w:rPr>
                <w:rFonts w:ascii="宋体" w:hAnsi="宋体" w:cs="宋体"/>
                <w:sz w:val="24"/>
              </w:rPr>
            </w:pPr>
            <w:r>
              <w:rPr>
                <w:rFonts w:hint="eastAsia" w:ascii="宋体" w:hAnsi="宋体" w:cs="宋体"/>
                <w:sz w:val="24"/>
              </w:rPr>
              <w:t>16.5 死体积：管路体积：250 µL；回流死体积：</w:t>
            </w:r>
            <w:r>
              <w:rPr>
                <w:rFonts w:hint="eastAsia"/>
              </w:rPr>
              <w:t>≤</w:t>
            </w:r>
            <w:r>
              <w:rPr>
                <w:rFonts w:hint="eastAsia" w:ascii="宋体" w:hAnsi="宋体" w:cs="宋体"/>
                <w:sz w:val="24"/>
              </w:rPr>
              <w:t xml:space="preserve"> 10 µL。</w:t>
            </w:r>
          </w:p>
          <w:p w14:paraId="635F5FD8">
            <w:pPr>
              <w:spacing w:line="400" w:lineRule="exact"/>
              <w:rPr>
                <w:rFonts w:ascii="宋体" w:hAnsi="宋体" w:cs="宋体"/>
                <w:sz w:val="24"/>
              </w:rPr>
            </w:pPr>
            <w:r>
              <w:rPr>
                <w:rFonts w:hint="eastAsia" w:ascii="宋体" w:hAnsi="宋体" w:cs="宋体"/>
                <w:sz w:val="24"/>
              </w:rPr>
              <w:t>17. 软件：</w:t>
            </w:r>
          </w:p>
          <w:p w14:paraId="35C2D36D">
            <w:pPr>
              <w:spacing w:line="400" w:lineRule="exact"/>
              <w:rPr>
                <w:rFonts w:ascii="宋体" w:hAnsi="宋体" w:cs="宋体"/>
                <w:sz w:val="24"/>
              </w:rPr>
            </w:pPr>
            <w:r>
              <w:rPr>
                <w:rFonts w:hint="eastAsia" w:ascii="宋体" w:hAnsi="宋体" w:cs="宋体"/>
                <w:sz w:val="24"/>
              </w:rPr>
              <w:t>数据分析软件可自动进行数据的运算及存储；可完成图表曲线制作，并可完成坐标轴的自由定义和转换，≥24种曲线拟合方式；完成自编公式和程序的存储及运行；仪器的各种功能均可通过计算机控制完成；数据导入支持：支持模板分组导入功能、支持多种模式（ABS\FI）检测导入到同一程序；支持多种数据导出格式：Excel、TXT、XML和PDF。</w:t>
            </w:r>
          </w:p>
          <w:p w14:paraId="5A757EF7">
            <w:pPr>
              <w:spacing w:line="400" w:lineRule="exact"/>
              <w:rPr>
                <w:rFonts w:ascii="宋体" w:hAnsi="宋体" w:cs="宋体"/>
                <w:sz w:val="24"/>
              </w:rPr>
            </w:pPr>
            <w:r>
              <w:rPr>
                <w:rFonts w:hint="eastAsia" w:ascii="宋体" w:hAnsi="宋体" w:cs="宋体"/>
                <w:sz w:val="24"/>
              </w:rPr>
              <w:t>18. 配置清单：</w:t>
            </w:r>
          </w:p>
          <w:p w14:paraId="152B4034">
            <w:pPr>
              <w:spacing w:line="400" w:lineRule="exact"/>
              <w:rPr>
                <w:rFonts w:ascii="宋体" w:hAnsi="宋体" w:cs="宋体"/>
                <w:sz w:val="24"/>
              </w:rPr>
            </w:pPr>
            <w:r>
              <w:rPr>
                <w:rFonts w:hint="eastAsia" w:ascii="宋体" w:hAnsi="宋体" w:cs="宋体"/>
                <w:sz w:val="24"/>
              </w:rPr>
              <w:t>18.1 主机一套：含光吸收、荧光、化学发光模块</w:t>
            </w:r>
          </w:p>
          <w:p w14:paraId="1A7933F2">
            <w:pPr>
              <w:spacing w:line="400" w:lineRule="exact"/>
              <w:rPr>
                <w:rFonts w:ascii="宋体" w:hAnsi="宋体" w:cs="宋体"/>
                <w:sz w:val="24"/>
              </w:rPr>
            </w:pPr>
            <w:r>
              <w:rPr>
                <w:rFonts w:hint="eastAsia" w:ascii="宋体" w:hAnsi="宋体" w:cs="宋体"/>
                <w:sz w:val="24"/>
              </w:rPr>
              <w:t>18.2 专业分析和控制软件一套</w:t>
            </w:r>
          </w:p>
          <w:p w14:paraId="43975BDD">
            <w:pPr>
              <w:spacing w:line="400" w:lineRule="exact"/>
              <w:rPr>
                <w:rFonts w:ascii="宋体" w:hAnsi="宋体" w:cs="宋体"/>
                <w:sz w:val="24"/>
              </w:rPr>
            </w:pPr>
            <w:r>
              <w:rPr>
                <w:rFonts w:hint="eastAsia" w:ascii="宋体" w:hAnsi="宋体" w:cs="宋体"/>
                <w:sz w:val="24"/>
              </w:rPr>
              <w:t>18.3 电源线、USB数据线等</w:t>
            </w:r>
          </w:p>
          <w:p w14:paraId="15CC16E1">
            <w:pPr>
              <w:spacing w:line="400" w:lineRule="exact"/>
              <w:rPr>
                <w:rFonts w:ascii="宋体" w:hAnsi="宋体" w:cs="宋体"/>
                <w:sz w:val="24"/>
              </w:rPr>
            </w:pPr>
            <w:r>
              <w:rPr>
                <w:rFonts w:hint="eastAsia" w:ascii="宋体" w:hAnsi="宋体" w:cs="宋体"/>
                <w:sz w:val="24"/>
              </w:rPr>
              <w:t>18.4 注射器模块一套</w:t>
            </w:r>
          </w:p>
          <w:p w14:paraId="56727D03">
            <w:pPr>
              <w:spacing w:line="400" w:lineRule="exact"/>
              <w:rPr>
                <w:rFonts w:ascii="宋体" w:hAnsi="宋体" w:cs="宋体"/>
                <w:sz w:val="24"/>
              </w:rPr>
            </w:pPr>
            <w:r>
              <w:rPr>
                <w:rFonts w:hint="eastAsia" w:ascii="宋体" w:hAnsi="宋体" w:cs="宋体"/>
                <w:sz w:val="24"/>
              </w:rPr>
              <w:t>18.5 超微量检测板一套</w:t>
            </w:r>
          </w:p>
          <w:p w14:paraId="186F26BC">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269BB282">
            <w:pPr>
              <w:pStyle w:val="58"/>
              <w:jc w:val="center"/>
              <w:rPr>
                <w:rFonts w:ascii="宋体" w:hAnsi="宋体" w:cs="宋体"/>
                <w:b/>
                <w:bCs/>
                <w:sz w:val="24"/>
                <w:szCs w:val="24"/>
              </w:rPr>
            </w:pPr>
            <w:r>
              <w:rPr>
                <w:rFonts w:hint="eastAsia" w:ascii="宋体" w:hAnsi="宋体" w:cs="宋体"/>
                <w:sz w:val="24"/>
                <w:szCs w:val="24"/>
              </w:rPr>
              <w:t>39</w:t>
            </w:r>
          </w:p>
        </w:tc>
        <w:tc>
          <w:tcPr>
            <w:tcW w:w="1275" w:type="dxa"/>
            <w:vAlign w:val="center"/>
          </w:tcPr>
          <w:p w14:paraId="0ED1452C">
            <w:pPr>
              <w:pStyle w:val="58"/>
              <w:jc w:val="center"/>
              <w:rPr>
                <w:rFonts w:ascii="宋体" w:hAnsi="宋体" w:cs="宋体"/>
                <w:b/>
                <w:bCs/>
                <w:sz w:val="24"/>
                <w:szCs w:val="24"/>
              </w:rPr>
            </w:pPr>
            <w:r>
              <w:rPr>
                <w:rFonts w:hint="eastAsia" w:ascii="宋体" w:hAnsi="宋体" w:cs="宋体"/>
                <w:sz w:val="24"/>
                <w:szCs w:val="24"/>
              </w:rPr>
              <w:t>39</w:t>
            </w:r>
          </w:p>
        </w:tc>
      </w:tr>
      <w:tr w14:paraId="3630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03738738">
            <w:pPr>
              <w:spacing w:line="440" w:lineRule="exact"/>
              <w:jc w:val="center"/>
              <w:rPr>
                <w:rFonts w:ascii="宋体" w:hAnsi="宋体" w:cs="宋体"/>
                <w:sz w:val="24"/>
              </w:rPr>
            </w:pPr>
            <w:r>
              <w:rPr>
                <w:rFonts w:hint="eastAsia" w:ascii="宋体" w:hAnsi="宋体" w:cs="宋体"/>
                <w:sz w:val="24"/>
              </w:rPr>
              <w:t>2</w:t>
            </w:r>
          </w:p>
        </w:tc>
        <w:tc>
          <w:tcPr>
            <w:tcW w:w="1318" w:type="dxa"/>
            <w:vAlign w:val="center"/>
          </w:tcPr>
          <w:p w14:paraId="18D8BD4A">
            <w:pPr>
              <w:jc w:val="center"/>
              <w:rPr>
                <w:rFonts w:ascii="宋体" w:hAnsi="宋体" w:cs="宋体"/>
                <w:sz w:val="24"/>
              </w:rPr>
            </w:pPr>
            <w:r>
              <w:rPr>
                <w:rFonts w:hint="eastAsia" w:ascii="宋体" w:hAnsi="宋体" w:cs="宋体"/>
                <w:color w:val="000000"/>
                <w:sz w:val="24"/>
              </w:rPr>
              <w:t>蛋白核酸定量设备</w:t>
            </w:r>
          </w:p>
        </w:tc>
        <w:tc>
          <w:tcPr>
            <w:tcW w:w="557" w:type="dxa"/>
            <w:vAlign w:val="center"/>
          </w:tcPr>
          <w:p w14:paraId="728B48EE">
            <w:pPr>
              <w:pStyle w:val="58"/>
              <w:jc w:val="center"/>
              <w:rPr>
                <w:rFonts w:ascii="宋体" w:hAnsi="宋体" w:cs="宋体"/>
                <w:sz w:val="24"/>
                <w:szCs w:val="24"/>
              </w:rPr>
            </w:pPr>
            <w:r>
              <w:rPr>
                <w:rFonts w:hint="eastAsia" w:ascii="宋体" w:hAnsi="宋体" w:cs="宋体"/>
                <w:sz w:val="24"/>
                <w:szCs w:val="24"/>
              </w:rPr>
              <w:t>2</w:t>
            </w:r>
          </w:p>
        </w:tc>
        <w:tc>
          <w:tcPr>
            <w:tcW w:w="660" w:type="dxa"/>
            <w:vAlign w:val="center"/>
          </w:tcPr>
          <w:p w14:paraId="7FCE0EA3">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5A704F17">
            <w:pPr>
              <w:spacing w:line="400" w:lineRule="exact"/>
              <w:rPr>
                <w:rFonts w:ascii="宋体" w:hAnsi="宋体" w:cs="宋体"/>
                <w:sz w:val="24"/>
              </w:rPr>
            </w:pPr>
            <w:r>
              <w:rPr>
                <w:rFonts w:hint="eastAsia" w:ascii="宋体" w:hAnsi="宋体" w:cs="宋体"/>
                <w:sz w:val="24"/>
              </w:rPr>
              <w:t>1.应用范围：</w:t>
            </w:r>
          </w:p>
          <w:p w14:paraId="5A9D300E">
            <w:pPr>
              <w:spacing w:line="400" w:lineRule="exact"/>
              <w:rPr>
                <w:rFonts w:ascii="宋体" w:hAnsi="宋体" w:cs="宋体"/>
                <w:sz w:val="24"/>
              </w:rPr>
            </w:pPr>
            <w:r>
              <w:rPr>
                <w:rFonts w:hint="eastAsia" w:ascii="宋体" w:hAnsi="宋体" w:cs="宋体"/>
                <w:sz w:val="24"/>
              </w:rPr>
              <w:t>用于核酸及蛋白质定量和纯度检测；具备智能样本检测技术，在检测中有疑问可询求实时的技术支持。</w:t>
            </w:r>
          </w:p>
          <w:p w14:paraId="61788991">
            <w:pPr>
              <w:spacing w:line="400" w:lineRule="exact"/>
              <w:rPr>
                <w:rFonts w:ascii="宋体" w:hAnsi="宋体" w:cs="宋体"/>
                <w:sz w:val="24"/>
              </w:rPr>
            </w:pPr>
            <w:r>
              <w:rPr>
                <w:rFonts w:hint="eastAsia" w:ascii="宋体" w:hAnsi="宋体" w:cs="宋体"/>
                <w:sz w:val="24"/>
              </w:rPr>
              <w:t>2. 技术参数：</w:t>
            </w:r>
          </w:p>
          <w:p w14:paraId="21D8F071">
            <w:pPr>
              <w:spacing w:line="400" w:lineRule="exact"/>
              <w:rPr>
                <w:rFonts w:ascii="宋体" w:hAnsi="宋体" w:cs="宋体"/>
                <w:sz w:val="24"/>
              </w:rPr>
            </w:pPr>
            <w:r>
              <w:rPr>
                <w:rFonts w:hint="eastAsia" w:ascii="宋体" w:hAnsi="宋体" w:cs="宋体"/>
                <w:sz w:val="24"/>
              </w:rPr>
              <w:t>2.1 自带多点电容式触摸显示器：≥10英寸，1280×800高分辨率彩色显示屏。</w:t>
            </w:r>
          </w:p>
          <w:p w14:paraId="47001960">
            <w:pPr>
              <w:spacing w:line="400" w:lineRule="exact"/>
              <w:rPr>
                <w:rFonts w:ascii="宋体" w:hAnsi="宋体" w:cs="宋体"/>
                <w:sz w:val="24"/>
              </w:rPr>
            </w:pPr>
            <w:r>
              <w:rPr>
                <w:rFonts w:hint="eastAsia"/>
                <w:b/>
                <w:sz w:val="24"/>
              </w:rPr>
              <w:t>▲</w:t>
            </w:r>
            <w:r>
              <w:rPr>
                <w:rFonts w:hint="eastAsia" w:ascii="宋体" w:hAnsi="宋体" w:cs="宋体"/>
                <w:sz w:val="24"/>
              </w:rPr>
              <w:t>2.2 光谱扫描的数据即190-850 nm连续波长，可测定低波长下的蛋白光吸收；智能样本检测技术自动进行污染物鉴定和结果校正，保证样本精确的浓度和样本的质量。</w:t>
            </w:r>
          </w:p>
          <w:p w14:paraId="6CFC179F">
            <w:pPr>
              <w:spacing w:line="400" w:lineRule="exact"/>
              <w:rPr>
                <w:rFonts w:ascii="宋体" w:hAnsi="宋体" w:cs="宋体"/>
                <w:sz w:val="24"/>
              </w:rPr>
            </w:pPr>
            <w:r>
              <w:rPr>
                <w:rFonts w:hint="eastAsia" w:ascii="宋体" w:hAnsi="宋体" w:cs="宋体"/>
                <w:sz w:val="24"/>
              </w:rPr>
              <w:t>2.3 光源：氙闪灯，闪烁≥10的九次方次，波长精度≤1 nm，检测器≥2048线阵CMOS阵列图像传感器。</w:t>
            </w:r>
          </w:p>
          <w:p w14:paraId="636DD644">
            <w:pPr>
              <w:spacing w:line="400" w:lineRule="exact"/>
              <w:rPr>
                <w:rFonts w:ascii="宋体" w:hAnsi="宋体" w:cs="宋体"/>
                <w:sz w:val="24"/>
              </w:rPr>
            </w:pPr>
            <w:r>
              <w:rPr>
                <w:rFonts w:hint="eastAsia" w:ascii="宋体" w:hAnsi="宋体" w:cs="宋体"/>
                <w:sz w:val="24"/>
              </w:rPr>
              <w:t>2.4 光谱分辨率：≤1.8 nm（FWHM at Hg254 nm）。</w:t>
            </w:r>
          </w:p>
          <w:p w14:paraId="73D4F2B0">
            <w:pPr>
              <w:spacing w:line="400" w:lineRule="exact"/>
              <w:rPr>
                <w:rFonts w:ascii="宋体" w:hAnsi="宋体" w:cs="宋体"/>
                <w:sz w:val="24"/>
              </w:rPr>
            </w:pPr>
            <w:r>
              <w:rPr>
                <w:rFonts w:hint="eastAsia"/>
                <w:b/>
                <w:sz w:val="24"/>
              </w:rPr>
              <w:t>▲</w:t>
            </w:r>
            <w:r>
              <w:rPr>
                <w:rFonts w:hint="eastAsia" w:ascii="宋体" w:hAnsi="宋体" w:cs="宋体"/>
                <w:sz w:val="24"/>
              </w:rPr>
              <w:t>2.5 检测重复性/准确度：≤0.002 A（1.0mm光程）或≤1% CV。</w:t>
            </w:r>
          </w:p>
          <w:p w14:paraId="12E4D90D">
            <w:pPr>
              <w:spacing w:line="400" w:lineRule="exact"/>
              <w:rPr>
                <w:rFonts w:ascii="宋体" w:hAnsi="宋体" w:cs="宋体"/>
                <w:sz w:val="24"/>
              </w:rPr>
            </w:pPr>
            <w:r>
              <w:rPr>
                <w:rFonts w:hint="eastAsia" w:ascii="宋体" w:hAnsi="宋体" w:cs="宋体"/>
                <w:sz w:val="24"/>
              </w:rPr>
              <w:t>2.6 光吸收准确度：≤3 %（at 0.97 A at 302 nm），吸光率范围：≥550 OD（相当于10 mm光程）。</w:t>
            </w:r>
          </w:p>
          <w:p w14:paraId="4B1CF9EC">
            <w:pPr>
              <w:spacing w:line="400" w:lineRule="exact"/>
              <w:rPr>
                <w:rFonts w:ascii="宋体" w:hAnsi="宋体" w:cs="宋体"/>
                <w:sz w:val="24"/>
              </w:rPr>
            </w:pPr>
            <w:r>
              <w:rPr>
                <w:rFonts w:hint="eastAsia"/>
                <w:b/>
                <w:sz w:val="24"/>
              </w:rPr>
              <w:t>▲</w:t>
            </w:r>
            <w:r>
              <w:rPr>
                <w:rFonts w:hint="eastAsia" w:ascii="宋体" w:hAnsi="宋体" w:cs="宋体"/>
                <w:sz w:val="24"/>
              </w:rPr>
              <w:t>2.7 检测范围：1-27500 ng/ul（dsDNA），样本检测时间&lt;3 s，测量时间和数据处理时间≤7s。</w:t>
            </w:r>
          </w:p>
          <w:p w14:paraId="378434FC">
            <w:pPr>
              <w:spacing w:line="400" w:lineRule="exact"/>
              <w:rPr>
                <w:rFonts w:ascii="宋体" w:hAnsi="宋体" w:cs="宋体"/>
                <w:sz w:val="24"/>
              </w:rPr>
            </w:pPr>
            <w:r>
              <w:rPr>
                <w:rFonts w:hint="eastAsia" w:ascii="宋体" w:hAnsi="宋体" w:cs="宋体"/>
                <w:sz w:val="24"/>
              </w:rPr>
              <w:t>2.8 蛋白检测：0.06-820 mg/ml（BSA）。</w:t>
            </w:r>
          </w:p>
          <w:p w14:paraId="05F2CAA6">
            <w:pPr>
              <w:spacing w:line="400" w:lineRule="exact"/>
              <w:rPr>
                <w:rFonts w:ascii="宋体" w:hAnsi="宋体" w:cs="宋体"/>
                <w:sz w:val="24"/>
              </w:rPr>
            </w:pPr>
            <w:r>
              <w:rPr>
                <w:rFonts w:hint="eastAsia" w:ascii="宋体" w:hAnsi="宋体" w:cs="宋体"/>
                <w:sz w:val="24"/>
              </w:rPr>
              <w:t>2.9 开机自检后即可检测，无需预热，检测所需样微量≤1 uL。</w:t>
            </w:r>
          </w:p>
          <w:p w14:paraId="2DDAEDF2">
            <w:pPr>
              <w:spacing w:line="400" w:lineRule="exact"/>
              <w:rPr>
                <w:rFonts w:ascii="宋体" w:hAnsi="宋体" w:cs="宋体"/>
                <w:sz w:val="24"/>
              </w:rPr>
            </w:pPr>
            <w:r>
              <w:rPr>
                <w:rFonts w:hint="eastAsia" w:ascii="宋体" w:hAnsi="宋体" w:cs="宋体"/>
                <w:sz w:val="24"/>
              </w:rPr>
              <w:t>2.10光路径：至少5个光程，根据样品浓度进行自动匹配最佳光程，全自动调节，光程调节器不会曝露在空气中，避免灰尘，纸屑或液体进入生锈导致光程不准确。</w:t>
            </w:r>
          </w:p>
          <w:p w14:paraId="6AB136DB">
            <w:pPr>
              <w:spacing w:line="400" w:lineRule="exact"/>
              <w:rPr>
                <w:rFonts w:ascii="宋体" w:hAnsi="宋体" w:cs="宋体"/>
                <w:sz w:val="24"/>
              </w:rPr>
            </w:pPr>
            <w:r>
              <w:rPr>
                <w:rFonts w:hint="eastAsia" w:ascii="宋体" w:hAnsi="宋体" w:cs="宋体"/>
                <w:sz w:val="24"/>
              </w:rPr>
              <w:t>2.11 连接方式：不少于3个USB插口，以太网，蓝牙，Wi-Fi。</w:t>
            </w:r>
          </w:p>
          <w:p w14:paraId="2A27E66A">
            <w:pPr>
              <w:spacing w:line="400" w:lineRule="exact"/>
              <w:rPr>
                <w:rFonts w:ascii="宋体" w:hAnsi="宋体" w:cs="宋体"/>
                <w:sz w:val="24"/>
              </w:rPr>
            </w:pPr>
            <w:r>
              <w:rPr>
                <w:rFonts w:hint="eastAsia"/>
                <w:b/>
                <w:sz w:val="24"/>
              </w:rPr>
              <w:t>▲</w:t>
            </w:r>
            <w:r>
              <w:rPr>
                <w:rFonts w:hint="eastAsia" w:ascii="宋体" w:hAnsi="宋体" w:cs="宋体"/>
                <w:sz w:val="24"/>
              </w:rPr>
              <w:t>2.12内置摄像头和传感器，避免点样位置偏差，对结果，形态完整等的监测，保证准确度更高，保证样本检测时无杂散光干扰，排除样本本身的问题等带来的检测不准确。</w:t>
            </w:r>
          </w:p>
          <w:p w14:paraId="6EB7C289">
            <w:pPr>
              <w:spacing w:line="400" w:lineRule="exact"/>
              <w:rPr>
                <w:rFonts w:ascii="宋体" w:hAnsi="宋体" w:cs="宋体"/>
                <w:sz w:val="24"/>
              </w:rPr>
            </w:pPr>
            <w:r>
              <w:rPr>
                <w:rFonts w:hint="eastAsia" w:ascii="宋体" w:hAnsi="宋体" w:cs="宋体"/>
                <w:sz w:val="24"/>
              </w:rPr>
              <w:t>2.13设备可连接中华人民共和国WiFi，提供仪器的安装、校准工作，出具该仪器完整的校准报告。</w:t>
            </w:r>
          </w:p>
          <w:p w14:paraId="295CC57D">
            <w:pPr>
              <w:spacing w:line="400" w:lineRule="exact"/>
              <w:rPr>
                <w:rFonts w:ascii="宋体" w:hAnsi="宋体" w:cs="宋体"/>
                <w:sz w:val="24"/>
              </w:rPr>
            </w:pPr>
            <w:r>
              <w:rPr>
                <w:rFonts w:hint="eastAsia" w:ascii="宋体" w:hAnsi="宋体" w:cs="宋体"/>
                <w:sz w:val="24"/>
              </w:rPr>
              <w:t>2.14 操作界面友好，全球通用，美国，英国，法国，德国，日本，韩国，波兰，澳大利亚，中国，加拿大等。</w:t>
            </w:r>
          </w:p>
          <w:p w14:paraId="5E15D1FD">
            <w:pPr>
              <w:spacing w:line="400" w:lineRule="exact"/>
              <w:rPr>
                <w:rFonts w:ascii="宋体" w:hAnsi="宋体" w:cs="宋体"/>
                <w:sz w:val="24"/>
              </w:rPr>
            </w:pPr>
            <w:r>
              <w:rPr>
                <w:rFonts w:hint="eastAsia"/>
                <w:b/>
                <w:sz w:val="24"/>
              </w:rPr>
              <w:t>▲</w:t>
            </w:r>
            <w:r>
              <w:rPr>
                <w:rFonts w:hint="eastAsia" w:ascii="宋体" w:hAnsi="宋体" w:cs="宋体"/>
                <w:sz w:val="24"/>
              </w:rPr>
              <w:t>2.15 当样本中存在污染物时，能确定样品污染物具体物质，鉴定的污染物≥5种。</w:t>
            </w:r>
          </w:p>
          <w:p w14:paraId="5D39835E">
            <w:pPr>
              <w:spacing w:line="400" w:lineRule="exact"/>
              <w:rPr>
                <w:rFonts w:ascii="宋体" w:hAnsi="宋体" w:cs="宋体"/>
                <w:sz w:val="24"/>
              </w:rPr>
            </w:pPr>
            <w:r>
              <w:rPr>
                <w:rFonts w:hint="eastAsia"/>
                <w:b/>
                <w:sz w:val="24"/>
              </w:rPr>
              <w:t>▲</w:t>
            </w:r>
            <w:r>
              <w:rPr>
                <w:rFonts w:hint="eastAsia" w:ascii="宋体" w:hAnsi="宋体" w:cs="宋体"/>
                <w:sz w:val="24"/>
              </w:rPr>
              <w:t>2.16 内置qPCR配方辅助计算器，用户从设置页面中选择qPCR试剂盒或试剂盒编辑器自定义，软件会计算出进行qPCR反应所需的推荐样本准备步骤，考虑对高浓度样品进行稀释处理。</w:t>
            </w:r>
          </w:p>
          <w:p w14:paraId="5F83FE7B">
            <w:pPr>
              <w:spacing w:line="400" w:lineRule="exact"/>
              <w:rPr>
                <w:rFonts w:ascii="宋体" w:hAnsi="宋体" w:cs="宋体"/>
                <w:sz w:val="24"/>
              </w:rPr>
            </w:pPr>
            <w:r>
              <w:rPr>
                <w:rFonts w:hint="eastAsia"/>
                <w:b/>
                <w:sz w:val="24"/>
              </w:rPr>
              <w:t>▲</w:t>
            </w:r>
            <w:r>
              <w:rPr>
                <w:rFonts w:hint="eastAsia" w:ascii="宋体" w:hAnsi="宋体" w:cs="宋体"/>
                <w:sz w:val="24"/>
              </w:rPr>
              <w:t>2.17当样本中存在污染物时，能鉴定污染物；样本检测的结果会自动扣除污染物的OD值，保证得到精确的样本浓度；支持哺乳动物，植物及细菌源DNA及RNA分析。</w:t>
            </w:r>
          </w:p>
          <w:p w14:paraId="34A354BA">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7997677C">
            <w:pPr>
              <w:pStyle w:val="58"/>
              <w:jc w:val="center"/>
              <w:rPr>
                <w:rFonts w:ascii="宋体" w:hAnsi="宋体" w:cs="宋体"/>
                <w:b/>
                <w:bCs/>
                <w:sz w:val="24"/>
                <w:szCs w:val="24"/>
              </w:rPr>
            </w:pPr>
            <w:r>
              <w:rPr>
                <w:rFonts w:hint="eastAsia" w:ascii="宋体" w:hAnsi="宋体" w:cs="宋体"/>
                <w:sz w:val="24"/>
                <w:szCs w:val="24"/>
              </w:rPr>
              <w:t>20</w:t>
            </w:r>
          </w:p>
        </w:tc>
        <w:tc>
          <w:tcPr>
            <w:tcW w:w="1275" w:type="dxa"/>
            <w:vAlign w:val="center"/>
          </w:tcPr>
          <w:p w14:paraId="39A85536">
            <w:pPr>
              <w:pStyle w:val="58"/>
              <w:jc w:val="center"/>
              <w:rPr>
                <w:rFonts w:ascii="宋体" w:hAnsi="宋体" w:cs="宋体"/>
                <w:b/>
                <w:bCs/>
                <w:sz w:val="24"/>
                <w:szCs w:val="24"/>
              </w:rPr>
            </w:pPr>
            <w:r>
              <w:rPr>
                <w:rFonts w:hint="eastAsia" w:ascii="宋体" w:hAnsi="宋体" w:cs="宋体"/>
                <w:sz w:val="24"/>
                <w:szCs w:val="24"/>
              </w:rPr>
              <w:t>40</w:t>
            </w:r>
          </w:p>
        </w:tc>
      </w:tr>
      <w:tr w14:paraId="697F2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45E1D284">
            <w:pPr>
              <w:spacing w:line="440" w:lineRule="exact"/>
              <w:jc w:val="center"/>
              <w:rPr>
                <w:rFonts w:ascii="宋体" w:hAnsi="宋体" w:cs="宋体"/>
                <w:sz w:val="24"/>
              </w:rPr>
            </w:pPr>
            <w:r>
              <w:rPr>
                <w:rFonts w:hint="eastAsia" w:ascii="宋体" w:hAnsi="宋体" w:cs="宋体"/>
                <w:sz w:val="24"/>
              </w:rPr>
              <w:t>3</w:t>
            </w:r>
          </w:p>
        </w:tc>
        <w:tc>
          <w:tcPr>
            <w:tcW w:w="1318" w:type="dxa"/>
            <w:vAlign w:val="center"/>
          </w:tcPr>
          <w:p w14:paraId="28EEDE61">
            <w:pPr>
              <w:jc w:val="center"/>
              <w:rPr>
                <w:rFonts w:ascii="宋体" w:hAnsi="宋体" w:cs="宋体"/>
                <w:sz w:val="24"/>
              </w:rPr>
            </w:pPr>
            <w:r>
              <w:rPr>
                <w:rFonts w:hint="eastAsia" w:ascii="宋体" w:hAnsi="宋体" w:cs="宋体"/>
                <w:sz w:val="24"/>
              </w:rPr>
              <w:t>冷冻切片系统</w:t>
            </w:r>
          </w:p>
        </w:tc>
        <w:tc>
          <w:tcPr>
            <w:tcW w:w="557" w:type="dxa"/>
            <w:vAlign w:val="center"/>
          </w:tcPr>
          <w:p w14:paraId="6E4EA778">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40BEF92F">
            <w:pPr>
              <w:pStyle w:val="58"/>
              <w:jc w:val="center"/>
              <w:rPr>
                <w:rFonts w:ascii="宋体" w:hAnsi="宋体" w:cs="宋体"/>
                <w:sz w:val="24"/>
                <w:szCs w:val="24"/>
              </w:rPr>
            </w:pPr>
            <w:r>
              <w:rPr>
                <w:rFonts w:hint="eastAsia" w:ascii="宋体" w:hAnsi="宋体" w:cs="宋体"/>
                <w:sz w:val="24"/>
                <w:szCs w:val="24"/>
              </w:rPr>
              <w:t>套</w:t>
            </w:r>
          </w:p>
        </w:tc>
        <w:tc>
          <w:tcPr>
            <w:tcW w:w="5128" w:type="dxa"/>
            <w:gridSpan w:val="2"/>
          </w:tcPr>
          <w:p w14:paraId="07356FCB">
            <w:pPr>
              <w:spacing w:line="400" w:lineRule="exact"/>
              <w:jc w:val="left"/>
              <w:rPr>
                <w:rFonts w:ascii="宋体" w:hAnsi="宋体" w:cs="宋体"/>
                <w:sz w:val="24"/>
              </w:rPr>
            </w:pPr>
            <w:r>
              <w:rPr>
                <w:rFonts w:hint="eastAsia" w:ascii="宋体" w:hAnsi="宋体" w:cs="宋体"/>
                <w:sz w:val="24"/>
              </w:rPr>
              <w:t>1.中文彩色触摸屏。</w:t>
            </w:r>
          </w:p>
          <w:p w14:paraId="37F9A218">
            <w:pPr>
              <w:spacing w:line="400" w:lineRule="exact"/>
              <w:jc w:val="left"/>
              <w:rPr>
                <w:rFonts w:ascii="宋体" w:hAnsi="宋体" w:cs="宋体"/>
                <w:sz w:val="24"/>
              </w:rPr>
            </w:pPr>
            <w:r>
              <w:rPr>
                <w:rFonts w:hint="eastAsia"/>
                <w:b/>
                <w:sz w:val="24"/>
              </w:rPr>
              <w:t>▲</w:t>
            </w:r>
            <w:r>
              <w:rPr>
                <w:rFonts w:hint="eastAsia" w:ascii="宋体" w:hAnsi="宋体" w:cs="宋体"/>
                <w:sz w:val="24"/>
              </w:rPr>
              <w:t>2.刀架及样品头的主动制冷（刀架-25℃，样品头10～-45℃可调），确保持续稳定地样品制冷。</w:t>
            </w:r>
          </w:p>
          <w:p w14:paraId="40F59113">
            <w:pPr>
              <w:spacing w:line="400" w:lineRule="exact"/>
              <w:jc w:val="left"/>
              <w:rPr>
                <w:rFonts w:ascii="宋体" w:hAnsi="宋体" w:cs="宋体"/>
                <w:sz w:val="24"/>
              </w:rPr>
            </w:pPr>
            <w:r>
              <w:rPr>
                <w:rFonts w:hint="eastAsia"/>
                <w:b/>
                <w:sz w:val="24"/>
              </w:rPr>
              <w:t>▲</w:t>
            </w:r>
            <w:r>
              <w:rPr>
                <w:rFonts w:hint="eastAsia" w:ascii="宋体" w:hAnsi="宋体" w:cs="宋体"/>
                <w:sz w:val="24"/>
              </w:rPr>
              <w:t>3.刀架进样，确保进样的精确性。</w:t>
            </w:r>
          </w:p>
          <w:p w14:paraId="67F72B01">
            <w:pPr>
              <w:spacing w:line="400" w:lineRule="exact"/>
              <w:jc w:val="left"/>
              <w:rPr>
                <w:rFonts w:ascii="宋体" w:hAnsi="宋体" w:cs="宋体"/>
                <w:sz w:val="24"/>
              </w:rPr>
            </w:pPr>
            <w:r>
              <w:rPr>
                <w:rFonts w:hint="eastAsia"/>
                <w:b/>
                <w:sz w:val="24"/>
              </w:rPr>
              <w:t>▲</w:t>
            </w:r>
            <w:r>
              <w:rPr>
                <w:rFonts w:hint="eastAsia" w:ascii="宋体" w:hAnsi="宋体" w:cs="宋体"/>
                <w:sz w:val="24"/>
              </w:rPr>
              <w:t>4.速冻台18+1个位点，包含一个半导体制冷位点，最低制冷可达-57℃±3-K。</w:t>
            </w:r>
          </w:p>
          <w:p w14:paraId="2FC45BC6">
            <w:pPr>
              <w:spacing w:line="400" w:lineRule="exact"/>
              <w:jc w:val="left"/>
              <w:rPr>
                <w:rFonts w:ascii="宋体" w:hAnsi="宋体" w:cs="宋体"/>
                <w:sz w:val="24"/>
              </w:rPr>
            </w:pPr>
            <w:r>
              <w:rPr>
                <w:rFonts w:hint="eastAsia" w:ascii="宋体" w:hAnsi="宋体" w:cs="宋体"/>
                <w:sz w:val="24"/>
              </w:rPr>
              <w:t>5.切片机机械部分置于冷冻箱外，制冷快且加大冷冻箱的操作空间，同时降低因热胀冷缩导致的机械故障。</w:t>
            </w:r>
          </w:p>
          <w:p w14:paraId="096434C0">
            <w:pPr>
              <w:spacing w:line="400" w:lineRule="exact"/>
              <w:jc w:val="left"/>
              <w:rPr>
                <w:rFonts w:ascii="宋体" w:hAnsi="宋体" w:cs="宋体"/>
                <w:sz w:val="24"/>
              </w:rPr>
            </w:pPr>
            <w:r>
              <w:rPr>
                <w:rFonts w:hint="eastAsia" w:ascii="宋体" w:hAnsi="宋体" w:cs="宋体"/>
                <w:sz w:val="24"/>
              </w:rPr>
              <w:t>6.照明亮度、角度可调节，照明装置位于玻璃窗上，实现全方位无死角照明。</w:t>
            </w:r>
          </w:p>
          <w:p w14:paraId="667530E8">
            <w:pPr>
              <w:spacing w:line="400" w:lineRule="exact"/>
              <w:jc w:val="left"/>
              <w:rPr>
                <w:rFonts w:ascii="宋体" w:hAnsi="宋体" w:cs="宋体"/>
                <w:sz w:val="24"/>
              </w:rPr>
            </w:pPr>
            <w:r>
              <w:rPr>
                <w:rFonts w:hint="eastAsia" w:ascii="宋体" w:hAnsi="宋体" w:cs="宋体"/>
                <w:sz w:val="24"/>
              </w:rPr>
              <w:t>7.切片厚度：0.5-500 μm。</w:t>
            </w:r>
          </w:p>
          <w:p w14:paraId="467BF47C">
            <w:pPr>
              <w:spacing w:line="400" w:lineRule="exact"/>
              <w:jc w:val="left"/>
              <w:rPr>
                <w:rFonts w:ascii="宋体" w:hAnsi="宋体" w:cs="宋体"/>
                <w:sz w:val="24"/>
              </w:rPr>
            </w:pPr>
            <w:r>
              <w:rPr>
                <w:rFonts w:hint="eastAsia" w:ascii="宋体" w:hAnsi="宋体" w:cs="宋体"/>
                <w:sz w:val="24"/>
              </w:rPr>
              <w:t>0.5-2 μm步进≥0.5 μm；</w:t>
            </w:r>
          </w:p>
          <w:p w14:paraId="40D61319">
            <w:pPr>
              <w:spacing w:line="400" w:lineRule="exact"/>
              <w:jc w:val="left"/>
              <w:rPr>
                <w:rFonts w:ascii="宋体" w:hAnsi="宋体" w:cs="宋体"/>
                <w:sz w:val="24"/>
              </w:rPr>
            </w:pPr>
            <w:r>
              <w:rPr>
                <w:rFonts w:hint="eastAsia" w:ascii="宋体" w:hAnsi="宋体" w:cs="宋体"/>
                <w:sz w:val="24"/>
              </w:rPr>
              <w:t>2 μm-10 μm 步进≥1 μm；</w:t>
            </w:r>
          </w:p>
          <w:p w14:paraId="65C21102">
            <w:pPr>
              <w:spacing w:line="400" w:lineRule="exact"/>
              <w:jc w:val="left"/>
              <w:rPr>
                <w:rFonts w:ascii="宋体" w:hAnsi="宋体" w:cs="宋体"/>
                <w:sz w:val="24"/>
              </w:rPr>
            </w:pPr>
            <w:r>
              <w:rPr>
                <w:rFonts w:hint="eastAsia" w:ascii="宋体" w:hAnsi="宋体" w:cs="宋体"/>
                <w:sz w:val="24"/>
              </w:rPr>
              <w:t>10 μm-20 μm 步进≥2 μm；</w:t>
            </w:r>
          </w:p>
          <w:p w14:paraId="5A93FE9A">
            <w:pPr>
              <w:spacing w:line="400" w:lineRule="exact"/>
              <w:jc w:val="left"/>
              <w:rPr>
                <w:rFonts w:ascii="宋体" w:hAnsi="宋体" w:cs="宋体"/>
                <w:sz w:val="24"/>
              </w:rPr>
            </w:pPr>
            <w:r>
              <w:rPr>
                <w:rFonts w:hint="eastAsia" w:ascii="宋体" w:hAnsi="宋体" w:cs="宋体"/>
                <w:sz w:val="24"/>
              </w:rPr>
              <w:t>20 μm-50 μm 步进≥5 μm；</w:t>
            </w:r>
          </w:p>
          <w:p w14:paraId="6EA6CDD9">
            <w:pPr>
              <w:spacing w:line="400" w:lineRule="exact"/>
              <w:jc w:val="left"/>
              <w:rPr>
                <w:rFonts w:ascii="宋体" w:hAnsi="宋体" w:cs="宋体"/>
                <w:sz w:val="24"/>
              </w:rPr>
            </w:pPr>
            <w:r>
              <w:rPr>
                <w:rFonts w:hint="eastAsia" w:ascii="宋体" w:hAnsi="宋体" w:cs="宋体"/>
                <w:sz w:val="24"/>
              </w:rPr>
              <w:t>50 μm-100 μm 步进≥10 μm。</w:t>
            </w:r>
          </w:p>
          <w:p w14:paraId="154C82B1">
            <w:pPr>
              <w:spacing w:line="400" w:lineRule="exact"/>
              <w:jc w:val="left"/>
              <w:rPr>
                <w:rFonts w:ascii="宋体" w:hAnsi="宋体" w:cs="宋体"/>
                <w:sz w:val="24"/>
              </w:rPr>
            </w:pPr>
            <w:r>
              <w:rPr>
                <w:rFonts w:hint="eastAsia" w:ascii="宋体" w:hAnsi="宋体" w:cs="宋体"/>
                <w:sz w:val="24"/>
              </w:rPr>
              <w:t>8.修块厚度：5-500 μm；</w:t>
            </w:r>
          </w:p>
          <w:p w14:paraId="25177479">
            <w:pPr>
              <w:spacing w:line="400" w:lineRule="exact"/>
              <w:jc w:val="left"/>
              <w:rPr>
                <w:rFonts w:ascii="宋体" w:hAnsi="宋体" w:cs="宋体"/>
                <w:sz w:val="24"/>
              </w:rPr>
            </w:pPr>
            <w:r>
              <w:rPr>
                <w:rFonts w:hint="eastAsia" w:ascii="宋体" w:hAnsi="宋体" w:cs="宋体"/>
                <w:sz w:val="24"/>
              </w:rPr>
              <w:t>5-10 μm步进≥5 μm；</w:t>
            </w:r>
          </w:p>
          <w:p w14:paraId="3905335F">
            <w:pPr>
              <w:spacing w:line="400" w:lineRule="exact"/>
              <w:jc w:val="left"/>
              <w:rPr>
                <w:rFonts w:ascii="宋体" w:hAnsi="宋体" w:cs="宋体"/>
                <w:sz w:val="24"/>
              </w:rPr>
            </w:pPr>
            <w:r>
              <w:rPr>
                <w:rFonts w:hint="eastAsia" w:ascii="宋体" w:hAnsi="宋体" w:cs="宋体"/>
                <w:sz w:val="24"/>
              </w:rPr>
              <w:t>10 μm-100 μm步进≥10 μm；</w:t>
            </w:r>
          </w:p>
          <w:p w14:paraId="07D5D601">
            <w:pPr>
              <w:spacing w:line="400" w:lineRule="exact"/>
              <w:jc w:val="left"/>
              <w:rPr>
                <w:rFonts w:ascii="宋体" w:hAnsi="宋体" w:cs="宋体"/>
                <w:sz w:val="24"/>
              </w:rPr>
            </w:pPr>
            <w:r>
              <w:rPr>
                <w:rFonts w:hint="eastAsia" w:ascii="宋体" w:hAnsi="宋体" w:cs="宋体"/>
                <w:sz w:val="24"/>
              </w:rPr>
              <w:t>100 μm-200 μm 步进≥20 μm；</w:t>
            </w:r>
          </w:p>
          <w:p w14:paraId="2B15BCEC">
            <w:pPr>
              <w:spacing w:line="400" w:lineRule="exact"/>
              <w:jc w:val="left"/>
              <w:rPr>
                <w:rFonts w:ascii="宋体" w:hAnsi="宋体" w:cs="宋体"/>
                <w:sz w:val="24"/>
              </w:rPr>
            </w:pPr>
            <w:r>
              <w:rPr>
                <w:rFonts w:hint="eastAsia" w:ascii="宋体" w:hAnsi="宋体" w:cs="宋体"/>
                <w:sz w:val="24"/>
              </w:rPr>
              <w:t>200 μm-500 μm 步进≥50 μm。</w:t>
            </w:r>
          </w:p>
          <w:p w14:paraId="7CBF399F">
            <w:pPr>
              <w:spacing w:line="400" w:lineRule="exact"/>
              <w:jc w:val="left"/>
              <w:rPr>
                <w:rFonts w:ascii="宋体" w:hAnsi="宋体" w:cs="宋体"/>
                <w:sz w:val="24"/>
              </w:rPr>
            </w:pPr>
            <w:r>
              <w:rPr>
                <w:rFonts w:hint="eastAsia" w:ascii="宋体" w:hAnsi="宋体" w:cs="宋体"/>
                <w:sz w:val="24"/>
              </w:rPr>
              <w:t>9.水平进样行程：≥48 mm，有剩余进样提示功能。</w:t>
            </w:r>
          </w:p>
          <w:p w14:paraId="566AAC8B">
            <w:pPr>
              <w:spacing w:line="400" w:lineRule="exact"/>
              <w:jc w:val="left"/>
              <w:rPr>
                <w:rFonts w:ascii="宋体" w:hAnsi="宋体" w:cs="宋体"/>
                <w:sz w:val="24"/>
              </w:rPr>
            </w:pPr>
            <w:r>
              <w:rPr>
                <w:rFonts w:hint="eastAsia" w:ascii="宋体" w:hAnsi="宋体" w:cs="宋体"/>
                <w:sz w:val="24"/>
              </w:rPr>
              <w:t>10.样品垂直行程：≥64 mm。</w:t>
            </w:r>
          </w:p>
          <w:p w14:paraId="66B6DD3E">
            <w:pPr>
              <w:spacing w:line="400" w:lineRule="exact"/>
              <w:jc w:val="left"/>
              <w:rPr>
                <w:rFonts w:ascii="宋体" w:hAnsi="宋体" w:cs="宋体"/>
                <w:sz w:val="24"/>
              </w:rPr>
            </w:pPr>
            <w:r>
              <w:rPr>
                <w:rFonts w:hint="eastAsia" w:ascii="宋体" w:hAnsi="宋体" w:cs="宋体"/>
                <w:sz w:val="24"/>
              </w:rPr>
              <w:t>11.样品头X/Y轴8°定位，Z轴360°旋转定位。</w:t>
            </w:r>
          </w:p>
          <w:p w14:paraId="742C56D1">
            <w:pPr>
              <w:spacing w:line="400" w:lineRule="exact"/>
              <w:rPr>
                <w:rFonts w:ascii="宋体" w:hAnsi="宋体" w:cs="宋体"/>
                <w:sz w:val="24"/>
              </w:rPr>
            </w:pPr>
            <w:r>
              <w:rPr>
                <w:rFonts w:hint="eastAsia" w:ascii="宋体" w:hAnsi="宋体" w:cs="宋体"/>
                <w:sz w:val="24"/>
              </w:rPr>
              <w:t>12.自动待机和休眠模式，同时可设定自动开机模式。</w:t>
            </w:r>
          </w:p>
          <w:p w14:paraId="698F48AF">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6337396D">
            <w:pPr>
              <w:pStyle w:val="58"/>
              <w:jc w:val="center"/>
              <w:rPr>
                <w:rFonts w:ascii="宋体" w:hAnsi="宋体" w:cs="宋体"/>
                <w:b/>
                <w:bCs/>
                <w:sz w:val="24"/>
                <w:szCs w:val="24"/>
              </w:rPr>
            </w:pPr>
            <w:r>
              <w:rPr>
                <w:rFonts w:hint="eastAsia" w:ascii="宋体" w:hAnsi="宋体" w:cs="宋体"/>
                <w:sz w:val="24"/>
                <w:szCs w:val="24"/>
              </w:rPr>
              <w:t>34</w:t>
            </w:r>
          </w:p>
        </w:tc>
        <w:tc>
          <w:tcPr>
            <w:tcW w:w="1275" w:type="dxa"/>
            <w:vAlign w:val="center"/>
          </w:tcPr>
          <w:p w14:paraId="46795E4E">
            <w:pPr>
              <w:pStyle w:val="58"/>
              <w:jc w:val="center"/>
              <w:rPr>
                <w:rFonts w:ascii="宋体" w:hAnsi="宋体" w:cs="宋体"/>
                <w:b/>
                <w:bCs/>
                <w:sz w:val="24"/>
                <w:szCs w:val="24"/>
              </w:rPr>
            </w:pPr>
            <w:r>
              <w:rPr>
                <w:rFonts w:hint="eastAsia" w:ascii="宋体" w:hAnsi="宋体" w:cs="宋体"/>
                <w:sz w:val="24"/>
                <w:szCs w:val="24"/>
              </w:rPr>
              <w:t>34</w:t>
            </w:r>
          </w:p>
        </w:tc>
      </w:tr>
      <w:tr w14:paraId="11C4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532762D9">
            <w:pPr>
              <w:spacing w:line="440" w:lineRule="exact"/>
              <w:jc w:val="center"/>
              <w:rPr>
                <w:rFonts w:ascii="宋体" w:hAnsi="宋体" w:cs="宋体"/>
                <w:sz w:val="24"/>
              </w:rPr>
            </w:pPr>
            <w:r>
              <w:rPr>
                <w:rFonts w:hint="eastAsia" w:ascii="宋体" w:hAnsi="宋体" w:cs="宋体"/>
                <w:sz w:val="24"/>
              </w:rPr>
              <w:t>4</w:t>
            </w:r>
          </w:p>
        </w:tc>
        <w:tc>
          <w:tcPr>
            <w:tcW w:w="1318" w:type="dxa"/>
            <w:vAlign w:val="center"/>
          </w:tcPr>
          <w:p w14:paraId="4A8FF4FC">
            <w:pPr>
              <w:jc w:val="center"/>
              <w:rPr>
                <w:rFonts w:ascii="宋体" w:hAnsi="宋体" w:cs="宋体"/>
                <w:sz w:val="24"/>
              </w:rPr>
            </w:pPr>
            <w:r>
              <w:rPr>
                <w:rFonts w:hint="eastAsia" w:ascii="宋体" w:hAnsi="宋体" w:cs="宋体"/>
                <w:color w:val="000000"/>
                <w:sz w:val="24"/>
              </w:rPr>
              <w:t>液氮罐</w:t>
            </w:r>
          </w:p>
        </w:tc>
        <w:tc>
          <w:tcPr>
            <w:tcW w:w="557" w:type="dxa"/>
            <w:vAlign w:val="center"/>
          </w:tcPr>
          <w:p w14:paraId="15B93BF4">
            <w:pPr>
              <w:pStyle w:val="58"/>
              <w:jc w:val="center"/>
              <w:rPr>
                <w:rFonts w:ascii="宋体" w:hAnsi="宋体" w:cs="宋体"/>
                <w:sz w:val="24"/>
                <w:szCs w:val="24"/>
              </w:rPr>
            </w:pPr>
            <w:r>
              <w:rPr>
                <w:rFonts w:hint="eastAsia" w:ascii="宋体" w:hAnsi="宋体" w:cs="宋体"/>
                <w:sz w:val="24"/>
                <w:szCs w:val="24"/>
              </w:rPr>
              <w:t>2</w:t>
            </w:r>
          </w:p>
        </w:tc>
        <w:tc>
          <w:tcPr>
            <w:tcW w:w="660" w:type="dxa"/>
            <w:vAlign w:val="center"/>
          </w:tcPr>
          <w:p w14:paraId="0D45642D">
            <w:pPr>
              <w:pStyle w:val="58"/>
              <w:jc w:val="center"/>
              <w:rPr>
                <w:rFonts w:ascii="宋体" w:hAnsi="宋体" w:cs="宋体"/>
                <w:sz w:val="24"/>
                <w:szCs w:val="24"/>
              </w:rPr>
            </w:pPr>
            <w:r>
              <w:rPr>
                <w:rFonts w:hint="eastAsia" w:ascii="宋体" w:hAnsi="宋体" w:cs="宋体"/>
                <w:sz w:val="24"/>
                <w:szCs w:val="24"/>
              </w:rPr>
              <w:t>个</w:t>
            </w:r>
          </w:p>
        </w:tc>
        <w:tc>
          <w:tcPr>
            <w:tcW w:w="5128" w:type="dxa"/>
            <w:gridSpan w:val="2"/>
          </w:tcPr>
          <w:p w14:paraId="76B0FFF6">
            <w:pPr>
              <w:spacing w:line="400" w:lineRule="exact"/>
              <w:rPr>
                <w:rFonts w:ascii="宋体" w:hAnsi="宋体" w:cs="宋体"/>
                <w:sz w:val="24"/>
              </w:rPr>
            </w:pPr>
            <w:r>
              <w:rPr>
                <w:rFonts w:hint="eastAsia" w:ascii="宋体" w:hAnsi="宋体" w:cs="宋体"/>
                <w:sz w:val="24"/>
              </w:rPr>
              <w:t>1. 用途：主要用于存放细胞、组织等生物样品。</w:t>
            </w:r>
          </w:p>
          <w:p w14:paraId="2D07F29D">
            <w:pPr>
              <w:spacing w:line="400" w:lineRule="exact"/>
              <w:rPr>
                <w:rFonts w:ascii="宋体" w:hAnsi="宋体" w:cs="宋体"/>
                <w:sz w:val="24"/>
              </w:rPr>
            </w:pPr>
            <w:r>
              <w:rPr>
                <w:rFonts w:hint="eastAsia" w:ascii="宋体" w:hAnsi="宋体" w:cs="宋体"/>
                <w:sz w:val="24"/>
              </w:rPr>
              <w:t>2. 技术参数：</w:t>
            </w:r>
          </w:p>
          <w:p w14:paraId="57CC832C">
            <w:pPr>
              <w:spacing w:line="400" w:lineRule="exact"/>
              <w:rPr>
                <w:rFonts w:ascii="宋体" w:hAnsi="宋体" w:cs="宋体"/>
                <w:sz w:val="24"/>
              </w:rPr>
            </w:pPr>
            <w:r>
              <w:rPr>
                <w:rFonts w:hint="eastAsia" w:ascii="宋体" w:hAnsi="宋体" w:cs="宋体"/>
                <w:sz w:val="24"/>
              </w:rPr>
              <w:t>2.1 支架数量：≥6个。</w:t>
            </w:r>
          </w:p>
          <w:p w14:paraId="5EF7B949">
            <w:pPr>
              <w:spacing w:line="400" w:lineRule="exact"/>
              <w:rPr>
                <w:rFonts w:ascii="宋体" w:hAnsi="宋体" w:cs="宋体"/>
                <w:sz w:val="24"/>
              </w:rPr>
            </w:pPr>
            <w:r>
              <w:rPr>
                <w:rFonts w:hint="eastAsia" w:ascii="宋体" w:hAnsi="宋体" w:cs="宋体"/>
                <w:sz w:val="24"/>
              </w:rPr>
              <w:t>2.2 可存放1.2&amp;2.0 mL冻存管数量：不少于4800个。</w:t>
            </w:r>
          </w:p>
          <w:p w14:paraId="27656BB9">
            <w:pPr>
              <w:spacing w:line="400" w:lineRule="exact"/>
              <w:rPr>
                <w:rFonts w:ascii="宋体" w:hAnsi="宋体" w:cs="宋体"/>
                <w:sz w:val="24"/>
              </w:rPr>
            </w:pPr>
            <w:r>
              <w:rPr>
                <w:rFonts w:hint="eastAsia" w:ascii="宋体" w:hAnsi="宋体" w:cs="宋体"/>
                <w:sz w:val="24"/>
              </w:rPr>
              <w:t>2.3 液氮总容量：</w:t>
            </w:r>
            <w:bookmarkStart w:id="41" w:name="OLE_LINK5"/>
            <w:r>
              <w:rPr>
                <w:rFonts w:hint="eastAsia" w:ascii="宋体" w:hAnsi="宋体" w:cs="宋体"/>
                <w:sz w:val="24"/>
              </w:rPr>
              <w:t>≥</w:t>
            </w:r>
            <w:bookmarkEnd w:id="41"/>
            <w:r>
              <w:rPr>
                <w:rFonts w:hint="eastAsia" w:ascii="宋体" w:hAnsi="宋体" w:cs="宋体"/>
                <w:sz w:val="24"/>
              </w:rPr>
              <w:t>144 L。</w:t>
            </w:r>
          </w:p>
          <w:p w14:paraId="6F2507FA">
            <w:pPr>
              <w:spacing w:line="400" w:lineRule="exact"/>
              <w:rPr>
                <w:rFonts w:ascii="宋体" w:hAnsi="宋体" w:cs="宋体"/>
                <w:sz w:val="24"/>
              </w:rPr>
            </w:pPr>
            <w:r>
              <w:rPr>
                <w:rFonts w:hint="eastAsia"/>
                <w:b/>
                <w:sz w:val="24"/>
              </w:rPr>
              <w:t>▲</w:t>
            </w:r>
            <w:r>
              <w:rPr>
                <w:rFonts w:hint="eastAsia" w:ascii="宋体" w:hAnsi="宋体" w:cs="宋体"/>
                <w:sz w:val="24"/>
              </w:rPr>
              <w:t>2.4 液氮挥发量低，静态挥发量：≤0.65 L/d。</w:t>
            </w:r>
          </w:p>
          <w:p w14:paraId="6FDAFBF5">
            <w:pPr>
              <w:spacing w:line="400" w:lineRule="exact"/>
              <w:rPr>
                <w:rFonts w:ascii="宋体" w:hAnsi="宋体" w:cs="宋体"/>
                <w:sz w:val="24"/>
              </w:rPr>
            </w:pPr>
            <w:r>
              <w:rPr>
                <w:rFonts w:hint="eastAsia"/>
                <w:b/>
                <w:sz w:val="24"/>
              </w:rPr>
              <w:t>▲</w:t>
            </w:r>
            <w:r>
              <w:rPr>
                <w:rFonts w:hint="eastAsia" w:ascii="宋体" w:hAnsi="宋体" w:cs="宋体"/>
                <w:sz w:val="24"/>
              </w:rPr>
              <w:t>2.5 静态液氮存储时间：≥222天。</w:t>
            </w:r>
          </w:p>
          <w:p w14:paraId="04EB0A6B">
            <w:pPr>
              <w:spacing w:line="400" w:lineRule="exact"/>
              <w:rPr>
                <w:rFonts w:ascii="宋体" w:hAnsi="宋体" w:cs="宋体"/>
                <w:sz w:val="24"/>
              </w:rPr>
            </w:pPr>
            <w:r>
              <w:rPr>
                <w:rFonts w:hint="eastAsia" w:ascii="宋体" w:hAnsi="宋体" w:cs="宋体"/>
                <w:sz w:val="24"/>
              </w:rPr>
              <w:t>2.6 宽口罐颈设计，易于取放样本，管径直径：≥215mm。</w:t>
            </w:r>
          </w:p>
          <w:p w14:paraId="13391AB1">
            <w:pPr>
              <w:spacing w:line="400" w:lineRule="exact"/>
              <w:rPr>
                <w:rFonts w:ascii="宋体" w:hAnsi="宋体" w:cs="宋体"/>
                <w:sz w:val="24"/>
              </w:rPr>
            </w:pPr>
            <w:r>
              <w:rPr>
                <w:rFonts w:hint="eastAsia" w:ascii="宋体" w:hAnsi="宋体" w:cs="宋体"/>
                <w:sz w:val="24"/>
              </w:rPr>
              <w:t>2.7 耐用，密闭型盖子设计，绝热性能佳。</w:t>
            </w:r>
          </w:p>
          <w:p w14:paraId="70AA92E2">
            <w:pPr>
              <w:spacing w:line="400" w:lineRule="exact"/>
              <w:rPr>
                <w:rFonts w:ascii="宋体" w:hAnsi="宋体" w:cs="宋体"/>
                <w:sz w:val="24"/>
              </w:rPr>
            </w:pPr>
            <w:r>
              <w:rPr>
                <w:rFonts w:hint="eastAsia" w:ascii="宋体" w:hAnsi="宋体" w:cs="宋体"/>
                <w:sz w:val="24"/>
              </w:rPr>
              <w:t>2.8 总高度：≤911 mm。</w:t>
            </w:r>
          </w:p>
          <w:p w14:paraId="52548AC5">
            <w:pPr>
              <w:spacing w:line="400" w:lineRule="exact"/>
              <w:rPr>
                <w:rFonts w:ascii="宋体" w:hAnsi="宋体" w:cs="宋体"/>
                <w:sz w:val="24"/>
              </w:rPr>
            </w:pPr>
            <w:r>
              <w:rPr>
                <w:rFonts w:hint="eastAsia" w:ascii="宋体" w:hAnsi="宋体" w:cs="宋体"/>
                <w:sz w:val="24"/>
              </w:rPr>
              <w:t>2.9 外部直径：≤683 mm。</w:t>
            </w:r>
          </w:p>
          <w:p w14:paraId="534BA9F1">
            <w:pPr>
              <w:spacing w:line="400" w:lineRule="exact"/>
              <w:rPr>
                <w:rFonts w:ascii="宋体" w:hAnsi="宋体" w:cs="宋体"/>
                <w:sz w:val="24"/>
              </w:rPr>
            </w:pPr>
            <w:r>
              <w:rPr>
                <w:rFonts w:hint="eastAsia" w:ascii="宋体" w:hAnsi="宋体" w:cs="宋体"/>
                <w:sz w:val="24"/>
              </w:rPr>
              <w:t>2.10 高强度，轻型铝质罐体，空罐重量：≤50 Kg。</w:t>
            </w:r>
          </w:p>
          <w:p w14:paraId="4CFD859B">
            <w:pPr>
              <w:spacing w:line="400" w:lineRule="exact"/>
              <w:rPr>
                <w:rFonts w:ascii="宋体" w:hAnsi="宋体" w:cs="宋体"/>
                <w:sz w:val="24"/>
              </w:rPr>
            </w:pPr>
            <w:r>
              <w:rPr>
                <w:rFonts w:hint="eastAsia" w:ascii="宋体" w:hAnsi="宋体" w:cs="宋体"/>
                <w:sz w:val="24"/>
              </w:rPr>
              <w:t>2.11 加满液氮重量：≤166 Kg。</w:t>
            </w:r>
          </w:p>
          <w:p w14:paraId="6576A129">
            <w:pPr>
              <w:spacing w:line="400" w:lineRule="exact"/>
              <w:rPr>
                <w:rFonts w:ascii="宋体" w:hAnsi="宋体" w:cs="宋体"/>
                <w:sz w:val="24"/>
              </w:rPr>
            </w:pPr>
            <w:r>
              <w:rPr>
                <w:rFonts w:hint="eastAsia" w:ascii="宋体" w:hAnsi="宋体" w:cs="宋体"/>
                <w:sz w:val="24"/>
              </w:rPr>
              <w:t>配置清单：</w:t>
            </w:r>
          </w:p>
          <w:p w14:paraId="07EA6F04">
            <w:pPr>
              <w:pStyle w:val="123"/>
              <w:numPr>
                <w:ilvl w:val="0"/>
                <w:numId w:val="4"/>
              </w:numPr>
              <w:spacing w:line="400" w:lineRule="exact"/>
              <w:ind w:firstLineChars="0"/>
              <w:rPr>
                <w:rFonts w:ascii="宋体" w:hAnsi="宋体" w:cs="宋体"/>
                <w:sz w:val="24"/>
                <w:szCs w:val="24"/>
              </w:rPr>
            </w:pPr>
            <w:r>
              <w:rPr>
                <w:rFonts w:hint="eastAsia" w:ascii="宋体" w:hAnsi="宋体" w:cs="宋体"/>
                <w:sz w:val="24"/>
                <w:szCs w:val="24"/>
              </w:rPr>
              <w:t>主罐一个</w:t>
            </w:r>
          </w:p>
          <w:p w14:paraId="3D3270FD">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48B879F6">
            <w:pPr>
              <w:pStyle w:val="58"/>
              <w:jc w:val="center"/>
              <w:rPr>
                <w:rFonts w:ascii="宋体" w:hAnsi="宋体" w:cs="宋体"/>
                <w:kern w:val="0"/>
                <w:sz w:val="24"/>
                <w:szCs w:val="24"/>
                <w:lang w:bidi="ar"/>
              </w:rPr>
            </w:pPr>
            <w:r>
              <w:rPr>
                <w:rFonts w:hint="eastAsia" w:ascii="宋体" w:hAnsi="宋体" w:cs="宋体"/>
                <w:sz w:val="24"/>
                <w:szCs w:val="24"/>
              </w:rPr>
              <w:t>6</w:t>
            </w:r>
          </w:p>
        </w:tc>
        <w:tc>
          <w:tcPr>
            <w:tcW w:w="1275" w:type="dxa"/>
            <w:vAlign w:val="center"/>
          </w:tcPr>
          <w:p w14:paraId="19C18566">
            <w:pPr>
              <w:pStyle w:val="58"/>
              <w:jc w:val="center"/>
              <w:rPr>
                <w:rFonts w:ascii="宋体" w:hAnsi="宋体" w:cs="宋体"/>
                <w:kern w:val="0"/>
                <w:sz w:val="24"/>
                <w:szCs w:val="24"/>
                <w:lang w:bidi="ar"/>
              </w:rPr>
            </w:pPr>
            <w:r>
              <w:rPr>
                <w:rFonts w:hint="eastAsia" w:ascii="宋体" w:hAnsi="宋体" w:cs="宋体"/>
                <w:sz w:val="24"/>
                <w:szCs w:val="24"/>
              </w:rPr>
              <w:t>12</w:t>
            </w:r>
          </w:p>
        </w:tc>
      </w:tr>
      <w:tr w14:paraId="07DD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63A6D249">
            <w:pPr>
              <w:spacing w:line="440" w:lineRule="exact"/>
              <w:jc w:val="center"/>
              <w:rPr>
                <w:rFonts w:ascii="宋体" w:hAnsi="宋体" w:cs="宋体"/>
                <w:sz w:val="24"/>
              </w:rPr>
            </w:pPr>
            <w:r>
              <w:rPr>
                <w:rFonts w:hint="eastAsia" w:ascii="宋体" w:hAnsi="宋体" w:cs="宋体"/>
                <w:sz w:val="24"/>
              </w:rPr>
              <w:t>5</w:t>
            </w:r>
          </w:p>
        </w:tc>
        <w:tc>
          <w:tcPr>
            <w:tcW w:w="1318" w:type="dxa"/>
            <w:vAlign w:val="center"/>
          </w:tcPr>
          <w:p w14:paraId="3D85C70C">
            <w:pPr>
              <w:jc w:val="center"/>
              <w:rPr>
                <w:rFonts w:ascii="宋体" w:hAnsi="宋体" w:cs="宋体"/>
                <w:sz w:val="24"/>
              </w:rPr>
            </w:pPr>
            <w:r>
              <w:rPr>
                <w:rFonts w:hint="eastAsia" w:ascii="宋体" w:hAnsi="宋体" w:cs="宋体"/>
                <w:sz w:val="24"/>
              </w:rPr>
              <w:t>三维冷冻研磨仪</w:t>
            </w:r>
          </w:p>
        </w:tc>
        <w:tc>
          <w:tcPr>
            <w:tcW w:w="557" w:type="dxa"/>
            <w:vAlign w:val="center"/>
          </w:tcPr>
          <w:p w14:paraId="110D188F">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20E5FE54">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55B0B673">
            <w:pPr>
              <w:spacing w:line="400" w:lineRule="exact"/>
              <w:rPr>
                <w:rFonts w:ascii="宋体" w:hAnsi="宋体" w:cs="宋体"/>
                <w:sz w:val="24"/>
              </w:rPr>
            </w:pPr>
            <w:r>
              <w:rPr>
                <w:rFonts w:hint="eastAsia" w:ascii="宋体" w:hAnsi="宋体" w:cs="宋体"/>
                <w:sz w:val="24"/>
              </w:rPr>
              <w:t>1. 开机自动降温，减少样本降解；可在15秒内同时处理样品≥2</w:t>
            </w:r>
            <w:r>
              <w:rPr>
                <w:rFonts w:ascii="宋体" w:hAnsi="宋体" w:cs="宋体"/>
                <w:sz w:val="24"/>
              </w:rPr>
              <w:t>4</w:t>
            </w:r>
            <w:r>
              <w:rPr>
                <w:rFonts w:hint="eastAsia" w:ascii="宋体" w:hAnsi="宋体" w:cs="宋体"/>
                <w:sz w:val="24"/>
              </w:rPr>
              <w:t>个。</w:t>
            </w:r>
          </w:p>
          <w:p w14:paraId="6B12F8FA">
            <w:pPr>
              <w:spacing w:line="400" w:lineRule="exact"/>
              <w:rPr>
                <w:rFonts w:ascii="宋体" w:hAnsi="宋体" w:cs="宋体"/>
                <w:sz w:val="24"/>
              </w:rPr>
            </w:pPr>
            <w:r>
              <w:rPr>
                <w:rFonts w:hint="eastAsia" w:ascii="宋体" w:hAnsi="宋体" w:cs="宋体"/>
                <w:sz w:val="24"/>
              </w:rPr>
              <w:t>2. 采用特殊三维一体的运行模式，样品在空间呈“∞”字形三维运动。</w:t>
            </w:r>
          </w:p>
          <w:p w14:paraId="56DE5CCA">
            <w:pPr>
              <w:spacing w:line="400" w:lineRule="exact"/>
              <w:rPr>
                <w:rFonts w:ascii="宋体" w:hAnsi="宋体" w:cs="宋体"/>
                <w:sz w:val="24"/>
              </w:rPr>
            </w:pPr>
            <w:r>
              <w:rPr>
                <w:rFonts w:hint="eastAsia" w:ascii="宋体" w:hAnsi="宋体" w:cs="宋体"/>
                <w:sz w:val="24"/>
              </w:rPr>
              <w:t>3. 研磨过程采用封闭式的一次性离心管，有效避免样品之间的交叉污染。</w:t>
            </w:r>
          </w:p>
          <w:p w14:paraId="560DCDA1">
            <w:pPr>
              <w:spacing w:line="400" w:lineRule="exact"/>
              <w:rPr>
                <w:rFonts w:ascii="宋体" w:hAnsi="宋体" w:cs="宋体"/>
                <w:sz w:val="24"/>
              </w:rPr>
            </w:pPr>
            <w:r>
              <w:rPr>
                <w:rFonts w:hint="eastAsia" w:ascii="宋体" w:hAnsi="宋体" w:cs="宋体"/>
                <w:sz w:val="24"/>
              </w:rPr>
              <w:t>4. 预设≥10组常见组织研磨参数，优化不同标本研磨条件。</w:t>
            </w:r>
          </w:p>
          <w:p w14:paraId="2242FBF9">
            <w:pPr>
              <w:spacing w:line="400" w:lineRule="exact"/>
              <w:rPr>
                <w:rFonts w:ascii="宋体" w:hAnsi="宋体" w:cs="宋体"/>
                <w:sz w:val="24"/>
              </w:rPr>
            </w:pPr>
            <w:r>
              <w:rPr>
                <w:rFonts w:hint="eastAsia" w:ascii="宋体" w:hAnsi="宋体" w:cs="宋体"/>
                <w:sz w:val="24"/>
              </w:rPr>
              <w:t>5. 均质速度：3 m/s-8 m/s，实际转速≥4000 rpm，工作时间：0秒-99分钟，用户可自行设定。</w:t>
            </w:r>
          </w:p>
          <w:p w14:paraId="1A8EF672">
            <w:pPr>
              <w:spacing w:line="400" w:lineRule="exact"/>
              <w:rPr>
                <w:rFonts w:ascii="宋体" w:hAnsi="宋体" w:cs="宋体"/>
                <w:sz w:val="24"/>
              </w:rPr>
            </w:pPr>
            <w:r>
              <w:rPr>
                <w:rFonts w:hint="eastAsia" w:ascii="宋体" w:hAnsi="宋体" w:cs="宋体"/>
                <w:sz w:val="24"/>
              </w:rPr>
              <w:t>6. 最大进料尺寸：无要求，根据适配器调节。</w:t>
            </w:r>
          </w:p>
          <w:p w14:paraId="12A298F2">
            <w:pPr>
              <w:spacing w:line="400" w:lineRule="exact"/>
              <w:rPr>
                <w:rFonts w:ascii="宋体" w:hAnsi="宋体" w:cs="宋体"/>
                <w:sz w:val="24"/>
              </w:rPr>
            </w:pPr>
            <w:r>
              <w:rPr>
                <w:rFonts w:hint="eastAsia" w:ascii="宋体" w:hAnsi="宋体" w:cs="宋体"/>
                <w:sz w:val="24"/>
              </w:rPr>
              <w:t>7. 研磨方式：湿磨、干磨、低温研磨。</w:t>
            </w:r>
          </w:p>
          <w:p w14:paraId="6FC9C419">
            <w:pPr>
              <w:spacing w:line="400" w:lineRule="exact"/>
              <w:rPr>
                <w:rFonts w:ascii="宋体" w:hAnsi="宋体" w:cs="宋体"/>
                <w:sz w:val="24"/>
              </w:rPr>
            </w:pPr>
            <w:r>
              <w:rPr>
                <w:rFonts w:hint="eastAsia" w:ascii="宋体" w:hAnsi="宋体" w:cs="宋体"/>
                <w:sz w:val="24"/>
              </w:rPr>
              <w:t>8. 压缩机制冷：开机10分钟内降温到零下，温度范围：-40℃-室温。</w:t>
            </w:r>
          </w:p>
        </w:tc>
        <w:tc>
          <w:tcPr>
            <w:tcW w:w="1134" w:type="dxa"/>
            <w:vAlign w:val="center"/>
          </w:tcPr>
          <w:p w14:paraId="3D9E4102">
            <w:pPr>
              <w:pStyle w:val="58"/>
              <w:jc w:val="center"/>
              <w:rPr>
                <w:rFonts w:ascii="宋体" w:hAnsi="宋体" w:cs="宋体"/>
                <w:kern w:val="0"/>
                <w:sz w:val="24"/>
                <w:szCs w:val="24"/>
                <w:lang w:bidi="ar"/>
              </w:rPr>
            </w:pPr>
            <w:r>
              <w:rPr>
                <w:rFonts w:hint="eastAsia" w:ascii="宋体" w:hAnsi="宋体" w:cs="宋体"/>
                <w:sz w:val="24"/>
                <w:szCs w:val="24"/>
              </w:rPr>
              <w:t>6</w:t>
            </w:r>
          </w:p>
        </w:tc>
        <w:tc>
          <w:tcPr>
            <w:tcW w:w="1275" w:type="dxa"/>
            <w:vAlign w:val="center"/>
          </w:tcPr>
          <w:p w14:paraId="2ACE6492">
            <w:pPr>
              <w:pStyle w:val="58"/>
              <w:jc w:val="center"/>
              <w:rPr>
                <w:rFonts w:ascii="宋体" w:hAnsi="宋体" w:cs="宋体"/>
                <w:kern w:val="0"/>
                <w:sz w:val="24"/>
                <w:szCs w:val="24"/>
                <w:lang w:bidi="ar"/>
              </w:rPr>
            </w:pPr>
            <w:r>
              <w:rPr>
                <w:rFonts w:hint="eastAsia" w:ascii="宋体" w:hAnsi="宋体" w:cs="宋体"/>
                <w:sz w:val="24"/>
                <w:szCs w:val="24"/>
              </w:rPr>
              <w:t>6</w:t>
            </w:r>
          </w:p>
        </w:tc>
      </w:tr>
      <w:tr w14:paraId="0FD4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4536A186">
            <w:pPr>
              <w:spacing w:line="440" w:lineRule="exact"/>
              <w:jc w:val="center"/>
              <w:rPr>
                <w:rFonts w:ascii="宋体" w:hAnsi="宋体" w:cs="宋体"/>
                <w:sz w:val="24"/>
              </w:rPr>
            </w:pPr>
            <w:r>
              <w:rPr>
                <w:rFonts w:hint="eastAsia" w:ascii="宋体" w:hAnsi="宋体" w:cs="宋体"/>
                <w:sz w:val="24"/>
              </w:rPr>
              <w:t>6</w:t>
            </w:r>
          </w:p>
        </w:tc>
        <w:tc>
          <w:tcPr>
            <w:tcW w:w="1318" w:type="dxa"/>
            <w:vAlign w:val="center"/>
          </w:tcPr>
          <w:p w14:paraId="762E3D44">
            <w:pPr>
              <w:jc w:val="center"/>
              <w:rPr>
                <w:rFonts w:ascii="宋体" w:hAnsi="宋体" w:cs="宋体"/>
                <w:sz w:val="24"/>
              </w:rPr>
            </w:pPr>
            <w:r>
              <w:rPr>
                <w:rFonts w:hint="eastAsia" w:ascii="宋体" w:hAnsi="宋体" w:cs="宋体"/>
                <w:color w:val="000000"/>
                <w:sz w:val="24"/>
              </w:rPr>
              <w:t>全自动石蜡切片机</w:t>
            </w:r>
          </w:p>
        </w:tc>
        <w:tc>
          <w:tcPr>
            <w:tcW w:w="557" w:type="dxa"/>
            <w:vAlign w:val="center"/>
          </w:tcPr>
          <w:p w14:paraId="04CFC4E2">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47259506">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3BDA2CFD">
            <w:pPr>
              <w:spacing w:line="400" w:lineRule="exact"/>
              <w:rPr>
                <w:rFonts w:ascii="宋体" w:hAnsi="宋体" w:cs="宋体"/>
                <w:sz w:val="24"/>
              </w:rPr>
            </w:pPr>
            <w:r>
              <w:rPr>
                <w:rFonts w:hint="eastAsia" w:ascii="宋体" w:hAnsi="宋体" w:cs="宋体"/>
                <w:sz w:val="24"/>
              </w:rPr>
              <w:t>1. 工作条件：</w:t>
            </w:r>
          </w:p>
          <w:p w14:paraId="6DE1E08D">
            <w:pPr>
              <w:spacing w:line="400" w:lineRule="exact"/>
              <w:rPr>
                <w:rFonts w:ascii="宋体" w:hAnsi="宋体" w:cs="宋体"/>
                <w:sz w:val="24"/>
              </w:rPr>
            </w:pPr>
            <w:r>
              <w:rPr>
                <w:rFonts w:hint="eastAsia" w:ascii="宋体" w:hAnsi="宋体" w:cs="宋体"/>
                <w:sz w:val="24"/>
              </w:rPr>
              <w:t>工作电压：230 V（10%）/50 Hz；工作温度：10 ℃-40 ℃；相对湿度：≤60%。</w:t>
            </w:r>
          </w:p>
          <w:p w14:paraId="370B362D">
            <w:pPr>
              <w:spacing w:line="400" w:lineRule="exact"/>
              <w:rPr>
                <w:rFonts w:ascii="宋体" w:hAnsi="宋体" w:cs="宋体"/>
                <w:sz w:val="24"/>
              </w:rPr>
            </w:pPr>
            <w:r>
              <w:rPr>
                <w:rFonts w:hint="eastAsia" w:ascii="宋体" w:hAnsi="宋体" w:cs="宋体"/>
                <w:sz w:val="24"/>
              </w:rPr>
              <w:t>2. 技术参数：</w:t>
            </w:r>
          </w:p>
          <w:p w14:paraId="52A781C8">
            <w:pPr>
              <w:spacing w:line="400" w:lineRule="exact"/>
              <w:rPr>
                <w:rFonts w:ascii="宋体" w:hAnsi="宋体" w:cs="宋体"/>
                <w:sz w:val="24"/>
              </w:rPr>
            </w:pPr>
            <w:r>
              <w:rPr>
                <w:rFonts w:hint="eastAsia" w:ascii="宋体" w:hAnsi="宋体" w:cs="宋体"/>
                <w:sz w:val="24"/>
              </w:rPr>
              <w:t>2.1 整机原装进口。</w:t>
            </w:r>
          </w:p>
          <w:p w14:paraId="1B7B6F02">
            <w:pPr>
              <w:spacing w:line="400" w:lineRule="exact"/>
              <w:rPr>
                <w:rFonts w:ascii="宋体" w:hAnsi="宋体" w:cs="宋体"/>
                <w:sz w:val="24"/>
              </w:rPr>
            </w:pPr>
            <w:r>
              <w:rPr>
                <w:rFonts w:hint="eastAsia" w:ascii="宋体" w:hAnsi="宋体" w:cs="宋体"/>
                <w:sz w:val="24"/>
              </w:rPr>
              <w:t>2.2 切片启动方式：按两次 START/STOP（启动/停止）键、旋钮[C]或者踩两次脚踏开关。</w:t>
            </w:r>
          </w:p>
          <w:p w14:paraId="75F7D4B6">
            <w:pPr>
              <w:spacing w:line="400" w:lineRule="exact"/>
              <w:rPr>
                <w:rFonts w:ascii="宋体" w:hAnsi="宋体" w:cs="宋体"/>
                <w:sz w:val="24"/>
              </w:rPr>
            </w:pPr>
            <w:r>
              <w:rPr>
                <w:rFonts w:hint="eastAsia" w:ascii="宋体" w:hAnsi="宋体" w:cs="宋体"/>
                <w:sz w:val="24"/>
              </w:rPr>
              <w:t>2.3 进样方式：马达进样。</w:t>
            </w:r>
          </w:p>
          <w:p w14:paraId="4DE72D8E">
            <w:pPr>
              <w:spacing w:line="400" w:lineRule="exact"/>
              <w:rPr>
                <w:rFonts w:ascii="宋体" w:hAnsi="宋体" w:cs="宋体"/>
                <w:sz w:val="24"/>
              </w:rPr>
            </w:pPr>
            <w:r>
              <w:rPr>
                <w:rFonts w:hint="eastAsia" w:ascii="宋体" w:hAnsi="宋体" w:cs="宋体"/>
                <w:sz w:val="24"/>
              </w:rPr>
              <w:t>2.4 切片精度：0.5 µm-100 µm可精确切片；</w:t>
            </w:r>
          </w:p>
          <w:p w14:paraId="4CB0AB08">
            <w:pPr>
              <w:spacing w:line="400" w:lineRule="exact"/>
              <w:rPr>
                <w:rFonts w:ascii="宋体" w:hAnsi="宋体" w:cs="宋体"/>
                <w:sz w:val="24"/>
              </w:rPr>
            </w:pPr>
            <w:r>
              <w:rPr>
                <w:rFonts w:hint="eastAsia" w:ascii="宋体" w:hAnsi="宋体" w:cs="宋体"/>
                <w:sz w:val="24"/>
              </w:rPr>
              <w:t>步进为：0.5 µm-2 µm，0.5 µm步进；</w:t>
            </w:r>
          </w:p>
          <w:p w14:paraId="02182F83">
            <w:pPr>
              <w:spacing w:line="400" w:lineRule="exact"/>
              <w:rPr>
                <w:rFonts w:ascii="宋体" w:hAnsi="宋体" w:cs="宋体"/>
                <w:sz w:val="24"/>
              </w:rPr>
            </w:pPr>
            <w:r>
              <w:rPr>
                <w:rFonts w:hint="eastAsia" w:ascii="宋体" w:hAnsi="宋体" w:cs="宋体"/>
                <w:sz w:val="24"/>
              </w:rPr>
              <w:t>2 µm-20 µm，1 µm步进；</w:t>
            </w:r>
          </w:p>
          <w:p w14:paraId="0529CC39">
            <w:pPr>
              <w:spacing w:line="400" w:lineRule="exact"/>
              <w:rPr>
                <w:rFonts w:ascii="宋体" w:hAnsi="宋体" w:cs="宋体"/>
                <w:sz w:val="24"/>
              </w:rPr>
            </w:pPr>
            <w:r>
              <w:rPr>
                <w:rFonts w:hint="eastAsia" w:ascii="宋体" w:hAnsi="宋体" w:cs="宋体"/>
                <w:sz w:val="24"/>
              </w:rPr>
              <w:t>20 µm-50 µm，2 µm步进；</w:t>
            </w:r>
          </w:p>
          <w:p w14:paraId="7477A010">
            <w:pPr>
              <w:spacing w:line="400" w:lineRule="exact"/>
              <w:rPr>
                <w:rFonts w:ascii="宋体" w:hAnsi="宋体" w:cs="宋体"/>
                <w:sz w:val="24"/>
              </w:rPr>
            </w:pPr>
            <w:r>
              <w:rPr>
                <w:rFonts w:hint="eastAsia" w:ascii="宋体" w:hAnsi="宋体" w:cs="宋体"/>
                <w:sz w:val="24"/>
              </w:rPr>
              <w:t>50 µm-100 µm，5 µm步进。</w:t>
            </w:r>
          </w:p>
          <w:p w14:paraId="3BDF8116">
            <w:pPr>
              <w:spacing w:line="400" w:lineRule="exact"/>
              <w:rPr>
                <w:rFonts w:ascii="宋体" w:hAnsi="宋体" w:cs="宋体"/>
                <w:sz w:val="24"/>
              </w:rPr>
            </w:pPr>
            <w:r>
              <w:rPr>
                <w:rFonts w:hint="eastAsia"/>
                <w:b/>
                <w:sz w:val="24"/>
              </w:rPr>
              <w:t>▲</w:t>
            </w:r>
            <w:r>
              <w:rPr>
                <w:rFonts w:hint="eastAsia" w:ascii="宋体" w:hAnsi="宋体" w:cs="宋体"/>
                <w:sz w:val="24"/>
              </w:rPr>
              <w:t>2.5 修片功能：修片厚度0-750 µm任意可调。</w:t>
            </w:r>
          </w:p>
          <w:p w14:paraId="181C2AB5">
            <w:pPr>
              <w:spacing w:line="400" w:lineRule="exact"/>
              <w:rPr>
                <w:rFonts w:ascii="宋体" w:hAnsi="宋体" w:cs="宋体"/>
                <w:sz w:val="24"/>
              </w:rPr>
            </w:pPr>
            <w:r>
              <w:rPr>
                <w:rFonts w:hint="eastAsia" w:ascii="宋体" w:hAnsi="宋体" w:cs="宋体"/>
                <w:sz w:val="24"/>
              </w:rPr>
              <w:t>2.6 水平行程：≥28 mm。</w:t>
            </w:r>
          </w:p>
          <w:p w14:paraId="6EE02B90">
            <w:pPr>
              <w:spacing w:line="400" w:lineRule="exact"/>
              <w:rPr>
                <w:rFonts w:ascii="宋体" w:hAnsi="宋体" w:cs="宋体"/>
                <w:sz w:val="24"/>
              </w:rPr>
            </w:pPr>
            <w:r>
              <w:rPr>
                <w:rFonts w:hint="eastAsia" w:ascii="宋体" w:hAnsi="宋体" w:cs="宋体"/>
                <w:sz w:val="24"/>
              </w:rPr>
              <w:t>2.7 样本垂直幅度：≥72 mm。</w:t>
            </w:r>
          </w:p>
          <w:p w14:paraId="206C24A6">
            <w:pPr>
              <w:spacing w:line="400" w:lineRule="exact"/>
              <w:rPr>
                <w:rFonts w:ascii="宋体" w:hAnsi="宋体" w:cs="宋体"/>
                <w:sz w:val="24"/>
              </w:rPr>
            </w:pPr>
            <w:r>
              <w:rPr>
                <w:rFonts w:hint="eastAsia" w:ascii="宋体" w:hAnsi="宋体" w:cs="宋体"/>
                <w:sz w:val="24"/>
              </w:rPr>
              <w:t>2.8 安全装置：具有手轮、底座双锁，保障用户使用安全。</w:t>
            </w:r>
          </w:p>
          <w:p w14:paraId="37EE99E2">
            <w:pPr>
              <w:spacing w:line="400" w:lineRule="exact"/>
              <w:rPr>
                <w:rFonts w:ascii="宋体" w:hAnsi="宋体" w:cs="宋体"/>
                <w:sz w:val="24"/>
              </w:rPr>
            </w:pPr>
            <w:r>
              <w:rPr>
                <w:rFonts w:hint="eastAsia" w:ascii="宋体" w:hAnsi="宋体" w:cs="宋体"/>
                <w:sz w:val="24"/>
              </w:rPr>
              <w:t>2.9 最大样本尺寸50×50 mm。</w:t>
            </w:r>
          </w:p>
          <w:p w14:paraId="4C768F86">
            <w:pPr>
              <w:spacing w:line="400" w:lineRule="exact"/>
              <w:rPr>
                <w:rFonts w:ascii="宋体" w:hAnsi="宋体" w:cs="宋体"/>
                <w:sz w:val="24"/>
              </w:rPr>
            </w:pPr>
            <w:r>
              <w:rPr>
                <w:rFonts w:hint="eastAsia" w:ascii="宋体" w:hAnsi="宋体" w:cs="宋体"/>
                <w:sz w:val="24"/>
              </w:rPr>
              <w:t>2.10 手轮：轻便顺滑，手可以在不离开手轮的情况下，将其任意位置锁定。</w:t>
            </w:r>
          </w:p>
          <w:p w14:paraId="16EF73EE">
            <w:pPr>
              <w:spacing w:line="400" w:lineRule="exact"/>
              <w:rPr>
                <w:rFonts w:ascii="宋体" w:hAnsi="宋体" w:cs="宋体"/>
                <w:sz w:val="24"/>
              </w:rPr>
            </w:pPr>
            <w:r>
              <w:rPr>
                <w:rFonts w:hint="eastAsia"/>
                <w:b/>
                <w:sz w:val="24"/>
              </w:rPr>
              <w:t>▲</w:t>
            </w:r>
            <w:r>
              <w:rPr>
                <w:rFonts w:hint="eastAsia" w:ascii="宋体" w:hAnsi="宋体" w:cs="宋体"/>
                <w:sz w:val="24"/>
              </w:rPr>
              <w:t>2.11 样本头调向：Z轴可整体360°自由旋转，X/Y轴：8度。</w:t>
            </w:r>
          </w:p>
          <w:p w14:paraId="33D40175">
            <w:pPr>
              <w:spacing w:line="400" w:lineRule="exact"/>
              <w:rPr>
                <w:rFonts w:ascii="宋体" w:hAnsi="宋体" w:cs="宋体"/>
                <w:sz w:val="24"/>
              </w:rPr>
            </w:pPr>
            <w:r>
              <w:rPr>
                <w:rFonts w:hint="eastAsia"/>
                <w:b/>
                <w:sz w:val="24"/>
              </w:rPr>
              <w:t>▲</w:t>
            </w:r>
            <w:r>
              <w:rPr>
                <w:rFonts w:hint="eastAsia" w:ascii="宋体" w:hAnsi="宋体" w:cs="宋体"/>
                <w:sz w:val="24"/>
              </w:rPr>
              <w:t>2.12 高效电动切片：3-450 mm/s速度可调，多种切片模式：单次、连续、间隔、编程、半刀等。</w:t>
            </w:r>
          </w:p>
          <w:p w14:paraId="53C62BC7">
            <w:pPr>
              <w:spacing w:line="400" w:lineRule="exact"/>
              <w:rPr>
                <w:rFonts w:ascii="宋体" w:hAnsi="宋体" w:cs="宋体"/>
                <w:sz w:val="24"/>
              </w:rPr>
            </w:pPr>
            <w:r>
              <w:rPr>
                <w:rFonts w:hint="eastAsia"/>
                <w:b/>
                <w:sz w:val="24"/>
              </w:rPr>
              <w:t>▲</w:t>
            </w:r>
            <w:r>
              <w:rPr>
                <w:rFonts w:hint="eastAsia" w:ascii="宋体" w:hAnsi="宋体" w:cs="宋体"/>
                <w:sz w:val="24"/>
              </w:rPr>
              <w:t>2.13 刀架：双导轨设计，兼容宽/窄两种刀片，可直接进行切换，针对不同组织样本切出质量较好的切片。</w:t>
            </w:r>
          </w:p>
          <w:p w14:paraId="50AC9AF2">
            <w:pPr>
              <w:spacing w:line="400" w:lineRule="exact"/>
              <w:rPr>
                <w:rFonts w:ascii="宋体" w:hAnsi="宋体" w:cs="宋体"/>
                <w:sz w:val="24"/>
              </w:rPr>
            </w:pPr>
            <w:r>
              <w:rPr>
                <w:rFonts w:hint="eastAsia"/>
                <w:b/>
                <w:sz w:val="24"/>
              </w:rPr>
              <w:t>▲</w:t>
            </w:r>
            <w:r>
              <w:rPr>
                <w:rFonts w:hint="eastAsia" w:ascii="宋体" w:hAnsi="宋体" w:cs="宋体"/>
                <w:sz w:val="24"/>
              </w:rPr>
              <w:t>2.14 具有按键式刀片弹出设计，更换刀片安全便捷。</w:t>
            </w:r>
          </w:p>
          <w:p w14:paraId="49105AC1">
            <w:pPr>
              <w:spacing w:line="400" w:lineRule="exact"/>
              <w:rPr>
                <w:rFonts w:ascii="宋体" w:hAnsi="宋体" w:cs="宋体"/>
                <w:sz w:val="24"/>
              </w:rPr>
            </w:pPr>
            <w:r>
              <w:rPr>
                <w:rFonts w:hint="eastAsia" w:ascii="宋体" w:hAnsi="宋体" w:cs="宋体"/>
                <w:sz w:val="24"/>
              </w:rPr>
              <w:t xml:space="preserve"> 2.15 防护：红色护手可在所有工作情况下（更换刀片、水平移动刀架、切片及修片）提供防护。</w:t>
            </w:r>
          </w:p>
          <w:p w14:paraId="3E9F4E03">
            <w:pPr>
              <w:spacing w:line="400" w:lineRule="exact"/>
              <w:rPr>
                <w:rFonts w:ascii="宋体" w:hAnsi="宋体" w:cs="宋体"/>
                <w:sz w:val="24"/>
              </w:rPr>
            </w:pPr>
            <w:r>
              <w:rPr>
                <w:rFonts w:hint="eastAsia"/>
                <w:b/>
                <w:sz w:val="24"/>
              </w:rPr>
              <w:t>▲</w:t>
            </w:r>
            <w:r>
              <w:rPr>
                <w:rFonts w:hint="eastAsia" w:ascii="宋体" w:hAnsi="宋体" w:cs="宋体"/>
                <w:sz w:val="24"/>
              </w:rPr>
              <w:t>2.16 回缩功能：自动回缩0-200 µm可任意调节。</w:t>
            </w:r>
          </w:p>
          <w:p w14:paraId="1B73DEE0">
            <w:pPr>
              <w:spacing w:line="400" w:lineRule="exact"/>
              <w:rPr>
                <w:rFonts w:ascii="宋体" w:hAnsi="宋体" w:cs="宋体"/>
                <w:sz w:val="24"/>
              </w:rPr>
            </w:pPr>
            <w:r>
              <w:rPr>
                <w:rFonts w:hint="eastAsia"/>
                <w:b/>
                <w:sz w:val="24"/>
              </w:rPr>
              <w:t>▲</w:t>
            </w:r>
            <w:r>
              <w:rPr>
                <w:rFonts w:hint="eastAsia" w:ascii="宋体" w:hAnsi="宋体" w:cs="宋体"/>
                <w:sz w:val="24"/>
              </w:rPr>
              <w:t>2.17 样本头位置记忆：可记忆2个位置，实现辅助“一键式”自动对刀。</w:t>
            </w:r>
          </w:p>
          <w:p w14:paraId="5515B24C">
            <w:pPr>
              <w:spacing w:line="400" w:lineRule="exact"/>
              <w:rPr>
                <w:rFonts w:ascii="宋体" w:hAnsi="宋体" w:cs="宋体"/>
                <w:sz w:val="24"/>
              </w:rPr>
            </w:pPr>
            <w:r>
              <w:rPr>
                <w:rFonts w:hint="eastAsia" w:ascii="宋体" w:hAnsi="宋体" w:cs="宋体"/>
                <w:sz w:val="24"/>
              </w:rPr>
              <w:t>2.18 采用全手轮配重系统的切片方式，手轮更轻滑，减少操作疲劳。</w:t>
            </w:r>
          </w:p>
          <w:p w14:paraId="68082CDD">
            <w:pPr>
              <w:spacing w:line="400" w:lineRule="exact"/>
              <w:rPr>
                <w:rFonts w:ascii="宋体" w:hAnsi="宋体" w:cs="宋体"/>
                <w:sz w:val="24"/>
              </w:rPr>
            </w:pPr>
            <w:r>
              <w:rPr>
                <w:rFonts w:hint="eastAsia" w:ascii="宋体" w:hAnsi="宋体" w:cs="宋体"/>
                <w:sz w:val="24"/>
              </w:rPr>
              <w:t>2.19 切片机顶部配置了可以储物的空间，方便切片时置物。</w:t>
            </w:r>
          </w:p>
          <w:p w14:paraId="3FBC50F2">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038050A7">
            <w:pPr>
              <w:pStyle w:val="58"/>
              <w:jc w:val="center"/>
              <w:rPr>
                <w:rFonts w:ascii="宋体" w:hAnsi="宋体" w:cs="宋体"/>
                <w:kern w:val="0"/>
                <w:sz w:val="24"/>
                <w:szCs w:val="24"/>
                <w:lang w:bidi="ar"/>
              </w:rPr>
            </w:pPr>
            <w:r>
              <w:rPr>
                <w:rFonts w:hint="eastAsia" w:ascii="宋体" w:hAnsi="宋体" w:cs="宋体"/>
                <w:sz w:val="24"/>
                <w:szCs w:val="24"/>
              </w:rPr>
              <w:t>14</w:t>
            </w:r>
          </w:p>
        </w:tc>
        <w:tc>
          <w:tcPr>
            <w:tcW w:w="1275" w:type="dxa"/>
            <w:vAlign w:val="center"/>
          </w:tcPr>
          <w:p w14:paraId="07644705">
            <w:pPr>
              <w:pStyle w:val="58"/>
              <w:jc w:val="center"/>
              <w:rPr>
                <w:rFonts w:ascii="宋体" w:hAnsi="宋体" w:cs="宋体"/>
                <w:kern w:val="0"/>
                <w:sz w:val="24"/>
                <w:szCs w:val="24"/>
                <w:lang w:bidi="ar"/>
              </w:rPr>
            </w:pPr>
            <w:r>
              <w:rPr>
                <w:rFonts w:hint="eastAsia" w:ascii="宋体" w:hAnsi="宋体" w:cs="宋体"/>
                <w:sz w:val="24"/>
                <w:szCs w:val="24"/>
              </w:rPr>
              <w:t>14</w:t>
            </w:r>
          </w:p>
        </w:tc>
      </w:tr>
      <w:tr w14:paraId="16349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532" w:type="dxa"/>
            <w:vAlign w:val="center"/>
          </w:tcPr>
          <w:p w14:paraId="2009A9B0">
            <w:pPr>
              <w:spacing w:line="440" w:lineRule="exact"/>
              <w:jc w:val="center"/>
              <w:rPr>
                <w:rFonts w:ascii="宋体" w:hAnsi="宋体" w:cs="宋体"/>
                <w:sz w:val="24"/>
              </w:rPr>
            </w:pPr>
            <w:r>
              <w:rPr>
                <w:rFonts w:hint="eastAsia" w:ascii="宋体" w:hAnsi="宋体" w:cs="宋体"/>
                <w:sz w:val="24"/>
              </w:rPr>
              <w:t>7</w:t>
            </w:r>
          </w:p>
        </w:tc>
        <w:tc>
          <w:tcPr>
            <w:tcW w:w="1318" w:type="dxa"/>
            <w:vAlign w:val="center"/>
          </w:tcPr>
          <w:p w14:paraId="40ABAE3A">
            <w:pPr>
              <w:jc w:val="center"/>
              <w:rPr>
                <w:rFonts w:ascii="宋体" w:hAnsi="宋体" w:cs="宋体"/>
                <w:sz w:val="24"/>
              </w:rPr>
            </w:pPr>
            <w:r>
              <w:rPr>
                <w:rFonts w:hint="eastAsia" w:ascii="宋体" w:hAnsi="宋体" w:cs="宋体"/>
                <w:color w:val="000000"/>
                <w:sz w:val="24"/>
              </w:rPr>
              <w:t>生物安全柜</w:t>
            </w:r>
          </w:p>
        </w:tc>
        <w:tc>
          <w:tcPr>
            <w:tcW w:w="557" w:type="dxa"/>
            <w:vAlign w:val="center"/>
          </w:tcPr>
          <w:p w14:paraId="67DBE771">
            <w:pPr>
              <w:pStyle w:val="58"/>
              <w:jc w:val="center"/>
              <w:rPr>
                <w:rFonts w:ascii="宋体" w:hAnsi="宋体" w:cs="宋体"/>
                <w:sz w:val="24"/>
                <w:szCs w:val="24"/>
              </w:rPr>
            </w:pPr>
            <w:r>
              <w:rPr>
                <w:rFonts w:hint="eastAsia" w:ascii="宋体" w:hAnsi="宋体" w:cs="宋体"/>
                <w:sz w:val="24"/>
                <w:szCs w:val="24"/>
              </w:rPr>
              <w:t>2</w:t>
            </w:r>
          </w:p>
        </w:tc>
        <w:tc>
          <w:tcPr>
            <w:tcW w:w="660" w:type="dxa"/>
            <w:vAlign w:val="center"/>
          </w:tcPr>
          <w:p w14:paraId="07E446B9">
            <w:pPr>
              <w:pStyle w:val="58"/>
              <w:jc w:val="center"/>
              <w:rPr>
                <w:rFonts w:ascii="宋体" w:hAnsi="宋体" w:cs="宋体"/>
                <w:sz w:val="24"/>
                <w:szCs w:val="24"/>
              </w:rPr>
            </w:pPr>
            <w:r>
              <w:rPr>
                <w:rFonts w:hint="eastAsia" w:ascii="宋体" w:hAnsi="宋体" w:cs="宋体"/>
                <w:sz w:val="24"/>
                <w:szCs w:val="24"/>
              </w:rPr>
              <w:t>个</w:t>
            </w:r>
          </w:p>
        </w:tc>
        <w:tc>
          <w:tcPr>
            <w:tcW w:w="5128" w:type="dxa"/>
            <w:gridSpan w:val="2"/>
          </w:tcPr>
          <w:p w14:paraId="5F104EBB">
            <w:pPr>
              <w:spacing w:line="400" w:lineRule="exact"/>
              <w:rPr>
                <w:rFonts w:ascii="宋体" w:hAnsi="宋体" w:cs="宋体"/>
                <w:sz w:val="24"/>
              </w:rPr>
            </w:pPr>
            <w:r>
              <w:rPr>
                <w:rFonts w:hint="eastAsia" w:ascii="宋体" w:hAnsi="宋体" w:cs="宋体"/>
                <w:sz w:val="24"/>
              </w:rPr>
              <w:t>1. 内部尺寸：≥1200 mm（宽）×630 mm（深）×780 mm（高）。</w:t>
            </w:r>
          </w:p>
          <w:p w14:paraId="21322660">
            <w:pPr>
              <w:spacing w:line="400" w:lineRule="exact"/>
              <w:rPr>
                <w:rFonts w:ascii="宋体" w:hAnsi="宋体" w:cs="宋体"/>
                <w:sz w:val="24"/>
              </w:rPr>
            </w:pPr>
            <w:r>
              <w:rPr>
                <w:rFonts w:hint="eastAsia" w:ascii="宋体" w:hAnsi="宋体" w:cs="宋体"/>
                <w:sz w:val="24"/>
              </w:rPr>
              <w:t>2. 设备配置手动可调高度支架，提供760 mm至965 mm高度的支撑高度，调节步进为55 mm；或者可提供带脚轮的固定高度支架，提供750 mm的支撑高度。</w:t>
            </w:r>
          </w:p>
          <w:p w14:paraId="46F4726C">
            <w:pPr>
              <w:spacing w:line="400" w:lineRule="exact"/>
              <w:rPr>
                <w:rFonts w:ascii="宋体" w:hAnsi="宋体" w:cs="宋体"/>
                <w:sz w:val="24"/>
              </w:rPr>
            </w:pPr>
            <w:r>
              <w:rPr>
                <w:rFonts w:hint="eastAsia" w:ascii="宋体" w:hAnsi="宋体" w:cs="宋体"/>
                <w:sz w:val="24"/>
              </w:rPr>
              <w:t>3. 前窗为10°倾角。</w:t>
            </w:r>
          </w:p>
          <w:p w14:paraId="7C3DBF6E">
            <w:pPr>
              <w:spacing w:line="400" w:lineRule="exact"/>
              <w:rPr>
                <w:rFonts w:ascii="宋体" w:hAnsi="宋体" w:cs="宋体"/>
                <w:sz w:val="24"/>
              </w:rPr>
            </w:pPr>
            <w:r>
              <w:rPr>
                <w:rFonts w:hint="eastAsia" w:ascii="宋体" w:hAnsi="宋体" w:cs="宋体"/>
                <w:sz w:val="24"/>
              </w:rPr>
              <w:t>4. 前窗工作高度</w:t>
            </w:r>
            <w:bookmarkStart w:id="42" w:name="OLE_LINK4"/>
            <w:r>
              <w:rPr>
                <w:rFonts w:hint="eastAsia" w:ascii="宋体" w:hAnsi="宋体" w:cs="宋体"/>
                <w:sz w:val="24"/>
              </w:rPr>
              <w:t>≤</w:t>
            </w:r>
            <w:bookmarkEnd w:id="42"/>
            <w:r>
              <w:rPr>
                <w:rFonts w:hint="eastAsia" w:ascii="宋体" w:hAnsi="宋体" w:cs="宋体"/>
                <w:sz w:val="24"/>
              </w:rPr>
              <w:t>254 mm。</w:t>
            </w:r>
          </w:p>
          <w:p w14:paraId="37AEF9C4">
            <w:pPr>
              <w:spacing w:line="400" w:lineRule="exact"/>
              <w:rPr>
                <w:rFonts w:ascii="宋体" w:hAnsi="宋体" w:cs="宋体"/>
                <w:sz w:val="24"/>
              </w:rPr>
            </w:pPr>
            <w:r>
              <w:rPr>
                <w:rFonts w:hint="eastAsia" w:ascii="宋体" w:hAnsi="宋体" w:cs="宋体"/>
                <w:sz w:val="24"/>
              </w:rPr>
              <w:t>5. 设备外壳为19号粉末涂层的冷轧钢。</w:t>
            </w:r>
          </w:p>
          <w:p w14:paraId="7BE930DE">
            <w:pPr>
              <w:spacing w:line="400" w:lineRule="exact"/>
              <w:rPr>
                <w:rFonts w:ascii="宋体" w:hAnsi="宋体" w:cs="宋体"/>
                <w:sz w:val="24"/>
              </w:rPr>
            </w:pPr>
            <w:r>
              <w:rPr>
                <w:rFonts w:hint="eastAsia" w:ascii="宋体" w:hAnsi="宋体" w:cs="宋体"/>
                <w:sz w:val="24"/>
              </w:rPr>
              <w:t>6. 内部两侧包括后背板为304不锈钢一体成型。</w:t>
            </w:r>
          </w:p>
          <w:p w14:paraId="2B952416">
            <w:pPr>
              <w:spacing w:line="400" w:lineRule="exact"/>
              <w:rPr>
                <w:rFonts w:ascii="宋体" w:hAnsi="宋体" w:cs="宋体"/>
                <w:sz w:val="24"/>
              </w:rPr>
            </w:pPr>
            <w:r>
              <w:rPr>
                <w:rFonts w:hint="eastAsia" w:ascii="宋体" w:hAnsi="宋体" w:cs="宋体"/>
                <w:sz w:val="24"/>
              </w:rPr>
              <w:t>7. 内部工作台面为一块一体耐用无腐蚀的304不锈钢，厚度为1.5 mm。</w:t>
            </w:r>
          </w:p>
          <w:p w14:paraId="3A077C10">
            <w:pPr>
              <w:spacing w:line="400" w:lineRule="exact"/>
              <w:rPr>
                <w:rFonts w:ascii="宋体" w:hAnsi="宋体" w:cs="宋体"/>
                <w:sz w:val="24"/>
              </w:rPr>
            </w:pPr>
            <w:r>
              <w:rPr>
                <w:rFonts w:hint="eastAsia" w:ascii="宋体" w:hAnsi="宋体" w:cs="宋体"/>
                <w:sz w:val="24"/>
              </w:rPr>
              <w:t>8. 柜子采用双面和后壁结构，带有负压隔层，以提供更大的保护。</w:t>
            </w:r>
          </w:p>
          <w:p w14:paraId="001FCCBB">
            <w:pPr>
              <w:spacing w:line="400" w:lineRule="exact"/>
              <w:rPr>
                <w:rFonts w:ascii="宋体" w:hAnsi="宋体" w:cs="宋体"/>
                <w:sz w:val="24"/>
              </w:rPr>
            </w:pPr>
            <w:r>
              <w:rPr>
                <w:rFonts w:hint="eastAsia" w:ascii="宋体" w:hAnsi="宋体" w:cs="宋体"/>
                <w:sz w:val="24"/>
              </w:rPr>
              <w:t>9. 设备两侧壁各提供3个服务阀孔。</w:t>
            </w:r>
          </w:p>
          <w:p w14:paraId="338FC4AF">
            <w:pPr>
              <w:spacing w:line="400" w:lineRule="exact"/>
              <w:rPr>
                <w:rFonts w:ascii="宋体" w:hAnsi="宋体" w:cs="宋体"/>
                <w:sz w:val="24"/>
              </w:rPr>
            </w:pPr>
            <w:r>
              <w:rPr>
                <w:rFonts w:hint="eastAsia" w:ascii="宋体" w:hAnsi="宋体" w:cs="宋体"/>
                <w:sz w:val="24"/>
              </w:rPr>
              <w:t>10. 设备采用金属材质的压力舱，便于更换滤膜时拆卸。</w:t>
            </w:r>
          </w:p>
          <w:p w14:paraId="36C9B638">
            <w:pPr>
              <w:spacing w:line="400" w:lineRule="exact"/>
              <w:rPr>
                <w:rFonts w:ascii="宋体" w:hAnsi="宋体" w:cs="宋体"/>
                <w:sz w:val="24"/>
              </w:rPr>
            </w:pPr>
            <w:r>
              <w:rPr>
                <w:rFonts w:hint="eastAsia" w:ascii="宋体" w:hAnsi="宋体" w:cs="宋体"/>
                <w:sz w:val="24"/>
              </w:rPr>
              <w:t>11. 设备采用LED照明。</w:t>
            </w:r>
          </w:p>
          <w:p w14:paraId="3FA8E05F">
            <w:pPr>
              <w:spacing w:line="400" w:lineRule="exact"/>
              <w:rPr>
                <w:rFonts w:ascii="宋体" w:hAnsi="宋体" w:cs="宋体"/>
                <w:sz w:val="24"/>
              </w:rPr>
            </w:pPr>
            <w:r>
              <w:rPr>
                <w:rFonts w:hint="eastAsia" w:ascii="宋体" w:hAnsi="宋体" w:cs="宋体"/>
                <w:sz w:val="24"/>
              </w:rPr>
              <w:t>12. 前窗玻璃采用≤7.5 mm厚的多层安全玻璃制成，具有符合DIN 标准EN 356的UVC防护。</w:t>
            </w:r>
          </w:p>
          <w:p w14:paraId="230AF009">
            <w:pPr>
              <w:spacing w:line="400" w:lineRule="exact"/>
              <w:rPr>
                <w:rFonts w:ascii="宋体" w:hAnsi="宋体" w:cs="宋体"/>
                <w:sz w:val="24"/>
              </w:rPr>
            </w:pPr>
            <w:r>
              <w:rPr>
                <w:rFonts w:hint="eastAsia" w:ascii="宋体" w:hAnsi="宋体" w:cs="宋体"/>
                <w:sz w:val="24"/>
              </w:rPr>
              <w:t>13. 设备应具有特别的设置，当前窗玻璃到达工作高度时，操作者会被给出触感提示。</w:t>
            </w:r>
          </w:p>
          <w:p w14:paraId="7841654A">
            <w:pPr>
              <w:spacing w:line="400" w:lineRule="exact"/>
              <w:rPr>
                <w:rFonts w:ascii="宋体" w:hAnsi="宋体" w:cs="宋体"/>
                <w:sz w:val="24"/>
              </w:rPr>
            </w:pPr>
            <w:r>
              <w:rPr>
                <w:rFonts w:hint="eastAsia" w:ascii="宋体" w:hAnsi="宋体" w:cs="宋体"/>
                <w:sz w:val="24"/>
              </w:rPr>
              <w:t>14. 安全柜含有一个外排和一个下降风的HEPA过滤器，过滤器符合EN1822标准H14级别。HEPA 过滤器在最大穿透粒径（MPPS）下的整体过滤效率应为99.995%，且局部穿透不大于 0.025%。过滤器在制造时已在BSC中进行测试，以确保按照NSF / ANSI 49的要求没有超过 0.01%的泄漏。每个过滤器的测试证书都包含在BSC工厂测试报告中。</w:t>
            </w:r>
          </w:p>
          <w:p w14:paraId="736FFB76">
            <w:pPr>
              <w:spacing w:line="400" w:lineRule="exact"/>
              <w:rPr>
                <w:rFonts w:ascii="宋体" w:hAnsi="宋体" w:cs="宋体"/>
                <w:sz w:val="24"/>
              </w:rPr>
            </w:pPr>
            <w:r>
              <w:rPr>
                <w:rFonts w:hint="eastAsia"/>
                <w:b/>
                <w:sz w:val="24"/>
              </w:rPr>
              <w:t>▲</w:t>
            </w:r>
            <w:r>
              <w:rPr>
                <w:rFonts w:hint="eastAsia" w:ascii="宋体" w:hAnsi="宋体" w:cs="宋体"/>
                <w:sz w:val="24"/>
              </w:rPr>
              <w:t>15. 安全柜配有双无碳刷直流风机，可实时监控和控制排风速度。无需机械阻尼器即可调节排气气流。</w:t>
            </w:r>
          </w:p>
          <w:p w14:paraId="054A1355">
            <w:pPr>
              <w:spacing w:line="400" w:lineRule="exact"/>
              <w:rPr>
                <w:rFonts w:ascii="宋体" w:hAnsi="宋体" w:cs="宋体"/>
                <w:sz w:val="24"/>
              </w:rPr>
            </w:pPr>
            <w:r>
              <w:rPr>
                <w:rFonts w:hint="eastAsia"/>
                <w:b/>
                <w:sz w:val="24"/>
              </w:rPr>
              <w:t>▲</w:t>
            </w:r>
            <w:r>
              <w:rPr>
                <w:rFonts w:hint="eastAsia" w:ascii="宋体" w:hAnsi="宋体" w:cs="宋体"/>
                <w:sz w:val="24"/>
              </w:rPr>
              <w:t>16. 安全柜具有待机模式，当前窗关闭时，点击转速自动降低。当安全柜不使用时，样品也可以在无菌的工作环境中保存。</w:t>
            </w:r>
          </w:p>
          <w:p w14:paraId="3ACB244E">
            <w:pPr>
              <w:spacing w:line="400" w:lineRule="exact"/>
              <w:rPr>
                <w:rFonts w:ascii="宋体" w:hAnsi="宋体" w:cs="宋体"/>
                <w:sz w:val="24"/>
              </w:rPr>
            </w:pPr>
            <w:r>
              <w:rPr>
                <w:rFonts w:hint="eastAsia"/>
                <w:b/>
                <w:sz w:val="24"/>
              </w:rPr>
              <w:t>▲</w:t>
            </w:r>
            <w:r>
              <w:rPr>
                <w:rFonts w:hint="eastAsia" w:ascii="宋体" w:hAnsi="宋体" w:cs="宋体"/>
                <w:sz w:val="24"/>
              </w:rPr>
              <w:t>17. 安全柜有两个压力感应器来检测排气和下降风的压力变化。</w:t>
            </w:r>
          </w:p>
          <w:p w14:paraId="04A60FBA">
            <w:pPr>
              <w:spacing w:line="400" w:lineRule="exact"/>
              <w:rPr>
                <w:rFonts w:ascii="宋体" w:hAnsi="宋体" w:cs="宋体"/>
                <w:sz w:val="24"/>
              </w:rPr>
            </w:pPr>
            <w:r>
              <w:rPr>
                <w:rFonts w:hint="eastAsia" w:ascii="宋体" w:hAnsi="宋体" w:cs="宋体"/>
                <w:sz w:val="24"/>
              </w:rPr>
              <w:t>18. 当流入/排气发生20%的变化时，将发出声音和视觉报警。</w:t>
            </w:r>
          </w:p>
          <w:p w14:paraId="3372EB59">
            <w:pPr>
              <w:spacing w:line="400" w:lineRule="exact"/>
              <w:rPr>
                <w:rFonts w:ascii="宋体" w:hAnsi="宋体" w:cs="宋体"/>
                <w:sz w:val="24"/>
              </w:rPr>
            </w:pPr>
            <w:r>
              <w:rPr>
                <w:rFonts w:hint="eastAsia" w:ascii="宋体" w:hAnsi="宋体" w:cs="宋体"/>
                <w:sz w:val="24"/>
              </w:rPr>
              <w:t>19. 安全柜必须具有彩色触摸屏图形用户界面，并且必须实时显示风速和流入风速，以确保用户知道安全柜是否在安全操作条件下工作。</w:t>
            </w:r>
          </w:p>
          <w:p w14:paraId="7E97A49A">
            <w:pPr>
              <w:spacing w:line="400" w:lineRule="exact"/>
              <w:rPr>
                <w:rFonts w:ascii="宋体" w:hAnsi="宋体" w:cs="宋体"/>
                <w:sz w:val="24"/>
              </w:rPr>
            </w:pPr>
            <w:r>
              <w:rPr>
                <w:rFonts w:hint="eastAsia" w:ascii="宋体" w:hAnsi="宋体" w:cs="宋体"/>
                <w:sz w:val="24"/>
              </w:rPr>
              <w:t>20. 安全柜必须显示性能标准，以确保用户在安全条件下工作。</w:t>
            </w:r>
          </w:p>
          <w:p w14:paraId="625E6794">
            <w:pPr>
              <w:spacing w:line="400" w:lineRule="exact"/>
              <w:rPr>
                <w:rFonts w:ascii="宋体" w:hAnsi="宋体" w:cs="宋体"/>
                <w:sz w:val="24"/>
              </w:rPr>
            </w:pPr>
            <w:r>
              <w:rPr>
                <w:rFonts w:hint="eastAsia" w:ascii="宋体" w:hAnsi="宋体" w:cs="宋体"/>
                <w:sz w:val="24"/>
              </w:rPr>
              <w:t>21. 安全柜必须为其性能提供颜色编码指示器，以确保用户知道何时需要更换HEPA过滤器、紫外线或安排日常服务。</w:t>
            </w:r>
          </w:p>
          <w:p w14:paraId="20032900">
            <w:pPr>
              <w:spacing w:line="400" w:lineRule="exact"/>
              <w:rPr>
                <w:rFonts w:ascii="宋体" w:hAnsi="宋体" w:cs="宋体"/>
                <w:sz w:val="24"/>
              </w:rPr>
            </w:pPr>
            <w:r>
              <w:rPr>
                <w:rFonts w:hint="eastAsia" w:ascii="宋体" w:hAnsi="宋体" w:cs="宋体"/>
                <w:sz w:val="24"/>
              </w:rPr>
              <w:t>22. 工作盘下方的排水盘应采用不锈钢制成，并带有斜边。应该有光滑的表面以便于清洁。 不应有支撑工作托盘重量的水平金属条。</w:t>
            </w:r>
          </w:p>
          <w:p w14:paraId="355B8DE1">
            <w:pPr>
              <w:spacing w:line="400" w:lineRule="exact"/>
              <w:rPr>
                <w:rFonts w:ascii="宋体" w:hAnsi="宋体" w:cs="宋体"/>
                <w:sz w:val="24"/>
              </w:rPr>
            </w:pPr>
            <w:r>
              <w:rPr>
                <w:rFonts w:hint="eastAsia" w:ascii="宋体" w:hAnsi="宋体" w:cs="宋体"/>
                <w:sz w:val="24"/>
              </w:rPr>
              <w:t>23. 设备配置254 nm紫外灯。消毒可编程，时间从0至23小时可调，步进为15分钟。</w:t>
            </w:r>
          </w:p>
          <w:p w14:paraId="29A767C8">
            <w:pPr>
              <w:spacing w:line="400" w:lineRule="exact"/>
              <w:rPr>
                <w:rFonts w:ascii="宋体" w:hAnsi="宋体" w:cs="宋体"/>
                <w:sz w:val="24"/>
              </w:rPr>
            </w:pPr>
            <w:r>
              <w:rPr>
                <w:rFonts w:hint="eastAsia" w:ascii="宋体" w:hAnsi="宋体" w:cs="宋体"/>
                <w:sz w:val="24"/>
              </w:rPr>
              <w:t>24. 前窗可以降低至关闭位置之外，从而在窗口的上边缘形成间隙。操作人员可以在安全柜保护状态下，从上部进入清洁玻璃窗上部内表面。</w:t>
            </w:r>
          </w:p>
          <w:p w14:paraId="1EB2F554">
            <w:pPr>
              <w:spacing w:line="400" w:lineRule="exact"/>
              <w:rPr>
                <w:rFonts w:ascii="宋体" w:hAnsi="宋体" w:cs="宋体"/>
                <w:sz w:val="24"/>
              </w:rPr>
            </w:pPr>
            <w:r>
              <w:rPr>
                <w:rFonts w:hint="eastAsia" w:ascii="宋体" w:hAnsi="宋体" w:cs="宋体"/>
                <w:sz w:val="24"/>
              </w:rPr>
              <w:t>25. 安全柜内的后壁上带有2个插座，左右各一个。</w:t>
            </w:r>
          </w:p>
          <w:p w14:paraId="5D8B19B0">
            <w:pPr>
              <w:spacing w:line="400" w:lineRule="exact"/>
              <w:rPr>
                <w:rFonts w:ascii="宋体" w:hAnsi="宋体" w:cs="宋体"/>
                <w:sz w:val="24"/>
              </w:rPr>
            </w:pPr>
            <w:r>
              <w:rPr>
                <w:rFonts w:hint="eastAsia" w:ascii="宋体" w:hAnsi="宋体" w:cs="宋体"/>
                <w:sz w:val="24"/>
              </w:rPr>
              <w:t>26. 安全柜的能耗为200 W（工作时）和70 W（待机模式时）。</w:t>
            </w:r>
          </w:p>
          <w:p w14:paraId="7F3E0C7D">
            <w:pPr>
              <w:spacing w:line="400" w:lineRule="exact"/>
              <w:rPr>
                <w:rFonts w:ascii="宋体" w:hAnsi="宋体" w:cs="宋体"/>
                <w:sz w:val="24"/>
              </w:rPr>
            </w:pPr>
            <w:r>
              <w:rPr>
                <w:rFonts w:hint="eastAsia" w:ascii="宋体" w:hAnsi="宋体" w:cs="宋体"/>
                <w:sz w:val="24"/>
              </w:rPr>
              <w:t>27. 安全柜的额定电压为230 V，50/60 Hz。</w:t>
            </w:r>
          </w:p>
        </w:tc>
        <w:tc>
          <w:tcPr>
            <w:tcW w:w="1134" w:type="dxa"/>
            <w:vAlign w:val="center"/>
          </w:tcPr>
          <w:p w14:paraId="24555E16">
            <w:pPr>
              <w:pStyle w:val="58"/>
              <w:jc w:val="center"/>
              <w:rPr>
                <w:rFonts w:ascii="宋体" w:hAnsi="宋体" w:cs="宋体"/>
                <w:kern w:val="0"/>
                <w:sz w:val="24"/>
                <w:szCs w:val="24"/>
                <w:lang w:bidi="ar"/>
              </w:rPr>
            </w:pPr>
            <w:r>
              <w:rPr>
                <w:rFonts w:hint="eastAsia" w:ascii="宋体" w:hAnsi="宋体" w:cs="宋体"/>
                <w:sz w:val="24"/>
                <w:szCs w:val="24"/>
              </w:rPr>
              <w:t>9</w:t>
            </w:r>
          </w:p>
        </w:tc>
        <w:tc>
          <w:tcPr>
            <w:tcW w:w="1275" w:type="dxa"/>
            <w:vAlign w:val="center"/>
          </w:tcPr>
          <w:p w14:paraId="52D90D28">
            <w:pPr>
              <w:pStyle w:val="58"/>
              <w:jc w:val="center"/>
              <w:rPr>
                <w:rFonts w:ascii="宋体" w:hAnsi="宋体" w:cs="宋体"/>
                <w:kern w:val="0"/>
                <w:sz w:val="24"/>
                <w:szCs w:val="24"/>
                <w:lang w:bidi="ar"/>
              </w:rPr>
            </w:pPr>
            <w:r>
              <w:rPr>
                <w:rFonts w:hint="eastAsia" w:ascii="宋体" w:hAnsi="宋体" w:cs="宋体"/>
                <w:sz w:val="24"/>
                <w:szCs w:val="24"/>
              </w:rPr>
              <w:t>18</w:t>
            </w:r>
          </w:p>
        </w:tc>
      </w:tr>
      <w:tr w14:paraId="4C7B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60964840">
            <w:pPr>
              <w:spacing w:line="440" w:lineRule="exact"/>
              <w:jc w:val="center"/>
              <w:rPr>
                <w:rFonts w:ascii="宋体" w:hAnsi="宋体" w:cs="宋体"/>
                <w:sz w:val="24"/>
              </w:rPr>
            </w:pPr>
            <w:r>
              <w:rPr>
                <w:rFonts w:hint="eastAsia" w:ascii="宋体" w:hAnsi="宋体" w:cs="宋体"/>
                <w:sz w:val="24"/>
              </w:rPr>
              <w:t>8</w:t>
            </w:r>
          </w:p>
        </w:tc>
        <w:tc>
          <w:tcPr>
            <w:tcW w:w="1318" w:type="dxa"/>
            <w:vAlign w:val="center"/>
          </w:tcPr>
          <w:p w14:paraId="227EE5DC">
            <w:pPr>
              <w:jc w:val="center"/>
              <w:rPr>
                <w:rFonts w:ascii="宋体" w:hAnsi="宋体" w:cs="宋体"/>
                <w:sz w:val="24"/>
              </w:rPr>
            </w:pPr>
            <w:r>
              <w:rPr>
                <w:rFonts w:hint="eastAsia" w:ascii="宋体" w:hAnsi="宋体" w:cs="宋体"/>
                <w:color w:val="000000"/>
                <w:sz w:val="24"/>
              </w:rPr>
              <w:t>细胞二氧化碳培养箱</w:t>
            </w:r>
          </w:p>
        </w:tc>
        <w:tc>
          <w:tcPr>
            <w:tcW w:w="557" w:type="dxa"/>
            <w:vAlign w:val="center"/>
          </w:tcPr>
          <w:p w14:paraId="66044588">
            <w:pPr>
              <w:pStyle w:val="58"/>
              <w:jc w:val="center"/>
              <w:rPr>
                <w:rFonts w:ascii="宋体" w:hAnsi="宋体" w:cs="宋体"/>
                <w:sz w:val="24"/>
                <w:szCs w:val="24"/>
              </w:rPr>
            </w:pPr>
            <w:r>
              <w:rPr>
                <w:rFonts w:hint="eastAsia" w:ascii="宋体" w:hAnsi="宋体" w:cs="宋体"/>
                <w:sz w:val="24"/>
                <w:szCs w:val="24"/>
              </w:rPr>
              <w:t>3</w:t>
            </w:r>
          </w:p>
        </w:tc>
        <w:tc>
          <w:tcPr>
            <w:tcW w:w="660" w:type="dxa"/>
            <w:vAlign w:val="center"/>
          </w:tcPr>
          <w:p w14:paraId="01BB0213">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54F12B3F">
            <w:pPr>
              <w:spacing w:line="400" w:lineRule="exact"/>
              <w:rPr>
                <w:rFonts w:ascii="宋体" w:hAnsi="宋体" w:cs="宋体"/>
                <w:sz w:val="24"/>
              </w:rPr>
            </w:pPr>
            <w:r>
              <w:rPr>
                <w:rFonts w:hint="eastAsia" w:ascii="宋体" w:hAnsi="宋体" w:cs="宋体"/>
                <w:sz w:val="24"/>
              </w:rPr>
              <w:t>1. 工作体积：</w:t>
            </w:r>
            <w:bookmarkStart w:id="43" w:name="OLE_LINK7"/>
            <w:r>
              <w:rPr>
                <w:rFonts w:hint="eastAsia" w:ascii="宋体" w:hAnsi="宋体" w:cs="宋体"/>
                <w:sz w:val="24"/>
              </w:rPr>
              <w:t>≥</w:t>
            </w:r>
            <w:bookmarkEnd w:id="43"/>
            <w:r>
              <w:rPr>
                <w:rFonts w:hint="eastAsia" w:ascii="宋体" w:hAnsi="宋体" w:cs="宋体"/>
                <w:sz w:val="24"/>
              </w:rPr>
              <w:t>165升。</w:t>
            </w:r>
          </w:p>
          <w:p w14:paraId="19055E19">
            <w:pPr>
              <w:spacing w:line="400" w:lineRule="exact"/>
              <w:rPr>
                <w:rFonts w:ascii="宋体" w:hAnsi="宋体" w:cs="宋体"/>
                <w:sz w:val="24"/>
              </w:rPr>
            </w:pPr>
            <w:r>
              <w:rPr>
                <w:rFonts w:hint="eastAsia" w:ascii="宋体" w:hAnsi="宋体" w:cs="宋体"/>
                <w:sz w:val="24"/>
              </w:rPr>
              <w:t>2. 电抛光不锈钢。</w:t>
            </w:r>
          </w:p>
          <w:p w14:paraId="4E806F01">
            <w:pPr>
              <w:spacing w:line="400" w:lineRule="exact"/>
              <w:rPr>
                <w:rFonts w:ascii="宋体" w:hAnsi="宋体" w:cs="宋体"/>
                <w:sz w:val="24"/>
              </w:rPr>
            </w:pPr>
            <w:r>
              <w:rPr>
                <w:rFonts w:hint="eastAsia" w:ascii="宋体" w:hAnsi="宋体" w:cs="宋体"/>
                <w:sz w:val="24"/>
              </w:rPr>
              <w:t>3. 标配搁板数目/最多可选装搁板数：≥3块/10块，隔板带孔可调节高度。</w:t>
            </w:r>
          </w:p>
          <w:p w14:paraId="0F754E99">
            <w:pPr>
              <w:spacing w:line="400" w:lineRule="exact"/>
              <w:rPr>
                <w:rFonts w:ascii="宋体" w:hAnsi="宋体" w:cs="宋体"/>
                <w:sz w:val="24"/>
              </w:rPr>
            </w:pPr>
            <w:r>
              <w:rPr>
                <w:rFonts w:hint="eastAsia" w:ascii="宋体" w:hAnsi="宋体" w:cs="宋体"/>
                <w:sz w:val="24"/>
              </w:rPr>
              <w:t>4. 单隔板承重≥10 kg，总承重≥30 kg。</w:t>
            </w:r>
          </w:p>
          <w:p w14:paraId="1C60FFE9">
            <w:pPr>
              <w:spacing w:line="400" w:lineRule="exact"/>
              <w:rPr>
                <w:rFonts w:ascii="宋体" w:hAnsi="宋体" w:cs="宋体"/>
                <w:sz w:val="24"/>
              </w:rPr>
            </w:pPr>
            <w:r>
              <w:rPr>
                <w:rFonts w:hint="eastAsia" w:ascii="宋体" w:hAnsi="宋体" w:cs="宋体"/>
                <w:sz w:val="24"/>
              </w:rPr>
              <w:t>5. 温度控制范围：高于室温3℃-55℃。</w:t>
            </w:r>
          </w:p>
          <w:p w14:paraId="291FD4FE">
            <w:pPr>
              <w:spacing w:line="400" w:lineRule="exact"/>
              <w:rPr>
                <w:rFonts w:ascii="宋体" w:hAnsi="宋体" w:cs="宋体"/>
                <w:sz w:val="24"/>
              </w:rPr>
            </w:pPr>
            <w:r>
              <w:rPr>
                <w:rFonts w:hint="eastAsia" w:ascii="宋体" w:hAnsi="宋体" w:cs="宋体"/>
                <w:sz w:val="24"/>
              </w:rPr>
              <w:t>6. 温度控制精度（时间）：±0.1 ℃。</w:t>
            </w:r>
          </w:p>
          <w:p w14:paraId="11C94275">
            <w:pPr>
              <w:spacing w:line="400" w:lineRule="exact"/>
              <w:rPr>
                <w:rFonts w:ascii="宋体" w:hAnsi="宋体" w:cs="宋体"/>
                <w:sz w:val="24"/>
              </w:rPr>
            </w:pPr>
            <w:r>
              <w:rPr>
                <w:rFonts w:hint="eastAsia" w:ascii="宋体" w:hAnsi="宋体" w:cs="宋体"/>
                <w:sz w:val="24"/>
              </w:rPr>
              <w:t>7. 温度均一性：</w:t>
            </w:r>
            <w:bookmarkStart w:id="44" w:name="OLE_LINK3"/>
            <w:r>
              <w:rPr>
                <w:rFonts w:hint="eastAsia" w:ascii="宋体" w:hAnsi="宋体" w:cs="宋体"/>
                <w:sz w:val="24"/>
              </w:rPr>
              <w:t>≤</w:t>
            </w:r>
            <w:bookmarkEnd w:id="44"/>
            <w:r>
              <w:rPr>
                <w:rFonts w:hint="eastAsia" w:ascii="宋体" w:hAnsi="宋体" w:cs="宋体"/>
                <w:sz w:val="24"/>
              </w:rPr>
              <w:t>±0.3 ℃，空间温度测试点。</w:t>
            </w:r>
          </w:p>
          <w:p w14:paraId="406BD2D8">
            <w:pPr>
              <w:spacing w:line="400" w:lineRule="exact"/>
              <w:rPr>
                <w:rFonts w:ascii="宋体" w:hAnsi="宋体" w:cs="宋体"/>
                <w:sz w:val="24"/>
              </w:rPr>
            </w:pPr>
            <w:r>
              <w:rPr>
                <w:rFonts w:hint="eastAsia" w:ascii="宋体" w:hAnsi="宋体" w:cs="宋体"/>
                <w:sz w:val="24"/>
              </w:rPr>
              <w:t>8. 温度跟踪报警：有，±1℃。</w:t>
            </w:r>
          </w:p>
          <w:p w14:paraId="4AF62D24">
            <w:pPr>
              <w:spacing w:line="400" w:lineRule="exact"/>
              <w:rPr>
                <w:rFonts w:ascii="宋体" w:hAnsi="宋体" w:cs="宋体"/>
                <w:sz w:val="24"/>
              </w:rPr>
            </w:pPr>
            <w:r>
              <w:rPr>
                <w:rFonts w:hint="eastAsia" w:ascii="宋体" w:hAnsi="宋体" w:cs="宋体"/>
                <w:sz w:val="24"/>
              </w:rPr>
              <w:t>9. 温度显示：触摸屏。</w:t>
            </w:r>
          </w:p>
          <w:p w14:paraId="67A7EC2B">
            <w:pPr>
              <w:spacing w:line="400" w:lineRule="exact"/>
              <w:rPr>
                <w:rFonts w:ascii="宋体" w:hAnsi="宋体" w:cs="宋体"/>
                <w:sz w:val="24"/>
              </w:rPr>
            </w:pPr>
            <w:r>
              <w:rPr>
                <w:rFonts w:hint="eastAsia" w:ascii="宋体" w:hAnsi="宋体" w:cs="宋体"/>
                <w:sz w:val="24"/>
              </w:rPr>
              <w:t>10. 保温方式：直热式。</w:t>
            </w:r>
          </w:p>
          <w:p w14:paraId="52A1A186">
            <w:pPr>
              <w:spacing w:line="400" w:lineRule="exact"/>
              <w:rPr>
                <w:rFonts w:ascii="宋体" w:hAnsi="宋体" w:cs="宋体"/>
                <w:sz w:val="24"/>
              </w:rPr>
            </w:pPr>
            <w:r>
              <w:rPr>
                <w:rFonts w:hint="eastAsia" w:ascii="宋体" w:hAnsi="宋体" w:cs="宋体"/>
                <w:sz w:val="24"/>
              </w:rPr>
              <w:t>11. 双温度探头，PID控制，保证温度不会过冲。</w:t>
            </w:r>
          </w:p>
          <w:p w14:paraId="53A3B0D3">
            <w:pPr>
              <w:spacing w:line="400" w:lineRule="exact"/>
              <w:rPr>
                <w:rFonts w:ascii="宋体" w:hAnsi="宋体" w:cs="宋体"/>
                <w:sz w:val="24"/>
              </w:rPr>
            </w:pPr>
            <w:r>
              <w:rPr>
                <w:rFonts w:hint="eastAsia"/>
                <w:b/>
                <w:sz w:val="24"/>
              </w:rPr>
              <w:t>▲</w:t>
            </w:r>
            <w:r>
              <w:rPr>
                <w:rFonts w:hint="eastAsia" w:ascii="宋体" w:hAnsi="宋体" w:cs="宋体"/>
                <w:sz w:val="24"/>
              </w:rPr>
              <w:t>12. 开门后30s，温度恢复至37 ℃时间≤5分钟。</w:t>
            </w:r>
          </w:p>
          <w:p w14:paraId="75417AA8">
            <w:pPr>
              <w:spacing w:line="400" w:lineRule="exact"/>
              <w:rPr>
                <w:rFonts w:ascii="宋体" w:hAnsi="宋体" w:cs="宋体"/>
                <w:sz w:val="24"/>
              </w:rPr>
            </w:pPr>
            <w:r>
              <w:rPr>
                <w:rFonts w:hint="eastAsia" w:ascii="宋体" w:hAnsi="宋体" w:cs="宋体"/>
                <w:sz w:val="24"/>
              </w:rPr>
              <w:t>13. 二氧化碳控制范围：1～20%。</w:t>
            </w:r>
          </w:p>
          <w:p w14:paraId="66F9015A">
            <w:pPr>
              <w:spacing w:line="400" w:lineRule="exact"/>
              <w:rPr>
                <w:rFonts w:ascii="宋体" w:hAnsi="宋体" w:cs="宋体"/>
                <w:sz w:val="24"/>
              </w:rPr>
            </w:pPr>
            <w:r>
              <w:rPr>
                <w:rFonts w:hint="eastAsia" w:ascii="宋体" w:hAnsi="宋体" w:cs="宋体"/>
                <w:sz w:val="24"/>
              </w:rPr>
              <w:t>14. 二氧化碳控制精度：±0.1%。</w:t>
            </w:r>
          </w:p>
          <w:p w14:paraId="2D2EF6BB">
            <w:pPr>
              <w:spacing w:line="400" w:lineRule="exact"/>
              <w:rPr>
                <w:rFonts w:ascii="宋体" w:hAnsi="宋体" w:cs="宋体"/>
                <w:sz w:val="24"/>
              </w:rPr>
            </w:pPr>
            <w:r>
              <w:rPr>
                <w:rFonts w:hint="eastAsia" w:ascii="宋体" w:hAnsi="宋体" w:cs="宋体"/>
                <w:sz w:val="24"/>
              </w:rPr>
              <w:t>15. 二氧化碳跟踪报警：有，±1%，系统带一键自动校准功能。</w:t>
            </w:r>
          </w:p>
          <w:p w14:paraId="76E41B36">
            <w:pPr>
              <w:spacing w:line="400" w:lineRule="exact"/>
              <w:rPr>
                <w:rFonts w:ascii="宋体" w:hAnsi="宋体" w:cs="宋体"/>
                <w:sz w:val="24"/>
              </w:rPr>
            </w:pPr>
            <w:r>
              <w:rPr>
                <w:rFonts w:hint="eastAsia"/>
                <w:b/>
                <w:sz w:val="24"/>
              </w:rPr>
              <w:t>▲</w:t>
            </w:r>
            <w:r>
              <w:rPr>
                <w:rFonts w:hint="eastAsia" w:ascii="宋体" w:hAnsi="宋体" w:cs="宋体"/>
                <w:sz w:val="24"/>
              </w:rPr>
              <w:t>16. 二氧化碳浓度控制：最新TC180探头，带湿度补偿，在开门30s后，恢复设置值时间≤6分钟。</w:t>
            </w:r>
          </w:p>
          <w:p w14:paraId="29A3C5E4">
            <w:pPr>
              <w:spacing w:line="400" w:lineRule="exact"/>
              <w:rPr>
                <w:rFonts w:ascii="宋体" w:hAnsi="宋体" w:cs="宋体"/>
                <w:sz w:val="24"/>
              </w:rPr>
            </w:pPr>
            <w:r>
              <w:rPr>
                <w:rFonts w:hint="eastAsia" w:ascii="宋体" w:hAnsi="宋体" w:cs="宋体"/>
                <w:sz w:val="24"/>
              </w:rPr>
              <w:t>17. 用户编程上下限可跟踪报警。</w:t>
            </w:r>
          </w:p>
          <w:p w14:paraId="14245BCA">
            <w:pPr>
              <w:spacing w:line="400" w:lineRule="exact"/>
              <w:rPr>
                <w:rFonts w:ascii="宋体" w:hAnsi="宋体" w:cs="宋体"/>
                <w:sz w:val="24"/>
              </w:rPr>
            </w:pPr>
            <w:r>
              <w:rPr>
                <w:rFonts w:hint="eastAsia" w:ascii="宋体" w:hAnsi="宋体" w:cs="宋体"/>
                <w:sz w:val="24"/>
              </w:rPr>
              <w:t>18. 开门30 s后，二氧化碳浓度恢复时间≤6分钟。</w:t>
            </w:r>
          </w:p>
          <w:p w14:paraId="2407BF07">
            <w:pPr>
              <w:spacing w:line="400" w:lineRule="exact"/>
              <w:rPr>
                <w:rFonts w:ascii="宋体" w:hAnsi="宋体" w:cs="宋体"/>
                <w:sz w:val="24"/>
              </w:rPr>
            </w:pPr>
            <w:r>
              <w:rPr>
                <w:rFonts w:hint="eastAsia" w:ascii="宋体" w:hAnsi="宋体" w:cs="宋体"/>
                <w:sz w:val="24"/>
              </w:rPr>
              <w:t>19. 无水盘设计，内置3L下沉式水库，自带液位探头，可持续监控水位，并在控制面板显示。</w:t>
            </w:r>
          </w:p>
          <w:p w14:paraId="5381E317">
            <w:pPr>
              <w:spacing w:line="400" w:lineRule="exact"/>
              <w:rPr>
                <w:rFonts w:ascii="宋体" w:hAnsi="宋体" w:cs="宋体"/>
                <w:sz w:val="24"/>
              </w:rPr>
            </w:pPr>
            <w:r>
              <w:rPr>
                <w:rFonts w:hint="eastAsia" w:ascii="宋体" w:hAnsi="宋体" w:cs="宋体"/>
                <w:sz w:val="24"/>
              </w:rPr>
              <w:t>20. 湿度恢复速度≤10分钟（开门30s后）。</w:t>
            </w:r>
          </w:p>
          <w:p w14:paraId="08B3C73C">
            <w:pPr>
              <w:spacing w:line="400" w:lineRule="exact"/>
              <w:rPr>
                <w:rFonts w:ascii="宋体" w:hAnsi="宋体" w:cs="宋体"/>
                <w:sz w:val="24"/>
              </w:rPr>
            </w:pPr>
            <w:r>
              <w:rPr>
                <w:rFonts w:hint="eastAsia"/>
                <w:b/>
                <w:sz w:val="24"/>
              </w:rPr>
              <w:t>▲</w:t>
            </w:r>
            <w:r>
              <w:rPr>
                <w:rFonts w:hint="eastAsia" w:ascii="宋体" w:hAnsi="宋体" w:cs="宋体"/>
                <w:sz w:val="24"/>
              </w:rPr>
              <w:t>21. 180 ℃干热灭菌程序，可保证全部配件在位灭菌，灭菌测试点35个包括玻璃内门都能达到180 ℃，灭菌同时包括TC180探头，氧气监控探头，灭菌时间≤12小时。</w:t>
            </w:r>
          </w:p>
          <w:p w14:paraId="033B1046">
            <w:pPr>
              <w:spacing w:line="400" w:lineRule="exact"/>
              <w:rPr>
                <w:rFonts w:ascii="宋体" w:hAnsi="宋体" w:cs="宋体"/>
                <w:sz w:val="24"/>
              </w:rPr>
            </w:pPr>
            <w:r>
              <w:rPr>
                <w:rFonts w:hint="eastAsia" w:ascii="宋体" w:hAnsi="宋体" w:cs="宋体"/>
                <w:sz w:val="24"/>
              </w:rPr>
              <w:t>22. 180 ℃干热灭菌效果：6-log降。</w:t>
            </w:r>
          </w:p>
          <w:p w14:paraId="6895E893">
            <w:pPr>
              <w:spacing w:line="400" w:lineRule="exact"/>
              <w:rPr>
                <w:rFonts w:ascii="宋体" w:hAnsi="宋体" w:cs="宋体"/>
                <w:sz w:val="24"/>
              </w:rPr>
            </w:pPr>
            <w:r>
              <w:rPr>
                <w:rFonts w:hint="eastAsia" w:ascii="宋体" w:hAnsi="宋体" w:cs="宋体"/>
                <w:sz w:val="24"/>
              </w:rPr>
              <w:t>23. 标配HEPA过滤器，开门30s后关闭，仅5分钟能够使培养箱体内环境达到ISO-5，HEPA去除颗粒物效果：4-log（5分钟内）。</w:t>
            </w:r>
          </w:p>
          <w:p w14:paraId="2D81FF28">
            <w:pPr>
              <w:spacing w:line="400" w:lineRule="exact"/>
              <w:rPr>
                <w:rFonts w:ascii="宋体" w:hAnsi="宋体" w:cs="宋体"/>
                <w:sz w:val="24"/>
              </w:rPr>
            </w:pPr>
            <w:r>
              <w:rPr>
                <w:rFonts w:hint="eastAsia" w:ascii="宋体" w:hAnsi="宋体" w:cs="宋体"/>
                <w:sz w:val="24"/>
              </w:rPr>
              <w:t>24. 标配右开门。</w:t>
            </w:r>
          </w:p>
          <w:p w14:paraId="7CB20FC1">
            <w:pPr>
              <w:spacing w:line="400" w:lineRule="exact"/>
              <w:rPr>
                <w:rFonts w:ascii="宋体" w:hAnsi="宋体" w:cs="宋体"/>
                <w:sz w:val="24"/>
              </w:rPr>
            </w:pPr>
            <w:r>
              <w:rPr>
                <w:rFonts w:hint="eastAsia" w:ascii="宋体" w:hAnsi="宋体" w:cs="宋体"/>
                <w:sz w:val="24"/>
              </w:rPr>
              <w:t>25. 配置iCAN触摸屏，中文菜单，具有程序自检功能和自动校正功能。</w:t>
            </w:r>
          </w:p>
          <w:p w14:paraId="280B59EF">
            <w:pPr>
              <w:spacing w:line="400" w:lineRule="exact"/>
              <w:rPr>
                <w:rFonts w:ascii="宋体" w:hAnsi="宋体" w:cs="宋体"/>
                <w:sz w:val="24"/>
              </w:rPr>
            </w:pPr>
            <w:r>
              <w:rPr>
                <w:rFonts w:hint="eastAsia" w:ascii="宋体" w:hAnsi="宋体" w:cs="宋体"/>
                <w:sz w:val="24"/>
              </w:rPr>
              <w:t>26. 显示控制：触摸屏显示温度和二氧化碳浓度。</w:t>
            </w:r>
          </w:p>
          <w:p w14:paraId="6CF736C7">
            <w:pPr>
              <w:spacing w:line="400" w:lineRule="exact"/>
              <w:rPr>
                <w:rFonts w:ascii="宋体" w:hAnsi="宋体" w:cs="宋体"/>
                <w:sz w:val="24"/>
              </w:rPr>
            </w:pPr>
            <w:r>
              <w:rPr>
                <w:rFonts w:hint="eastAsia"/>
                <w:b/>
                <w:sz w:val="24"/>
              </w:rPr>
              <w:t>▲</w:t>
            </w:r>
            <w:r>
              <w:rPr>
                <w:rFonts w:hint="eastAsia" w:ascii="宋体" w:hAnsi="宋体" w:cs="宋体"/>
                <w:sz w:val="24"/>
              </w:rPr>
              <w:t>27. 在3分钟记录一次的条件下，可自动记录15天全部运行数据，并可通过仪器自带USB端口下载历史数据。</w:t>
            </w:r>
          </w:p>
          <w:p w14:paraId="605D0C9B">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4B3E736F">
            <w:pPr>
              <w:pStyle w:val="58"/>
              <w:jc w:val="center"/>
              <w:rPr>
                <w:rFonts w:ascii="宋体" w:hAnsi="宋体" w:cs="宋体"/>
                <w:kern w:val="0"/>
                <w:sz w:val="24"/>
                <w:szCs w:val="24"/>
                <w:lang w:bidi="ar"/>
              </w:rPr>
            </w:pPr>
            <w:r>
              <w:rPr>
                <w:rFonts w:hint="eastAsia" w:ascii="宋体" w:hAnsi="宋体" w:cs="宋体"/>
                <w:sz w:val="24"/>
                <w:szCs w:val="24"/>
              </w:rPr>
              <w:t>9</w:t>
            </w:r>
          </w:p>
        </w:tc>
        <w:tc>
          <w:tcPr>
            <w:tcW w:w="1275" w:type="dxa"/>
            <w:vAlign w:val="center"/>
          </w:tcPr>
          <w:p w14:paraId="25EAF1C7">
            <w:pPr>
              <w:pStyle w:val="58"/>
              <w:jc w:val="center"/>
              <w:rPr>
                <w:rFonts w:ascii="宋体" w:hAnsi="宋体" w:cs="宋体"/>
                <w:kern w:val="0"/>
                <w:sz w:val="24"/>
                <w:szCs w:val="24"/>
                <w:lang w:bidi="ar"/>
              </w:rPr>
            </w:pPr>
            <w:r>
              <w:rPr>
                <w:rFonts w:hint="eastAsia" w:ascii="宋体" w:hAnsi="宋体" w:cs="宋体"/>
                <w:sz w:val="24"/>
                <w:szCs w:val="24"/>
              </w:rPr>
              <w:t>27</w:t>
            </w:r>
          </w:p>
        </w:tc>
      </w:tr>
      <w:tr w14:paraId="5FD5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4CC86413">
            <w:pPr>
              <w:spacing w:line="440" w:lineRule="exact"/>
              <w:jc w:val="center"/>
              <w:rPr>
                <w:rFonts w:ascii="宋体" w:hAnsi="宋体" w:cs="宋体"/>
                <w:sz w:val="24"/>
              </w:rPr>
            </w:pPr>
            <w:r>
              <w:rPr>
                <w:rFonts w:hint="eastAsia" w:ascii="宋体" w:hAnsi="宋体" w:cs="宋体"/>
                <w:sz w:val="24"/>
              </w:rPr>
              <w:t>9</w:t>
            </w:r>
          </w:p>
        </w:tc>
        <w:tc>
          <w:tcPr>
            <w:tcW w:w="1318" w:type="dxa"/>
            <w:vAlign w:val="center"/>
          </w:tcPr>
          <w:p w14:paraId="7203C767">
            <w:pPr>
              <w:jc w:val="center"/>
              <w:rPr>
                <w:rFonts w:ascii="宋体" w:hAnsi="宋体" w:cs="宋体"/>
                <w:sz w:val="24"/>
              </w:rPr>
            </w:pPr>
            <w:r>
              <w:rPr>
                <w:rFonts w:hint="eastAsia" w:ascii="宋体" w:hAnsi="宋体" w:cs="宋体"/>
                <w:sz w:val="24"/>
              </w:rPr>
              <w:t>PCR仪</w:t>
            </w:r>
          </w:p>
        </w:tc>
        <w:tc>
          <w:tcPr>
            <w:tcW w:w="557" w:type="dxa"/>
            <w:vAlign w:val="center"/>
          </w:tcPr>
          <w:p w14:paraId="2347A12F">
            <w:pPr>
              <w:pStyle w:val="58"/>
              <w:jc w:val="center"/>
              <w:rPr>
                <w:rFonts w:ascii="宋体" w:hAnsi="宋体" w:cs="宋体"/>
                <w:sz w:val="24"/>
                <w:szCs w:val="24"/>
              </w:rPr>
            </w:pPr>
            <w:r>
              <w:rPr>
                <w:rFonts w:hint="eastAsia" w:ascii="宋体" w:hAnsi="宋体" w:cs="宋体"/>
                <w:sz w:val="24"/>
                <w:szCs w:val="24"/>
              </w:rPr>
              <w:t>3</w:t>
            </w:r>
          </w:p>
        </w:tc>
        <w:tc>
          <w:tcPr>
            <w:tcW w:w="660" w:type="dxa"/>
            <w:vAlign w:val="center"/>
          </w:tcPr>
          <w:p w14:paraId="252DF561">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2656C1EE">
            <w:pPr>
              <w:spacing w:line="400" w:lineRule="exact"/>
              <w:rPr>
                <w:rFonts w:ascii="宋体" w:hAnsi="宋体" w:cs="宋体"/>
                <w:sz w:val="24"/>
              </w:rPr>
            </w:pPr>
            <w:r>
              <w:rPr>
                <w:rFonts w:hint="eastAsia" w:ascii="宋体" w:hAnsi="宋体" w:cs="宋体"/>
                <w:sz w:val="24"/>
              </w:rPr>
              <w:t>1、全彩色触摸显示屏，图形化程序编辑，直观简便。</w:t>
            </w:r>
          </w:p>
          <w:p w14:paraId="20A7683E">
            <w:pPr>
              <w:spacing w:line="400" w:lineRule="exact"/>
              <w:rPr>
                <w:rFonts w:ascii="宋体" w:hAnsi="宋体" w:cs="宋体"/>
                <w:sz w:val="24"/>
              </w:rPr>
            </w:pPr>
            <w:r>
              <w:rPr>
                <w:rFonts w:hint="eastAsia" w:ascii="宋体" w:hAnsi="宋体" w:cs="宋体"/>
                <w:sz w:val="24"/>
              </w:rPr>
              <w:t>2、铝质样品模块，适用0.1 ml/0.2 ml PCR管、8联管及96孔PCR 板。</w:t>
            </w:r>
          </w:p>
          <w:p w14:paraId="6A96DBC2">
            <w:pPr>
              <w:spacing w:line="400" w:lineRule="exact"/>
              <w:rPr>
                <w:rFonts w:ascii="宋体" w:hAnsi="宋体" w:cs="宋体"/>
                <w:sz w:val="24"/>
              </w:rPr>
            </w:pPr>
            <w:r>
              <w:rPr>
                <w:rFonts w:hint="eastAsia" w:ascii="宋体" w:hAnsi="宋体" w:cs="宋体"/>
                <w:sz w:val="24"/>
              </w:rPr>
              <w:t>3、升降温速率：升温≥5 ℃/秒，降温≥2.3 ℃/秒。</w:t>
            </w:r>
          </w:p>
          <w:p w14:paraId="34C65496">
            <w:pPr>
              <w:spacing w:line="400" w:lineRule="exact"/>
              <w:rPr>
                <w:rFonts w:ascii="宋体" w:hAnsi="宋体" w:cs="宋体"/>
                <w:sz w:val="24"/>
              </w:rPr>
            </w:pPr>
            <w:r>
              <w:rPr>
                <w:rFonts w:hint="eastAsia" w:ascii="宋体" w:hAnsi="宋体" w:cs="宋体"/>
                <w:sz w:val="24"/>
              </w:rPr>
              <w:t>4、模块温控范围：4-99 ℃。</w:t>
            </w:r>
          </w:p>
          <w:p w14:paraId="7FEA57F5">
            <w:pPr>
              <w:spacing w:line="400" w:lineRule="exact"/>
              <w:rPr>
                <w:rFonts w:ascii="宋体" w:hAnsi="宋体" w:cs="宋体"/>
                <w:sz w:val="24"/>
              </w:rPr>
            </w:pPr>
            <w:r>
              <w:rPr>
                <w:rFonts w:hint="eastAsia"/>
                <w:b/>
                <w:sz w:val="24"/>
              </w:rPr>
              <w:t>▲</w:t>
            </w:r>
            <w:r>
              <w:rPr>
                <w:rFonts w:hint="eastAsia" w:ascii="宋体" w:hAnsi="宋体" w:cs="宋体"/>
                <w:sz w:val="24"/>
              </w:rPr>
              <w:t>5、温控精确度：±0.15 ℃。</w:t>
            </w:r>
          </w:p>
          <w:p w14:paraId="7DE2CA70">
            <w:pPr>
              <w:spacing w:line="400" w:lineRule="exact"/>
              <w:rPr>
                <w:rFonts w:ascii="宋体" w:hAnsi="宋体" w:cs="宋体"/>
                <w:sz w:val="24"/>
              </w:rPr>
            </w:pPr>
            <w:r>
              <w:rPr>
                <w:rFonts w:hint="eastAsia" w:ascii="宋体" w:hAnsi="宋体" w:cs="宋体"/>
                <w:sz w:val="24"/>
              </w:rPr>
              <w:t>6、温度均一性：20-72 ℃时≤±0.2 ℃；95 ℃时≤±0.3 ℃。</w:t>
            </w:r>
          </w:p>
          <w:p w14:paraId="616D5472">
            <w:pPr>
              <w:spacing w:line="400" w:lineRule="exact"/>
              <w:rPr>
                <w:rFonts w:ascii="宋体" w:hAnsi="宋体" w:cs="宋体"/>
                <w:sz w:val="24"/>
              </w:rPr>
            </w:pPr>
            <w:r>
              <w:rPr>
                <w:rFonts w:hint="eastAsia" w:ascii="宋体" w:hAnsi="宋体" w:cs="宋体"/>
                <w:sz w:val="24"/>
              </w:rPr>
              <w:t>7、梯度范围1-30 ℃。</w:t>
            </w:r>
          </w:p>
          <w:p w14:paraId="4784692E">
            <w:pPr>
              <w:spacing w:line="400" w:lineRule="exact"/>
              <w:rPr>
                <w:rFonts w:ascii="宋体" w:hAnsi="宋体" w:cs="宋体"/>
                <w:sz w:val="24"/>
              </w:rPr>
            </w:pPr>
            <w:r>
              <w:rPr>
                <w:rFonts w:hint="eastAsia" w:ascii="宋体" w:hAnsi="宋体" w:cs="宋体"/>
                <w:sz w:val="24"/>
              </w:rPr>
              <w:t>8、2D-梯度技术，可以生成横向（12列）和纵向（8排）温度梯度。</w:t>
            </w:r>
          </w:p>
          <w:p w14:paraId="3A066096">
            <w:pPr>
              <w:spacing w:line="400" w:lineRule="exact"/>
              <w:rPr>
                <w:rFonts w:ascii="宋体" w:hAnsi="宋体" w:cs="宋体"/>
                <w:sz w:val="24"/>
              </w:rPr>
            </w:pPr>
            <w:r>
              <w:rPr>
                <w:rFonts w:hint="eastAsia"/>
                <w:b/>
                <w:sz w:val="24"/>
              </w:rPr>
              <w:t>▲</w:t>
            </w:r>
            <w:r>
              <w:rPr>
                <w:rFonts w:hint="eastAsia" w:ascii="宋体" w:hAnsi="宋体" w:cs="宋体"/>
                <w:sz w:val="24"/>
              </w:rPr>
              <w:t>9、温控模块使用≥6块半导体元件，每块半导体元件均独立控制。</w:t>
            </w:r>
          </w:p>
          <w:p w14:paraId="7944764F">
            <w:pPr>
              <w:spacing w:line="400" w:lineRule="exact"/>
              <w:rPr>
                <w:rFonts w:ascii="宋体" w:hAnsi="宋体" w:cs="宋体"/>
                <w:sz w:val="24"/>
              </w:rPr>
            </w:pPr>
            <w:r>
              <w:rPr>
                <w:rFonts w:hint="eastAsia" w:ascii="宋体" w:hAnsi="宋体" w:cs="宋体"/>
                <w:sz w:val="24"/>
              </w:rPr>
              <w:t>10、热盖可自动调节高度，适应不同耗材。</w:t>
            </w:r>
          </w:p>
          <w:p w14:paraId="6D529D97">
            <w:pPr>
              <w:spacing w:line="400" w:lineRule="exact"/>
              <w:rPr>
                <w:rFonts w:ascii="宋体" w:hAnsi="宋体" w:cs="宋体"/>
                <w:sz w:val="24"/>
              </w:rPr>
            </w:pPr>
            <w:r>
              <w:rPr>
                <w:rFonts w:hint="eastAsia" w:ascii="宋体" w:hAnsi="宋体" w:cs="宋体"/>
                <w:sz w:val="24"/>
              </w:rPr>
              <w:t>11、热盖温度范围：37-110 ℃。</w:t>
            </w:r>
          </w:p>
          <w:p w14:paraId="17934835">
            <w:pPr>
              <w:spacing w:line="400" w:lineRule="exact"/>
              <w:rPr>
                <w:rFonts w:ascii="宋体" w:hAnsi="宋体" w:cs="宋体"/>
                <w:sz w:val="24"/>
              </w:rPr>
            </w:pPr>
            <w:r>
              <w:rPr>
                <w:rFonts w:hint="eastAsia" w:ascii="宋体" w:hAnsi="宋体" w:cs="宋体"/>
                <w:sz w:val="24"/>
              </w:rPr>
              <w:t>12、具有样品温控保护技术，减少非特异性反应。</w:t>
            </w:r>
          </w:p>
          <w:p w14:paraId="5C30BEDE">
            <w:pPr>
              <w:spacing w:line="400" w:lineRule="exact"/>
              <w:rPr>
                <w:rFonts w:ascii="宋体" w:hAnsi="宋体" w:cs="宋体"/>
                <w:sz w:val="24"/>
              </w:rPr>
            </w:pPr>
            <w:r>
              <w:rPr>
                <w:rFonts w:hint="eastAsia"/>
                <w:b/>
                <w:sz w:val="24"/>
              </w:rPr>
              <w:t>▲</w:t>
            </w:r>
            <w:r>
              <w:rPr>
                <w:rFonts w:hint="eastAsia" w:ascii="宋体" w:hAnsi="宋体" w:cs="宋体"/>
                <w:sz w:val="24"/>
              </w:rPr>
              <w:t>13、具备4种温控模式：快速模式、中等模式、标准模式、安全模式，适用于不同类型的样品模板。</w:t>
            </w:r>
          </w:p>
          <w:p w14:paraId="4E15CB56">
            <w:pPr>
              <w:spacing w:line="400" w:lineRule="exact"/>
              <w:rPr>
                <w:rFonts w:ascii="宋体" w:hAnsi="宋体" w:cs="宋体"/>
                <w:sz w:val="24"/>
              </w:rPr>
            </w:pPr>
            <w:r>
              <w:rPr>
                <w:rFonts w:hint="eastAsia" w:ascii="宋体" w:hAnsi="宋体" w:cs="宋体"/>
                <w:sz w:val="24"/>
              </w:rPr>
              <w:t>14、具备USB接口，可连接鼠标、U盘和打印机等，方便仪器操作、数据传输和程序扩展。</w:t>
            </w:r>
          </w:p>
          <w:p w14:paraId="272A02CC">
            <w:pPr>
              <w:spacing w:line="400" w:lineRule="exact"/>
              <w:rPr>
                <w:rFonts w:ascii="宋体" w:hAnsi="宋体" w:cs="宋体"/>
                <w:sz w:val="24"/>
              </w:rPr>
            </w:pPr>
            <w:r>
              <w:rPr>
                <w:rFonts w:hint="eastAsia" w:ascii="宋体" w:hAnsi="宋体" w:cs="宋体"/>
                <w:sz w:val="24"/>
              </w:rPr>
              <w:t>15、仪器可存储≥1000个应用程序，可通过USB外接设备无限扩展。</w:t>
            </w:r>
          </w:p>
          <w:p w14:paraId="3D36E77A">
            <w:pPr>
              <w:spacing w:line="400" w:lineRule="exact"/>
              <w:rPr>
                <w:rFonts w:ascii="宋体" w:hAnsi="宋体" w:cs="宋体"/>
                <w:sz w:val="24"/>
              </w:rPr>
            </w:pPr>
            <w:r>
              <w:rPr>
                <w:rFonts w:hint="eastAsia" w:ascii="宋体" w:hAnsi="宋体" w:cs="宋体"/>
                <w:sz w:val="24"/>
              </w:rPr>
              <w:t>16、内置具有自检功能，可以快速检测加热模块以及机器硬件的状态，并能生成相应的检测证书。</w:t>
            </w:r>
          </w:p>
          <w:p w14:paraId="17500027">
            <w:pPr>
              <w:spacing w:line="400" w:lineRule="exact"/>
              <w:rPr>
                <w:rFonts w:ascii="宋体" w:hAnsi="宋体" w:cs="宋体"/>
                <w:sz w:val="24"/>
              </w:rPr>
            </w:pPr>
            <w:r>
              <w:rPr>
                <w:rFonts w:hint="eastAsia" w:ascii="宋体" w:hAnsi="宋体" w:cs="宋体"/>
                <w:sz w:val="24"/>
              </w:rPr>
              <w:t>17、可另外连接≥9台不带控制面板的同系列PCR仪，提高样品处理通量。</w:t>
            </w:r>
          </w:p>
          <w:p w14:paraId="410C2C25">
            <w:pPr>
              <w:spacing w:line="400" w:lineRule="exact"/>
              <w:rPr>
                <w:rFonts w:ascii="宋体" w:hAnsi="宋体" w:cs="宋体"/>
                <w:sz w:val="24"/>
              </w:rPr>
            </w:pPr>
            <w:r>
              <w:rPr>
                <w:rFonts w:hint="eastAsia" w:ascii="宋体" w:hAnsi="宋体" w:cs="宋体"/>
                <w:sz w:val="24"/>
              </w:rPr>
              <w:t>18、可通过软件将最多50台同系列PCR仪联网。</w:t>
            </w:r>
          </w:p>
          <w:p w14:paraId="0867CCAB">
            <w:pPr>
              <w:spacing w:line="400" w:lineRule="exact"/>
              <w:rPr>
                <w:rFonts w:ascii="宋体" w:hAnsi="宋体" w:cs="宋体"/>
                <w:sz w:val="24"/>
              </w:rPr>
            </w:pPr>
            <w:r>
              <w:rPr>
                <w:rFonts w:hint="eastAsia" w:ascii="宋体" w:hAnsi="宋体" w:cs="宋体"/>
                <w:sz w:val="24"/>
              </w:rPr>
              <w:t>19、配备彩色LED状态指示灯，显示机器工作状态。</w:t>
            </w:r>
          </w:p>
          <w:p w14:paraId="7E172DB5">
            <w:pPr>
              <w:spacing w:line="400" w:lineRule="exact"/>
              <w:rPr>
                <w:rFonts w:ascii="宋体" w:hAnsi="宋体" w:cs="宋体"/>
                <w:sz w:val="24"/>
              </w:rPr>
            </w:pPr>
            <w:r>
              <w:rPr>
                <w:rFonts w:hint="eastAsia" w:ascii="宋体" w:hAnsi="宋体" w:cs="宋体"/>
                <w:sz w:val="24"/>
              </w:rPr>
              <w:t>20、超静音运行，噪音水平≤ 40分贝。</w:t>
            </w:r>
          </w:p>
          <w:p w14:paraId="02363A9A">
            <w:pPr>
              <w:spacing w:line="400" w:lineRule="exact"/>
              <w:rPr>
                <w:rFonts w:ascii="宋体" w:hAnsi="宋体" w:cs="宋体"/>
                <w:sz w:val="24"/>
              </w:rPr>
            </w:pPr>
            <w:r>
              <w:rPr>
                <w:rFonts w:hint="eastAsia" w:ascii="宋体" w:hAnsi="宋体" w:cs="宋体"/>
                <w:sz w:val="24"/>
              </w:rPr>
              <w:t>21、温度校准：按照国内或国际技术标准DKD/PTB（德国），UKAS/NPL（英国），NIST（美国）。</w:t>
            </w:r>
          </w:p>
          <w:p w14:paraId="341DE0DC">
            <w:pPr>
              <w:spacing w:line="400" w:lineRule="exact"/>
              <w:rPr>
                <w:rFonts w:ascii="宋体" w:hAnsi="宋体" w:cs="宋体"/>
                <w:sz w:val="24"/>
              </w:rPr>
            </w:pPr>
            <w:r>
              <w:rPr>
                <w:rFonts w:hint="eastAsia" w:ascii="宋体" w:hAnsi="宋体" w:cs="宋体"/>
                <w:sz w:val="24"/>
              </w:rPr>
              <w:t>22、具备原厂配套的温度验证系统，用于测定设备的升降温速度、温度均一性、温度准确性等参数。</w:t>
            </w:r>
          </w:p>
          <w:p w14:paraId="4D342800">
            <w:pPr>
              <w:spacing w:line="400" w:lineRule="exact"/>
              <w:rPr>
                <w:rFonts w:ascii="宋体" w:hAnsi="宋体" w:cs="宋体"/>
                <w:sz w:val="24"/>
              </w:rPr>
            </w:pPr>
            <w:r>
              <w:rPr>
                <w:rFonts w:hint="eastAsia" w:ascii="宋体" w:hAnsi="宋体" w:cs="宋体"/>
                <w:sz w:val="24"/>
              </w:rPr>
              <w:t>23、设有断电自动重启功能。</w:t>
            </w:r>
          </w:p>
          <w:p w14:paraId="695D5AE1">
            <w:pPr>
              <w:spacing w:line="400" w:lineRule="exact"/>
              <w:rPr>
                <w:rFonts w:ascii="宋体" w:hAnsi="宋体" w:cs="宋体"/>
                <w:sz w:val="24"/>
              </w:rPr>
            </w:pPr>
            <w:r>
              <w:rPr>
                <w:rFonts w:hint="eastAsia" w:ascii="宋体" w:hAnsi="宋体" w:cs="宋体"/>
                <w:sz w:val="24"/>
              </w:rPr>
              <w:t>配置清单：</w:t>
            </w:r>
          </w:p>
          <w:p w14:paraId="0E7D90DA">
            <w:pPr>
              <w:spacing w:line="400" w:lineRule="exact"/>
              <w:rPr>
                <w:rFonts w:ascii="宋体" w:hAnsi="宋体" w:cs="宋体"/>
                <w:sz w:val="24"/>
              </w:rPr>
            </w:pPr>
            <w:r>
              <w:rPr>
                <w:rFonts w:hint="eastAsia" w:ascii="宋体" w:hAnsi="宋体" w:cs="宋体"/>
                <w:sz w:val="24"/>
              </w:rPr>
              <w:t>1. PCR仪主机一台，内置控制面板</w:t>
            </w:r>
          </w:p>
          <w:p w14:paraId="2C4D1157">
            <w:pPr>
              <w:spacing w:line="400" w:lineRule="exact"/>
              <w:rPr>
                <w:rFonts w:ascii="宋体" w:hAnsi="宋体" w:cs="宋体"/>
                <w:sz w:val="24"/>
              </w:rPr>
            </w:pPr>
            <w:r>
              <w:rPr>
                <w:rFonts w:hint="eastAsia" w:ascii="宋体" w:hAnsi="宋体" w:cs="宋体"/>
                <w:sz w:val="24"/>
              </w:rPr>
              <w:t>2. 中式电源线</w:t>
            </w:r>
          </w:p>
          <w:p w14:paraId="28243EBD">
            <w:pPr>
              <w:spacing w:line="400" w:lineRule="exact"/>
              <w:rPr>
                <w:rFonts w:ascii="宋体" w:hAnsi="宋体" w:cs="宋体"/>
                <w:sz w:val="24"/>
              </w:rPr>
            </w:pPr>
            <w:r>
              <w:rPr>
                <w:rFonts w:hint="eastAsia" w:ascii="宋体" w:hAnsi="宋体" w:cs="宋体"/>
                <w:sz w:val="24"/>
              </w:rPr>
              <w:t xml:space="preserve">3. 操作说明书 </w:t>
            </w:r>
          </w:p>
          <w:p w14:paraId="7E6F41D4">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042278EC">
            <w:pPr>
              <w:pStyle w:val="58"/>
              <w:jc w:val="center"/>
              <w:rPr>
                <w:rFonts w:ascii="宋体" w:hAnsi="宋体" w:cs="宋体"/>
                <w:kern w:val="0"/>
                <w:sz w:val="24"/>
                <w:szCs w:val="24"/>
                <w:lang w:bidi="ar"/>
              </w:rPr>
            </w:pPr>
            <w:r>
              <w:rPr>
                <w:rFonts w:hint="eastAsia" w:ascii="宋体" w:hAnsi="宋体" w:cs="宋体"/>
                <w:sz w:val="24"/>
                <w:szCs w:val="24"/>
              </w:rPr>
              <w:t>10</w:t>
            </w:r>
          </w:p>
        </w:tc>
        <w:tc>
          <w:tcPr>
            <w:tcW w:w="1275" w:type="dxa"/>
            <w:vAlign w:val="center"/>
          </w:tcPr>
          <w:p w14:paraId="71210920">
            <w:pPr>
              <w:pStyle w:val="58"/>
              <w:jc w:val="center"/>
              <w:rPr>
                <w:rFonts w:ascii="宋体" w:hAnsi="宋体" w:cs="宋体"/>
                <w:kern w:val="0"/>
                <w:sz w:val="24"/>
                <w:szCs w:val="24"/>
                <w:lang w:bidi="ar"/>
              </w:rPr>
            </w:pPr>
            <w:r>
              <w:rPr>
                <w:rFonts w:hint="eastAsia" w:ascii="宋体" w:hAnsi="宋体" w:cs="宋体"/>
                <w:sz w:val="24"/>
                <w:szCs w:val="24"/>
              </w:rPr>
              <w:t>30</w:t>
            </w:r>
          </w:p>
        </w:tc>
      </w:tr>
      <w:tr w14:paraId="4DB1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584F5A68">
            <w:pPr>
              <w:spacing w:line="440" w:lineRule="exact"/>
              <w:jc w:val="center"/>
              <w:rPr>
                <w:rFonts w:ascii="宋体" w:hAnsi="宋体" w:cs="宋体"/>
                <w:sz w:val="24"/>
              </w:rPr>
            </w:pPr>
            <w:r>
              <w:rPr>
                <w:rFonts w:hint="eastAsia" w:ascii="宋体" w:hAnsi="宋体" w:cs="宋体"/>
                <w:sz w:val="24"/>
              </w:rPr>
              <w:t>10</w:t>
            </w:r>
          </w:p>
        </w:tc>
        <w:tc>
          <w:tcPr>
            <w:tcW w:w="1318" w:type="dxa"/>
            <w:vAlign w:val="center"/>
          </w:tcPr>
          <w:p w14:paraId="34F2D116">
            <w:pPr>
              <w:jc w:val="center"/>
              <w:rPr>
                <w:rFonts w:ascii="宋体" w:hAnsi="宋体" w:cs="宋体"/>
                <w:sz w:val="24"/>
              </w:rPr>
            </w:pPr>
            <w:r>
              <w:rPr>
                <w:rFonts w:hint="eastAsia" w:ascii="宋体" w:hAnsi="宋体" w:cs="宋体"/>
                <w:sz w:val="24"/>
              </w:rPr>
              <w:t>超高速离心机</w:t>
            </w:r>
          </w:p>
        </w:tc>
        <w:tc>
          <w:tcPr>
            <w:tcW w:w="557" w:type="dxa"/>
            <w:vAlign w:val="center"/>
          </w:tcPr>
          <w:p w14:paraId="1AFAF02E">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50464E93">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36F6D9C8">
            <w:pPr>
              <w:pStyle w:val="123"/>
              <w:numPr>
                <w:ilvl w:val="0"/>
                <w:numId w:val="5"/>
              </w:numPr>
              <w:spacing w:line="400" w:lineRule="exact"/>
              <w:ind w:firstLineChars="0"/>
              <w:rPr>
                <w:rFonts w:ascii="宋体" w:hAnsi="宋体" w:cs="宋体"/>
                <w:sz w:val="24"/>
                <w:szCs w:val="24"/>
              </w:rPr>
            </w:pPr>
            <w:r>
              <w:rPr>
                <w:rFonts w:hint="eastAsia" w:ascii="宋体" w:hAnsi="宋体" w:cs="宋体"/>
                <w:sz w:val="24"/>
                <w:szCs w:val="24"/>
              </w:rPr>
              <w:t>主要配置功能：</w:t>
            </w:r>
          </w:p>
          <w:p w14:paraId="50ED4A04">
            <w:pPr>
              <w:spacing w:line="400" w:lineRule="exact"/>
              <w:rPr>
                <w:rFonts w:ascii="宋体" w:hAnsi="宋体" w:cs="宋体"/>
                <w:sz w:val="24"/>
              </w:rPr>
            </w:pPr>
            <w:r>
              <w:rPr>
                <w:rFonts w:hint="eastAsia" w:ascii="宋体" w:hAnsi="宋体" w:cs="宋体"/>
                <w:sz w:val="24"/>
              </w:rPr>
              <w:t xml:space="preserve">主要功能：快速分离脂蛋白及质粒DNA、纯化和分离病毒、RNA、DNA、质粒、外泌体和蛋白质等生物大分子。 </w:t>
            </w:r>
          </w:p>
          <w:p w14:paraId="47485C74">
            <w:pPr>
              <w:spacing w:line="400" w:lineRule="exact"/>
              <w:rPr>
                <w:rFonts w:ascii="宋体" w:hAnsi="宋体" w:cs="宋体"/>
                <w:sz w:val="24"/>
              </w:rPr>
            </w:pPr>
            <w:r>
              <w:rPr>
                <w:rFonts w:hint="eastAsia" w:ascii="宋体" w:hAnsi="宋体" w:cs="宋体"/>
                <w:sz w:val="24"/>
              </w:rPr>
              <w:t>2. 技术参数：</w:t>
            </w:r>
          </w:p>
          <w:p w14:paraId="18EEE839">
            <w:pPr>
              <w:spacing w:line="400" w:lineRule="exact"/>
              <w:rPr>
                <w:rFonts w:ascii="宋体" w:hAnsi="宋体" w:cs="宋体"/>
                <w:sz w:val="24"/>
              </w:rPr>
            </w:pPr>
            <w:r>
              <w:rPr>
                <w:rFonts w:hint="eastAsia" w:ascii="宋体" w:hAnsi="宋体" w:cs="宋体"/>
                <w:sz w:val="24"/>
              </w:rPr>
              <w:t xml:space="preserve">2.1 主机和转头为同一个生产厂家，而非代工，避免不匹配的安全隐患。 </w:t>
            </w:r>
          </w:p>
          <w:p w14:paraId="7B67AED1">
            <w:pPr>
              <w:spacing w:line="400" w:lineRule="exact"/>
              <w:rPr>
                <w:rFonts w:ascii="宋体" w:hAnsi="宋体" w:cs="宋体"/>
                <w:sz w:val="24"/>
              </w:rPr>
            </w:pPr>
            <w:r>
              <w:rPr>
                <w:rFonts w:hint="eastAsia"/>
                <w:b/>
                <w:sz w:val="24"/>
              </w:rPr>
              <w:t>▲</w:t>
            </w:r>
            <w:r>
              <w:rPr>
                <w:rFonts w:hint="eastAsia" w:ascii="宋体" w:hAnsi="宋体" w:cs="宋体"/>
                <w:sz w:val="24"/>
              </w:rPr>
              <w:t>2.2最高转速≥150,000rpm，最大离心力≥1,050,000×g。</w:t>
            </w:r>
          </w:p>
          <w:p w14:paraId="5FECF331">
            <w:pPr>
              <w:spacing w:line="400" w:lineRule="exact"/>
              <w:rPr>
                <w:rFonts w:ascii="宋体" w:hAnsi="宋体" w:cs="宋体"/>
                <w:sz w:val="24"/>
              </w:rPr>
            </w:pPr>
            <w:r>
              <w:rPr>
                <w:rFonts w:hint="eastAsia" w:ascii="宋体" w:hAnsi="宋体" w:cs="宋体"/>
                <w:sz w:val="24"/>
              </w:rPr>
              <w:t xml:space="preserve">2.3 转速控制精度≤±50 rpm。 </w:t>
            </w:r>
          </w:p>
          <w:p w14:paraId="0A94F9CE">
            <w:pPr>
              <w:spacing w:line="400" w:lineRule="exact"/>
              <w:rPr>
                <w:rFonts w:ascii="宋体" w:hAnsi="宋体" w:cs="宋体"/>
                <w:sz w:val="24"/>
              </w:rPr>
            </w:pPr>
            <w:r>
              <w:rPr>
                <w:rFonts w:hint="eastAsia" w:ascii="宋体" w:hAnsi="宋体" w:cs="宋体"/>
                <w:sz w:val="24"/>
              </w:rPr>
              <w:t>2.4 加减速模式：9级加速，9级减速和自由滑行。</w:t>
            </w:r>
          </w:p>
          <w:p w14:paraId="2FE59F82">
            <w:pPr>
              <w:spacing w:line="400" w:lineRule="exact"/>
              <w:rPr>
                <w:rFonts w:ascii="宋体" w:hAnsi="宋体" w:cs="宋体"/>
                <w:sz w:val="24"/>
              </w:rPr>
            </w:pPr>
            <w:r>
              <w:rPr>
                <w:rFonts w:hint="eastAsia"/>
                <w:b/>
                <w:sz w:val="24"/>
              </w:rPr>
              <w:t>▲</w:t>
            </w:r>
            <w:r>
              <w:rPr>
                <w:rFonts w:hint="eastAsia" w:ascii="宋体" w:hAnsi="宋体" w:cs="宋体"/>
                <w:sz w:val="24"/>
              </w:rPr>
              <w:t>2.5样品目视平衡，最大不平衡量为液面差±5 mm。</w:t>
            </w:r>
          </w:p>
          <w:p w14:paraId="231FA251">
            <w:pPr>
              <w:spacing w:line="400" w:lineRule="exact"/>
              <w:rPr>
                <w:rFonts w:ascii="宋体" w:hAnsi="宋体" w:cs="宋体"/>
                <w:sz w:val="24"/>
              </w:rPr>
            </w:pPr>
            <w:r>
              <w:rPr>
                <w:rFonts w:hint="eastAsia" w:ascii="宋体" w:hAnsi="宋体" w:cs="宋体"/>
                <w:sz w:val="24"/>
              </w:rPr>
              <w:t>2.6 温度设定范围：0-+40 ℃，1 ℃步进。</w:t>
            </w:r>
          </w:p>
          <w:p w14:paraId="718B1FEB">
            <w:pPr>
              <w:spacing w:line="400" w:lineRule="exact"/>
              <w:rPr>
                <w:rFonts w:ascii="宋体" w:hAnsi="宋体" w:cs="宋体"/>
                <w:sz w:val="24"/>
              </w:rPr>
            </w:pPr>
            <w:r>
              <w:rPr>
                <w:rFonts w:hint="eastAsia" w:ascii="宋体" w:hAnsi="宋体" w:cs="宋体"/>
                <w:sz w:val="24"/>
              </w:rPr>
              <w:t>2.7 制冷方式：采用热模块制冷，串并联半导体制冷模块。</w:t>
            </w:r>
          </w:p>
          <w:p w14:paraId="3AA7D7FE">
            <w:pPr>
              <w:spacing w:line="400" w:lineRule="exact"/>
              <w:rPr>
                <w:rFonts w:ascii="宋体" w:hAnsi="宋体" w:cs="宋体"/>
                <w:sz w:val="24"/>
              </w:rPr>
            </w:pPr>
            <w:r>
              <w:rPr>
                <w:rFonts w:hint="eastAsia"/>
                <w:b/>
                <w:sz w:val="24"/>
              </w:rPr>
              <w:t>▲</w:t>
            </w:r>
            <w:r>
              <w:rPr>
                <w:rFonts w:hint="eastAsia" w:ascii="宋体" w:hAnsi="宋体" w:cs="宋体"/>
                <w:sz w:val="24"/>
              </w:rPr>
              <w:t>2.8 真空度最小可≤0.6 Pa，面板上显示高、中、低真空度，15 min内可达到最高真空度。</w:t>
            </w:r>
          </w:p>
          <w:p w14:paraId="79139EB2">
            <w:pPr>
              <w:spacing w:line="400" w:lineRule="exact"/>
              <w:rPr>
                <w:rFonts w:ascii="宋体" w:hAnsi="宋体" w:cs="宋体"/>
                <w:sz w:val="24"/>
              </w:rPr>
            </w:pPr>
            <w:r>
              <w:rPr>
                <w:rFonts w:hint="eastAsia"/>
                <w:b/>
                <w:sz w:val="24"/>
              </w:rPr>
              <w:t>▲</w:t>
            </w:r>
            <w:r>
              <w:rPr>
                <w:rFonts w:hint="eastAsia" w:ascii="宋体" w:hAnsi="宋体" w:cs="宋体"/>
                <w:sz w:val="24"/>
              </w:rPr>
              <w:t>2.9 噪音水平≤45 dB（A）(室内条件下，最高转速运行)。</w:t>
            </w:r>
          </w:p>
          <w:p w14:paraId="0889C4F9">
            <w:pPr>
              <w:spacing w:line="400" w:lineRule="exact"/>
              <w:rPr>
                <w:rFonts w:ascii="宋体" w:hAnsi="宋体" w:cs="宋体"/>
                <w:sz w:val="24"/>
              </w:rPr>
            </w:pPr>
            <w:r>
              <w:rPr>
                <w:rFonts w:hint="eastAsia" w:ascii="宋体" w:hAnsi="宋体" w:cs="宋体"/>
                <w:sz w:val="24"/>
              </w:rPr>
              <w:t>2.10 转子具备自锁功能，无需旋拧即可固定于驱动轴。</w:t>
            </w:r>
          </w:p>
          <w:p w14:paraId="6FD1B102">
            <w:pPr>
              <w:spacing w:line="400" w:lineRule="exact"/>
              <w:rPr>
                <w:rFonts w:ascii="宋体" w:hAnsi="宋体" w:cs="宋体"/>
                <w:sz w:val="24"/>
              </w:rPr>
            </w:pPr>
            <w:r>
              <w:rPr>
                <w:rFonts w:hint="eastAsia"/>
                <w:b/>
                <w:sz w:val="24"/>
              </w:rPr>
              <w:t>▲</w:t>
            </w:r>
            <w:r>
              <w:rPr>
                <w:rFonts w:hint="eastAsia" w:ascii="宋体" w:hAnsi="宋体" w:cs="宋体"/>
                <w:sz w:val="24"/>
              </w:rPr>
              <w:t>2.</w:t>
            </w:r>
            <w:r>
              <w:rPr>
                <w:rFonts w:ascii="宋体" w:hAnsi="宋体" w:cs="宋体"/>
                <w:sz w:val="24"/>
              </w:rPr>
              <w:t>11</w:t>
            </w:r>
            <w:r>
              <w:rPr>
                <w:rFonts w:hint="eastAsia" w:ascii="宋体" w:hAnsi="宋体" w:cs="宋体"/>
                <w:sz w:val="24"/>
              </w:rPr>
              <w:t xml:space="preserve"> 具有非接触式不平衡监测功能，如有异常，可及时降速/停止运行，并提示报错。</w:t>
            </w:r>
          </w:p>
          <w:p w14:paraId="29357D99">
            <w:pPr>
              <w:spacing w:line="400" w:lineRule="exact"/>
              <w:rPr>
                <w:rFonts w:ascii="宋体" w:hAnsi="宋体" w:cs="宋体"/>
                <w:sz w:val="24"/>
              </w:rPr>
            </w:pPr>
            <w:r>
              <w:rPr>
                <w:rFonts w:hint="eastAsia"/>
                <w:b/>
                <w:sz w:val="24"/>
              </w:rPr>
              <w:t>▲</w:t>
            </w:r>
            <w:r>
              <w:rPr>
                <w:rFonts w:hint="eastAsia" w:ascii="宋体" w:hAnsi="宋体" w:cs="宋体"/>
                <w:sz w:val="24"/>
              </w:rPr>
              <w:t>2.</w:t>
            </w:r>
            <w:r>
              <w:rPr>
                <w:rFonts w:ascii="宋体" w:hAnsi="宋体" w:cs="宋体"/>
                <w:sz w:val="24"/>
              </w:rPr>
              <w:t>12</w:t>
            </w:r>
            <w:r>
              <w:rPr>
                <w:rFonts w:hint="eastAsia" w:ascii="宋体" w:hAnsi="宋体" w:cs="宋体"/>
                <w:sz w:val="24"/>
              </w:rPr>
              <w:t xml:space="preserve"> 具有 RTC 实际时间控制功能，可预设实验开始和结束日期时间。</w:t>
            </w:r>
          </w:p>
          <w:p w14:paraId="52F8E52F">
            <w:pPr>
              <w:spacing w:line="400" w:lineRule="exact"/>
              <w:rPr>
                <w:rFonts w:ascii="宋体" w:hAnsi="宋体" w:cs="宋体"/>
                <w:sz w:val="24"/>
              </w:rPr>
            </w:pPr>
            <w:r>
              <w:rPr>
                <w:rFonts w:hint="eastAsia" w:ascii="宋体" w:hAnsi="宋体" w:cs="宋体"/>
                <w:sz w:val="24"/>
              </w:rPr>
              <w:t>2.</w:t>
            </w:r>
            <w:r>
              <w:rPr>
                <w:rFonts w:ascii="宋体" w:hAnsi="宋体" w:cs="宋体"/>
                <w:sz w:val="24"/>
              </w:rPr>
              <w:t>13</w:t>
            </w:r>
            <w:r>
              <w:rPr>
                <w:rFonts w:hint="eastAsia" w:ascii="宋体" w:hAnsi="宋体" w:cs="宋体"/>
                <w:sz w:val="24"/>
              </w:rPr>
              <w:t xml:space="preserve"> 转头转速自动监测，全自动设置最高允许转速；具有双重过速保护功能。</w:t>
            </w:r>
          </w:p>
          <w:p w14:paraId="4B151E90">
            <w:pPr>
              <w:spacing w:line="400" w:lineRule="exact"/>
              <w:rPr>
                <w:rFonts w:ascii="宋体" w:hAnsi="宋体" w:cs="宋体"/>
                <w:sz w:val="24"/>
              </w:rPr>
            </w:pPr>
            <w:r>
              <w:rPr>
                <w:rFonts w:hint="eastAsia" w:ascii="宋体" w:hAnsi="宋体" w:cs="宋体"/>
                <w:sz w:val="24"/>
              </w:rPr>
              <w:t>2.</w:t>
            </w:r>
            <w:r>
              <w:rPr>
                <w:rFonts w:ascii="宋体" w:hAnsi="宋体" w:cs="宋体"/>
                <w:sz w:val="24"/>
              </w:rPr>
              <w:t>14</w:t>
            </w:r>
            <w:r>
              <w:rPr>
                <w:rFonts w:hint="eastAsia" w:ascii="宋体" w:hAnsi="宋体" w:cs="宋体"/>
                <w:sz w:val="24"/>
              </w:rPr>
              <w:t>具有用户锁功能，可注册≥ 40个操作者。用户授权管理：分2个分级密码管理。</w:t>
            </w:r>
          </w:p>
          <w:p w14:paraId="53DD17DF">
            <w:pPr>
              <w:spacing w:line="400" w:lineRule="exact"/>
              <w:rPr>
                <w:rFonts w:ascii="宋体" w:hAnsi="宋体" w:cs="宋体"/>
                <w:sz w:val="24"/>
              </w:rPr>
            </w:pPr>
            <w:r>
              <w:rPr>
                <w:rFonts w:hint="eastAsia" w:ascii="宋体" w:hAnsi="宋体" w:cs="宋体"/>
                <w:sz w:val="24"/>
              </w:rPr>
              <w:t>2.</w:t>
            </w:r>
            <w:r>
              <w:rPr>
                <w:rFonts w:ascii="宋体" w:hAnsi="宋体" w:cs="宋体"/>
                <w:sz w:val="24"/>
              </w:rPr>
              <w:t>15</w:t>
            </w:r>
            <w:r>
              <w:rPr>
                <w:rFonts w:hint="eastAsia" w:ascii="宋体" w:hAnsi="宋体" w:cs="宋体"/>
                <w:sz w:val="24"/>
              </w:rPr>
              <w:t>标配有模拟软件的CD盘，可安装在电脑上进行离心条件的模拟。</w:t>
            </w:r>
          </w:p>
          <w:p w14:paraId="5C37451C">
            <w:pPr>
              <w:spacing w:line="400" w:lineRule="exact"/>
              <w:rPr>
                <w:rFonts w:ascii="宋体" w:hAnsi="宋体" w:cs="宋体"/>
                <w:sz w:val="24"/>
              </w:rPr>
            </w:pPr>
            <w:r>
              <w:rPr>
                <w:rFonts w:hint="eastAsia" w:ascii="宋体" w:hAnsi="宋体" w:cs="宋体"/>
                <w:sz w:val="24"/>
              </w:rPr>
              <w:t>2.</w:t>
            </w:r>
            <w:r>
              <w:rPr>
                <w:rFonts w:ascii="宋体" w:hAnsi="宋体" w:cs="宋体"/>
                <w:sz w:val="24"/>
              </w:rPr>
              <w:t>16</w:t>
            </w:r>
            <w:r>
              <w:rPr>
                <w:rFonts w:hint="eastAsia" w:ascii="宋体" w:hAnsi="宋体" w:cs="宋体"/>
                <w:sz w:val="24"/>
              </w:rPr>
              <w:t>标准接口：USB，LAN (×1)。</w:t>
            </w:r>
          </w:p>
          <w:p w14:paraId="3E7EFBE1">
            <w:pPr>
              <w:spacing w:line="400" w:lineRule="exact"/>
              <w:rPr>
                <w:rFonts w:ascii="宋体" w:hAnsi="宋体" w:cs="宋体"/>
                <w:sz w:val="24"/>
              </w:rPr>
            </w:pPr>
            <w:r>
              <w:rPr>
                <w:rFonts w:hint="eastAsia" w:ascii="宋体" w:hAnsi="宋体" w:cs="宋体"/>
                <w:sz w:val="24"/>
              </w:rPr>
              <w:t>2.</w:t>
            </w:r>
            <w:r>
              <w:rPr>
                <w:rFonts w:ascii="宋体" w:hAnsi="宋体" w:cs="宋体"/>
                <w:sz w:val="24"/>
              </w:rPr>
              <w:t>17</w:t>
            </w:r>
            <w:r>
              <w:rPr>
                <w:rFonts w:hint="eastAsia" w:ascii="宋体" w:hAnsi="宋体" w:cs="宋体"/>
                <w:sz w:val="24"/>
              </w:rPr>
              <w:t xml:space="preserve"> 操作历史≥ 100个，操作历史可通过USB口，以CSV的形式输出。</w:t>
            </w:r>
          </w:p>
          <w:p w14:paraId="46084336">
            <w:pPr>
              <w:spacing w:line="400" w:lineRule="exact"/>
              <w:rPr>
                <w:rFonts w:ascii="宋体" w:hAnsi="宋体" w:cs="宋体"/>
                <w:sz w:val="24"/>
              </w:rPr>
            </w:pPr>
            <w:r>
              <w:rPr>
                <w:rFonts w:hint="eastAsia" w:ascii="宋体" w:hAnsi="宋体" w:cs="宋体"/>
                <w:sz w:val="24"/>
              </w:rPr>
              <w:t>2.</w:t>
            </w:r>
            <w:r>
              <w:rPr>
                <w:rFonts w:ascii="宋体" w:hAnsi="宋体" w:cs="宋体"/>
                <w:sz w:val="24"/>
              </w:rPr>
              <w:t>18</w:t>
            </w:r>
            <w:r>
              <w:rPr>
                <w:rFonts w:hint="eastAsia" w:ascii="宋体" w:hAnsi="宋体" w:cs="宋体"/>
                <w:sz w:val="24"/>
              </w:rPr>
              <w:t xml:space="preserve"> 可个性化设置仪器离心结束时的提示音。</w:t>
            </w:r>
          </w:p>
          <w:p w14:paraId="51E9C21A">
            <w:pPr>
              <w:spacing w:line="400" w:lineRule="exact"/>
              <w:rPr>
                <w:rFonts w:ascii="宋体" w:hAnsi="宋体" w:cs="宋体"/>
                <w:sz w:val="24"/>
              </w:rPr>
            </w:pPr>
            <w:r>
              <w:rPr>
                <w:rFonts w:hint="eastAsia" w:ascii="宋体" w:hAnsi="宋体" w:cs="宋体"/>
                <w:sz w:val="24"/>
              </w:rPr>
              <w:t>2.</w:t>
            </w:r>
            <w:r>
              <w:rPr>
                <w:rFonts w:ascii="宋体" w:hAnsi="宋体" w:cs="宋体"/>
                <w:sz w:val="24"/>
              </w:rPr>
              <w:t>19</w:t>
            </w:r>
            <w:r>
              <w:rPr>
                <w:rFonts w:hint="eastAsia" w:ascii="宋体" w:hAnsi="宋体" w:cs="宋体"/>
                <w:sz w:val="24"/>
              </w:rPr>
              <w:t xml:space="preserve"> 主机重量应≤ 97 kg。</w:t>
            </w:r>
          </w:p>
          <w:p w14:paraId="722CC1C4">
            <w:pPr>
              <w:spacing w:line="400" w:lineRule="exact"/>
              <w:rPr>
                <w:rFonts w:ascii="宋体" w:hAnsi="宋体" w:cs="宋体"/>
                <w:sz w:val="24"/>
              </w:rPr>
            </w:pPr>
            <w:r>
              <w:rPr>
                <w:rFonts w:hint="eastAsia" w:ascii="宋体" w:hAnsi="宋体" w:cs="宋体"/>
                <w:sz w:val="24"/>
              </w:rPr>
              <w:t>配置清单：</w:t>
            </w:r>
          </w:p>
          <w:p w14:paraId="133CA9F2">
            <w:pPr>
              <w:spacing w:line="400" w:lineRule="exact"/>
              <w:rPr>
                <w:rFonts w:ascii="宋体" w:hAnsi="宋体" w:cs="宋体"/>
                <w:sz w:val="24"/>
              </w:rPr>
            </w:pPr>
            <w:r>
              <w:rPr>
                <w:rFonts w:hint="eastAsia" w:ascii="宋体" w:hAnsi="宋体" w:cs="宋体"/>
                <w:sz w:val="24"/>
              </w:rPr>
              <w:t>1.台式微型超速离心机1台，最高转速：150,000 rpm，最大RCF：1,050,000×g</w:t>
            </w:r>
          </w:p>
          <w:p w14:paraId="732ED6A0">
            <w:pPr>
              <w:spacing w:line="400" w:lineRule="exact"/>
              <w:rPr>
                <w:rFonts w:ascii="宋体" w:hAnsi="宋体" w:cs="宋体"/>
                <w:sz w:val="24"/>
              </w:rPr>
            </w:pPr>
            <w:r>
              <w:rPr>
                <w:rFonts w:hint="eastAsia" w:ascii="宋体" w:hAnsi="宋体" w:cs="宋体"/>
                <w:sz w:val="24"/>
              </w:rPr>
              <w:t>2.固定角转1个，最高转速：110,000 rpm，最大RCF：691,000×g，最大容量：5 mL×8，K因子：15，包含4PC离心管100个</w:t>
            </w:r>
          </w:p>
          <w:p w14:paraId="225DCDBE">
            <w:pPr>
              <w:spacing w:line="400" w:lineRule="exact"/>
              <w:rPr>
                <w:rFonts w:ascii="宋体" w:hAnsi="宋体" w:cs="宋体"/>
                <w:sz w:val="24"/>
              </w:rPr>
            </w:pPr>
            <w:r>
              <w:rPr>
                <w:rFonts w:hint="eastAsia" w:ascii="宋体" w:hAnsi="宋体" w:cs="宋体"/>
                <w:sz w:val="24"/>
              </w:rPr>
              <w:t>3.固定角转1个，最高转速：50,000 rpm，最大RCF：210,000×g，最大容量：30 mL×6，K因子：61，包含25PC厚壁管20个</w:t>
            </w:r>
          </w:p>
          <w:p w14:paraId="516A0F92">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tc>
        <w:tc>
          <w:tcPr>
            <w:tcW w:w="1134" w:type="dxa"/>
            <w:vAlign w:val="center"/>
          </w:tcPr>
          <w:p w14:paraId="475C6B01">
            <w:pPr>
              <w:pStyle w:val="58"/>
              <w:jc w:val="center"/>
              <w:rPr>
                <w:rFonts w:ascii="宋体" w:hAnsi="宋体" w:cs="宋体"/>
                <w:kern w:val="0"/>
                <w:sz w:val="24"/>
                <w:szCs w:val="24"/>
                <w:lang w:bidi="ar"/>
              </w:rPr>
            </w:pPr>
            <w:r>
              <w:rPr>
                <w:rFonts w:hint="eastAsia" w:ascii="宋体" w:hAnsi="宋体" w:cs="宋体"/>
                <w:sz w:val="24"/>
                <w:szCs w:val="24"/>
              </w:rPr>
              <w:t>60</w:t>
            </w:r>
          </w:p>
        </w:tc>
        <w:tc>
          <w:tcPr>
            <w:tcW w:w="1275" w:type="dxa"/>
            <w:vAlign w:val="center"/>
          </w:tcPr>
          <w:p w14:paraId="2EABBB95">
            <w:pPr>
              <w:pStyle w:val="58"/>
              <w:jc w:val="center"/>
              <w:rPr>
                <w:rFonts w:ascii="宋体" w:hAnsi="宋体" w:cs="宋体"/>
                <w:kern w:val="0"/>
                <w:sz w:val="24"/>
                <w:szCs w:val="24"/>
                <w:lang w:bidi="ar"/>
              </w:rPr>
            </w:pPr>
            <w:r>
              <w:rPr>
                <w:rFonts w:hint="eastAsia" w:ascii="宋体" w:hAnsi="宋体" w:cs="宋体"/>
                <w:sz w:val="24"/>
                <w:szCs w:val="24"/>
              </w:rPr>
              <w:t>60</w:t>
            </w:r>
          </w:p>
        </w:tc>
      </w:tr>
      <w:tr w14:paraId="6514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2BF0ACF7">
            <w:pPr>
              <w:spacing w:line="440" w:lineRule="exact"/>
              <w:jc w:val="center"/>
              <w:rPr>
                <w:rFonts w:ascii="宋体" w:hAnsi="宋体" w:cs="宋体"/>
                <w:sz w:val="24"/>
              </w:rPr>
            </w:pPr>
            <w:r>
              <w:rPr>
                <w:rFonts w:hint="eastAsia" w:ascii="宋体" w:hAnsi="宋体" w:cs="宋体"/>
                <w:sz w:val="24"/>
              </w:rPr>
              <w:t>11</w:t>
            </w:r>
          </w:p>
        </w:tc>
        <w:tc>
          <w:tcPr>
            <w:tcW w:w="1318" w:type="dxa"/>
            <w:vAlign w:val="center"/>
          </w:tcPr>
          <w:p w14:paraId="1D249F01">
            <w:pPr>
              <w:jc w:val="center"/>
              <w:rPr>
                <w:rFonts w:ascii="宋体" w:hAnsi="宋体" w:cs="宋体"/>
                <w:sz w:val="24"/>
              </w:rPr>
            </w:pPr>
            <w:r>
              <w:rPr>
                <w:rFonts w:hint="eastAsia" w:ascii="宋体" w:hAnsi="宋体" w:cs="宋体"/>
                <w:sz w:val="24"/>
              </w:rPr>
              <w:t>立式常规冷冻离心机</w:t>
            </w:r>
          </w:p>
        </w:tc>
        <w:tc>
          <w:tcPr>
            <w:tcW w:w="557" w:type="dxa"/>
            <w:vAlign w:val="center"/>
          </w:tcPr>
          <w:p w14:paraId="4CD7C317">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7667F11A">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2024E6EA">
            <w:pPr>
              <w:spacing w:line="400" w:lineRule="exact"/>
              <w:rPr>
                <w:rFonts w:ascii="宋体" w:hAnsi="宋体" w:cs="宋体"/>
                <w:sz w:val="24"/>
              </w:rPr>
            </w:pPr>
            <w:r>
              <w:rPr>
                <w:rFonts w:hint="eastAsia"/>
                <w:b/>
                <w:sz w:val="24"/>
              </w:rPr>
              <w:t>▲</w:t>
            </w:r>
            <w:r>
              <w:rPr>
                <w:rFonts w:hint="eastAsia" w:ascii="宋体" w:hAnsi="宋体" w:cs="宋体"/>
                <w:sz w:val="24"/>
              </w:rPr>
              <w:t>1. 落地式离心机，最高转速≥22,000 rpm，最大离心力≥55,200×g。</w:t>
            </w:r>
          </w:p>
          <w:p w14:paraId="7820EC43">
            <w:pPr>
              <w:spacing w:line="400" w:lineRule="exact"/>
              <w:rPr>
                <w:rFonts w:ascii="宋体" w:hAnsi="宋体" w:cs="宋体"/>
                <w:sz w:val="24"/>
              </w:rPr>
            </w:pPr>
            <w:r>
              <w:rPr>
                <w:rFonts w:hint="eastAsia"/>
                <w:b/>
                <w:sz w:val="24"/>
              </w:rPr>
              <w:t>▲</w:t>
            </w:r>
            <w:r>
              <w:rPr>
                <w:rFonts w:hint="eastAsia" w:ascii="宋体" w:hAnsi="宋体" w:cs="宋体"/>
                <w:sz w:val="24"/>
              </w:rPr>
              <w:t>2. 主机可支持最大容量6L：1500 mL×4。</w:t>
            </w:r>
          </w:p>
          <w:p w14:paraId="15CB19BC">
            <w:pPr>
              <w:spacing w:line="400" w:lineRule="exact"/>
              <w:rPr>
                <w:rFonts w:ascii="宋体" w:hAnsi="宋体" w:cs="宋体"/>
                <w:sz w:val="24"/>
              </w:rPr>
            </w:pPr>
            <w:r>
              <w:rPr>
                <w:rFonts w:hint="eastAsia" w:ascii="宋体" w:hAnsi="宋体" w:cs="宋体"/>
                <w:sz w:val="24"/>
              </w:rPr>
              <w:t>3. 驱动电机：大功率变频感应电机。。</w:t>
            </w:r>
          </w:p>
          <w:p w14:paraId="7006533B">
            <w:pPr>
              <w:spacing w:line="400" w:lineRule="exact"/>
              <w:rPr>
                <w:rFonts w:ascii="宋体" w:hAnsi="宋体" w:cs="宋体"/>
                <w:sz w:val="24"/>
              </w:rPr>
            </w:pPr>
            <w:r>
              <w:rPr>
                <w:rFonts w:hint="eastAsia" w:ascii="宋体" w:hAnsi="宋体" w:cs="宋体"/>
                <w:sz w:val="24"/>
              </w:rPr>
              <w:t>4. 转速控制范围：300 rpm-22000 rpm。</w:t>
            </w:r>
          </w:p>
          <w:p w14:paraId="6E28B6C2">
            <w:pPr>
              <w:spacing w:line="400" w:lineRule="exact"/>
              <w:rPr>
                <w:rFonts w:ascii="宋体" w:hAnsi="宋体" w:cs="宋体"/>
                <w:sz w:val="24"/>
              </w:rPr>
            </w:pPr>
            <w:r>
              <w:rPr>
                <w:rFonts w:hint="eastAsia" w:ascii="宋体" w:hAnsi="宋体" w:cs="宋体"/>
                <w:sz w:val="24"/>
              </w:rPr>
              <w:t>5. 加减速：加速≥9级，减速≥10级。</w:t>
            </w:r>
          </w:p>
          <w:p w14:paraId="359B7377">
            <w:pPr>
              <w:spacing w:line="400" w:lineRule="exact"/>
              <w:rPr>
                <w:rFonts w:ascii="宋体" w:hAnsi="宋体" w:cs="宋体"/>
                <w:sz w:val="24"/>
              </w:rPr>
            </w:pPr>
            <w:r>
              <w:rPr>
                <w:rFonts w:hint="eastAsia" w:ascii="宋体" w:hAnsi="宋体" w:cs="宋体"/>
                <w:sz w:val="24"/>
              </w:rPr>
              <w:t>6. 制冷系统：无氟，有预冷程序。</w:t>
            </w:r>
          </w:p>
          <w:p w14:paraId="7E79B308">
            <w:pPr>
              <w:spacing w:line="400" w:lineRule="exact"/>
              <w:rPr>
                <w:rFonts w:ascii="宋体" w:hAnsi="宋体" w:cs="宋体"/>
                <w:sz w:val="24"/>
              </w:rPr>
            </w:pPr>
            <w:r>
              <w:rPr>
                <w:rFonts w:hint="eastAsia" w:ascii="宋体" w:hAnsi="宋体" w:cs="宋体"/>
                <w:sz w:val="24"/>
              </w:rPr>
              <w:t>7. 温控范围：－20℃～＋40 ℃。</w:t>
            </w:r>
          </w:p>
          <w:p w14:paraId="508F76B0">
            <w:pPr>
              <w:spacing w:line="400" w:lineRule="exact"/>
              <w:rPr>
                <w:rFonts w:ascii="宋体" w:hAnsi="宋体" w:cs="宋体"/>
                <w:sz w:val="24"/>
              </w:rPr>
            </w:pPr>
            <w:r>
              <w:rPr>
                <w:rFonts w:hint="eastAsia"/>
                <w:b/>
                <w:sz w:val="24"/>
              </w:rPr>
              <w:t>▲</w:t>
            </w:r>
            <w:r>
              <w:rPr>
                <w:rFonts w:hint="eastAsia" w:ascii="宋体" w:hAnsi="宋体" w:cs="宋体"/>
                <w:sz w:val="24"/>
              </w:rPr>
              <w:t>8. 温度控制精度：有温度自动补偿功能，显示转头温度±1 ℃，温度控制精度≤±1 ℃，无需抽真空。</w:t>
            </w:r>
          </w:p>
          <w:p w14:paraId="3F5E980D">
            <w:pPr>
              <w:spacing w:line="400" w:lineRule="exact"/>
              <w:rPr>
                <w:rFonts w:ascii="宋体" w:hAnsi="宋体" w:cs="宋体"/>
                <w:sz w:val="24"/>
              </w:rPr>
            </w:pPr>
            <w:r>
              <w:rPr>
                <w:rFonts w:hint="eastAsia" w:ascii="宋体" w:hAnsi="宋体" w:cs="宋体"/>
                <w:sz w:val="24"/>
              </w:rPr>
              <w:t>9. 程序控制：可存储30个程序。</w:t>
            </w:r>
          </w:p>
          <w:p w14:paraId="1E0C0712">
            <w:pPr>
              <w:spacing w:line="400" w:lineRule="exact"/>
              <w:rPr>
                <w:rFonts w:ascii="宋体" w:hAnsi="宋体" w:cs="宋体"/>
                <w:sz w:val="24"/>
              </w:rPr>
            </w:pPr>
            <w:r>
              <w:rPr>
                <w:rFonts w:hint="eastAsia"/>
                <w:b/>
                <w:sz w:val="24"/>
              </w:rPr>
              <w:t>▲</w:t>
            </w:r>
            <w:r>
              <w:rPr>
                <w:rFonts w:hint="eastAsia" w:ascii="宋体" w:hAnsi="宋体" w:cs="宋体"/>
                <w:sz w:val="24"/>
              </w:rPr>
              <w:t>10. 转头固定方式：有自动锁功能，无需螺丝固定。</w:t>
            </w:r>
          </w:p>
          <w:p w14:paraId="7923FAC5">
            <w:pPr>
              <w:spacing w:line="400" w:lineRule="exact"/>
              <w:rPr>
                <w:rFonts w:ascii="宋体" w:hAnsi="宋体" w:cs="宋体"/>
                <w:sz w:val="24"/>
              </w:rPr>
            </w:pPr>
            <w:r>
              <w:rPr>
                <w:rFonts w:hint="eastAsia" w:ascii="宋体" w:hAnsi="宋体" w:cs="宋体"/>
                <w:sz w:val="24"/>
              </w:rPr>
              <w:t>11. 自动功能：具有全自动转头自动识别功能，自动超速超温保护。</w:t>
            </w:r>
          </w:p>
          <w:p w14:paraId="7CCDED7C">
            <w:pPr>
              <w:spacing w:line="400" w:lineRule="exact"/>
              <w:rPr>
                <w:rFonts w:ascii="宋体" w:hAnsi="宋体" w:cs="宋体"/>
                <w:sz w:val="24"/>
              </w:rPr>
            </w:pPr>
            <w:r>
              <w:rPr>
                <w:rFonts w:hint="eastAsia" w:ascii="宋体" w:hAnsi="宋体" w:cs="宋体"/>
                <w:sz w:val="24"/>
              </w:rPr>
              <w:t>12. 显示屏：触摸式液晶显示屏，显示运行状态。</w:t>
            </w:r>
          </w:p>
          <w:p w14:paraId="4447A1C2">
            <w:pPr>
              <w:spacing w:line="400" w:lineRule="exact"/>
              <w:rPr>
                <w:rFonts w:ascii="宋体" w:hAnsi="宋体" w:cs="宋体"/>
                <w:sz w:val="24"/>
              </w:rPr>
            </w:pPr>
            <w:r>
              <w:rPr>
                <w:rFonts w:hint="eastAsia" w:ascii="宋体" w:hAnsi="宋体" w:cs="宋体"/>
                <w:sz w:val="24"/>
              </w:rPr>
              <w:t>13. 自检功能：有智能型故障自动检测功能，可自我诊断。</w:t>
            </w:r>
          </w:p>
          <w:p w14:paraId="14141328">
            <w:pPr>
              <w:spacing w:line="400" w:lineRule="exact"/>
              <w:rPr>
                <w:rFonts w:ascii="宋体" w:hAnsi="宋体" w:cs="宋体"/>
                <w:sz w:val="24"/>
              </w:rPr>
            </w:pPr>
            <w:r>
              <w:rPr>
                <w:rFonts w:hint="eastAsia" w:ascii="宋体" w:hAnsi="宋体" w:cs="宋体"/>
                <w:sz w:val="24"/>
              </w:rPr>
              <w:t>14. 不平衡检测装置：非接触轴振动加速度检测方式。</w:t>
            </w:r>
          </w:p>
          <w:p w14:paraId="15DE32F5">
            <w:pPr>
              <w:spacing w:line="400" w:lineRule="exact"/>
              <w:rPr>
                <w:rFonts w:ascii="宋体" w:hAnsi="宋体" w:cs="宋体"/>
                <w:sz w:val="24"/>
              </w:rPr>
            </w:pPr>
            <w:r>
              <w:rPr>
                <w:rFonts w:hint="eastAsia" w:ascii="宋体" w:hAnsi="宋体" w:cs="宋体"/>
                <w:sz w:val="24"/>
              </w:rPr>
              <w:t>15. 具备设定转速实际离心时间控制功能。</w:t>
            </w:r>
          </w:p>
          <w:p w14:paraId="126C9827">
            <w:pPr>
              <w:spacing w:line="400" w:lineRule="exact"/>
              <w:rPr>
                <w:rFonts w:ascii="宋体" w:hAnsi="宋体" w:cs="宋体"/>
                <w:sz w:val="24"/>
              </w:rPr>
            </w:pPr>
            <w:r>
              <w:rPr>
                <w:rFonts w:hint="eastAsia" w:ascii="宋体" w:hAnsi="宋体" w:cs="宋体"/>
                <w:sz w:val="24"/>
              </w:rPr>
              <w:t>16. 可自动计算显示g，g×sec。</w:t>
            </w:r>
          </w:p>
          <w:p w14:paraId="5871B40D">
            <w:pPr>
              <w:spacing w:line="400" w:lineRule="exact"/>
              <w:rPr>
                <w:rFonts w:ascii="宋体" w:hAnsi="宋体" w:cs="宋体"/>
                <w:sz w:val="24"/>
              </w:rPr>
            </w:pPr>
            <w:r>
              <w:rPr>
                <w:rFonts w:hint="eastAsia" w:ascii="宋体" w:hAnsi="宋体" w:cs="宋体"/>
                <w:sz w:val="24"/>
              </w:rPr>
              <w:t>17. 定时器：1 s-99 min，带HOLD。</w:t>
            </w:r>
          </w:p>
          <w:p w14:paraId="7C87707E">
            <w:pPr>
              <w:spacing w:line="400" w:lineRule="exact"/>
              <w:rPr>
                <w:rFonts w:ascii="宋体" w:hAnsi="宋体" w:cs="宋体"/>
                <w:sz w:val="24"/>
              </w:rPr>
            </w:pPr>
            <w:r>
              <w:rPr>
                <w:rFonts w:hint="eastAsia" w:ascii="宋体" w:hAnsi="宋体" w:cs="宋体"/>
                <w:sz w:val="24"/>
              </w:rPr>
              <w:t>18. 标配用户锁功能，做到专人管理多人使用。</w:t>
            </w:r>
          </w:p>
          <w:p w14:paraId="3D033061">
            <w:pPr>
              <w:spacing w:line="400" w:lineRule="exact"/>
              <w:rPr>
                <w:rFonts w:ascii="宋体" w:hAnsi="宋体" w:cs="宋体"/>
                <w:sz w:val="24"/>
              </w:rPr>
            </w:pPr>
            <w:r>
              <w:rPr>
                <w:rFonts w:hint="eastAsia"/>
                <w:b/>
                <w:sz w:val="24"/>
              </w:rPr>
              <w:t>▲</w:t>
            </w:r>
            <w:r>
              <w:rPr>
                <w:rFonts w:hint="eastAsia" w:ascii="宋体" w:hAnsi="宋体" w:cs="宋体"/>
                <w:sz w:val="24"/>
              </w:rPr>
              <w:t>19. 无需真空泵，减少保养费用和降低故障率。</w:t>
            </w:r>
          </w:p>
          <w:p w14:paraId="41EE661D">
            <w:pPr>
              <w:spacing w:line="400" w:lineRule="exact"/>
              <w:rPr>
                <w:rFonts w:ascii="宋体" w:hAnsi="宋体" w:cs="宋体"/>
                <w:sz w:val="24"/>
              </w:rPr>
            </w:pPr>
            <w:r>
              <w:rPr>
                <w:rFonts w:hint="eastAsia" w:ascii="宋体" w:hAnsi="宋体" w:cs="宋体"/>
                <w:sz w:val="24"/>
              </w:rPr>
              <w:t>20. 安全装置：门互动联锁、双重限超速检测、不平衡检测、温度异常检测及其他。</w:t>
            </w:r>
          </w:p>
          <w:p w14:paraId="0D29C7B2">
            <w:pPr>
              <w:spacing w:line="400" w:lineRule="exact"/>
              <w:rPr>
                <w:rFonts w:ascii="宋体" w:hAnsi="宋体" w:cs="宋体"/>
                <w:sz w:val="24"/>
              </w:rPr>
            </w:pPr>
            <w:r>
              <w:rPr>
                <w:rFonts w:hint="eastAsia"/>
                <w:b/>
                <w:sz w:val="24"/>
              </w:rPr>
              <w:t>▲</w:t>
            </w:r>
            <w:r>
              <w:rPr>
                <w:rFonts w:hint="eastAsia" w:ascii="宋体" w:hAnsi="宋体" w:cs="宋体"/>
                <w:sz w:val="24"/>
              </w:rPr>
              <w:t>为确保售后服务及货物质量，所投产品若为进口产品，投标时必须提供生产厂家或厂家驻国内办事处或区域代理商出具的授权书、售后服务承诺书及技术参数确认书盖章扫描件（格式自拟）。</w:t>
            </w:r>
          </w:p>
          <w:p w14:paraId="44E023F3">
            <w:pPr>
              <w:spacing w:line="400" w:lineRule="exact"/>
              <w:rPr>
                <w:rFonts w:ascii="宋体" w:hAnsi="宋体" w:cs="宋体"/>
                <w:sz w:val="24"/>
              </w:rPr>
            </w:pPr>
            <w:r>
              <w:rPr>
                <w:rFonts w:hint="eastAsia" w:ascii="宋体" w:hAnsi="宋体" w:cs="宋体"/>
                <w:sz w:val="24"/>
              </w:rPr>
              <w:t>配置清单：</w:t>
            </w:r>
          </w:p>
          <w:p w14:paraId="27EC64CB">
            <w:pPr>
              <w:spacing w:line="400" w:lineRule="exact"/>
              <w:rPr>
                <w:rFonts w:ascii="宋体" w:hAnsi="宋体" w:cs="宋体"/>
                <w:sz w:val="24"/>
              </w:rPr>
            </w:pPr>
            <w:r>
              <w:rPr>
                <w:rFonts w:hint="eastAsia" w:ascii="宋体" w:hAnsi="宋体" w:cs="宋体"/>
                <w:sz w:val="24"/>
              </w:rPr>
              <w:t>1. 主机一台</w:t>
            </w:r>
          </w:p>
          <w:p w14:paraId="719EA1A5">
            <w:pPr>
              <w:spacing w:line="400" w:lineRule="exact"/>
              <w:rPr>
                <w:rFonts w:ascii="宋体" w:hAnsi="宋体" w:cs="宋体"/>
                <w:sz w:val="24"/>
              </w:rPr>
            </w:pPr>
            <w:r>
              <w:rPr>
                <w:rFonts w:hint="eastAsia" w:ascii="宋体" w:hAnsi="宋体" w:cs="宋体"/>
                <w:sz w:val="24"/>
              </w:rPr>
              <w:t>2. 固定角转子一个, 最高转速：22,000 rpm，最大RCF：55,200×g，最大容量：2 mL×30，k因子：151</w:t>
            </w:r>
          </w:p>
          <w:p w14:paraId="18E6C5E1">
            <w:pPr>
              <w:spacing w:line="400" w:lineRule="exact"/>
              <w:rPr>
                <w:rFonts w:ascii="宋体" w:hAnsi="宋体" w:cs="宋体"/>
                <w:sz w:val="24"/>
              </w:rPr>
            </w:pPr>
            <w:r>
              <w:rPr>
                <w:rFonts w:hint="eastAsia" w:ascii="宋体" w:hAnsi="宋体" w:cs="宋体"/>
                <w:sz w:val="24"/>
              </w:rPr>
              <w:t>3. 固定角转子一个, 最高转速：15,000 rpm，最大RCF：32,300×g，最大容量：50 mL×10，k因子：534, 包含100个50TC离心管和100个15TC离心管</w:t>
            </w:r>
          </w:p>
        </w:tc>
        <w:tc>
          <w:tcPr>
            <w:tcW w:w="1134" w:type="dxa"/>
            <w:vAlign w:val="center"/>
          </w:tcPr>
          <w:p w14:paraId="0D3ACC60">
            <w:pPr>
              <w:pStyle w:val="58"/>
              <w:jc w:val="center"/>
              <w:rPr>
                <w:rFonts w:ascii="宋体" w:hAnsi="宋体" w:cs="宋体"/>
                <w:kern w:val="0"/>
                <w:sz w:val="24"/>
                <w:szCs w:val="24"/>
                <w:lang w:bidi="ar"/>
              </w:rPr>
            </w:pPr>
            <w:r>
              <w:rPr>
                <w:rFonts w:hint="eastAsia" w:ascii="宋体" w:hAnsi="宋体" w:cs="宋体"/>
                <w:sz w:val="24"/>
                <w:szCs w:val="24"/>
              </w:rPr>
              <w:t>35</w:t>
            </w:r>
          </w:p>
        </w:tc>
        <w:tc>
          <w:tcPr>
            <w:tcW w:w="1275" w:type="dxa"/>
            <w:vAlign w:val="center"/>
          </w:tcPr>
          <w:p w14:paraId="7BF900E2">
            <w:pPr>
              <w:pStyle w:val="58"/>
              <w:jc w:val="center"/>
              <w:rPr>
                <w:rFonts w:ascii="宋体" w:hAnsi="宋体" w:cs="宋体"/>
                <w:kern w:val="0"/>
                <w:sz w:val="24"/>
                <w:szCs w:val="24"/>
                <w:lang w:bidi="ar"/>
              </w:rPr>
            </w:pPr>
            <w:r>
              <w:rPr>
                <w:rFonts w:hint="eastAsia" w:ascii="宋体" w:hAnsi="宋体" w:cs="宋体"/>
                <w:sz w:val="24"/>
                <w:szCs w:val="24"/>
              </w:rPr>
              <w:t>35</w:t>
            </w:r>
          </w:p>
        </w:tc>
      </w:tr>
      <w:tr w14:paraId="4D1B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73E3E876">
            <w:pPr>
              <w:spacing w:line="440" w:lineRule="exact"/>
              <w:jc w:val="center"/>
              <w:rPr>
                <w:rFonts w:ascii="宋体" w:hAnsi="宋体" w:cs="宋体"/>
                <w:sz w:val="24"/>
              </w:rPr>
            </w:pPr>
            <w:r>
              <w:rPr>
                <w:rFonts w:hint="eastAsia" w:ascii="宋体" w:hAnsi="宋体" w:cs="宋体"/>
                <w:sz w:val="24"/>
              </w:rPr>
              <w:t>12</w:t>
            </w:r>
          </w:p>
        </w:tc>
        <w:tc>
          <w:tcPr>
            <w:tcW w:w="1318" w:type="dxa"/>
            <w:vAlign w:val="center"/>
          </w:tcPr>
          <w:p w14:paraId="4B722A53">
            <w:pPr>
              <w:jc w:val="center"/>
              <w:rPr>
                <w:rFonts w:ascii="宋体" w:hAnsi="宋体" w:cs="宋体"/>
                <w:sz w:val="24"/>
              </w:rPr>
            </w:pPr>
            <w:r>
              <w:rPr>
                <w:rFonts w:hint="eastAsia" w:ascii="宋体" w:hAnsi="宋体" w:cs="宋体"/>
                <w:sz w:val="24"/>
              </w:rPr>
              <w:t>台式冷冻微量离心机</w:t>
            </w:r>
          </w:p>
        </w:tc>
        <w:tc>
          <w:tcPr>
            <w:tcW w:w="557" w:type="dxa"/>
            <w:vAlign w:val="center"/>
          </w:tcPr>
          <w:p w14:paraId="4E972D8F">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116D6DBF">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74029384">
            <w:pPr>
              <w:spacing w:line="400" w:lineRule="exact"/>
              <w:rPr>
                <w:rFonts w:ascii="宋体" w:hAnsi="宋体" w:cs="宋体"/>
                <w:sz w:val="24"/>
              </w:rPr>
            </w:pPr>
            <w:r>
              <w:rPr>
                <w:rFonts w:hint="eastAsia" w:ascii="宋体" w:hAnsi="宋体" w:cs="宋体"/>
                <w:sz w:val="24"/>
              </w:rPr>
              <w:t>1. 用途：</w:t>
            </w:r>
          </w:p>
          <w:p w14:paraId="7B285907">
            <w:pPr>
              <w:spacing w:line="400" w:lineRule="exact"/>
              <w:rPr>
                <w:rFonts w:ascii="宋体" w:hAnsi="宋体" w:cs="宋体"/>
                <w:sz w:val="24"/>
              </w:rPr>
            </w:pPr>
            <w:r>
              <w:rPr>
                <w:rFonts w:hint="eastAsia" w:ascii="宋体" w:hAnsi="宋体" w:cs="宋体"/>
                <w:sz w:val="24"/>
              </w:rPr>
              <w:t>用于各大实验室、分子生物学等实验室各种样品的分离，离心。</w:t>
            </w:r>
          </w:p>
          <w:p w14:paraId="04DAAD70">
            <w:pPr>
              <w:spacing w:line="400" w:lineRule="exact"/>
              <w:rPr>
                <w:rFonts w:ascii="宋体" w:hAnsi="宋体" w:cs="宋体"/>
                <w:sz w:val="24"/>
              </w:rPr>
            </w:pPr>
            <w:r>
              <w:rPr>
                <w:rFonts w:hint="eastAsia" w:ascii="宋体" w:hAnsi="宋体" w:cs="宋体"/>
                <w:sz w:val="24"/>
              </w:rPr>
              <w:t>2. 工作条件：</w:t>
            </w:r>
          </w:p>
          <w:p w14:paraId="24297907">
            <w:pPr>
              <w:spacing w:line="400" w:lineRule="exact"/>
              <w:rPr>
                <w:rFonts w:ascii="宋体" w:hAnsi="宋体" w:cs="宋体"/>
                <w:sz w:val="24"/>
              </w:rPr>
            </w:pPr>
            <w:r>
              <w:rPr>
                <w:rFonts w:hint="eastAsia" w:ascii="宋体" w:hAnsi="宋体" w:cs="宋体"/>
                <w:sz w:val="24"/>
              </w:rPr>
              <w:t>2.1 环境温度5 °C-40 °C室温。</w:t>
            </w:r>
          </w:p>
          <w:p w14:paraId="0D13C121">
            <w:pPr>
              <w:spacing w:line="400" w:lineRule="exact"/>
              <w:rPr>
                <w:rFonts w:ascii="宋体" w:hAnsi="宋体" w:cs="宋体"/>
                <w:sz w:val="24"/>
              </w:rPr>
            </w:pPr>
            <w:r>
              <w:rPr>
                <w:rFonts w:hint="eastAsia" w:ascii="宋体" w:hAnsi="宋体" w:cs="宋体"/>
                <w:sz w:val="24"/>
              </w:rPr>
              <w:t>2.2 湿度最高可达80%。</w:t>
            </w:r>
          </w:p>
          <w:p w14:paraId="5CDE426D">
            <w:pPr>
              <w:spacing w:line="400" w:lineRule="exact"/>
              <w:rPr>
                <w:rFonts w:ascii="宋体" w:hAnsi="宋体" w:cs="宋体"/>
                <w:sz w:val="24"/>
              </w:rPr>
            </w:pPr>
            <w:r>
              <w:rPr>
                <w:rFonts w:hint="eastAsia" w:ascii="宋体" w:hAnsi="宋体" w:cs="宋体"/>
                <w:sz w:val="24"/>
              </w:rPr>
              <w:t>2.3 220 V(+10%或-10%)，50 Hz(+1或-1)电源条件下。</w:t>
            </w:r>
          </w:p>
          <w:p w14:paraId="4A89D610">
            <w:pPr>
              <w:spacing w:line="400" w:lineRule="exact"/>
              <w:rPr>
                <w:rFonts w:ascii="宋体" w:hAnsi="宋体" w:cs="宋体"/>
                <w:sz w:val="24"/>
              </w:rPr>
            </w:pPr>
            <w:r>
              <w:rPr>
                <w:rFonts w:hint="eastAsia" w:ascii="宋体" w:hAnsi="宋体" w:cs="宋体"/>
                <w:sz w:val="24"/>
              </w:rPr>
              <w:t>3. 主要技术指标：</w:t>
            </w:r>
          </w:p>
          <w:p w14:paraId="2DBF6EEA">
            <w:pPr>
              <w:spacing w:line="400" w:lineRule="exact"/>
              <w:rPr>
                <w:rFonts w:ascii="宋体" w:hAnsi="宋体" w:cs="宋体"/>
                <w:sz w:val="24"/>
              </w:rPr>
            </w:pPr>
            <w:r>
              <w:rPr>
                <w:rFonts w:hint="eastAsia" w:ascii="宋体" w:hAnsi="宋体" w:cs="宋体"/>
                <w:sz w:val="24"/>
              </w:rPr>
              <w:t>3.1 最高转速：≥18000 rpm。</w:t>
            </w:r>
          </w:p>
          <w:p w14:paraId="31B07C99">
            <w:pPr>
              <w:spacing w:line="400" w:lineRule="exact"/>
              <w:rPr>
                <w:rFonts w:ascii="宋体" w:hAnsi="宋体" w:cs="宋体"/>
                <w:sz w:val="24"/>
              </w:rPr>
            </w:pPr>
            <w:r>
              <w:rPr>
                <w:rFonts w:hint="eastAsia" w:ascii="宋体" w:hAnsi="宋体" w:cs="宋体"/>
                <w:sz w:val="24"/>
              </w:rPr>
              <w:t>3.2 最大离心力: ≥30318×g。</w:t>
            </w:r>
          </w:p>
          <w:p w14:paraId="69D907FA">
            <w:pPr>
              <w:spacing w:line="400" w:lineRule="exact"/>
              <w:rPr>
                <w:rFonts w:ascii="宋体" w:hAnsi="宋体" w:cs="宋体"/>
                <w:sz w:val="24"/>
              </w:rPr>
            </w:pPr>
            <w:r>
              <w:rPr>
                <w:rFonts w:hint="eastAsia"/>
                <w:b/>
                <w:sz w:val="24"/>
              </w:rPr>
              <w:t>▲</w:t>
            </w:r>
            <w:r>
              <w:rPr>
                <w:rFonts w:hint="eastAsia" w:ascii="宋体" w:hAnsi="宋体" w:cs="宋体"/>
                <w:sz w:val="24"/>
              </w:rPr>
              <w:t>3.3 最大容量: ≥4×400 ml。</w:t>
            </w:r>
          </w:p>
          <w:p w14:paraId="77FE15E3">
            <w:pPr>
              <w:spacing w:line="400" w:lineRule="exact"/>
              <w:rPr>
                <w:rFonts w:ascii="宋体" w:hAnsi="宋体" w:cs="宋体"/>
                <w:sz w:val="24"/>
              </w:rPr>
            </w:pPr>
            <w:r>
              <w:rPr>
                <w:rFonts w:hint="eastAsia"/>
                <w:b/>
                <w:sz w:val="24"/>
              </w:rPr>
              <w:t>▲</w:t>
            </w:r>
            <w:r>
              <w:rPr>
                <w:rFonts w:hint="eastAsia" w:ascii="宋体" w:hAnsi="宋体" w:cs="宋体"/>
                <w:sz w:val="24"/>
              </w:rPr>
              <w:t>3.4 控温范围：-20 °C-40 °C，制冷功能强大。</w:t>
            </w:r>
          </w:p>
          <w:p w14:paraId="32D68200">
            <w:pPr>
              <w:spacing w:line="400" w:lineRule="exact"/>
              <w:rPr>
                <w:rFonts w:ascii="宋体" w:hAnsi="宋体" w:cs="宋体"/>
                <w:sz w:val="24"/>
              </w:rPr>
            </w:pPr>
            <w:r>
              <w:rPr>
                <w:rFonts w:hint="eastAsia" w:ascii="宋体" w:hAnsi="宋体" w:cs="宋体"/>
                <w:sz w:val="24"/>
              </w:rPr>
              <w:t>3.5 转速范围：300 rpm-18,000 rpm（1 rpm增量）。</w:t>
            </w:r>
          </w:p>
          <w:p w14:paraId="7CAF141F">
            <w:pPr>
              <w:spacing w:line="400" w:lineRule="exact"/>
              <w:rPr>
                <w:rFonts w:ascii="宋体" w:hAnsi="宋体" w:cs="宋体"/>
                <w:sz w:val="24"/>
              </w:rPr>
            </w:pPr>
            <w:r>
              <w:rPr>
                <w:rFonts w:hint="eastAsia" w:ascii="宋体" w:hAnsi="宋体" w:cs="宋体"/>
                <w:sz w:val="24"/>
              </w:rPr>
              <w:t>3.6 转速精度：±20 rpm。</w:t>
            </w:r>
          </w:p>
          <w:p w14:paraId="08AF5A1B">
            <w:pPr>
              <w:spacing w:line="400" w:lineRule="exact"/>
              <w:rPr>
                <w:rFonts w:ascii="宋体" w:hAnsi="宋体" w:cs="宋体"/>
                <w:sz w:val="24"/>
              </w:rPr>
            </w:pPr>
            <w:r>
              <w:rPr>
                <w:rFonts w:hint="eastAsia" w:ascii="宋体" w:hAnsi="宋体" w:cs="宋体"/>
                <w:sz w:val="24"/>
              </w:rPr>
              <w:t>3.7 速度/RCF转换：可按离心力进行参数设定，1×g步进。</w:t>
            </w:r>
          </w:p>
          <w:p w14:paraId="464F8D0D">
            <w:pPr>
              <w:spacing w:line="400" w:lineRule="exact"/>
              <w:rPr>
                <w:rFonts w:ascii="宋体" w:hAnsi="宋体" w:cs="宋体"/>
                <w:sz w:val="24"/>
              </w:rPr>
            </w:pPr>
            <w:r>
              <w:rPr>
                <w:rFonts w:hint="eastAsia" w:ascii="宋体" w:hAnsi="宋体" w:cs="宋体"/>
                <w:sz w:val="24"/>
              </w:rPr>
              <w:t>3.8 定时功能：1秒-99小时59分59秒，Hold连续离心功能。</w:t>
            </w:r>
          </w:p>
          <w:p w14:paraId="55BCC8BC">
            <w:pPr>
              <w:spacing w:line="400" w:lineRule="exact"/>
              <w:rPr>
                <w:rFonts w:ascii="宋体" w:hAnsi="宋体" w:cs="宋体"/>
                <w:sz w:val="24"/>
              </w:rPr>
            </w:pPr>
            <w:r>
              <w:rPr>
                <w:rFonts w:hint="eastAsia" w:ascii="宋体" w:hAnsi="宋体" w:cs="宋体"/>
                <w:sz w:val="24"/>
              </w:rPr>
              <w:t>3.9 计时模式：至少四种计时模式，正计时或倒计时，以及按开始即计时或到达设定转速开始计时。</w:t>
            </w:r>
          </w:p>
          <w:p w14:paraId="70DCF294">
            <w:pPr>
              <w:spacing w:line="400" w:lineRule="exact"/>
              <w:rPr>
                <w:rFonts w:ascii="宋体" w:hAnsi="宋体" w:cs="宋体"/>
                <w:sz w:val="24"/>
              </w:rPr>
            </w:pPr>
            <w:r>
              <w:rPr>
                <w:rFonts w:hint="eastAsia"/>
                <w:b/>
                <w:sz w:val="24"/>
              </w:rPr>
              <w:t>▲</w:t>
            </w:r>
            <w:r>
              <w:rPr>
                <w:rFonts w:hint="eastAsia" w:ascii="宋体" w:hAnsi="宋体" w:cs="宋体"/>
                <w:sz w:val="24"/>
              </w:rPr>
              <w:t>3.10 转头快速自锁功能：无需工具安装。节省更换转头所需时间，减少对转头磨损，且避免产生转头安装不良引起的安全隐患。</w:t>
            </w:r>
          </w:p>
          <w:p w14:paraId="64AF5CBD">
            <w:pPr>
              <w:spacing w:line="400" w:lineRule="exact"/>
              <w:rPr>
                <w:rFonts w:ascii="宋体" w:hAnsi="宋体" w:cs="宋体"/>
                <w:sz w:val="24"/>
              </w:rPr>
            </w:pPr>
            <w:r>
              <w:rPr>
                <w:rFonts w:hint="eastAsia" w:ascii="宋体" w:hAnsi="宋体" w:cs="宋体"/>
                <w:sz w:val="24"/>
              </w:rPr>
              <w:t>3.11 显示屏：≥7英寸彩色触摸屏，且具有屏幕节能模式，长时间不操作屏幕，屏幕亮度会降低，再次操作时，需要点击屏幕任意位置恢复屏幕亮度。</w:t>
            </w:r>
          </w:p>
          <w:p w14:paraId="616ADC06">
            <w:pPr>
              <w:spacing w:line="400" w:lineRule="exact"/>
              <w:rPr>
                <w:rFonts w:ascii="宋体" w:hAnsi="宋体" w:cs="宋体"/>
                <w:sz w:val="24"/>
              </w:rPr>
            </w:pPr>
            <w:r>
              <w:rPr>
                <w:rFonts w:hint="eastAsia" w:ascii="宋体" w:hAnsi="宋体" w:cs="宋体"/>
                <w:sz w:val="24"/>
              </w:rPr>
              <w:t>3.12 运行进程显示：具有运行进程圆环，及进程百分比显示，方便查看离心进程。</w:t>
            </w:r>
          </w:p>
          <w:p w14:paraId="5AF847FA">
            <w:pPr>
              <w:spacing w:line="400" w:lineRule="exact"/>
              <w:rPr>
                <w:rFonts w:ascii="宋体" w:hAnsi="宋体" w:cs="宋体"/>
                <w:sz w:val="24"/>
              </w:rPr>
            </w:pPr>
            <w:r>
              <w:rPr>
                <w:rFonts w:hint="eastAsia" w:ascii="宋体" w:hAnsi="宋体" w:cs="宋体"/>
                <w:sz w:val="24"/>
              </w:rPr>
              <w:t>3.13 运行噪音：≤58 dB(A)，运行安静。</w:t>
            </w:r>
          </w:p>
          <w:p w14:paraId="4432FC29">
            <w:pPr>
              <w:spacing w:line="400" w:lineRule="exact"/>
              <w:rPr>
                <w:rFonts w:ascii="宋体" w:hAnsi="宋体" w:cs="宋体"/>
                <w:sz w:val="24"/>
              </w:rPr>
            </w:pPr>
            <w:r>
              <w:rPr>
                <w:rFonts w:hint="eastAsia" w:ascii="宋体" w:hAnsi="宋体" w:cs="宋体"/>
                <w:sz w:val="24"/>
              </w:rPr>
              <w:t>3.14 存储程序：可存储多达100组程序。</w:t>
            </w:r>
          </w:p>
          <w:p w14:paraId="740BD9FF">
            <w:pPr>
              <w:spacing w:line="400" w:lineRule="exact"/>
              <w:rPr>
                <w:rFonts w:ascii="宋体" w:hAnsi="宋体" w:cs="宋体"/>
                <w:sz w:val="24"/>
              </w:rPr>
            </w:pPr>
            <w:r>
              <w:rPr>
                <w:rFonts w:hint="eastAsia" w:ascii="宋体" w:hAnsi="宋体" w:cs="宋体"/>
                <w:sz w:val="24"/>
              </w:rPr>
              <w:t>3.15 运行记录存储：可存储高达1000个运行记录。</w:t>
            </w:r>
          </w:p>
          <w:p w14:paraId="3106B5D0">
            <w:pPr>
              <w:spacing w:line="400" w:lineRule="exact"/>
              <w:rPr>
                <w:rFonts w:ascii="宋体" w:hAnsi="宋体" w:cs="宋体"/>
                <w:sz w:val="24"/>
              </w:rPr>
            </w:pPr>
            <w:r>
              <w:rPr>
                <w:rFonts w:hint="eastAsia" w:ascii="宋体" w:hAnsi="宋体" w:cs="宋体"/>
                <w:sz w:val="24"/>
              </w:rPr>
              <w:t>3.16 快加速和减速，11级加速，12级减速，方便对不同样品的离心。</w:t>
            </w:r>
          </w:p>
          <w:p w14:paraId="20B1A817">
            <w:pPr>
              <w:spacing w:line="400" w:lineRule="exact"/>
              <w:rPr>
                <w:rFonts w:ascii="宋体" w:hAnsi="宋体" w:cs="宋体"/>
                <w:sz w:val="24"/>
              </w:rPr>
            </w:pPr>
            <w:r>
              <w:rPr>
                <w:rFonts w:hint="eastAsia" w:ascii="宋体" w:hAnsi="宋体" w:cs="宋体"/>
                <w:sz w:val="24"/>
              </w:rPr>
              <w:t>3.17 高不平衡耐受性，可允许5 mm的差异。10ml离心管及水平转头可容忍不平衡2 mm。</w:t>
            </w:r>
          </w:p>
          <w:p w14:paraId="5C503467">
            <w:pPr>
              <w:spacing w:line="400" w:lineRule="exact"/>
              <w:rPr>
                <w:rFonts w:ascii="宋体" w:hAnsi="宋体" w:cs="宋体"/>
                <w:sz w:val="24"/>
              </w:rPr>
            </w:pPr>
            <w:r>
              <w:rPr>
                <w:rFonts w:hint="eastAsia" w:ascii="宋体" w:hAnsi="宋体" w:cs="宋体"/>
                <w:sz w:val="24"/>
              </w:rPr>
              <w:t>3.18 具有温度自动补偿功能，保障样品的低温离心。</w:t>
            </w:r>
          </w:p>
          <w:p w14:paraId="4A46E774">
            <w:pPr>
              <w:spacing w:line="400" w:lineRule="exact"/>
              <w:rPr>
                <w:rFonts w:ascii="宋体" w:hAnsi="宋体" w:cs="宋体"/>
                <w:sz w:val="24"/>
              </w:rPr>
            </w:pPr>
            <w:r>
              <w:rPr>
                <w:rFonts w:hint="eastAsia" w:ascii="宋体" w:hAnsi="宋体" w:cs="宋体"/>
                <w:sz w:val="24"/>
              </w:rPr>
              <w:t>3.19 转头自动识别功能，每个转头拥有独立的ID。</w:t>
            </w:r>
          </w:p>
          <w:p w14:paraId="4C01A380">
            <w:pPr>
              <w:spacing w:line="400" w:lineRule="exact"/>
              <w:rPr>
                <w:rFonts w:ascii="宋体" w:hAnsi="宋体" w:cs="宋体"/>
                <w:sz w:val="24"/>
              </w:rPr>
            </w:pPr>
            <w:r>
              <w:rPr>
                <w:rFonts w:hint="eastAsia"/>
                <w:b/>
                <w:sz w:val="24"/>
              </w:rPr>
              <w:t>▲</w:t>
            </w:r>
            <w:r>
              <w:rPr>
                <w:rFonts w:hint="eastAsia" w:ascii="宋体" w:hAnsi="宋体" w:cs="宋体"/>
                <w:sz w:val="24"/>
              </w:rPr>
              <w:t>3.20 具有非接触不平衡保护：检测运转过程中任何转头在任何转速下的振幅与正常情况下的振幅相比较, 可以立即捕获异常的震动，如果运转过程中被震动或出现异常颤动，离心机会快速停止运行，对不同转速下真正的不平衡保护。</w:t>
            </w:r>
          </w:p>
          <w:p w14:paraId="3B43E42E">
            <w:pPr>
              <w:spacing w:line="400" w:lineRule="exact"/>
              <w:rPr>
                <w:rFonts w:ascii="宋体" w:hAnsi="宋体" w:cs="宋体"/>
                <w:sz w:val="24"/>
              </w:rPr>
            </w:pPr>
            <w:r>
              <w:rPr>
                <w:rFonts w:hint="eastAsia" w:ascii="宋体" w:hAnsi="宋体" w:cs="宋体"/>
                <w:sz w:val="24"/>
              </w:rPr>
              <w:t>3.21 用户锁及管理权限：具有三级用户锁功能，可注册多达100个用户。</w:t>
            </w:r>
          </w:p>
          <w:p w14:paraId="007A174D">
            <w:pPr>
              <w:spacing w:line="400" w:lineRule="exact"/>
              <w:rPr>
                <w:rFonts w:ascii="宋体" w:hAnsi="宋体" w:cs="宋体"/>
                <w:sz w:val="24"/>
              </w:rPr>
            </w:pPr>
            <w:r>
              <w:rPr>
                <w:rFonts w:hint="eastAsia" w:ascii="宋体" w:hAnsi="宋体" w:cs="宋体"/>
                <w:sz w:val="24"/>
              </w:rPr>
              <w:t>3.22 具有瞬时离心功能，可快速、方便的收集样品。</w:t>
            </w:r>
          </w:p>
          <w:p w14:paraId="726CA433">
            <w:pPr>
              <w:spacing w:line="400" w:lineRule="exact"/>
              <w:rPr>
                <w:rFonts w:ascii="宋体" w:hAnsi="宋体" w:cs="宋体"/>
                <w:sz w:val="24"/>
              </w:rPr>
            </w:pPr>
            <w:r>
              <w:rPr>
                <w:rFonts w:hint="eastAsia" w:ascii="宋体" w:hAnsi="宋体" w:cs="宋体"/>
                <w:sz w:val="24"/>
              </w:rPr>
              <w:t>3.23 预冷功能：可使用正常预冷功能，快速对转头进行预冷，保护样品避免温度敏感样品的失活。</w:t>
            </w:r>
          </w:p>
          <w:p w14:paraId="7654DDB5">
            <w:pPr>
              <w:spacing w:line="400" w:lineRule="exact"/>
              <w:rPr>
                <w:rFonts w:ascii="宋体" w:hAnsi="宋体" w:cs="宋体"/>
                <w:sz w:val="24"/>
              </w:rPr>
            </w:pPr>
            <w:r>
              <w:rPr>
                <w:rFonts w:hint="eastAsia" w:ascii="宋体" w:hAnsi="宋体" w:cs="宋体"/>
                <w:sz w:val="24"/>
              </w:rPr>
              <w:t>3.24 预约预冷：除了正常预冷，也可提取预设预冷开始时间。</w:t>
            </w:r>
          </w:p>
          <w:p w14:paraId="125C6317">
            <w:pPr>
              <w:spacing w:line="400" w:lineRule="exact"/>
              <w:rPr>
                <w:rFonts w:ascii="宋体" w:hAnsi="宋体" w:cs="宋体"/>
                <w:sz w:val="24"/>
              </w:rPr>
            </w:pPr>
            <w:r>
              <w:rPr>
                <w:rFonts w:hint="eastAsia" w:ascii="宋体" w:hAnsi="宋体" w:cs="宋体"/>
                <w:sz w:val="24"/>
              </w:rPr>
              <w:t>3.25 ECO节能模式：可开启或关闭ECO模式，若ECO处于OFF状态，离心机在通电且门盖关闭状态下，可以一直保持设定的温度，当ECO被开启时，用户可以选择四种ECO时长（2-8小时），离心机在处于通电且门盖关闭状态下，离心机能够保持设定温度的时长，超过该时长，离心机将进入节能模式，压缩机不再工作。</w:t>
            </w:r>
          </w:p>
          <w:p w14:paraId="77EABF8A">
            <w:pPr>
              <w:spacing w:line="400" w:lineRule="exact"/>
              <w:rPr>
                <w:rFonts w:ascii="宋体" w:hAnsi="宋体" w:cs="宋体"/>
                <w:sz w:val="24"/>
              </w:rPr>
            </w:pPr>
            <w:r>
              <w:rPr>
                <w:rFonts w:hint="eastAsia" w:ascii="宋体" w:hAnsi="宋体" w:cs="宋体"/>
                <w:sz w:val="24"/>
              </w:rPr>
              <w:t>3.26 安全装置：离心机盖双重电子锁装置，超速检测和电机过热检测。</w:t>
            </w:r>
          </w:p>
          <w:p w14:paraId="6118D53B">
            <w:pPr>
              <w:spacing w:line="400" w:lineRule="exact"/>
              <w:rPr>
                <w:rFonts w:ascii="宋体" w:hAnsi="宋体" w:cs="宋体"/>
                <w:sz w:val="24"/>
              </w:rPr>
            </w:pPr>
            <w:r>
              <w:rPr>
                <w:rFonts w:hint="eastAsia" w:ascii="宋体" w:hAnsi="宋体" w:cs="宋体"/>
                <w:sz w:val="24"/>
              </w:rPr>
              <w:t>3.27 具有详细的自我诊断信息，错误代码直接显示，快速排除仪器故障。</w:t>
            </w:r>
          </w:p>
          <w:p w14:paraId="1D59F082">
            <w:pPr>
              <w:spacing w:line="400" w:lineRule="exact"/>
              <w:rPr>
                <w:rFonts w:ascii="宋体" w:hAnsi="宋体" w:cs="宋体"/>
                <w:sz w:val="24"/>
              </w:rPr>
            </w:pPr>
            <w:r>
              <w:rPr>
                <w:rFonts w:hint="eastAsia" w:ascii="宋体" w:hAnsi="宋体" w:cs="宋体"/>
                <w:sz w:val="24"/>
              </w:rPr>
              <w:t>4. 技术服务：</w:t>
            </w:r>
          </w:p>
          <w:p w14:paraId="27B16F22">
            <w:pPr>
              <w:spacing w:line="400" w:lineRule="exact"/>
              <w:rPr>
                <w:rFonts w:ascii="宋体" w:hAnsi="宋体" w:cs="宋体"/>
                <w:sz w:val="24"/>
              </w:rPr>
            </w:pPr>
            <w:r>
              <w:rPr>
                <w:rFonts w:hint="eastAsia" w:ascii="宋体" w:hAnsi="宋体" w:cs="宋体"/>
                <w:sz w:val="24"/>
              </w:rPr>
              <w:t>4.1 提供安装、调试及培训服务。</w:t>
            </w:r>
          </w:p>
          <w:p w14:paraId="63B897A9">
            <w:pPr>
              <w:spacing w:line="400" w:lineRule="exact"/>
              <w:rPr>
                <w:rFonts w:ascii="宋体" w:hAnsi="宋体" w:cs="宋体"/>
                <w:sz w:val="24"/>
              </w:rPr>
            </w:pPr>
            <w:r>
              <w:rPr>
                <w:rFonts w:hint="eastAsia" w:ascii="宋体" w:hAnsi="宋体" w:cs="宋体"/>
                <w:sz w:val="24"/>
              </w:rPr>
              <w:t>4.3 维修及技术服务1年质保，在中国有技术维修中心。当地代理商以及中国区技术维修中心负责售后工作。厂家定期回访，全天问题受理以及操作服务。</w:t>
            </w:r>
          </w:p>
          <w:p w14:paraId="2906D92E">
            <w:pPr>
              <w:spacing w:line="400" w:lineRule="exact"/>
              <w:rPr>
                <w:rFonts w:ascii="宋体" w:hAnsi="宋体" w:cs="宋体"/>
                <w:sz w:val="24"/>
              </w:rPr>
            </w:pPr>
            <w:r>
              <w:rPr>
                <w:rFonts w:hint="eastAsia" w:ascii="宋体" w:hAnsi="宋体" w:cs="宋体"/>
                <w:sz w:val="24"/>
              </w:rPr>
              <w:t>配置清单：</w:t>
            </w:r>
          </w:p>
          <w:p w14:paraId="6F9ED9C3">
            <w:pPr>
              <w:spacing w:line="400" w:lineRule="exact"/>
              <w:rPr>
                <w:rFonts w:ascii="宋体" w:hAnsi="宋体" w:cs="宋体"/>
                <w:sz w:val="24"/>
              </w:rPr>
            </w:pPr>
            <w:r>
              <w:rPr>
                <w:rFonts w:hint="eastAsia" w:ascii="宋体" w:hAnsi="宋体" w:cs="宋体"/>
                <w:sz w:val="24"/>
              </w:rPr>
              <w:t>1. 主机一台</w:t>
            </w:r>
          </w:p>
          <w:p w14:paraId="05FF5B5E">
            <w:pPr>
              <w:spacing w:line="400" w:lineRule="exact"/>
              <w:rPr>
                <w:rFonts w:ascii="宋体" w:hAnsi="宋体" w:cs="宋体"/>
                <w:sz w:val="24"/>
              </w:rPr>
            </w:pPr>
            <w:r>
              <w:rPr>
                <w:rFonts w:hint="eastAsia" w:ascii="宋体" w:hAnsi="宋体" w:cs="宋体"/>
                <w:sz w:val="24"/>
              </w:rPr>
              <w:t>2. 角转子一个（6×50 mL；15000 rpm/23300×g，配15 mL适配器）</w:t>
            </w:r>
          </w:p>
          <w:p w14:paraId="6A5E0913">
            <w:pPr>
              <w:spacing w:line="400" w:lineRule="exact"/>
              <w:rPr>
                <w:rFonts w:ascii="宋体" w:hAnsi="宋体" w:cs="宋体"/>
                <w:sz w:val="24"/>
              </w:rPr>
            </w:pPr>
            <w:r>
              <w:rPr>
                <w:rFonts w:hint="eastAsia" w:ascii="宋体" w:hAnsi="宋体" w:cs="宋体"/>
                <w:sz w:val="24"/>
              </w:rPr>
              <w:t>3. 角转子一个（18×1.5/2 mL；18000rmp/24990xg）</w:t>
            </w:r>
          </w:p>
          <w:p w14:paraId="7CCF9259">
            <w:pPr>
              <w:spacing w:line="400" w:lineRule="exact"/>
              <w:rPr>
                <w:rFonts w:ascii="宋体" w:hAnsi="宋体" w:cs="宋体"/>
                <w:sz w:val="24"/>
              </w:rPr>
            </w:pPr>
            <w:r>
              <w:rPr>
                <w:rFonts w:hint="eastAsia" w:ascii="宋体" w:hAnsi="宋体" w:cs="宋体"/>
                <w:sz w:val="24"/>
              </w:rPr>
              <w:t>4. 水平转子一套4200 rpm/3550×g+16×50ml适配器</w:t>
            </w:r>
          </w:p>
          <w:p w14:paraId="159763B9">
            <w:pPr>
              <w:spacing w:line="400" w:lineRule="exact"/>
              <w:rPr>
                <w:rFonts w:ascii="宋体" w:hAnsi="宋体" w:cs="宋体"/>
                <w:sz w:val="24"/>
              </w:rPr>
            </w:pPr>
            <w:r>
              <w:rPr>
                <w:rFonts w:hint="eastAsia" w:ascii="宋体" w:hAnsi="宋体" w:cs="宋体"/>
                <w:sz w:val="24"/>
              </w:rPr>
              <w:t>5. 操作说明书，维修工具，保险丝，质保卡。转头选配</w:t>
            </w:r>
          </w:p>
        </w:tc>
        <w:tc>
          <w:tcPr>
            <w:tcW w:w="1134" w:type="dxa"/>
            <w:vAlign w:val="center"/>
          </w:tcPr>
          <w:p w14:paraId="24B2888D">
            <w:pPr>
              <w:pStyle w:val="58"/>
              <w:jc w:val="center"/>
              <w:rPr>
                <w:rFonts w:ascii="宋体" w:hAnsi="宋体" w:cs="宋体"/>
                <w:kern w:val="0"/>
                <w:sz w:val="24"/>
                <w:szCs w:val="24"/>
                <w:lang w:bidi="ar"/>
              </w:rPr>
            </w:pPr>
            <w:r>
              <w:rPr>
                <w:rFonts w:hint="eastAsia" w:ascii="宋体" w:hAnsi="宋体" w:cs="宋体"/>
                <w:sz w:val="24"/>
                <w:szCs w:val="24"/>
              </w:rPr>
              <w:t>9</w:t>
            </w:r>
          </w:p>
        </w:tc>
        <w:tc>
          <w:tcPr>
            <w:tcW w:w="1275" w:type="dxa"/>
            <w:vAlign w:val="center"/>
          </w:tcPr>
          <w:p w14:paraId="18BAF6AF">
            <w:pPr>
              <w:pStyle w:val="58"/>
              <w:jc w:val="center"/>
              <w:rPr>
                <w:rFonts w:ascii="宋体" w:hAnsi="宋体" w:cs="宋体"/>
                <w:kern w:val="0"/>
                <w:sz w:val="24"/>
                <w:szCs w:val="24"/>
                <w:lang w:bidi="ar"/>
              </w:rPr>
            </w:pPr>
            <w:r>
              <w:rPr>
                <w:rFonts w:hint="eastAsia" w:ascii="宋体" w:hAnsi="宋体" w:cs="宋体"/>
                <w:sz w:val="24"/>
                <w:szCs w:val="24"/>
              </w:rPr>
              <w:t>9</w:t>
            </w:r>
          </w:p>
        </w:tc>
      </w:tr>
      <w:tr w14:paraId="591C3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532" w:type="dxa"/>
            <w:vAlign w:val="center"/>
          </w:tcPr>
          <w:p w14:paraId="147BD310">
            <w:pPr>
              <w:spacing w:line="440" w:lineRule="exact"/>
              <w:jc w:val="center"/>
              <w:rPr>
                <w:rFonts w:ascii="宋体" w:hAnsi="宋体" w:cs="宋体"/>
                <w:sz w:val="24"/>
              </w:rPr>
            </w:pPr>
            <w:r>
              <w:rPr>
                <w:rFonts w:hint="eastAsia" w:ascii="宋体" w:hAnsi="宋体" w:cs="宋体"/>
                <w:sz w:val="24"/>
              </w:rPr>
              <w:t>13</w:t>
            </w:r>
          </w:p>
        </w:tc>
        <w:tc>
          <w:tcPr>
            <w:tcW w:w="1318" w:type="dxa"/>
            <w:vAlign w:val="center"/>
          </w:tcPr>
          <w:p w14:paraId="6F4C0993">
            <w:pPr>
              <w:jc w:val="center"/>
              <w:rPr>
                <w:rFonts w:ascii="宋体" w:hAnsi="宋体" w:cs="宋体"/>
                <w:sz w:val="24"/>
              </w:rPr>
            </w:pPr>
            <w:r>
              <w:rPr>
                <w:rFonts w:hint="eastAsia" w:ascii="宋体" w:hAnsi="宋体" w:cs="宋体"/>
                <w:color w:val="000000"/>
                <w:sz w:val="24"/>
              </w:rPr>
              <w:t>组织全景全自动玻片扫描仪</w:t>
            </w:r>
          </w:p>
        </w:tc>
        <w:tc>
          <w:tcPr>
            <w:tcW w:w="557" w:type="dxa"/>
            <w:vAlign w:val="center"/>
          </w:tcPr>
          <w:p w14:paraId="4F22769C">
            <w:pPr>
              <w:pStyle w:val="58"/>
              <w:jc w:val="center"/>
              <w:rPr>
                <w:rFonts w:ascii="宋体" w:hAnsi="宋体" w:cs="宋体"/>
                <w:sz w:val="24"/>
                <w:szCs w:val="24"/>
              </w:rPr>
            </w:pPr>
            <w:r>
              <w:rPr>
                <w:rFonts w:hint="eastAsia" w:ascii="宋体" w:hAnsi="宋体" w:cs="宋体"/>
                <w:sz w:val="24"/>
                <w:szCs w:val="24"/>
              </w:rPr>
              <w:t>1</w:t>
            </w:r>
          </w:p>
        </w:tc>
        <w:tc>
          <w:tcPr>
            <w:tcW w:w="660" w:type="dxa"/>
            <w:vAlign w:val="center"/>
          </w:tcPr>
          <w:p w14:paraId="6459CA0F">
            <w:pPr>
              <w:pStyle w:val="58"/>
              <w:jc w:val="center"/>
              <w:rPr>
                <w:rFonts w:ascii="宋体" w:hAnsi="宋体" w:cs="宋体"/>
                <w:sz w:val="24"/>
                <w:szCs w:val="24"/>
              </w:rPr>
            </w:pPr>
            <w:r>
              <w:rPr>
                <w:rFonts w:hint="eastAsia" w:ascii="宋体" w:hAnsi="宋体" w:cs="宋体"/>
                <w:sz w:val="24"/>
                <w:szCs w:val="24"/>
              </w:rPr>
              <w:t>台</w:t>
            </w:r>
          </w:p>
        </w:tc>
        <w:tc>
          <w:tcPr>
            <w:tcW w:w="5128" w:type="dxa"/>
            <w:gridSpan w:val="2"/>
          </w:tcPr>
          <w:p w14:paraId="0BACE477">
            <w:pPr>
              <w:spacing w:line="400" w:lineRule="exact"/>
              <w:rPr>
                <w:rFonts w:ascii="宋体" w:hAnsi="宋体" w:cs="宋体"/>
                <w:sz w:val="24"/>
              </w:rPr>
            </w:pPr>
            <w:r>
              <w:rPr>
                <w:rFonts w:hint="eastAsia"/>
                <w:b/>
                <w:sz w:val="24"/>
              </w:rPr>
              <w:t>▲</w:t>
            </w:r>
            <w:r>
              <w:rPr>
                <w:rFonts w:hint="eastAsia" w:ascii="宋体" w:hAnsi="宋体" w:cs="宋体"/>
                <w:sz w:val="24"/>
              </w:rPr>
              <w:t>1. 系统具有完整的无限远校正光学系统 (CCIS®)成像光路，同时具有明场、荧光扫描成像功能，可自由切换。</w:t>
            </w:r>
          </w:p>
          <w:p w14:paraId="53DE79E5">
            <w:pPr>
              <w:spacing w:line="400" w:lineRule="exact"/>
              <w:rPr>
                <w:rFonts w:ascii="宋体" w:hAnsi="宋体" w:cs="宋体"/>
                <w:sz w:val="24"/>
              </w:rPr>
            </w:pPr>
            <w:r>
              <w:rPr>
                <w:rFonts w:hint="eastAsia"/>
                <w:b/>
                <w:sz w:val="24"/>
              </w:rPr>
              <w:t>▲</w:t>
            </w:r>
            <w:r>
              <w:rPr>
                <w:rFonts w:hint="eastAsia" w:ascii="宋体" w:hAnsi="宋体" w:cs="宋体"/>
                <w:sz w:val="24"/>
              </w:rPr>
              <w:t>2. 高精度Z轴控制设计：Z轴行程：行程范围≥45 mm，其中显微镜机身立柱电动调焦机构行程范围≥25 mm，手动载物台调焦行程范围≥20 mm，适用实验中的大样品的工作距离需求。</w:t>
            </w:r>
          </w:p>
          <w:p w14:paraId="6A6A06DA">
            <w:pPr>
              <w:spacing w:line="400" w:lineRule="exact"/>
              <w:rPr>
                <w:rFonts w:ascii="宋体" w:hAnsi="宋体" w:cs="宋体"/>
                <w:sz w:val="24"/>
              </w:rPr>
            </w:pPr>
            <w:r>
              <w:rPr>
                <w:rFonts w:hint="eastAsia" w:ascii="宋体" w:hAnsi="宋体" w:cs="宋体"/>
                <w:sz w:val="24"/>
              </w:rPr>
              <w:t>3. 电动编码≥6孔物镜转换器，软件自动识别镜头倍数，自动切换比例尺参数，支持追溯查看任意倍率下拍摄的扫描图片参数。</w:t>
            </w:r>
          </w:p>
          <w:p w14:paraId="1A2AF1E6">
            <w:pPr>
              <w:spacing w:line="400" w:lineRule="exact"/>
              <w:rPr>
                <w:rFonts w:ascii="宋体" w:hAnsi="宋体" w:cs="宋体"/>
                <w:sz w:val="24"/>
              </w:rPr>
            </w:pPr>
            <w:r>
              <w:rPr>
                <w:rFonts w:hint="eastAsia"/>
                <w:b/>
                <w:sz w:val="24"/>
              </w:rPr>
              <w:t>▲</w:t>
            </w:r>
            <w:r>
              <w:rPr>
                <w:rFonts w:hint="eastAsia" w:ascii="宋体" w:hAnsi="宋体" w:cs="宋体"/>
                <w:sz w:val="24"/>
              </w:rPr>
              <w:t>4. 扫描物镜：HPlan SAPO 4×/≥0.13，W.D≥17.3mm；HPlan SAPO 10×/≥0.3，W.D≥11.7 mm；HPlan SAPO 20×/≥0.5，W.D≥2.2 mm；HPlan SAPO 40×/≥0.75，W.D≥0.7 mm；HPlan SAPO 100×/≥1.30 oil，W.D≥0.1 mm。配置N.A. 0.90/12.5推拉式聚光镜，支持在4×物镜下自定义扫描导航图。</w:t>
            </w:r>
          </w:p>
          <w:p w14:paraId="7AD6D1B3">
            <w:pPr>
              <w:spacing w:line="400" w:lineRule="exact"/>
              <w:rPr>
                <w:rFonts w:ascii="宋体" w:hAnsi="宋体" w:cs="宋体"/>
                <w:sz w:val="24"/>
              </w:rPr>
            </w:pPr>
            <w:r>
              <w:rPr>
                <w:rFonts w:hint="eastAsia"/>
                <w:b/>
                <w:sz w:val="24"/>
              </w:rPr>
              <w:t>▲</w:t>
            </w:r>
            <w:r>
              <w:rPr>
                <w:rFonts w:hint="eastAsia" w:ascii="宋体" w:hAnsi="宋体" w:cs="宋体"/>
                <w:sz w:val="24"/>
              </w:rPr>
              <w:t>5. 科研级扫描头部，双照相机设计，内置≥120万像素辅助对焦和≥500万像素高清成像sCMOS相机（100:0，0:100），超宽视野目镜 UC-WF 10×/≥22 mm，屈光度可调 +/- 4。</w:t>
            </w:r>
          </w:p>
          <w:p w14:paraId="6F54AA2B">
            <w:pPr>
              <w:spacing w:line="400" w:lineRule="exact"/>
              <w:rPr>
                <w:rFonts w:ascii="宋体" w:hAnsi="宋体" w:cs="宋体"/>
                <w:sz w:val="24"/>
              </w:rPr>
            </w:pPr>
            <w:r>
              <w:rPr>
                <w:rFonts w:hint="eastAsia"/>
                <w:b/>
                <w:sz w:val="24"/>
              </w:rPr>
              <w:t>▲</w:t>
            </w:r>
            <w:r>
              <w:rPr>
                <w:rFonts w:hint="eastAsia" w:ascii="宋体" w:hAnsi="宋体" w:cs="宋体"/>
                <w:sz w:val="24"/>
              </w:rPr>
              <w:t>6. 友好的主动光强管理系统，适用于所有物镜，编码记忆物镜和滤块位置的同时记忆光强度。恒定、一致的IL亮度按钮，支持≥10档IL亮度记忆，物镜切换时给予最舒适的光强亮度。环保的ECO节能按键设计，支持客户预设休眠时间，自动进入待机模式，红外线感应设计支持显微镜自动恢复休眠前的工作状态。</w:t>
            </w:r>
          </w:p>
          <w:p w14:paraId="4FC5172A">
            <w:pPr>
              <w:spacing w:line="400" w:lineRule="exact"/>
              <w:rPr>
                <w:rFonts w:ascii="宋体" w:hAnsi="宋体" w:cs="宋体"/>
                <w:sz w:val="24"/>
              </w:rPr>
            </w:pPr>
            <w:r>
              <w:rPr>
                <w:rFonts w:hint="eastAsia" w:ascii="宋体" w:hAnsi="宋体" w:cs="宋体"/>
                <w:sz w:val="24"/>
              </w:rPr>
              <w:t>7. 透射光照明：柯拉照明系统，内置滤色片，≥12 V 100 W卤素灯，内置ND6、ND25、LBD滤色片，LAMP接口。</w:t>
            </w:r>
          </w:p>
          <w:p w14:paraId="3CD13814">
            <w:pPr>
              <w:spacing w:line="400" w:lineRule="exact"/>
              <w:rPr>
                <w:rFonts w:ascii="宋体" w:hAnsi="宋体" w:cs="宋体"/>
                <w:sz w:val="24"/>
              </w:rPr>
            </w:pPr>
            <w:r>
              <w:rPr>
                <w:rFonts w:hint="eastAsia"/>
                <w:b/>
                <w:sz w:val="24"/>
              </w:rPr>
              <w:t>▲</w:t>
            </w:r>
            <w:r>
              <w:rPr>
                <w:rFonts w:hint="eastAsia" w:ascii="宋体" w:hAnsi="宋体" w:cs="宋体"/>
                <w:sz w:val="24"/>
              </w:rPr>
              <w:t>8. 长寿命超高亮度LUMOS LED荧光光源，安全性高，复消色差光学，即开即用，无需预热，光谱范围350 nm-700 nm，适用目前市面上的各种荧光探针，超低光毒性，无线版PAD控制器可独立控制三路LED，根据客户的使用习惯任意摆放位置，支持联动模式和非联动模式≥2种模式，PAD上能够实现调控配对、光源开关、亮度调节、温度检测、休眠开关和定时、风速档位等等功能。</w:t>
            </w:r>
          </w:p>
          <w:p w14:paraId="7724D145">
            <w:pPr>
              <w:spacing w:line="400" w:lineRule="exact"/>
              <w:rPr>
                <w:rFonts w:ascii="宋体" w:hAnsi="宋体" w:cs="宋体"/>
                <w:sz w:val="24"/>
              </w:rPr>
            </w:pPr>
            <w:r>
              <w:rPr>
                <w:rFonts w:hint="eastAsia" w:ascii="宋体" w:hAnsi="宋体" w:cs="宋体"/>
                <w:sz w:val="24"/>
              </w:rPr>
              <w:t>9. 电动六位编码滤色块转盘保证多色荧光的完美叠加，系统自动识别当前滤色块孔位，支持后续根据需求自由更换滤色块组。配置以下三个滤色块组：</w:t>
            </w:r>
          </w:p>
          <w:p w14:paraId="637D4E2B">
            <w:pPr>
              <w:spacing w:line="400" w:lineRule="exact"/>
              <w:rPr>
                <w:rFonts w:ascii="宋体" w:hAnsi="宋体" w:cs="宋体"/>
                <w:sz w:val="24"/>
              </w:rPr>
            </w:pPr>
            <w:r>
              <w:rPr>
                <w:rFonts w:hint="eastAsia" w:ascii="宋体" w:hAnsi="宋体" w:cs="宋体"/>
                <w:sz w:val="24"/>
              </w:rPr>
              <w:t>AT-DAPI/Hoechst/AlexaFluor ≥350滤色块组；</w:t>
            </w:r>
          </w:p>
          <w:p w14:paraId="4EB87E98">
            <w:pPr>
              <w:spacing w:line="400" w:lineRule="exact"/>
              <w:rPr>
                <w:rFonts w:ascii="宋体" w:hAnsi="宋体" w:cs="宋体"/>
                <w:sz w:val="24"/>
              </w:rPr>
            </w:pPr>
            <w:r>
              <w:rPr>
                <w:rFonts w:hint="eastAsia" w:ascii="宋体" w:hAnsi="宋体" w:cs="宋体"/>
                <w:sz w:val="24"/>
              </w:rPr>
              <w:t>AT-EGFP/FITC/Cy2/AlexaFluor ≥488滤色块组；</w:t>
            </w:r>
          </w:p>
          <w:p w14:paraId="193FE406">
            <w:pPr>
              <w:spacing w:line="400" w:lineRule="exact"/>
              <w:rPr>
                <w:rFonts w:ascii="宋体" w:hAnsi="宋体" w:cs="宋体"/>
                <w:sz w:val="24"/>
              </w:rPr>
            </w:pPr>
            <w:r>
              <w:rPr>
                <w:rFonts w:hint="eastAsia" w:ascii="宋体" w:hAnsi="宋体" w:cs="宋体"/>
                <w:sz w:val="24"/>
              </w:rPr>
              <w:t>AT-TRITC/Cy3/TagRFP/AlexaFluor ≥546滤色块组。</w:t>
            </w:r>
          </w:p>
          <w:p w14:paraId="277586EE">
            <w:pPr>
              <w:spacing w:line="400" w:lineRule="exact"/>
              <w:rPr>
                <w:rFonts w:ascii="宋体" w:hAnsi="宋体" w:cs="宋体"/>
                <w:sz w:val="24"/>
              </w:rPr>
            </w:pPr>
            <w:r>
              <w:rPr>
                <w:rFonts w:hint="eastAsia" w:ascii="宋体" w:hAnsi="宋体" w:cs="宋体"/>
                <w:sz w:val="24"/>
              </w:rPr>
              <w:t>10. 显微镜有光栏及吸光装置设计，可防止环境光源对荧光成像观察和拍照造成影响。</w:t>
            </w:r>
          </w:p>
          <w:p w14:paraId="6B01476E">
            <w:pPr>
              <w:spacing w:line="400" w:lineRule="exact"/>
              <w:rPr>
                <w:rFonts w:ascii="宋体" w:hAnsi="宋体" w:cs="宋体"/>
                <w:sz w:val="24"/>
              </w:rPr>
            </w:pPr>
            <w:r>
              <w:rPr>
                <w:rFonts w:hint="eastAsia" w:ascii="宋体" w:hAnsi="宋体" w:cs="宋体"/>
                <w:sz w:val="24"/>
              </w:rPr>
              <w:t>11. 电动载物台，行程范围100 mm×100 mm (4"×4")，+/- 3 μm精度，可重复精度&lt; 1 μm，支持物理限位操作，工作区域有硬质阳极氧化表面处理，抗刮及耐化学腐蚀。</w:t>
            </w:r>
          </w:p>
          <w:p w14:paraId="662FA457">
            <w:pPr>
              <w:spacing w:line="400" w:lineRule="exact"/>
              <w:rPr>
                <w:rFonts w:ascii="宋体" w:hAnsi="宋体" w:cs="宋体"/>
                <w:sz w:val="24"/>
              </w:rPr>
            </w:pPr>
            <w:r>
              <w:rPr>
                <w:rFonts w:hint="eastAsia" w:ascii="宋体" w:hAnsi="宋体" w:cs="宋体"/>
                <w:sz w:val="24"/>
              </w:rPr>
              <w:t>12. 极具工程学设计的载物台粗调和微调手轮，粗调：≥17.7 mm/转，微调：≥0.1 mm/转，上限位，松紧调节环。步进电机，长交叉滚轮系统，精度≥0.01 mm，重复定位精度≥0.5 mm，最大速度：≥1.4 mm/sec。</w:t>
            </w:r>
          </w:p>
          <w:p w14:paraId="33BB7BD8">
            <w:pPr>
              <w:spacing w:line="400" w:lineRule="exact"/>
              <w:rPr>
                <w:rFonts w:ascii="宋体" w:hAnsi="宋体" w:cs="宋体"/>
                <w:sz w:val="24"/>
              </w:rPr>
            </w:pPr>
            <w:r>
              <w:rPr>
                <w:rFonts w:hint="eastAsia" w:ascii="宋体" w:hAnsi="宋体" w:cs="宋体"/>
                <w:sz w:val="24"/>
              </w:rPr>
              <w:t>13. 显微镜机身含R232通讯控制接口，显微镜可由外接控制器或者电脑控制。</w:t>
            </w:r>
          </w:p>
          <w:p w14:paraId="15C3F163">
            <w:pPr>
              <w:spacing w:line="400" w:lineRule="exact"/>
              <w:rPr>
                <w:rFonts w:ascii="宋体" w:hAnsi="宋体" w:cs="宋体"/>
                <w:sz w:val="24"/>
              </w:rPr>
            </w:pPr>
            <w:r>
              <w:rPr>
                <w:rFonts w:hint="eastAsia"/>
                <w:b/>
                <w:sz w:val="24"/>
              </w:rPr>
              <w:t>▲</w:t>
            </w:r>
            <w:r>
              <w:rPr>
                <w:rFonts w:hint="eastAsia" w:ascii="宋体" w:hAnsi="宋体" w:cs="宋体"/>
                <w:sz w:val="24"/>
              </w:rPr>
              <w:t xml:space="preserve">14. 与主机同一品牌的科研级成像系统和辅助对焦相机： </w:t>
            </w:r>
          </w:p>
          <w:p w14:paraId="03B4E0AE">
            <w:pPr>
              <w:spacing w:line="400" w:lineRule="exact"/>
              <w:rPr>
                <w:rFonts w:ascii="宋体" w:hAnsi="宋体" w:cs="宋体"/>
                <w:sz w:val="24"/>
              </w:rPr>
            </w:pPr>
            <w:r>
              <w:rPr>
                <w:rFonts w:hint="eastAsia" w:ascii="宋体" w:hAnsi="宋体" w:cs="宋体"/>
                <w:sz w:val="24"/>
              </w:rPr>
              <w:t>对焦相机：≥120万像素，sCMOS≥ 1/3寸传感器，成像区域（对角线）≥6.09 mm，像素尺寸≥3.75 μm×3.75 μm；实时帧率：≥1280×960 @120 fps，640×480 @240 fps；曝光时间：15 μs-2 s；C接环，支持USB 3.1数据传输。</w:t>
            </w:r>
          </w:p>
          <w:p w14:paraId="6E93986D">
            <w:pPr>
              <w:spacing w:line="400" w:lineRule="exact"/>
              <w:rPr>
                <w:rFonts w:ascii="宋体" w:hAnsi="宋体" w:cs="宋体"/>
                <w:sz w:val="24"/>
              </w:rPr>
            </w:pPr>
            <w:r>
              <w:rPr>
                <w:rFonts w:hint="eastAsia" w:ascii="宋体" w:hAnsi="宋体" w:cs="宋体"/>
                <w:sz w:val="24"/>
              </w:rPr>
              <w:t>成像相机：≥500万像素，sCMOS≥ 2/3寸传感器,成像区域（对角线）≥11.1 mm，像素尺寸≥3.45 μm×3.45 μm；实时帧率：≥2448×2048 @35.7 fps，1224×1024 @88.4 fps；曝光时间：≥14 μs~2 s；C接环，支持USB 3.1数据传输。</w:t>
            </w:r>
          </w:p>
          <w:p w14:paraId="52E10B7F">
            <w:pPr>
              <w:spacing w:line="400" w:lineRule="exact"/>
              <w:rPr>
                <w:rFonts w:ascii="宋体" w:hAnsi="宋体" w:cs="宋体"/>
                <w:sz w:val="24"/>
              </w:rPr>
            </w:pPr>
            <w:r>
              <w:rPr>
                <w:rFonts w:hint="eastAsia"/>
                <w:b/>
                <w:sz w:val="24"/>
              </w:rPr>
              <w:t>▲</w:t>
            </w:r>
            <w:r>
              <w:rPr>
                <w:rFonts w:hint="eastAsia" w:ascii="宋体" w:hAnsi="宋体" w:cs="宋体"/>
                <w:sz w:val="24"/>
              </w:rPr>
              <w:t>15. 具备图像采集、制作、存储和管理功能，配置全套的数字扫描软件和数字助理系统，数字扫描软件支持扫描后一键查看扫描图像，数字切片助理系统可以独立使用，支持单独查看、管理和处理所有数字化扫描图像。（投标时需提供真实软件界面截图作为佐证）</w:t>
            </w:r>
          </w:p>
          <w:p w14:paraId="6CFA0DFF">
            <w:pPr>
              <w:spacing w:line="400" w:lineRule="exact"/>
              <w:rPr>
                <w:rFonts w:ascii="宋体" w:hAnsi="宋体" w:cs="宋体"/>
                <w:sz w:val="24"/>
              </w:rPr>
            </w:pPr>
            <w:r>
              <w:rPr>
                <w:rFonts w:hint="eastAsia"/>
                <w:b/>
                <w:sz w:val="24"/>
              </w:rPr>
              <w:t>▲</w:t>
            </w:r>
            <w:r>
              <w:rPr>
                <w:rFonts w:hint="eastAsia" w:ascii="宋体" w:hAnsi="宋体" w:cs="宋体"/>
                <w:sz w:val="24"/>
              </w:rPr>
              <w:t>16. 提供4种扫描模式，满足各种不同切片的扫描需要：标准、高精度扫描、景深扩展及Z-层叠，使用者可根据需求自由切换。（投标时需提供真实软件界面截图作为佐证）</w:t>
            </w:r>
          </w:p>
          <w:p w14:paraId="4A892965">
            <w:pPr>
              <w:spacing w:line="400" w:lineRule="exact"/>
              <w:rPr>
                <w:rFonts w:ascii="宋体" w:hAnsi="宋体" w:cs="宋体"/>
                <w:sz w:val="24"/>
              </w:rPr>
            </w:pPr>
            <w:r>
              <w:rPr>
                <w:rFonts w:hint="eastAsia"/>
                <w:b/>
                <w:sz w:val="24"/>
              </w:rPr>
              <w:t>▲</w:t>
            </w:r>
            <w:r>
              <w:rPr>
                <w:rFonts w:hint="eastAsia" w:ascii="宋体" w:hAnsi="宋体" w:cs="宋体"/>
                <w:sz w:val="24"/>
              </w:rPr>
              <w:t>17. 扫描区域：系统支持自动精准识别有效组织区域，自动跳过空白区域，节省扫描时间；同时支持手动自定义扫描区域。（投标时需提供真实软件界面截图作为佐证）</w:t>
            </w:r>
          </w:p>
          <w:p w14:paraId="519A40E2">
            <w:pPr>
              <w:spacing w:line="400" w:lineRule="exact"/>
              <w:rPr>
                <w:rFonts w:ascii="宋体" w:hAnsi="宋体" w:cs="宋体"/>
                <w:sz w:val="24"/>
              </w:rPr>
            </w:pPr>
            <w:r>
              <w:rPr>
                <w:rFonts w:hint="eastAsia" w:ascii="宋体" w:hAnsi="宋体" w:cs="宋体"/>
                <w:sz w:val="24"/>
              </w:rPr>
              <w:t>18. 具有切片加密扫描，保护数字扫描切片的安全性。</w:t>
            </w:r>
          </w:p>
          <w:p w14:paraId="36CB03E8">
            <w:pPr>
              <w:spacing w:line="400" w:lineRule="exact"/>
              <w:rPr>
                <w:rFonts w:ascii="宋体" w:hAnsi="宋体" w:cs="宋体"/>
                <w:sz w:val="24"/>
              </w:rPr>
            </w:pPr>
            <w:r>
              <w:rPr>
                <w:rFonts w:hint="eastAsia" w:ascii="宋体" w:hAnsi="宋体" w:cs="宋体"/>
                <w:sz w:val="24"/>
              </w:rPr>
              <w:t>19. 图像采用JPEG或JEPG2000压缩技术，容量较小，降低存储成本，并可导出数字切片。</w:t>
            </w:r>
          </w:p>
          <w:p w14:paraId="7BA2C2B4">
            <w:pPr>
              <w:spacing w:line="400" w:lineRule="exact"/>
              <w:rPr>
                <w:rFonts w:ascii="宋体" w:hAnsi="宋体" w:cs="宋体"/>
                <w:sz w:val="24"/>
              </w:rPr>
            </w:pPr>
            <w:r>
              <w:rPr>
                <w:rFonts w:hint="eastAsia" w:ascii="宋体" w:hAnsi="宋体" w:cs="宋体"/>
                <w:sz w:val="24"/>
              </w:rPr>
              <w:t>20. 软件支持功能强大的图像调节，伽马、对比度、RGB等调节，支持添加测量、ROI选区等多种形式的标注。</w:t>
            </w:r>
          </w:p>
          <w:p w14:paraId="6949ABDC">
            <w:pPr>
              <w:spacing w:line="400" w:lineRule="exact"/>
              <w:rPr>
                <w:rFonts w:ascii="宋体" w:hAnsi="宋体" w:cs="宋体"/>
                <w:sz w:val="24"/>
              </w:rPr>
            </w:pPr>
            <w:r>
              <w:rPr>
                <w:rFonts w:hint="eastAsia" w:ascii="宋体" w:hAnsi="宋体" w:cs="宋体"/>
                <w:sz w:val="24"/>
              </w:rPr>
              <w:t>21. 支持同屏浏览：同时显示多张图像，便于同一标本间不同条件的对照。</w:t>
            </w:r>
          </w:p>
          <w:p w14:paraId="1F8858AA">
            <w:pPr>
              <w:spacing w:line="400" w:lineRule="exact"/>
              <w:rPr>
                <w:rFonts w:ascii="宋体" w:hAnsi="宋体" w:cs="宋体"/>
                <w:sz w:val="24"/>
              </w:rPr>
            </w:pPr>
            <w:r>
              <w:rPr>
                <w:rFonts w:hint="eastAsia"/>
                <w:b/>
                <w:sz w:val="24"/>
              </w:rPr>
              <w:t>▲</w:t>
            </w:r>
            <w:r>
              <w:rPr>
                <w:rFonts w:hint="eastAsia" w:ascii="宋体" w:hAnsi="宋体" w:cs="宋体"/>
                <w:sz w:val="24"/>
              </w:rPr>
              <w:t>22. 数字切片网络教学系统DSE（Digital Slide System for Education）：</w:t>
            </w:r>
          </w:p>
          <w:p w14:paraId="0F55C5F1">
            <w:pPr>
              <w:spacing w:line="400" w:lineRule="exact"/>
              <w:rPr>
                <w:rFonts w:ascii="宋体" w:hAnsi="宋体" w:cs="宋体"/>
                <w:sz w:val="24"/>
              </w:rPr>
            </w:pPr>
            <w:r>
              <w:rPr>
                <w:rFonts w:hint="eastAsia" w:ascii="宋体" w:hAnsi="宋体" w:cs="宋体"/>
                <w:sz w:val="24"/>
              </w:rPr>
              <w:t>22.1 此系统可建立在局域网、校园网、或Internet等网络环境下，建立数字切片网络浏览平台，通过网络进行切片观察、学习、交流等；并可与现有的数码互动系统连接，实现学生与老师可以互相访问。</w:t>
            </w:r>
          </w:p>
          <w:p w14:paraId="775F61F8">
            <w:pPr>
              <w:spacing w:line="400" w:lineRule="exact"/>
              <w:rPr>
                <w:rFonts w:ascii="宋体" w:hAnsi="宋体" w:cs="宋体"/>
                <w:sz w:val="24"/>
              </w:rPr>
            </w:pPr>
            <w:r>
              <w:rPr>
                <w:rFonts w:hint="eastAsia" w:ascii="宋体" w:hAnsi="宋体" w:cs="宋体"/>
                <w:sz w:val="24"/>
              </w:rPr>
              <w:t>22.2 采取服务器/浏览器（B/S）系统架构，用户可通过网络浏览器进行切片观察，客户端不需要安装任何软件，减少维护与管理成本；客户端没有数量限制，可以在任何地方通过网络来浏览数字切片。</w:t>
            </w:r>
          </w:p>
          <w:p w14:paraId="39918AB4">
            <w:pPr>
              <w:spacing w:line="400" w:lineRule="exact"/>
              <w:rPr>
                <w:rFonts w:ascii="宋体" w:hAnsi="宋体" w:cs="宋体"/>
                <w:sz w:val="24"/>
              </w:rPr>
            </w:pPr>
            <w:r>
              <w:rPr>
                <w:rFonts w:hint="eastAsia" w:ascii="宋体" w:hAnsi="宋体" w:cs="宋体"/>
                <w:sz w:val="24"/>
              </w:rPr>
              <w:t>22.3 管理员可以并能从局域网或互联网进行访问和操作（包括切片检索、分类、用户及角色管理），无需在服务器本地操作。</w:t>
            </w:r>
          </w:p>
          <w:p w14:paraId="150DB289">
            <w:pPr>
              <w:spacing w:line="400" w:lineRule="exact"/>
              <w:rPr>
                <w:rFonts w:ascii="宋体" w:hAnsi="宋体" w:cs="宋体"/>
                <w:sz w:val="24"/>
              </w:rPr>
            </w:pPr>
            <w:r>
              <w:rPr>
                <w:rFonts w:hint="eastAsia" w:ascii="宋体" w:hAnsi="宋体" w:cs="宋体"/>
                <w:sz w:val="24"/>
              </w:rPr>
              <w:t>22.4 采用Silverlight（银光）技术浏览数字切片。</w:t>
            </w:r>
          </w:p>
          <w:p w14:paraId="54761093">
            <w:pPr>
              <w:spacing w:line="400" w:lineRule="exact"/>
              <w:rPr>
                <w:rFonts w:ascii="宋体" w:hAnsi="宋体" w:cs="宋体"/>
                <w:sz w:val="24"/>
              </w:rPr>
            </w:pPr>
            <w:r>
              <w:rPr>
                <w:rFonts w:hint="eastAsia" w:ascii="宋体" w:hAnsi="宋体" w:cs="宋体"/>
                <w:sz w:val="24"/>
              </w:rPr>
              <w:t>22.5 Silverlight浏览模式具有标注功能，并能进行权限控制。</w:t>
            </w:r>
          </w:p>
          <w:p w14:paraId="2F9B4064">
            <w:pPr>
              <w:spacing w:line="400" w:lineRule="exact"/>
              <w:rPr>
                <w:rFonts w:ascii="宋体" w:hAnsi="宋体" w:cs="宋体"/>
                <w:sz w:val="24"/>
              </w:rPr>
            </w:pPr>
            <w:r>
              <w:rPr>
                <w:rFonts w:hint="eastAsia" w:ascii="宋体" w:hAnsi="宋体" w:cs="宋体"/>
                <w:sz w:val="24"/>
              </w:rPr>
              <w:t>22.6 DSE同模块DSScanner and DSA 进行无缝整合和交互。</w:t>
            </w:r>
          </w:p>
          <w:p w14:paraId="4F2B3D6A">
            <w:pPr>
              <w:spacing w:line="400" w:lineRule="exact"/>
              <w:rPr>
                <w:rFonts w:ascii="宋体" w:hAnsi="宋体" w:cs="宋体"/>
                <w:sz w:val="24"/>
              </w:rPr>
            </w:pPr>
            <w:r>
              <w:rPr>
                <w:rFonts w:hint="eastAsia" w:ascii="宋体" w:hAnsi="宋体" w:cs="宋体"/>
                <w:sz w:val="24"/>
              </w:rPr>
              <w:t>22.7 DSTransport模块完成数字切片从DSScanner扫描完成后自动传输到DSE服务器并自动添加进数据库。</w:t>
            </w:r>
          </w:p>
          <w:p w14:paraId="57B44EAB">
            <w:pPr>
              <w:spacing w:line="400" w:lineRule="exact"/>
              <w:rPr>
                <w:rFonts w:ascii="宋体" w:hAnsi="宋体" w:cs="宋体"/>
                <w:sz w:val="24"/>
              </w:rPr>
            </w:pPr>
            <w:r>
              <w:rPr>
                <w:rFonts w:hint="eastAsia" w:ascii="宋体" w:hAnsi="宋体" w:cs="宋体"/>
                <w:sz w:val="24"/>
              </w:rPr>
              <w:t>22.8 支持Windows Server 2008 和IIS7。</w:t>
            </w:r>
          </w:p>
          <w:p w14:paraId="5ECD6FDE">
            <w:pPr>
              <w:spacing w:line="400" w:lineRule="exact"/>
              <w:rPr>
                <w:rFonts w:ascii="宋体" w:hAnsi="宋体" w:cs="宋体"/>
                <w:sz w:val="24"/>
              </w:rPr>
            </w:pPr>
            <w:r>
              <w:rPr>
                <w:rFonts w:hint="eastAsia" w:ascii="宋体" w:hAnsi="宋体" w:cs="宋体"/>
                <w:sz w:val="24"/>
              </w:rPr>
              <w:t>22.9 服务器远程管理工具，可以对服务器进行远程迁移，备份切片等操作。</w:t>
            </w:r>
          </w:p>
          <w:p w14:paraId="7C41EC4D">
            <w:pPr>
              <w:spacing w:line="400" w:lineRule="exact"/>
              <w:rPr>
                <w:rFonts w:ascii="宋体" w:hAnsi="宋体" w:cs="宋体"/>
                <w:sz w:val="24"/>
              </w:rPr>
            </w:pPr>
            <w:r>
              <w:rPr>
                <w:rFonts w:hint="eastAsia" w:ascii="宋体" w:hAnsi="宋体" w:cs="宋体"/>
                <w:sz w:val="24"/>
              </w:rPr>
              <w:t>22.10 数字切片可根据教学章节或其他标准，进行切片分类，建立数字切片库，后台可进行设置相应目录与切片显示或隐藏。</w:t>
            </w:r>
          </w:p>
          <w:p w14:paraId="3CF27F52">
            <w:pPr>
              <w:spacing w:line="400" w:lineRule="exact"/>
              <w:rPr>
                <w:rFonts w:ascii="宋体" w:hAnsi="宋体" w:cs="宋体"/>
                <w:sz w:val="24"/>
              </w:rPr>
            </w:pPr>
            <w:r>
              <w:rPr>
                <w:rFonts w:hint="eastAsia" w:ascii="宋体" w:hAnsi="宋体" w:cs="宋体"/>
                <w:sz w:val="24"/>
              </w:rPr>
              <w:t>22.11可增加或删除数字切片，进行切片描述，适合教学需要。</w:t>
            </w:r>
          </w:p>
          <w:p w14:paraId="401F1043">
            <w:pPr>
              <w:spacing w:line="400" w:lineRule="exact"/>
              <w:rPr>
                <w:rFonts w:ascii="宋体" w:hAnsi="宋体" w:cs="宋体"/>
                <w:sz w:val="24"/>
              </w:rPr>
            </w:pPr>
            <w:r>
              <w:rPr>
                <w:rFonts w:hint="eastAsia" w:ascii="宋体" w:hAnsi="宋体" w:cs="宋体"/>
                <w:sz w:val="24"/>
              </w:rPr>
              <w:t>22.12 可查看相应切片附加信息，如大体图像、文件附件说明等。</w:t>
            </w:r>
          </w:p>
          <w:p w14:paraId="0F2AD45D">
            <w:pPr>
              <w:spacing w:line="400" w:lineRule="exact"/>
              <w:rPr>
                <w:rFonts w:ascii="宋体" w:hAnsi="宋体" w:cs="宋体"/>
                <w:sz w:val="24"/>
              </w:rPr>
            </w:pPr>
            <w:r>
              <w:rPr>
                <w:rFonts w:hint="eastAsia" w:ascii="宋体" w:hAnsi="宋体" w:cs="宋体"/>
                <w:sz w:val="24"/>
              </w:rPr>
              <w:t>22.13 可按不同倍率（2×、4×、10×、20×、40×、100×）浏览切片，也可进行无级连续变倍观察，并可进行键盘操作，界面友好。</w:t>
            </w:r>
          </w:p>
          <w:p w14:paraId="1CE86043">
            <w:pPr>
              <w:spacing w:line="400" w:lineRule="exact"/>
              <w:rPr>
                <w:rFonts w:ascii="宋体" w:hAnsi="宋体" w:cs="宋体"/>
                <w:sz w:val="24"/>
              </w:rPr>
            </w:pPr>
            <w:r>
              <w:rPr>
                <w:rFonts w:hint="eastAsia" w:ascii="宋体" w:hAnsi="宋体" w:cs="宋体"/>
                <w:sz w:val="24"/>
              </w:rPr>
              <w:t>22.14 可按标注方式导航浏览切片，方便学习、教学和交流，培养学生独立读片技能。</w:t>
            </w:r>
          </w:p>
          <w:p w14:paraId="50A2BD05">
            <w:pPr>
              <w:spacing w:line="400" w:lineRule="exact"/>
              <w:rPr>
                <w:rFonts w:ascii="宋体" w:hAnsi="宋体" w:cs="宋体"/>
                <w:sz w:val="24"/>
              </w:rPr>
            </w:pPr>
            <w:r>
              <w:rPr>
                <w:rFonts w:hint="eastAsia" w:ascii="宋体" w:hAnsi="宋体" w:cs="宋体"/>
                <w:sz w:val="24"/>
              </w:rPr>
              <w:t>22.15 可进行数字切片网上评论交流，发表不同见解，进行教学指导或学习。</w:t>
            </w:r>
          </w:p>
          <w:p w14:paraId="54F6964B">
            <w:pPr>
              <w:spacing w:line="400" w:lineRule="exact"/>
              <w:rPr>
                <w:rFonts w:ascii="宋体" w:hAnsi="宋体" w:cs="宋体"/>
                <w:sz w:val="24"/>
              </w:rPr>
            </w:pPr>
            <w:r>
              <w:rPr>
                <w:rFonts w:hint="eastAsia" w:ascii="宋体" w:hAnsi="宋体" w:cs="宋体"/>
                <w:sz w:val="24"/>
              </w:rPr>
              <w:t>22.16 可分配不同用户权限和角色分配，实现安全管理。</w:t>
            </w:r>
          </w:p>
          <w:p w14:paraId="74AD3847">
            <w:pPr>
              <w:spacing w:line="400" w:lineRule="exact"/>
              <w:rPr>
                <w:rFonts w:ascii="宋体" w:hAnsi="宋体" w:cs="宋体"/>
                <w:sz w:val="24"/>
              </w:rPr>
            </w:pPr>
            <w:r>
              <w:rPr>
                <w:rFonts w:hint="eastAsia" w:ascii="宋体" w:hAnsi="宋体" w:cs="宋体"/>
                <w:sz w:val="24"/>
              </w:rPr>
              <w:t>22.17 用户可以通过网络浏览器，读取厂家在网络上存储的数字切片数据库，用户可以用任意一台连接互联网的电脑，浏览投标人网络上共享的数字切片资源。（投标时必须提供网络浏览器地址及网络浏览器页面截图作为佐证材料）</w:t>
            </w:r>
          </w:p>
          <w:p w14:paraId="18B8F464">
            <w:pPr>
              <w:spacing w:line="400" w:lineRule="exact"/>
              <w:rPr>
                <w:rFonts w:ascii="宋体" w:hAnsi="宋体" w:cs="宋体"/>
                <w:sz w:val="24"/>
              </w:rPr>
            </w:pPr>
            <w:r>
              <w:rPr>
                <w:rFonts w:hint="eastAsia" w:ascii="宋体" w:hAnsi="宋体" w:cs="宋体"/>
                <w:sz w:val="24"/>
              </w:rPr>
              <w:t>23、数字化切片资源库：</w:t>
            </w:r>
          </w:p>
          <w:p w14:paraId="74F4E333">
            <w:pPr>
              <w:spacing w:line="400" w:lineRule="exact"/>
              <w:rPr>
                <w:rFonts w:ascii="宋体" w:hAnsi="宋体" w:cs="宋体"/>
                <w:sz w:val="24"/>
              </w:rPr>
            </w:pPr>
            <w:r>
              <w:rPr>
                <w:rFonts w:hint="eastAsia" w:ascii="宋体" w:hAnsi="宋体" w:cs="宋体"/>
                <w:sz w:val="24"/>
              </w:rPr>
              <w:t>23.1 依据国家“十一五”规划教材和全国高等教育教材建设研究会规划教材的教学要求，提供典型切片，病理学、組胚学、微生物学、寄生虫学、动植物学等数字切片。</w:t>
            </w:r>
          </w:p>
          <w:p w14:paraId="4B9EC981">
            <w:pPr>
              <w:spacing w:line="400" w:lineRule="exact"/>
              <w:rPr>
                <w:rFonts w:ascii="宋体" w:hAnsi="宋体" w:cs="宋体"/>
                <w:sz w:val="24"/>
              </w:rPr>
            </w:pPr>
            <w:r>
              <w:rPr>
                <w:rFonts w:hint="eastAsia" w:ascii="宋体" w:hAnsi="宋体" w:cs="宋体"/>
                <w:sz w:val="24"/>
              </w:rPr>
              <w:t>23.2 数字切片浏览软件：</w:t>
            </w:r>
          </w:p>
          <w:p w14:paraId="16C68F8C">
            <w:pPr>
              <w:spacing w:line="400" w:lineRule="exact"/>
              <w:rPr>
                <w:rFonts w:ascii="宋体" w:hAnsi="宋体" w:cs="宋体"/>
                <w:sz w:val="24"/>
              </w:rPr>
            </w:pPr>
            <w:r>
              <w:rPr>
                <w:rFonts w:hint="eastAsia" w:ascii="宋体" w:hAnsi="宋体" w:cs="宋体"/>
                <w:sz w:val="24"/>
              </w:rPr>
              <w:t>23.2.1 提供两种切片观察模式：提供数字切片主界面截图，主界面上有4倍、10倍、20倍、40倍率选择</w:t>
            </w:r>
          </w:p>
          <w:p w14:paraId="1577C45D">
            <w:pPr>
              <w:spacing w:line="400" w:lineRule="exact"/>
              <w:rPr>
                <w:rFonts w:ascii="宋体" w:hAnsi="宋体" w:cs="宋体"/>
                <w:sz w:val="24"/>
              </w:rPr>
            </w:pPr>
            <w:r>
              <w:rPr>
                <w:rFonts w:hint="eastAsia" w:ascii="宋体" w:hAnsi="宋体" w:cs="宋体"/>
                <w:sz w:val="24"/>
              </w:rPr>
              <w:t>① 显微镜观察功能：在低倍整张切片背景图像下，模拟显微镜物镜固定倍率观察。五组固定倍率为：4倍、10倍、20倍、40倍、100倍。</w:t>
            </w:r>
          </w:p>
          <w:p w14:paraId="7B21B9D4">
            <w:pPr>
              <w:spacing w:line="400" w:lineRule="exact"/>
              <w:rPr>
                <w:rFonts w:ascii="宋体" w:hAnsi="宋体" w:cs="宋体"/>
                <w:sz w:val="24"/>
              </w:rPr>
            </w:pPr>
            <w:r>
              <w:rPr>
                <w:rFonts w:hint="eastAsia" w:ascii="宋体" w:hAnsi="宋体" w:cs="宋体"/>
                <w:sz w:val="24"/>
              </w:rPr>
              <w:t>② 放大镜观察功能：在低倍整张切片背景图像下，根据ROI区域，选择不同放大镜观察。放大镜倍数可任意调节的连续变倍功能，调节范围为1倍至100倍物镜倍率。</w:t>
            </w:r>
          </w:p>
          <w:p w14:paraId="4AA9C664">
            <w:pPr>
              <w:spacing w:line="400" w:lineRule="exact"/>
              <w:rPr>
                <w:rFonts w:ascii="宋体" w:hAnsi="宋体" w:cs="宋体"/>
                <w:sz w:val="24"/>
              </w:rPr>
            </w:pPr>
            <w:r>
              <w:rPr>
                <w:rFonts w:hint="eastAsia" w:ascii="宋体" w:hAnsi="宋体" w:cs="宋体"/>
                <w:sz w:val="24"/>
              </w:rPr>
              <w:t>23.2.2 可进行数字切片标注，不同的标注方式，可附加注解，按标注方式导航浏览，并能测量长度、周长、面积等；提供拍照功能和拍照作为数字切片文件的附件功能。</w:t>
            </w:r>
          </w:p>
          <w:p w14:paraId="4FCAF142">
            <w:pPr>
              <w:spacing w:line="400" w:lineRule="exact"/>
              <w:rPr>
                <w:rFonts w:ascii="宋体" w:hAnsi="宋体" w:cs="宋体"/>
                <w:sz w:val="24"/>
              </w:rPr>
            </w:pPr>
            <w:r>
              <w:rPr>
                <w:rFonts w:hint="eastAsia" w:ascii="宋体" w:hAnsi="宋体" w:cs="宋体"/>
                <w:sz w:val="24"/>
              </w:rPr>
              <w:t>23.2.3 图像调节功能：颜色调节、清晰度调节、颜色增强调节、伽玛校正功能。</w:t>
            </w:r>
          </w:p>
          <w:p w14:paraId="7F25DF5C">
            <w:pPr>
              <w:spacing w:line="400" w:lineRule="exact"/>
              <w:rPr>
                <w:rFonts w:ascii="宋体" w:hAnsi="宋体" w:cs="宋体"/>
                <w:sz w:val="24"/>
              </w:rPr>
            </w:pPr>
            <w:r>
              <w:rPr>
                <w:rFonts w:hint="eastAsia" w:ascii="宋体" w:hAnsi="宋体" w:cs="宋体"/>
                <w:sz w:val="24"/>
              </w:rPr>
              <w:t xml:space="preserve">23.2.4 可进行数字切片对比浏览，方便比较研究用；提供数字切片标尺功能，标尺随物镜调节，方便研究及发表；可附加和浏览数字切片相关大体图像、word文档说明等，集成完整切片信息。 </w:t>
            </w:r>
          </w:p>
          <w:p w14:paraId="6E869E9D">
            <w:pPr>
              <w:spacing w:line="400" w:lineRule="exact"/>
              <w:rPr>
                <w:rFonts w:ascii="宋体" w:hAnsi="宋体" w:cs="宋体"/>
                <w:sz w:val="24"/>
              </w:rPr>
            </w:pPr>
            <w:r>
              <w:rPr>
                <w:rFonts w:hint="eastAsia" w:ascii="宋体" w:hAnsi="宋体" w:cs="宋体"/>
                <w:sz w:val="24"/>
              </w:rPr>
              <w:t>23.2.5 软件拓展功能：可升级为B/S架构的DSE软件浏览系统，通过IE浏览器观察数字切片资源库，支持255名以上用户访问；用户可以通过任何一台在网络上的电脑访问数字切片库，不受地点限制。</w:t>
            </w:r>
          </w:p>
          <w:p w14:paraId="38F7649B">
            <w:pPr>
              <w:spacing w:line="400" w:lineRule="exact"/>
              <w:rPr>
                <w:rFonts w:ascii="宋体" w:hAnsi="宋体" w:cs="宋体"/>
                <w:sz w:val="24"/>
              </w:rPr>
            </w:pPr>
            <w:r>
              <w:rPr>
                <w:rFonts w:hint="eastAsia" w:ascii="宋体" w:hAnsi="宋体" w:cs="宋体"/>
                <w:sz w:val="24"/>
              </w:rPr>
              <w:t>23.2.6 可进行数字切片对比浏览，同一时间在电脑屏幕的左、右两侧，同时显示≥2张动态数字切片，方便比较研究。</w:t>
            </w:r>
          </w:p>
        </w:tc>
        <w:tc>
          <w:tcPr>
            <w:tcW w:w="1134" w:type="dxa"/>
            <w:vAlign w:val="center"/>
          </w:tcPr>
          <w:p w14:paraId="22AA2598">
            <w:pPr>
              <w:pStyle w:val="58"/>
              <w:jc w:val="center"/>
              <w:rPr>
                <w:rFonts w:ascii="宋体" w:hAnsi="宋体" w:cs="宋体"/>
                <w:kern w:val="0"/>
                <w:sz w:val="24"/>
                <w:szCs w:val="24"/>
                <w:lang w:bidi="ar"/>
              </w:rPr>
            </w:pPr>
            <w:r>
              <w:rPr>
                <w:rFonts w:hint="eastAsia" w:ascii="宋体" w:hAnsi="宋体" w:cs="宋体"/>
                <w:sz w:val="24"/>
                <w:szCs w:val="24"/>
              </w:rPr>
              <w:t>98</w:t>
            </w:r>
          </w:p>
        </w:tc>
        <w:tc>
          <w:tcPr>
            <w:tcW w:w="1275" w:type="dxa"/>
            <w:vAlign w:val="center"/>
          </w:tcPr>
          <w:p w14:paraId="0DCB0E11">
            <w:pPr>
              <w:pStyle w:val="58"/>
              <w:jc w:val="center"/>
              <w:rPr>
                <w:rFonts w:ascii="宋体" w:hAnsi="宋体" w:cs="宋体"/>
                <w:kern w:val="0"/>
                <w:sz w:val="24"/>
                <w:szCs w:val="24"/>
                <w:lang w:bidi="ar"/>
              </w:rPr>
            </w:pPr>
            <w:r>
              <w:rPr>
                <w:rFonts w:hint="eastAsia" w:ascii="宋体" w:hAnsi="宋体" w:cs="宋体"/>
                <w:sz w:val="24"/>
                <w:szCs w:val="24"/>
              </w:rPr>
              <w:t>98</w:t>
            </w:r>
          </w:p>
        </w:tc>
      </w:tr>
      <w:tr w14:paraId="2314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604" w:type="dxa"/>
            <w:gridSpan w:val="8"/>
          </w:tcPr>
          <w:p w14:paraId="04DE8829">
            <w:pPr>
              <w:widowControl/>
              <w:spacing w:line="440" w:lineRule="exact"/>
              <w:jc w:val="left"/>
              <w:rPr>
                <w:rFonts w:ascii="宋体" w:hAnsi="宋体" w:cs="宋体"/>
                <w:bCs/>
                <w:sz w:val="24"/>
              </w:rPr>
            </w:pPr>
            <w:r>
              <w:rPr>
                <w:rFonts w:hint="eastAsia" w:ascii="宋体" w:hAnsi="宋体" w:cs="宋体"/>
                <w:bCs/>
                <w:sz w:val="24"/>
              </w:rPr>
              <w:t>▲</w:t>
            </w:r>
            <w:r>
              <w:rPr>
                <w:rFonts w:hint="eastAsia" w:ascii="宋体" w:hAnsi="宋体" w:cs="宋体"/>
                <w:b/>
                <w:sz w:val="24"/>
              </w:rPr>
              <w:t>商务要求</w:t>
            </w:r>
          </w:p>
        </w:tc>
      </w:tr>
      <w:tr w14:paraId="52D8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219" w:type="dxa"/>
            <w:gridSpan w:val="5"/>
            <w:vAlign w:val="center"/>
          </w:tcPr>
          <w:p w14:paraId="39634297">
            <w:pPr>
              <w:widowControl/>
              <w:spacing w:line="440" w:lineRule="exact"/>
              <w:jc w:val="center"/>
              <w:rPr>
                <w:rFonts w:ascii="宋体" w:hAnsi="宋体" w:cs="宋体"/>
                <w:sz w:val="24"/>
              </w:rPr>
            </w:pPr>
            <w:r>
              <w:rPr>
                <w:rFonts w:hint="eastAsia" w:ascii="宋体" w:hAnsi="宋体" w:cs="宋体"/>
                <w:b/>
                <w:bCs/>
                <w:sz w:val="24"/>
              </w:rPr>
              <w:t>合同签订时间</w:t>
            </w:r>
          </w:p>
        </w:tc>
        <w:tc>
          <w:tcPr>
            <w:tcW w:w="7385" w:type="dxa"/>
            <w:gridSpan w:val="3"/>
          </w:tcPr>
          <w:p w14:paraId="595D6C96">
            <w:pPr>
              <w:widowControl/>
              <w:spacing w:line="440" w:lineRule="exact"/>
              <w:rPr>
                <w:rFonts w:ascii="宋体" w:hAnsi="宋体" w:cs="宋体"/>
                <w:sz w:val="24"/>
              </w:rPr>
            </w:pPr>
            <w:r>
              <w:rPr>
                <w:rFonts w:hint="eastAsia" w:ascii="宋体" w:hAnsi="宋体" w:cs="宋体"/>
                <w:sz w:val="24"/>
              </w:rPr>
              <w:t>自中标通知书发出之日起25日内（中标人需在中标通知书发出之日起15日内反馈签订的合同文本于采购人）。</w:t>
            </w:r>
          </w:p>
        </w:tc>
      </w:tr>
      <w:tr w14:paraId="203B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31842AD8">
            <w:pPr>
              <w:spacing w:line="440" w:lineRule="exact"/>
              <w:jc w:val="center"/>
              <w:rPr>
                <w:rFonts w:ascii="宋体" w:hAnsi="宋体" w:cs="宋体"/>
                <w:sz w:val="24"/>
              </w:rPr>
            </w:pPr>
            <w:r>
              <w:rPr>
                <w:rFonts w:hint="eastAsia" w:ascii="宋体" w:hAnsi="宋体" w:cs="宋体"/>
                <w:b/>
                <w:sz w:val="24"/>
              </w:rPr>
              <w:t>交货时间及地点</w:t>
            </w:r>
          </w:p>
        </w:tc>
        <w:tc>
          <w:tcPr>
            <w:tcW w:w="7385" w:type="dxa"/>
            <w:gridSpan w:val="3"/>
          </w:tcPr>
          <w:p w14:paraId="382A9DA8">
            <w:pPr>
              <w:tabs>
                <w:tab w:val="left" w:pos="420"/>
              </w:tabs>
              <w:spacing w:line="440" w:lineRule="exact"/>
              <w:rPr>
                <w:rFonts w:ascii="宋体" w:hAnsi="宋体" w:cs="宋体"/>
                <w:sz w:val="24"/>
              </w:rPr>
            </w:pPr>
            <w:r>
              <w:rPr>
                <w:rFonts w:hint="eastAsia" w:ascii="宋体" w:hAnsi="宋体" w:cs="宋体"/>
                <w:sz w:val="24"/>
              </w:rPr>
              <w:t xml:space="preserve">交货时间：国产设备自签订合同之日起 </w:t>
            </w:r>
            <w:r>
              <w:rPr>
                <w:rFonts w:ascii="宋体" w:hAnsi="宋体" w:cs="宋体"/>
                <w:sz w:val="24"/>
              </w:rPr>
              <w:t>60</w:t>
            </w:r>
            <w:r>
              <w:rPr>
                <w:rFonts w:hint="eastAsia" w:ascii="宋体" w:hAnsi="宋体" w:cs="宋体"/>
                <w:sz w:val="24"/>
              </w:rPr>
              <w:t xml:space="preserve"> 日历天内到货安装调试完成并通过验收。进口设备自签订合同之日起 120 日历天内到货安装调试完成并通过验收。</w:t>
            </w:r>
          </w:p>
          <w:p w14:paraId="22990F30">
            <w:pPr>
              <w:tabs>
                <w:tab w:val="left" w:pos="420"/>
              </w:tabs>
              <w:spacing w:line="440" w:lineRule="exact"/>
              <w:rPr>
                <w:rFonts w:ascii="宋体" w:hAnsi="宋体" w:cs="宋体"/>
                <w:sz w:val="24"/>
              </w:rPr>
            </w:pPr>
            <w:r>
              <w:rPr>
                <w:rFonts w:hint="eastAsia" w:ascii="宋体" w:hAnsi="宋体" w:cs="宋体"/>
                <w:sz w:val="24"/>
              </w:rPr>
              <w:t>交货地点：</w:t>
            </w:r>
            <w:r>
              <w:rPr>
                <w:rFonts w:hint="eastAsia" w:ascii="宋体" w:hAnsi="宋体" w:cs="宋体"/>
                <w:b/>
                <w:sz w:val="24"/>
              </w:rPr>
              <w:t>南宁市用户指定地点</w:t>
            </w:r>
            <w:r>
              <w:rPr>
                <w:rFonts w:hint="eastAsia" w:ascii="宋体" w:hAnsi="宋体" w:cs="宋体"/>
                <w:sz w:val="24"/>
              </w:rPr>
              <w:t>。</w:t>
            </w:r>
          </w:p>
        </w:tc>
      </w:tr>
      <w:tr w14:paraId="427D2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4B19FCDB">
            <w:pPr>
              <w:spacing w:line="440" w:lineRule="exact"/>
              <w:jc w:val="center"/>
              <w:rPr>
                <w:rFonts w:ascii="宋体" w:hAnsi="宋体" w:cs="宋体"/>
                <w:sz w:val="24"/>
              </w:rPr>
            </w:pPr>
            <w:r>
              <w:rPr>
                <w:rFonts w:hint="eastAsia" w:ascii="宋体" w:hAnsi="宋体" w:cs="宋体"/>
                <w:b/>
                <w:bCs/>
                <w:kern w:val="0"/>
                <w:sz w:val="24"/>
              </w:rPr>
              <w:t>货物验收</w:t>
            </w:r>
          </w:p>
        </w:tc>
        <w:tc>
          <w:tcPr>
            <w:tcW w:w="7385" w:type="dxa"/>
            <w:gridSpan w:val="3"/>
          </w:tcPr>
          <w:p w14:paraId="1A000BFF">
            <w:pPr>
              <w:tabs>
                <w:tab w:val="left" w:pos="420"/>
              </w:tabs>
              <w:spacing w:line="440" w:lineRule="exact"/>
              <w:rPr>
                <w:rFonts w:ascii="宋体" w:hAnsi="宋体" w:cs="宋体"/>
                <w:sz w:val="24"/>
              </w:rPr>
            </w:pPr>
            <w:r>
              <w:rPr>
                <w:rFonts w:hint="eastAsia" w:ascii="宋体" w:hAnsi="宋体" w:cs="宋体"/>
                <w:sz w:val="24"/>
              </w:rPr>
              <w:t>1.货物验收时由采购人对照采购文件的《技术参数及性能（配置）要求》进行全面核对检验，对所有要求出具的文件和材料的原件进行核查，如不符合采购文件要求或提供虚假承诺、虚假检测报告等任何虚假材料的，采购人有权拒绝验收并认定中标人违约，采购人有权单方解除合同，中标人承担所有责任和费用，采购人保留进一步追究责任的权利。</w:t>
            </w:r>
          </w:p>
          <w:p w14:paraId="47723AFD">
            <w:pPr>
              <w:tabs>
                <w:tab w:val="left" w:pos="420"/>
              </w:tabs>
              <w:spacing w:line="440" w:lineRule="exact"/>
              <w:rPr>
                <w:rFonts w:ascii="宋体" w:hAnsi="宋体" w:cs="宋体"/>
                <w:sz w:val="24"/>
              </w:rPr>
            </w:pPr>
            <w:r>
              <w:rPr>
                <w:rFonts w:hint="eastAsia" w:ascii="宋体" w:hAnsi="宋体" w:cs="宋体"/>
                <w:sz w:val="24"/>
              </w:rPr>
              <w:t>2.货物经过双方检验认可后，签署验收报告。由中标人提供产品保修文件。</w:t>
            </w:r>
          </w:p>
          <w:p w14:paraId="0634C5B6">
            <w:pPr>
              <w:tabs>
                <w:tab w:val="left" w:pos="420"/>
              </w:tabs>
              <w:spacing w:line="440" w:lineRule="exact"/>
              <w:rPr>
                <w:rFonts w:ascii="宋体" w:hAnsi="宋体" w:cs="宋体"/>
                <w:sz w:val="24"/>
              </w:rPr>
            </w:pPr>
            <w:r>
              <w:rPr>
                <w:rFonts w:hint="eastAsia" w:ascii="宋体" w:hAnsi="宋体" w:cs="宋体"/>
                <w:sz w:val="24"/>
              </w:rPr>
              <w:t>3.当满足以下条件时，采购人才向供应商签发货物验收报告：</w:t>
            </w:r>
          </w:p>
          <w:p w14:paraId="061825AD">
            <w:pPr>
              <w:tabs>
                <w:tab w:val="left" w:pos="420"/>
              </w:tabs>
              <w:spacing w:line="440" w:lineRule="exact"/>
              <w:rPr>
                <w:rFonts w:ascii="宋体" w:hAnsi="宋体" w:cs="宋体"/>
                <w:sz w:val="24"/>
              </w:rPr>
            </w:pPr>
            <w:r>
              <w:rPr>
                <w:rFonts w:hint="eastAsia" w:ascii="宋体" w:hAnsi="宋体" w:cs="宋体"/>
                <w:sz w:val="24"/>
              </w:rPr>
              <w:t>（1）中标人已按照合同规定提供了全部产品及完整的技术资料。</w:t>
            </w:r>
          </w:p>
          <w:p w14:paraId="507B5F9B">
            <w:pPr>
              <w:tabs>
                <w:tab w:val="left" w:pos="420"/>
              </w:tabs>
              <w:spacing w:line="440" w:lineRule="exact"/>
              <w:rPr>
                <w:rFonts w:ascii="宋体" w:hAnsi="宋体" w:cs="宋体"/>
                <w:sz w:val="24"/>
              </w:rPr>
            </w:pPr>
            <w:r>
              <w:rPr>
                <w:rFonts w:hint="eastAsia" w:ascii="宋体" w:hAnsi="宋体" w:cs="宋体"/>
                <w:sz w:val="24"/>
              </w:rPr>
              <w:t>（2）货物各项参数完全符合《技术参数及性能（配置）要求》的要求，性能满足要求。</w:t>
            </w:r>
          </w:p>
          <w:p w14:paraId="175E5392">
            <w:pPr>
              <w:tabs>
                <w:tab w:val="left" w:pos="420"/>
              </w:tabs>
              <w:spacing w:line="440" w:lineRule="exact"/>
              <w:rPr>
                <w:rFonts w:ascii="宋体" w:hAnsi="宋体" w:cs="宋体"/>
                <w:sz w:val="24"/>
              </w:rPr>
            </w:pPr>
            <w:r>
              <w:rPr>
                <w:rFonts w:hint="eastAsia" w:ascii="宋体" w:hAnsi="宋体" w:cs="宋体"/>
                <w:sz w:val="24"/>
              </w:rPr>
              <w:t>（3）中标人需负责安装、调试（测试），并完成采购人的使用操作培训。</w:t>
            </w:r>
          </w:p>
          <w:p w14:paraId="71FFE579">
            <w:pPr>
              <w:tabs>
                <w:tab w:val="left" w:pos="420"/>
              </w:tabs>
              <w:spacing w:line="440" w:lineRule="exact"/>
              <w:rPr>
                <w:rFonts w:ascii="宋体" w:hAnsi="宋体" w:cs="宋体"/>
                <w:sz w:val="24"/>
              </w:rPr>
            </w:pPr>
            <w:r>
              <w:rPr>
                <w:rFonts w:hint="eastAsia" w:ascii="宋体" w:hAnsi="宋体" w:cs="宋体"/>
                <w:sz w:val="24"/>
              </w:rPr>
              <w:t>4.采购人预验收及履约验收过程中所产生的一切费用均由中标人承担，报价时应考虑相关费用。</w:t>
            </w:r>
          </w:p>
          <w:p w14:paraId="62B6A64A">
            <w:pPr>
              <w:tabs>
                <w:tab w:val="left" w:pos="420"/>
              </w:tabs>
              <w:spacing w:line="440" w:lineRule="exact"/>
              <w:rPr>
                <w:rFonts w:ascii="宋体" w:hAnsi="宋体" w:cs="宋体"/>
                <w:sz w:val="24"/>
              </w:rPr>
            </w:pPr>
            <w:r>
              <w:rPr>
                <w:rFonts w:hint="eastAsia" w:ascii="宋体" w:hAnsi="宋体" w:cs="宋体"/>
                <w:sz w:val="24"/>
              </w:rPr>
              <w:t>5.中标产品不能涉及任何法律纠纷。</w:t>
            </w:r>
          </w:p>
        </w:tc>
      </w:tr>
      <w:tr w14:paraId="5BA9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3219" w:type="dxa"/>
            <w:gridSpan w:val="5"/>
            <w:vAlign w:val="center"/>
          </w:tcPr>
          <w:p w14:paraId="63E997C6">
            <w:pPr>
              <w:spacing w:line="440" w:lineRule="exact"/>
              <w:jc w:val="center"/>
              <w:rPr>
                <w:rFonts w:ascii="宋体" w:hAnsi="宋体" w:cs="宋体"/>
                <w:sz w:val="24"/>
              </w:rPr>
            </w:pPr>
            <w:r>
              <w:rPr>
                <w:rFonts w:hint="eastAsia" w:ascii="宋体" w:hAnsi="宋体" w:cs="宋体"/>
                <w:b/>
                <w:sz w:val="24"/>
              </w:rPr>
              <w:t>质量保证要求</w:t>
            </w:r>
          </w:p>
        </w:tc>
        <w:tc>
          <w:tcPr>
            <w:tcW w:w="7385" w:type="dxa"/>
            <w:gridSpan w:val="3"/>
          </w:tcPr>
          <w:p w14:paraId="22D0AF00">
            <w:pPr>
              <w:tabs>
                <w:tab w:val="left" w:pos="420"/>
              </w:tabs>
              <w:spacing w:line="440" w:lineRule="exact"/>
              <w:rPr>
                <w:rFonts w:ascii="宋体" w:hAnsi="宋体" w:cs="宋体"/>
                <w:sz w:val="24"/>
              </w:rPr>
            </w:pPr>
            <w:r>
              <w:rPr>
                <w:rFonts w:hint="eastAsia" w:ascii="宋体" w:hAnsi="宋体" w:cs="宋体"/>
                <w:sz w:val="24"/>
              </w:rPr>
              <w:t>1.按国家有关产品“三包”规定执行“三包”政策，提供整机原厂质量保证期3年（分项货物或配置有明确要求的按分项要求；生产厂家承诺的质量保证期更长的按生产厂家的承诺期限），质量保证期从交货验收合格之日起计。</w:t>
            </w:r>
          </w:p>
          <w:p w14:paraId="464F1932">
            <w:pPr>
              <w:tabs>
                <w:tab w:val="left" w:pos="420"/>
              </w:tabs>
              <w:spacing w:line="440" w:lineRule="exact"/>
              <w:rPr>
                <w:rFonts w:ascii="宋体" w:hAnsi="宋体" w:cs="宋体"/>
                <w:sz w:val="24"/>
              </w:rPr>
            </w:pPr>
            <w:r>
              <w:rPr>
                <w:rFonts w:hint="eastAsia" w:ascii="宋体" w:hAnsi="宋体" w:cs="宋体"/>
                <w:sz w:val="24"/>
              </w:rPr>
              <w:t>2.</w:t>
            </w:r>
            <w:r>
              <w:rPr>
                <w:rFonts w:hint="eastAsia" w:ascii="宋体" w:hAnsi="宋体" w:cs="宋体"/>
                <w:kern w:val="0"/>
                <w:sz w:val="24"/>
              </w:rPr>
              <w:t>在质量保证期，</w:t>
            </w:r>
            <w:r>
              <w:rPr>
                <w:rFonts w:hint="eastAsia" w:ascii="宋体" w:hAnsi="宋体" w:cs="宋体"/>
                <w:sz w:val="24"/>
              </w:rPr>
              <w:t>由中标人</w:t>
            </w:r>
            <w:r>
              <w:rPr>
                <w:rFonts w:hint="eastAsia" w:ascii="宋体" w:hAnsi="宋体" w:cs="宋体"/>
                <w:kern w:val="0"/>
                <w:sz w:val="24"/>
              </w:rPr>
              <w:t>对出现的</w:t>
            </w:r>
            <w:r>
              <w:rPr>
                <w:rFonts w:hint="eastAsia" w:ascii="宋体" w:hAnsi="宋体" w:cs="宋体"/>
                <w:sz w:val="24"/>
              </w:rPr>
              <w:t>任何故障及损失免费维修、更换配件，并负责对供应货物进行软件更新升级、系统维护和远程服务。</w:t>
            </w:r>
          </w:p>
          <w:p w14:paraId="0B7829A6">
            <w:pPr>
              <w:tabs>
                <w:tab w:val="left" w:pos="420"/>
              </w:tabs>
              <w:spacing w:line="440" w:lineRule="exact"/>
              <w:rPr>
                <w:rFonts w:ascii="宋体" w:hAnsi="宋体" w:cs="宋体"/>
                <w:sz w:val="24"/>
              </w:rPr>
            </w:pPr>
            <w:r>
              <w:rPr>
                <w:rFonts w:hint="eastAsia" w:ascii="宋体" w:hAnsi="宋体" w:cs="宋体"/>
                <w:sz w:val="24"/>
              </w:rPr>
              <w:t>3.质量保证期满后，终身维护，且以市场最优惠价格提供维修和备件更换、软件更新升级，且承诺为用户提供的终身技术咨询服务。</w:t>
            </w:r>
          </w:p>
          <w:p w14:paraId="6FC30C53">
            <w:pPr>
              <w:tabs>
                <w:tab w:val="left" w:pos="420"/>
              </w:tabs>
              <w:spacing w:line="440" w:lineRule="exact"/>
              <w:rPr>
                <w:rFonts w:ascii="宋体" w:hAnsi="宋体" w:cs="宋体"/>
                <w:sz w:val="24"/>
              </w:rPr>
            </w:pPr>
            <w:r>
              <w:rPr>
                <w:rFonts w:hint="eastAsia" w:ascii="宋体" w:hAnsi="宋体" w:cs="宋体"/>
                <w:sz w:val="24"/>
              </w:rPr>
              <w:t>4.中标人应为质量保证期服务配备充足的技术人员、工具和备件并保证提供的联系方式畅通。</w:t>
            </w:r>
          </w:p>
          <w:p w14:paraId="252F4323">
            <w:pPr>
              <w:tabs>
                <w:tab w:val="left" w:pos="420"/>
              </w:tabs>
              <w:spacing w:line="440" w:lineRule="exact"/>
              <w:rPr>
                <w:rFonts w:ascii="宋体" w:hAnsi="宋体" w:cs="宋体"/>
                <w:sz w:val="24"/>
              </w:rPr>
            </w:pPr>
            <w:r>
              <w:rPr>
                <w:rFonts w:hint="eastAsia" w:ascii="宋体" w:hAnsi="宋体" w:cs="宋体"/>
                <w:sz w:val="24"/>
              </w:rPr>
              <w:t>5.中标人在质量保证期内应对设备进行每半年进行巡检。</w:t>
            </w:r>
          </w:p>
        </w:tc>
      </w:tr>
      <w:tr w14:paraId="0FBA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37708D68">
            <w:pPr>
              <w:spacing w:line="440" w:lineRule="exact"/>
              <w:jc w:val="center"/>
              <w:rPr>
                <w:rFonts w:ascii="宋体" w:hAnsi="宋体" w:cs="宋体"/>
                <w:sz w:val="24"/>
              </w:rPr>
            </w:pPr>
            <w:r>
              <w:rPr>
                <w:rFonts w:hint="eastAsia" w:ascii="宋体" w:hAnsi="宋体" w:cs="宋体"/>
                <w:b/>
                <w:sz w:val="24"/>
              </w:rPr>
              <w:t>售后服务要求</w:t>
            </w:r>
          </w:p>
        </w:tc>
        <w:tc>
          <w:tcPr>
            <w:tcW w:w="7385" w:type="dxa"/>
            <w:gridSpan w:val="3"/>
          </w:tcPr>
          <w:p w14:paraId="5D138D7C">
            <w:pPr>
              <w:tabs>
                <w:tab w:val="left" w:pos="420"/>
              </w:tabs>
              <w:spacing w:line="440" w:lineRule="exact"/>
              <w:rPr>
                <w:rFonts w:ascii="宋体" w:hAnsi="宋体" w:cs="宋体"/>
                <w:sz w:val="24"/>
              </w:rPr>
            </w:pPr>
            <w:r>
              <w:rPr>
                <w:rFonts w:hint="eastAsia" w:ascii="宋体" w:hAnsi="宋体" w:cs="宋体"/>
                <w:sz w:val="24"/>
              </w:rPr>
              <w:t>1.负责送货上门、负责提供产品原厂工程师现场安装、安装调试服务、负责技术培训和12个月远程服务。</w:t>
            </w:r>
          </w:p>
          <w:p w14:paraId="14A36048">
            <w:pPr>
              <w:tabs>
                <w:tab w:val="left" w:pos="420"/>
              </w:tabs>
              <w:spacing w:line="440" w:lineRule="exact"/>
              <w:rPr>
                <w:rFonts w:ascii="宋体" w:hAnsi="宋体" w:cs="宋体"/>
                <w:sz w:val="24"/>
              </w:rPr>
            </w:pPr>
            <w:r>
              <w:rPr>
                <w:rFonts w:hint="eastAsia" w:ascii="宋体" w:hAnsi="宋体" w:cs="宋体"/>
                <w:sz w:val="24"/>
              </w:rPr>
              <w:t>2.维修响应：售后服务要求7天×8小时工作制，中标人在接到用户维修电话后1小时内响应，3小时内到达现场处理，一般情况下24小时内恢复正常使用。若不能修复须有合理应对方案。若不能修复须有合理应对方案。</w:t>
            </w:r>
            <w:bookmarkStart w:id="45" w:name="_Hlk207210930"/>
            <w:r>
              <w:rPr>
                <w:rFonts w:hint="eastAsia" w:ascii="宋体" w:hAnsi="宋体" w:cs="宋体"/>
                <w:sz w:val="24"/>
              </w:rPr>
              <w:t>如果中标人未在上述时间内作出响应,则采购人有权自行或委托他人解决相关问题或查找和解决合同货物的故障，中标人应承担由此发生的全部费用。</w:t>
            </w:r>
            <w:bookmarkEnd w:id="45"/>
          </w:p>
          <w:p w14:paraId="438F7DCA">
            <w:pPr>
              <w:pStyle w:val="58"/>
              <w:spacing w:line="440" w:lineRule="exact"/>
              <w:rPr>
                <w:rFonts w:ascii="宋体" w:hAnsi="宋体" w:cs="宋体"/>
                <w:sz w:val="24"/>
                <w:szCs w:val="24"/>
              </w:rPr>
            </w:pPr>
            <w:r>
              <w:rPr>
                <w:rFonts w:hint="eastAsia" w:ascii="宋体" w:hAnsi="宋体" w:cs="宋体"/>
                <w:sz w:val="24"/>
                <w:szCs w:val="24"/>
              </w:rPr>
              <w:t>3.质量保证期内因设备性能故障检修三次仍不能正常使用的，一个月内重新无偿更换新设备交付采购人。在超出质量保证期后，如产品发生故障，可派技术员上门服务；如需更换配件，配件均按市场最优惠价格供应。</w:t>
            </w:r>
          </w:p>
          <w:p w14:paraId="03507211">
            <w:pPr>
              <w:tabs>
                <w:tab w:val="left" w:pos="420"/>
              </w:tabs>
              <w:spacing w:line="440" w:lineRule="exact"/>
              <w:rPr>
                <w:rFonts w:ascii="宋体" w:hAnsi="宋体" w:cs="宋体"/>
                <w:sz w:val="24"/>
              </w:rPr>
            </w:pPr>
            <w:r>
              <w:rPr>
                <w:rFonts w:hint="eastAsia" w:ascii="宋体" w:hAnsi="宋体" w:cs="宋体"/>
                <w:sz w:val="24"/>
              </w:rPr>
              <w:t>4.终身提供远程技术协助服务。</w:t>
            </w:r>
          </w:p>
          <w:p w14:paraId="4F4A0A60">
            <w:pPr>
              <w:tabs>
                <w:tab w:val="left" w:pos="420"/>
              </w:tabs>
              <w:spacing w:line="440" w:lineRule="exact"/>
              <w:rPr>
                <w:rFonts w:ascii="宋体" w:hAnsi="宋体" w:cs="宋体"/>
                <w:sz w:val="24"/>
              </w:rPr>
            </w:pPr>
            <w:r>
              <w:rPr>
                <w:rFonts w:hint="eastAsia" w:ascii="宋体" w:hAnsi="宋体" w:cs="宋体"/>
                <w:sz w:val="24"/>
              </w:rPr>
              <w:t>5.提供原厂技术人员对采购人的操作技术培训和相关技术资料。提供不少于2次/每年的主要设备厂商工程师安装配置等实操培训课程，场地、交通等与培训相关的费用均由中标人承担。</w:t>
            </w:r>
          </w:p>
          <w:p w14:paraId="278508EB">
            <w:pPr>
              <w:tabs>
                <w:tab w:val="left" w:pos="420"/>
              </w:tabs>
              <w:spacing w:line="440" w:lineRule="exact"/>
              <w:rPr>
                <w:rFonts w:ascii="宋体" w:hAnsi="宋体" w:cs="宋体"/>
                <w:sz w:val="24"/>
              </w:rPr>
            </w:pPr>
            <w:r>
              <w:rPr>
                <w:rFonts w:hint="eastAsia" w:ascii="宋体" w:hAnsi="宋体" w:cs="宋体"/>
                <w:sz w:val="24"/>
              </w:rPr>
              <w:t>6.提供验收与培训时开机实验必须的配件及耗材,以保障验收与培训的正常开展。</w:t>
            </w:r>
          </w:p>
        </w:tc>
      </w:tr>
      <w:tr w14:paraId="1DFD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5A56E521">
            <w:pPr>
              <w:spacing w:line="440" w:lineRule="exact"/>
              <w:jc w:val="center"/>
              <w:rPr>
                <w:rFonts w:ascii="宋体" w:hAnsi="宋体" w:cs="宋体"/>
                <w:sz w:val="24"/>
              </w:rPr>
            </w:pPr>
            <w:r>
              <w:rPr>
                <w:rStyle w:val="124"/>
                <w:rFonts w:hint="eastAsia" w:ascii="宋体" w:hAnsi="宋体" w:cs="宋体"/>
                <w:color w:val="auto"/>
                <w:sz w:val="24"/>
                <w:szCs w:val="24"/>
              </w:rPr>
              <w:t>履约保证金收取及退付</w:t>
            </w:r>
          </w:p>
        </w:tc>
        <w:tc>
          <w:tcPr>
            <w:tcW w:w="7385" w:type="dxa"/>
            <w:gridSpan w:val="3"/>
          </w:tcPr>
          <w:p w14:paraId="14C82CAD">
            <w:pPr>
              <w:tabs>
                <w:tab w:val="left" w:pos="420"/>
              </w:tabs>
              <w:spacing w:line="440" w:lineRule="exact"/>
              <w:rPr>
                <w:rFonts w:ascii="宋体" w:hAnsi="宋体" w:cs="宋体"/>
                <w:sz w:val="24"/>
              </w:rPr>
            </w:pPr>
            <w:r>
              <w:rPr>
                <w:rFonts w:hint="eastAsia" w:ascii="宋体" w:hAnsi="宋体" w:cs="宋体"/>
                <w:sz w:val="24"/>
              </w:rPr>
              <w:t>1.履约保证金金额：履约保证金为合同金额的5%（中标人为中小微企业的，履约保证金为合同金额的2%。以投标文件中提交的中小企业声明函为依据）；签订合同时交至指定账户。</w:t>
            </w:r>
          </w:p>
          <w:p w14:paraId="29B25F65">
            <w:pPr>
              <w:tabs>
                <w:tab w:val="left" w:pos="420"/>
              </w:tabs>
              <w:spacing w:line="440" w:lineRule="exact"/>
              <w:rPr>
                <w:rFonts w:ascii="宋体" w:hAnsi="宋体" w:cs="宋体"/>
                <w:sz w:val="24"/>
              </w:rPr>
            </w:pPr>
            <w:r>
              <w:rPr>
                <w:rFonts w:hint="eastAsia" w:ascii="宋体" w:hAnsi="宋体" w:cs="宋体"/>
                <w:sz w:val="24"/>
              </w:rPr>
              <w:t>2.履约保证金缴纳方式：银行转账、保函等非现金方式。由中标人在签订合同时按规定的金额直接缴入以下采购人账户或将保函原件交给采购人。</w:t>
            </w:r>
          </w:p>
          <w:p w14:paraId="09F2406A">
            <w:pPr>
              <w:tabs>
                <w:tab w:val="left" w:pos="420"/>
              </w:tabs>
              <w:spacing w:line="440" w:lineRule="exact"/>
              <w:rPr>
                <w:rFonts w:ascii="宋体" w:hAnsi="宋体" w:cs="宋体"/>
                <w:sz w:val="24"/>
              </w:rPr>
            </w:pPr>
            <w:r>
              <w:rPr>
                <w:rFonts w:hint="eastAsia" w:ascii="宋体" w:hAnsi="宋体" w:cs="宋体"/>
                <w:sz w:val="24"/>
              </w:rPr>
              <w:t>统一社会信用代码：124500004985009929</w:t>
            </w:r>
          </w:p>
          <w:p w14:paraId="0F408D9C">
            <w:pPr>
              <w:tabs>
                <w:tab w:val="left" w:pos="420"/>
              </w:tabs>
              <w:spacing w:line="440" w:lineRule="exact"/>
              <w:rPr>
                <w:rFonts w:ascii="宋体" w:hAnsi="宋体" w:cs="宋体"/>
                <w:sz w:val="24"/>
              </w:rPr>
            </w:pPr>
            <w:r>
              <w:rPr>
                <w:rFonts w:hint="eastAsia" w:ascii="宋体" w:hAnsi="宋体" w:cs="宋体"/>
                <w:sz w:val="24"/>
              </w:rPr>
              <w:t xml:space="preserve">户名：广西大学   </w:t>
            </w:r>
          </w:p>
          <w:p w14:paraId="4CD82C2B">
            <w:pPr>
              <w:tabs>
                <w:tab w:val="left" w:pos="420"/>
              </w:tabs>
              <w:spacing w:line="440" w:lineRule="exact"/>
              <w:rPr>
                <w:rFonts w:ascii="宋体" w:hAnsi="宋体" w:cs="宋体"/>
                <w:sz w:val="24"/>
              </w:rPr>
            </w:pPr>
            <w:r>
              <w:rPr>
                <w:rFonts w:hint="eastAsia" w:ascii="宋体" w:hAnsi="宋体" w:cs="宋体"/>
                <w:sz w:val="24"/>
              </w:rPr>
              <w:t>开户行：中国银行广西南宁市西大支行（行号：104611010324）</w:t>
            </w:r>
          </w:p>
          <w:p w14:paraId="7A52314E">
            <w:pPr>
              <w:tabs>
                <w:tab w:val="left" w:pos="420"/>
              </w:tabs>
              <w:spacing w:line="440" w:lineRule="exact"/>
              <w:rPr>
                <w:rFonts w:ascii="宋体" w:hAnsi="宋体" w:cs="宋体"/>
                <w:sz w:val="24"/>
              </w:rPr>
            </w:pPr>
            <w:r>
              <w:rPr>
                <w:rFonts w:hint="eastAsia" w:ascii="宋体" w:hAnsi="宋体" w:cs="宋体"/>
                <w:sz w:val="24"/>
              </w:rPr>
              <w:t xml:space="preserve">账号：618 457 484 938 </w:t>
            </w:r>
          </w:p>
          <w:p w14:paraId="2928F5DE">
            <w:pPr>
              <w:tabs>
                <w:tab w:val="left" w:pos="420"/>
              </w:tabs>
              <w:spacing w:line="440" w:lineRule="exact"/>
              <w:rPr>
                <w:rFonts w:ascii="宋体" w:hAnsi="宋体" w:cs="宋体"/>
                <w:sz w:val="24"/>
              </w:rPr>
            </w:pPr>
            <w:r>
              <w:rPr>
                <w:rFonts w:hint="eastAsia" w:ascii="宋体" w:hAnsi="宋体" w:cs="宋体"/>
                <w:sz w:val="24"/>
              </w:rPr>
              <w:t xml:space="preserve">地址：广西南宁市大学东路100号  </w:t>
            </w:r>
          </w:p>
          <w:p w14:paraId="181D66A2">
            <w:pPr>
              <w:tabs>
                <w:tab w:val="left" w:pos="420"/>
              </w:tabs>
              <w:spacing w:line="440" w:lineRule="exact"/>
              <w:rPr>
                <w:rFonts w:ascii="宋体" w:hAnsi="宋体" w:cs="宋体"/>
                <w:sz w:val="24"/>
              </w:rPr>
            </w:pPr>
            <w:r>
              <w:rPr>
                <w:rFonts w:hint="eastAsia" w:ascii="宋体" w:hAnsi="宋体" w:cs="宋体"/>
                <w:sz w:val="24"/>
              </w:rPr>
              <w:t>电话：0771-3232888</w:t>
            </w:r>
          </w:p>
          <w:p w14:paraId="499E70F4">
            <w:pPr>
              <w:tabs>
                <w:tab w:val="left" w:pos="420"/>
              </w:tabs>
              <w:spacing w:line="440" w:lineRule="exact"/>
              <w:rPr>
                <w:rFonts w:ascii="宋体" w:hAnsi="宋体" w:cs="宋体"/>
                <w:b/>
                <w:sz w:val="24"/>
              </w:rPr>
            </w:pPr>
            <w:r>
              <w:rPr>
                <w:rFonts w:hint="eastAsia" w:ascii="宋体" w:hAnsi="宋体" w:cs="宋体"/>
                <w:b/>
                <w:sz w:val="24"/>
              </w:rPr>
              <w:t>缴纳履约保证金注明：“项目名称+项目编号”履约保证金。</w:t>
            </w:r>
          </w:p>
          <w:p w14:paraId="1F4463E6">
            <w:pPr>
              <w:tabs>
                <w:tab w:val="left" w:pos="420"/>
              </w:tabs>
              <w:spacing w:line="440" w:lineRule="exact"/>
              <w:rPr>
                <w:rFonts w:ascii="宋体" w:hAnsi="宋体" w:cs="宋体"/>
                <w:sz w:val="24"/>
              </w:rPr>
            </w:pPr>
            <w:r>
              <w:rPr>
                <w:rFonts w:hint="eastAsia" w:ascii="宋体" w:hAnsi="宋体" w:cs="宋体"/>
                <w:sz w:val="24"/>
              </w:rPr>
              <w:t>3.履约保证金退付方式、时间及条件：中标人若不能完全履行合同，履约保证金不予退还；中标人若完全履行合同，货物验收合格后，中标人凭履约保证金缴款凭证、退付意见书到采购人财务部门办理无息退还手续。</w:t>
            </w:r>
          </w:p>
          <w:p w14:paraId="081AA727">
            <w:pPr>
              <w:tabs>
                <w:tab w:val="left" w:pos="420"/>
              </w:tabs>
              <w:spacing w:line="440" w:lineRule="exact"/>
              <w:rPr>
                <w:rFonts w:ascii="宋体" w:hAnsi="宋体" w:cs="宋体"/>
                <w:sz w:val="24"/>
              </w:rPr>
            </w:pPr>
            <w:r>
              <w:rPr>
                <w:rFonts w:hint="eastAsia" w:ascii="宋体" w:hAnsi="宋体" w:cs="宋体"/>
                <w:sz w:val="24"/>
              </w:rPr>
              <w:t>4.备注：</w:t>
            </w:r>
          </w:p>
          <w:p w14:paraId="7DC04FC9">
            <w:pPr>
              <w:tabs>
                <w:tab w:val="left" w:pos="420"/>
              </w:tabs>
              <w:spacing w:line="440" w:lineRule="exact"/>
              <w:rPr>
                <w:rFonts w:ascii="宋体" w:hAnsi="宋体" w:cs="宋体"/>
                <w:sz w:val="24"/>
              </w:rPr>
            </w:pPr>
            <w:r>
              <w:rPr>
                <w:rFonts w:hint="eastAsia" w:ascii="宋体" w:hAnsi="宋体" w:cs="宋体"/>
                <w:sz w:val="24"/>
              </w:rPr>
              <w:t>（1）履约保证金必须足额缴纳，或出具的保函额度必须足额且保函有效期不能低于合同履行期限（即签订采购合同之日起至履行完合同约定的权利及义务之日止），否则视为无效履约保证金。</w:t>
            </w:r>
          </w:p>
          <w:p w14:paraId="586D7440">
            <w:pPr>
              <w:tabs>
                <w:tab w:val="left" w:pos="420"/>
              </w:tabs>
              <w:spacing w:line="440" w:lineRule="exact"/>
              <w:rPr>
                <w:rFonts w:ascii="宋体" w:hAnsi="宋体" w:cs="宋体"/>
                <w:sz w:val="24"/>
              </w:rPr>
            </w:pPr>
            <w:r>
              <w:rPr>
                <w:rFonts w:hint="eastAsia" w:ascii="宋体" w:hAnsi="宋体" w:cs="宋体"/>
                <w:sz w:val="24"/>
              </w:rPr>
              <w:t>（2）采用保函的，必须为无条件保函，否则视为无效履约保证金。</w:t>
            </w:r>
          </w:p>
        </w:tc>
      </w:tr>
      <w:tr w14:paraId="39FB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14CEC7B6">
            <w:pPr>
              <w:spacing w:line="440" w:lineRule="exact"/>
              <w:jc w:val="center"/>
              <w:rPr>
                <w:rFonts w:ascii="宋体" w:hAnsi="宋体" w:cs="宋体"/>
                <w:sz w:val="24"/>
              </w:rPr>
            </w:pPr>
            <w:r>
              <w:rPr>
                <w:rFonts w:hint="eastAsia" w:ascii="宋体" w:hAnsi="宋体" w:cs="宋体"/>
                <w:b/>
                <w:sz w:val="24"/>
              </w:rPr>
              <w:t>付款方式</w:t>
            </w:r>
          </w:p>
        </w:tc>
        <w:tc>
          <w:tcPr>
            <w:tcW w:w="7385" w:type="dxa"/>
            <w:gridSpan w:val="3"/>
          </w:tcPr>
          <w:p w14:paraId="64281E08">
            <w:pPr>
              <w:tabs>
                <w:tab w:val="left" w:pos="420"/>
              </w:tabs>
              <w:spacing w:line="440" w:lineRule="exact"/>
              <w:rPr>
                <w:rFonts w:ascii="宋体" w:hAnsi="宋体" w:cs="宋体"/>
                <w:sz w:val="24"/>
              </w:rPr>
            </w:pPr>
            <w:r>
              <w:rPr>
                <w:rFonts w:hint="eastAsia" w:ascii="宋体" w:hAnsi="宋体" w:cs="宋体"/>
                <w:sz w:val="24"/>
              </w:rPr>
              <w:t>1.国产设备付款：本项目无预付款，全部货物安装调试完毕并经验收合格后，采购人办理完支付手续后一次性向中标人支付全部合同款（无息）；付款前，中标人开具等额增值税专用发票给采购人。</w:t>
            </w:r>
          </w:p>
          <w:p w14:paraId="5205F3F1">
            <w:pPr>
              <w:tabs>
                <w:tab w:val="left" w:pos="420"/>
              </w:tabs>
              <w:spacing w:line="440" w:lineRule="exact"/>
              <w:rPr>
                <w:rFonts w:ascii="宋体" w:hAnsi="宋体" w:cs="宋体"/>
                <w:sz w:val="24"/>
              </w:rPr>
            </w:pPr>
            <w:r>
              <w:rPr>
                <w:rFonts w:hint="eastAsia" w:ascii="宋体" w:hAnsi="宋体" w:cs="宋体"/>
                <w:sz w:val="24"/>
              </w:rPr>
              <w:t>2.免税进口设备付款：本项目外贸进口代理业务由采购人指定外贸代理承担，并按下述方式支付合同款：合同生效后，外贸代理开具合同金额等额的无条件预付款保函（保函有效期至货到甲方指定地点且经甲方验收合格后）给采购人，采购人支付100%合同款给指定外贸代理商，指定外贸代理商与中标人按以下方式结算：（1）指定外贸代理商向成交产品国外生产商开出设备款100%的即期不可撤销信用证或者电汇支付；（2）设备到货并经采购人验收合格后，指定外贸代理商与中标人结算合同款。（注：双方以人民币结算）采购人、中标人及指定外贸代理商三方另行签订《外贸进口代理协议书（三方协议）》，约定外贸进口业务有关事宜。</w:t>
            </w:r>
          </w:p>
          <w:p w14:paraId="7A954542">
            <w:pPr>
              <w:tabs>
                <w:tab w:val="left" w:pos="420"/>
              </w:tabs>
              <w:spacing w:line="440" w:lineRule="exact"/>
              <w:rPr>
                <w:rFonts w:ascii="宋体" w:hAnsi="宋体" w:cs="宋体"/>
                <w:sz w:val="24"/>
              </w:rPr>
            </w:pPr>
            <w:r>
              <w:rPr>
                <w:rFonts w:hint="eastAsia" w:ascii="宋体" w:hAnsi="宋体" w:cs="宋体"/>
                <w:sz w:val="24"/>
              </w:rPr>
              <w:t>3.依法不能办理免税的进口设备按国产设备付款方式支付。</w:t>
            </w:r>
          </w:p>
        </w:tc>
      </w:tr>
      <w:tr w14:paraId="26AA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62B8A371">
            <w:pPr>
              <w:spacing w:line="440" w:lineRule="exact"/>
              <w:jc w:val="center"/>
              <w:rPr>
                <w:rFonts w:ascii="宋体" w:hAnsi="宋体" w:cs="宋体"/>
                <w:sz w:val="24"/>
              </w:rPr>
            </w:pPr>
            <w:r>
              <w:rPr>
                <w:rFonts w:hint="eastAsia" w:ascii="宋体" w:hAnsi="宋体" w:cs="宋体"/>
                <w:b/>
                <w:sz w:val="24"/>
              </w:rPr>
              <w:t>其他要求</w:t>
            </w:r>
          </w:p>
        </w:tc>
        <w:tc>
          <w:tcPr>
            <w:tcW w:w="7385" w:type="dxa"/>
            <w:gridSpan w:val="3"/>
          </w:tcPr>
          <w:p w14:paraId="289D82F8">
            <w:pPr>
              <w:widowControl/>
              <w:spacing w:line="440" w:lineRule="exact"/>
              <w:rPr>
                <w:rFonts w:ascii="宋体" w:hAnsi="宋体" w:cs="宋体"/>
                <w:sz w:val="24"/>
              </w:rPr>
            </w:pPr>
            <w:r>
              <w:rPr>
                <w:rFonts w:hint="eastAsia" w:ascii="宋体" w:hAnsi="宋体" w:cs="宋体"/>
                <w:sz w:val="24"/>
              </w:rPr>
              <w:t>1.要求供货产品是全新的、未经改装的、合格的、满足本项目《技术参数及性能（配置）要求》及要求的货物。所有零部件、配件必须是未经使用的全新的并符合国家有关质量安全标准的产品。负责提供设备使用培训、操作技能训练等；提供相关设备说明书、管理和配置指南手册、使用手册和故障定位/排除指南手册等</w:t>
            </w:r>
          </w:p>
          <w:p w14:paraId="1A8DBF41">
            <w:pPr>
              <w:widowControl/>
              <w:spacing w:line="440" w:lineRule="exact"/>
              <w:rPr>
                <w:rFonts w:ascii="宋体" w:hAnsi="宋体" w:cs="宋体"/>
                <w:sz w:val="24"/>
              </w:rPr>
            </w:pPr>
            <w:r>
              <w:rPr>
                <w:rFonts w:hint="eastAsia" w:ascii="宋体" w:hAnsi="宋体" w:cs="宋体"/>
                <w:sz w:val="24"/>
              </w:rPr>
              <w:t>2.本项目实行总价包干制，投标报价合计金额包括</w:t>
            </w:r>
            <w:bookmarkStart w:id="46" w:name="OLE_LINK2"/>
            <w:bookmarkStart w:id="47" w:name="OLE_LINK1"/>
            <w:r>
              <w:rPr>
                <w:rFonts w:hint="eastAsia" w:ascii="宋体" w:hAnsi="宋体" w:cs="宋体"/>
                <w:sz w:val="24"/>
              </w:rPr>
              <w:t>货物价款、配套软件、标准附件、随配附件、备品备件、辅助材料、专用工具、包装、运抵指定交货地点、运输、装卸、完工清场清洁、货到就位、安装、调试、检验、技术培训、技术资料、售后服务、保险、投标费用、预验收及履约验收及售后服务、人工费、一切税费等全部费用</w:t>
            </w:r>
            <w:bookmarkEnd w:id="46"/>
            <w:bookmarkEnd w:id="47"/>
            <w:r>
              <w:rPr>
                <w:rFonts w:hint="eastAsia" w:ascii="宋体" w:hAnsi="宋体" w:cs="宋体"/>
                <w:sz w:val="24"/>
              </w:rPr>
              <w:t>。税费因政策等原因发生变化的，由中标人承担。合同履行过程中，采购人不再支付合同以外的其他费用。</w:t>
            </w:r>
          </w:p>
          <w:p w14:paraId="5B6CC1F0">
            <w:pPr>
              <w:widowControl/>
              <w:spacing w:line="440" w:lineRule="exact"/>
              <w:rPr>
                <w:rFonts w:ascii="宋体" w:hAnsi="宋体" w:cs="宋体"/>
                <w:sz w:val="24"/>
              </w:rPr>
            </w:pPr>
            <w:r>
              <w:rPr>
                <w:rFonts w:hint="eastAsia" w:ascii="宋体" w:hAnsi="宋体" w:cs="宋体"/>
                <w:sz w:val="24"/>
              </w:rPr>
              <w:t>3.中标人承担货物交付验收前的运输、安装等作业工人人身、设备安全责任；验收前，如果设备丢失、因投标人自身原因及第三人原因导致损坏，中标人应自行负责并承担不能交付货物的责任。</w:t>
            </w:r>
          </w:p>
          <w:p w14:paraId="635EB3DB">
            <w:pPr>
              <w:widowControl/>
              <w:spacing w:line="440" w:lineRule="exact"/>
              <w:rPr>
                <w:rFonts w:ascii="宋体" w:hAnsi="宋体" w:cs="宋体"/>
                <w:sz w:val="24"/>
              </w:rPr>
            </w:pPr>
            <w:r>
              <w:rPr>
                <w:rFonts w:hint="eastAsia" w:ascii="宋体" w:hAnsi="宋体" w:cs="宋体"/>
                <w:sz w:val="24"/>
                <w:highlight w:val="none"/>
              </w:rPr>
              <w:t>4.本项目第1、2、3、4、6、8、9、10、11项货物已按规定</w:t>
            </w:r>
            <w:r>
              <w:rPr>
                <w:rFonts w:hint="eastAsia" w:ascii="宋体" w:hAnsi="宋体" w:cs="宋体"/>
                <w:sz w:val="24"/>
              </w:rPr>
              <w:t>办妥进口产品采购审核手续，投标产品可选用进口产品（即通过中国海关报关验放进入中国境内且产自关境外的产品）；选用进口产品时必须为全套原装进口产品。免税进口设备必须由采购人指定的外贸代理机构办理进口产品的相关手续，中标人不得自行选择外贸代理机构。中标人在中标后负责与指定外贸代理机构办理进口产品的相关手续，承担相关的所有费用（含办理免税证的费用），采购人负责协助中标人办理免税手续。依法不能办理免税的进口设备由中标人办理进口产品的相关手续，供货时中标人需提供进口设备报关单。</w:t>
            </w:r>
          </w:p>
          <w:p w14:paraId="6BFD4790">
            <w:pPr>
              <w:widowControl/>
              <w:spacing w:line="440" w:lineRule="exact"/>
              <w:rPr>
                <w:rFonts w:ascii="宋体" w:hAnsi="宋体" w:cs="宋体"/>
                <w:sz w:val="24"/>
              </w:rPr>
            </w:pPr>
            <w:r>
              <w:rPr>
                <w:rFonts w:hint="eastAsia" w:ascii="宋体" w:hAnsi="宋体" w:cs="宋体"/>
                <w:sz w:val="24"/>
              </w:rPr>
              <w:t>本项目其余货物不接受进口产品（即通过中国海关报关验放进入中国境内且产自关境外的产品）参与投标，如有此类产品参与投标的做无效标处理。</w:t>
            </w:r>
          </w:p>
          <w:p w14:paraId="39C8B01D">
            <w:pPr>
              <w:widowControl/>
              <w:spacing w:line="440" w:lineRule="exact"/>
              <w:rPr>
                <w:rFonts w:ascii="宋体" w:hAnsi="宋体" w:cs="宋体"/>
                <w:sz w:val="24"/>
              </w:rPr>
            </w:pPr>
            <w:r>
              <w:rPr>
                <w:rFonts w:hint="eastAsia" w:ascii="宋体" w:hAnsi="宋体" w:cs="宋体"/>
                <w:sz w:val="24"/>
              </w:rPr>
              <w:t>5.进口代理费费率基准如下：</w:t>
            </w:r>
          </w:p>
          <w:p w14:paraId="65284A04">
            <w:pPr>
              <w:widowControl/>
              <w:spacing w:line="440" w:lineRule="exact"/>
              <w:rPr>
                <w:rFonts w:ascii="宋体" w:hAnsi="宋体" w:cs="宋体"/>
                <w:sz w:val="24"/>
              </w:rPr>
            </w:pPr>
            <w:r>
              <w:rPr>
                <w:rFonts w:hint="eastAsia" w:ascii="宋体" w:hAnsi="宋体" w:cs="宋体"/>
                <w:sz w:val="24"/>
              </w:rPr>
              <w:t>中标金额80万元（不含）以下，进口代理服务费收取比例为1.5%；</w:t>
            </w:r>
          </w:p>
          <w:p w14:paraId="4DB8AB9A">
            <w:pPr>
              <w:widowControl/>
              <w:spacing w:line="440" w:lineRule="exact"/>
              <w:rPr>
                <w:rFonts w:ascii="宋体" w:hAnsi="宋体" w:cs="宋体"/>
                <w:sz w:val="24"/>
              </w:rPr>
            </w:pPr>
            <w:r>
              <w:rPr>
                <w:rFonts w:hint="eastAsia" w:ascii="宋体" w:hAnsi="宋体" w:cs="宋体"/>
                <w:sz w:val="24"/>
              </w:rPr>
              <w:t>中标金额80--200万元（不含）,进口代理服务费收取比例为1.2%；</w:t>
            </w:r>
          </w:p>
          <w:p w14:paraId="63EEE15E">
            <w:pPr>
              <w:widowControl/>
              <w:spacing w:line="440" w:lineRule="exact"/>
              <w:rPr>
                <w:rFonts w:ascii="宋体" w:hAnsi="宋体" w:cs="宋体"/>
                <w:sz w:val="24"/>
              </w:rPr>
            </w:pPr>
            <w:r>
              <w:rPr>
                <w:rFonts w:hint="eastAsia" w:ascii="宋体" w:hAnsi="宋体" w:cs="宋体"/>
                <w:sz w:val="24"/>
              </w:rPr>
              <w:t>中标金额200—500万元（不含）,进口代理服务费收取比例为1%；</w:t>
            </w:r>
          </w:p>
          <w:p w14:paraId="24135550">
            <w:pPr>
              <w:widowControl/>
              <w:spacing w:line="440" w:lineRule="exact"/>
              <w:rPr>
                <w:rFonts w:ascii="宋体" w:hAnsi="宋体" w:cs="宋体"/>
                <w:sz w:val="24"/>
              </w:rPr>
            </w:pPr>
            <w:r>
              <w:rPr>
                <w:rFonts w:hint="eastAsia" w:ascii="宋体" w:hAnsi="宋体" w:cs="宋体"/>
                <w:sz w:val="24"/>
              </w:rPr>
              <w:t>中标金额500万元以上,进口代理服务费收取比例为0.8%。</w:t>
            </w:r>
          </w:p>
          <w:p w14:paraId="65994BD9">
            <w:pPr>
              <w:widowControl/>
              <w:spacing w:line="440" w:lineRule="exact"/>
              <w:rPr>
                <w:rFonts w:ascii="宋体" w:hAnsi="宋体" w:cs="宋体"/>
                <w:sz w:val="24"/>
              </w:rPr>
            </w:pPr>
            <w:r>
              <w:rPr>
                <w:rFonts w:hint="eastAsia" w:ascii="宋体" w:hAnsi="宋体" w:cs="宋体"/>
                <w:sz w:val="24"/>
              </w:rPr>
              <w:t>6.若</w:t>
            </w:r>
            <w:r>
              <w:rPr>
                <w:rFonts w:hint="eastAsia" w:ascii="宋体" w:hAnsi="宋体" w:cs="宋体"/>
                <w:sz w:val="24"/>
                <w:lang w:val="en-US" w:eastAsia="zh-CN"/>
              </w:rPr>
              <w:t>投标</w:t>
            </w:r>
            <w:r>
              <w:rPr>
                <w:rFonts w:hint="eastAsia" w:ascii="宋体" w:hAnsi="宋体" w:cs="宋体"/>
                <w:sz w:val="24"/>
              </w:rPr>
              <w:t>产品为进口产品，投标时必须提供生产厂家或厂家驻国内办事处或中国总代理商出具的授权书和售后服务承诺书原件扫描件（格式自拟）；在供货时须提供原件。</w:t>
            </w:r>
          </w:p>
          <w:p w14:paraId="29A85FA6">
            <w:pPr>
              <w:widowControl/>
              <w:spacing w:line="440" w:lineRule="exact"/>
              <w:rPr>
                <w:rFonts w:ascii="宋体" w:hAnsi="宋体" w:cs="宋体"/>
                <w:sz w:val="24"/>
              </w:rPr>
            </w:pPr>
            <w:r>
              <w:rPr>
                <w:rFonts w:hint="eastAsia" w:ascii="宋体" w:hAnsi="宋体" w:cs="宋体"/>
                <w:sz w:val="24"/>
              </w:rPr>
              <w:t>7.投标人的投标报价不能超过项目的预算，且各分项的报价也不能超过该分项的预算，否则投标无效。</w:t>
            </w:r>
          </w:p>
        </w:tc>
      </w:tr>
      <w:tr w14:paraId="5549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3219" w:type="dxa"/>
            <w:gridSpan w:val="5"/>
            <w:vAlign w:val="center"/>
          </w:tcPr>
          <w:p w14:paraId="3687B780">
            <w:pPr>
              <w:widowControl/>
              <w:spacing w:line="440" w:lineRule="exact"/>
              <w:jc w:val="center"/>
              <w:rPr>
                <w:rFonts w:ascii="宋体" w:hAnsi="宋体" w:cs="宋体"/>
                <w:sz w:val="24"/>
              </w:rPr>
            </w:pPr>
            <w:r>
              <w:rPr>
                <w:rFonts w:hint="eastAsia" w:ascii="宋体" w:hAnsi="宋体" w:cs="宋体"/>
                <w:b/>
                <w:bCs/>
                <w:sz w:val="24"/>
              </w:rPr>
              <w:t>核心产品</w:t>
            </w:r>
          </w:p>
        </w:tc>
        <w:tc>
          <w:tcPr>
            <w:tcW w:w="7385" w:type="dxa"/>
            <w:gridSpan w:val="3"/>
          </w:tcPr>
          <w:p w14:paraId="7A5A41A7">
            <w:pPr>
              <w:widowControl/>
              <w:spacing w:line="440" w:lineRule="exact"/>
              <w:rPr>
                <w:rFonts w:ascii="宋体" w:hAnsi="宋体" w:cs="宋体"/>
                <w:sz w:val="24"/>
              </w:rPr>
            </w:pPr>
            <w:r>
              <w:rPr>
                <w:rFonts w:hint="eastAsia" w:ascii="宋体" w:hAnsi="宋体" w:cs="宋体"/>
                <w:sz w:val="24"/>
              </w:rPr>
              <w:t>本项目核心产品为第10项产品“超高速离心机”。</w:t>
            </w:r>
          </w:p>
          <w:p w14:paraId="69E38455">
            <w:pPr>
              <w:widowControl/>
              <w:numPr>
                <w:ilvl w:val="255"/>
                <w:numId w:val="0"/>
              </w:numPr>
              <w:spacing w:line="440" w:lineRule="exact"/>
            </w:pPr>
            <w:r>
              <w:rPr>
                <w:rFonts w:hint="eastAsia" w:ascii="宋体" w:hAnsi="宋体" w:cs="宋体"/>
                <w:sz w:val="24"/>
              </w:rPr>
              <w:t>提供相同品牌核心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作为中标候选人。</w:t>
            </w:r>
          </w:p>
        </w:tc>
      </w:tr>
    </w:tbl>
    <w:p w14:paraId="3214F0DB">
      <w:pPr>
        <w:widowControl/>
        <w:jc w:val="center"/>
        <w:rPr>
          <w:rFonts w:ascii="宋体" w:hAnsi="宋体" w:cs="宋体"/>
          <w:kern w:val="0"/>
          <w:sz w:val="24"/>
        </w:rPr>
      </w:pPr>
      <w:r>
        <w:rPr>
          <w:rFonts w:hint="eastAsia" w:ascii="宋体" w:hAnsi="宋体" w:cs="宋体"/>
          <w:kern w:val="0"/>
          <w:sz w:val="24"/>
        </w:rPr>
        <w:br w:type="page"/>
      </w:r>
    </w:p>
    <w:bookmarkEnd w:id="39"/>
    <w:bookmarkEnd w:id="40"/>
    <w:p w14:paraId="3193A668">
      <w:pPr>
        <w:spacing w:line="428" w:lineRule="exact"/>
        <w:ind w:left="119"/>
        <w:rPr>
          <w:rFonts w:ascii="Arial Unicode MS" w:hAnsi="Arial Unicode MS" w:eastAsia="Arial Unicode MS" w:cs="Arial Unicode MS"/>
          <w:sz w:val="32"/>
          <w:szCs w:val="32"/>
        </w:rPr>
      </w:pPr>
      <w:bookmarkStart w:id="48" w:name="_Toc74320802"/>
      <w:r>
        <w:rPr>
          <w:rFonts w:hAnsi="宋体"/>
        </w:rPr>
        <w:t xml:space="preserve"> </w:t>
      </w:r>
      <w:r>
        <w:rPr>
          <w:rFonts w:hint="eastAsia" w:ascii="黑体" w:hAnsi="黑体" w:eastAsia="黑体" w:cs="黑体"/>
          <w:sz w:val="32"/>
          <w:szCs w:val="32"/>
        </w:rPr>
        <w:t>附件1：</w:t>
      </w:r>
    </w:p>
    <w:p w14:paraId="07E3A221">
      <w:pPr>
        <w:spacing w:before="7"/>
        <w:rPr>
          <w:rFonts w:ascii="Arial Unicode MS" w:hAnsi="Arial Unicode MS" w:eastAsia="Arial Unicode MS" w:cs="Arial Unicode MS"/>
          <w:sz w:val="17"/>
          <w:szCs w:val="17"/>
        </w:rPr>
      </w:pPr>
    </w:p>
    <w:p w14:paraId="38219C14">
      <w:pPr>
        <w:spacing w:line="528" w:lineRule="exact"/>
        <w:ind w:left="1871"/>
        <w:rPr>
          <w:rFonts w:ascii="Arial Unicode MS" w:hAnsi="Arial Unicode MS" w:eastAsia="Arial Unicode MS" w:cs="Arial Unicode MS"/>
          <w:sz w:val="40"/>
          <w:szCs w:val="40"/>
        </w:rPr>
      </w:pPr>
      <w:r>
        <w:rPr>
          <w:rFonts w:hint="eastAsia" w:ascii="方正小标宋简体" w:hAnsi="方正小标宋简体" w:eastAsia="方正小标宋简体" w:cs="方正小标宋简体"/>
          <w:sz w:val="44"/>
          <w:szCs w:val="44"/>
        </w:rPr>
        <w:t>节能产品政府采购品目清单</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543"/>
        <w:gridCol w:w="1546"/>
        <w:gridCol w:w="1536"/>
        <w:gridCol w:w="4309"/>
      </w:tblGrid>
      <w:tr w14:paraId="66F6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37752F56">
            <w:pPr>
              <w:jc w:val="center"/>
              <w:rPr>
                <w:rFonts w:ascii="宋体" w:hAnsi="宋体"/>
                <w:sz w:val="24"/>
              </w:rPr>
            </w:pPr>
            <w:r>
              <w:rPr>
                <w:rFonts w:hint="eastAsia" w:ascii="宋体" w:hAnsi="宋体" w:cs="宋体"/>
                <w:b/>
                <w:bCs/>
                <w:w w:val="99"/>
                <w:sz w:val="24"/>
              </w:rPr>
              <w:t>品目序号</w:t>
            </w:r>
          </w:p>
        </w:tc>
        <w:tc>
          <w:tcPr>
            <w:tcW w:w="4625" w:type="dxa"/>
            <w:gridSpan w:val="3"/>
            <w:tcBorders>
              <w:top w:val="single" w:color="000000" w:sz="4" w:space="0"/>
              <w:left w:val="single" w:color="000000" w:sz="4" w:space="0"/>
              <w:bottom w:val="single" w:color="000000" w:sz="4" w:space="0"/>
              <w:right w:val="single" w:color="000000" w:sz="4" w:space="0"/>
            </w:tcBorders>
            <w:vAlign w:val="center"/>
          </w:tcPr>
          <w:p w14:paraId="1AC91EF5">
            <w:pPr>
              <w:jc w:val="center"/>
              <w:rPr>
                <w:rFonts w:ascii="宋体" w:hAnsi="宋体"/>
                <w:sz w:val="24"/>
              </w:rPr>
            </w:pPr>
            <w:r>
              <w:rPr>
                <w:rFonts w:hint="eastAsia" w:ascii="宋体" w:hAnsi="宋体" w:cs="宋体"/>
                <w:b/>
                <w:bCs/>
                <w:w w:val="99"/>
                <w:sz w:val="24"/>
              </w:rPr>
              <w:t>名称</w:t>
            </w:r>
          </w:p>
        </w:tc>
        <w:tc>
          <w:tcPr>
            <w:tcW w:w="4309" w:type="dxa"/>
            <w:tcBorders>
              <w:top w:val="single" w:color="000000" w:sz="4" w:space="0"/>
              <w:left w:val="single" w:color="000000" w:sz="4" w:space="0"/>
              <w:bottom w:val="single" w:color="000000" w:sz="4" w:space="0"/>
              <w:right w:val="single" w:color="000000" w:sz="4" w:space="0"/>
            </w:tcBorders>
            <w:vAlign w:val="center"/>
          </w:tcPr>
          <w:p w14:paraId="68DE0DE7">
            <w:pPr>
              <w:jc w:val="center"/>
              <w:rPr>
                <w:rFonts w:ascii="宋体" w:hAnsi="宋体"/>
                <w:sz w:val="24"/>
              </w:rPr>
            </w:pPr>
            <w:r>
              <w:rPr>
                <w:rFonts w:hint="eastAsia" w:ascii="宋体" w:hAnsi="宋体" w:cs="宋体"/>
                <w:b/>
                <w:bCs/>
                <w:w w:val="99"/>
                <w:sz w:val="24"/>
              </w:rPr>
              <w:t>依据的标准</w:t>
            </w:r>
          </w:p>
        </w:tc>
      </w:tr>
      <w:tr w14:paraId="170D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28880F3D">
            <w:pPr>
              <w:jc w:val="center"/>
              <w:rPr>
                <w:rFonts w:ascii="宋体" w:hAnsi="宋体"/>
                <w:sz w:val="24"/>
              </w:rPr>
            </w:pPr>
            <w:r>
              <w:rPr>
                <w:rFonts w:hint="eastAsia" w:ascii="宋体" w:hAnsi="宋体"/>
                <w:sz w:val="24"/>
              </w:rPr>
              <w:t>1</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1478485F">
            <w:pPr>
              <w:jc w:val="center"/>
              <w:rPr>
                <w:rFonts w:ascii="宋体" w:hAnsi="宋体"/>
                <w:sz w:val="24"/>
              </w:rPr>
            </w:pPr>
            <w:r>
              <w:rPr>
                <w:rFonts w:hint="eastAsia" w:ascii="宋体" w:hAnsi="宋体" w:cs="仿宋_GB2312"/>
                <w:sz w:val="24"/>
              </w:rPr>
              <w:t>A02010100</w:t>
            </w:r>
            <w:r>
              <w:rPr>
                <w:rFonts w:hint="eastAsia" w:ascii="宋体" w:hAnsi="宋体" w:cs="宋体"/>
                <w:w w:val="99"/>
                <w:sz w:val="24"/>
              </w:rPr>
              <w:t>计算机</w:t>
            </w:r>
          </w:p>
        </w:tc>
        <w:tc>
          <w:tcPr>
            <w:tcW w:w="1546" w:type="dxa"/>
            <w:tcBorders>
              <w:top w:val="single" w:color="000000" w:sz="4" w:space="0"/>
              <w:left w:val="single" w:color="000000" w:sz="4" w:space="0"/>
              <w:bottom w:val="single" w:color="000000" w:sz="4" w:space="0"/>
              <w:right w:val="single" w:color="000000" w:sz="4" w:space="0"/>
            </w:tcBorders>
            <w:vAlign w:val="center"/>
          </w:tcPr>
          <w:p w14:paraId="698A037A">
            <w:pPr>
              <w:pStyle w:val="65"/>
              <w:spacing w:before="93"/>
              <w:ind w:left="7" w:right="5"/>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仿宋_GB2312"/>
                <w:kern w:val="2"/>
                <w:sz w:val="24"/>
                <w:szCs w:val="24"/>
              </w:rPr>
              <w:t>A02010105</w:t>
            </w:r>
            <w:r>
              <w:rPr>
                <w:rFonts w:hint="eastAsia" w:ascii="宋体" w:hAnsi="宋体" w:cs="宋体"/>
                <w:w w:val="99"/>
                <w:kern w:val="2"/>
                <w:sz w:val="24"/>
                <w:szCs w:val="24"/>
              </w:rPr>
              <w:t>台式计算机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1BA80C96">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69567539">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《微型计算机能效限定值及能效等级》（GB28380）</w:t>
            </w:r>
          </w:p>
        </w:tc>
      </w:tr>
      <w:tr w14:paraId="17F2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C9E08CE">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3BDAE5C">
            <w:pPr>
              <w:widowControl/>
              <w:jc w:val="left"/>
              <w:rPr>
                <w:rFonts w:ascii="宋体" w:hAnsi="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6C22F7D4">
            <w:pPr>
              <w:pStyle w:val="65"/>
              <w:spacing w:before="44"/>
              <w:ind w:left="7" w:right="5"/>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仿宋_GB2312"/>
                <w:kern w:val="2"/>
                <w:sz w:val="24"/>
                <w:szCs w:val="24"/>
              </w:rPr>
              <w:t>A02010108</w:t>
            </w:r>
            <w:r>
              <w:rPr>
                <w:rFonts w:hint="eastAsia" w:ascii="宋体" w:hAnsi="宋体" w:cs="宋体"/>
                <w:w w:val="99"/>
                <w:kern w:val="2"/>
                <w:sz w:val="24"/>
                <w:szCs w:val="24"/>
              </w:rPr>
              <w:t>便携式计算机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4FB869C8">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70917DC2">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《微型计算机能效限定值及能效等级》（GB28380）</w:t>
            </w:r>
          </w:p>
        </w:tc>
      </w:tr>
      <w:tr w14:paraId="47E5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9D15A43">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80E1117">
            <w:pPr>
              <w:widowControl/>
              <w:jc w:val="left"/>
              <w:rPr>
                <w:rFonts w:ascii="宋体" w:hAnsi="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46DD4378">
            <w:pPr>
              <w:pStyle w:val="65"/>
              <w:spacing w:before="64"/>
              <w:ind w:left="7" w:right="5"/>
              <w:jc w:val="center"/>
              <w:rPr>
                <w:rFonts w:ascii="宋体" w:hAnsi="宋体" w:cs="宋体"/>
                <w:kern w:val="2"/>
                <w:sz w:val="24"/>
                <w:szCs w:val="24"/>
                <w:lang w:eastAsia="zh-CN"/>
              </w:rPr>
            </w:pPr>
            <w:r>
              <w:rPr>
                <w:rFonts w:hint="eastAsia" w:ascii="宋体" w:hAnsi="宋体" w:cs="宋体"/>
                <w:w w:val="99"/>
                <w:kern w:val="2"/>
                <w:sz w:val="24"/>
                <w:szCs w:val="24"/>
                <w:lang w:eastAsia="zh-CN"/>
              </w:rPr>
              <w:t>★</w:t>
            </w:r>
            <w:r>
              <w:rPr>
                <w:rFonts w:hint="eastAsia" w:ascii="宋体" w:hAnsi="宋体" w:cs="仿宋_GB2312"/>
                <w:kern w:val="2"/>
                <w:sz w:val="24"/>
                <w:szCs w:val="24"/>
                <w:lang w:eastAsia="zh-CN"/>
              </w:rPr>
              <w:t>A02010109平板式计算机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7F78AD52">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217AC27D">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《微型计算机能效限定值及能效等级》（GB28380）</w:t>
            </w:r>
          </w:p>
        </w:tc>
      </w:tr>
      <w:tr w14:paraId="5905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4190A764">
            <w:pPr>
              <w:jc w:val="center"/>
              <w:rPr>
                <w:rFonts w:ascii="宋体" w:hAnsi="宋体"/>
                <w:sz w:val="24"/>
              </w:rPr>
            </w:pPr>
            <w:r>
              <w:rPr>
                <w:rFonts w:hint="eastAsia" w:ascii="宋体" w:hAnsi="宋体"/>
                <w:sz w:val="24"/>
              </w:rPr>
              <w:t>2</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782376C6">
            <w:pPr>
              <w:pStyle w:val="65"/>
              <w:ind w:left="7"/>
              <w:jc w:val="center"/>
              <w:rPr>
                <w:rFonts w:ascii="宋体" w:hAnsi="宋体" w:cs="宋体"/>
                <w:kern w:val="2"/>
                <w:sz w:val="24"/>
                <w:szCs w:val="24"/>
              </w:rPr>
            </w:pPr>
            <w:r>
              <w:rPr>
                <w:rFonts w:hint="eastAsia" w:ascii="宋体" w:hAnsi="宋体" w:cs="仿宋_GB2312"/>
                <w:kern w:val="2"/>
                <w:sz w:val="24"/>
                <w:szCs w:val="24"/>
              </w:rPr>
              <w:t>A02020000</w:t>
            </w:r>
            <w:r>
              <w:rPr>
                <w:rFonts w:hint="eastAsia" w:ascii="宋体" w:hAnsi="宋体" w:cs="宋体"/>
                <w:w w:val="99"/>
                <w:kern w:val="2"/>
                <w:sz w:val="24"/>
                <w:szCs w:val="24"/>
              </w:rPr>
              <w:t>办公设备</w:t>
            </w: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12676CAA">
            <w:pPr>
              <w:jc w:val="center"/>
              <w:rPr>
                <w:rFonts w:ascii="宋体" w:hAnsi="宋体"/>
                <w:sz w:val="24"/>
              </w:rPr>
            </w:pPr>
            <w:r>
              <w:rPr>
                <w:rFonts w:hint="eastAsia" w:ascii="宋体" w:hAnsi="宋体" w:cs="宋体"/>
                <w:spacing w:val="1"/>
                <w:w w:val="99"/>
                <w:sz w:val="24"/>
              </w:rPr>
              <w:t>A02021000</w:t>
            </w:r>
            <w:r>
              <w:rPr>
                <w:rFonts w:hint="eastAsia" w:ascii="宋体" w:hAnsi="宋体" w:cs="Arial"/>
                <w:sz w:val="24"/>
                <w:shd w:val="clear" w:color="auto" w:fill="FFFFFF"/>
              </w:rPr>
              <w:t>打印机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24547F1A">
            <w:pPr>
              <w:jc w:val="center"/>
              <w:rPr>
                <w:rFonts w:ascii="宋体" w:hAnsi="宋体"/>
                <w:sz w:val="24"/>
              </w:rPr>
            </w:pPr>
            <w:r>
              <w:rPr>
                <w:rFonts w:hint="eastAsia" w:ascii="宋体" w:hAnsi="宋体"/>
                <w:sz w:val="24"/>
              </w:rPr>
              <w:t>A02021001 A3黑白打印机</w:t>
            </w:r>
          </w:p>
        </w:tc>
        <w:tc>
          <w:tcPr>
            <w:tcW w:w="4309" w:type="dxa"/>
            <w:tcBorders>
              <w:top w:val="single" w:color="000000" w:sz="4" w:space="0"/>
              <w:left w:val="single" w:color="000000" w:sz="4" w:space="0"/>
              <w:bottom w:val="single" w:color="000000" w:sz="4" w:space="0"/>
              <w:right w:val="single" w:color="000000" w:sz="4" w:space="0"/>
            </w:tcBorders>
          </w:tcPr>
          <w:p w14:paraId="7D8EA31F">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00AD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E478094">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7FAD560">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D8ECCE7">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74AC82D0">
            <w:pPr>
              <w:jc w:val="center"/>
              <w:rPr>
                <w:rFonts w:ascii="宋体" w:hAnsi="宋体"/>
                <w:sz w:val="24"/>
              </w:rPr>
            </w:pPr>
            <w:r>
              <w:rPr>
                <w:rFonts w:hint="eastAsia" w:ascii="宋体" w:hAnsi="宋体"/>
                <w:sz w:val="24"/>
              </w:rPr>
              <w:t>A02021002 A3彩色打印机</w:t>
            </w:r>
          </w:p>
        </w:tc>
        <w:tc>
          <w:tcPr>
            <w:tcW w:w="4309" w:type="dxa"/>
            <w:tcBorders>
              <w:top w:val="single" w:color="000000" w:sz="4" w:space="0"/>
              <w:left w:val="single" w:color="000000" w:sz="4" w:space="0"/>
              <w:bottom w:val="single" w:color="000000" w:sz="4" w:space="0"/>
              <w:right w:val="single" w:color="000000" w:sz="4" w:space="0"/>
            </w:tcBorders>
          </w:tcPr>
          <w:p w14:paraId="44764F3D">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23C8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1D3FCD0">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1658F13">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6C5C7DD">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3707F65C">
            <w:pPr>
              <w:jc w:val="center"/>
              <w:rPr>
                <w:rFonts w:ascii="宋体" w:hAnsi="宋体"/>
                <w:sz w:val="24"/>
              </w:rPr>
            </w:pPr>
            <w:r>
              <w:rPr>
                <w:rFonts w:hint="eastAsia" w:ascii="宋体" w:hAnsi="宋体"/>
                <w:sz w:val="24"/>
              </w:rPr>
              <w:t>A02021003 A4黑白打印机</w:t>
            </w:r>
          </w:p>
        </w:tc>
        <w:tc>
          <w:tcPr>
            <w:tcW w:w="4309" w:type="dxa"/>
            <w:tcBorders>
              <w:top w:val="single" w:color="000000" w:sz="4" w:space="0"/>
              <w:left w:val="single" w:color="000000" w:sz="4" w:space="0"/>
              <w:bottom w:val="single" w:color="000000" w:sz="4" w:space="0"/>
              <w:right w:val="single" w:color="000000" w:sz="4" w:space="0"/>
            </w:tcBorders>
          </w:tcPr>
          <w:p w14:paraId="46286B0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0AD1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398C6D3">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5FF12D6">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B22AD3A">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08F37742">
            <w:pPr>
              <w:jc w:val="center"/>
              <w:rPr>
                <w:rFonts w:ascii="宋体" w:hAnsi="宋体"/>
                <w:sz w:val="24"/>
              </w:rPr>
            </w:pPr>
            <w:r>
              <w:rPr>
                <w:rFonts w:hint="eastAsia" w:ascii="宋体" w:hAnsi="宋体"/>
                <w:sz w:val="24"/>
              </w:rPr>
              <w:t>A02021004 A4彩色打印机</w:t>
            </w:r>
          </w:p>
        </w:tc>
        <w:tc>
          <w:tcPr>
            <w:tcW w:w="4309" w:type="dxa"/>
            <w:tcBorders>
              <w:top w:val="single" w:color="000000" w:sz="4" w:space="0"/>
              <w:left w:val="single" w:color="000000" w:sz="4" w:space="0"/>
              <w:bottom w:val="single" w:color="000000" w:sz="4" w:space="0"/>
              <w:right w:val="single" w:color="000000" w:sz="4" w:space="0"/>
            </w:tcBorders>
          </w:tcPr>
          <w:p w14:paraId="37EB0CFA">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0AD3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4F6278C">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39551AF">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F604689">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1ADAF18E">
            <w:pPr>
              <w:jc w:val="center"/>
              <w:rPr>
                <w:rFonts w:ascii="宋体" w:hAnsi="宋体"/>
                <w:sz w:val="24"/>
              </w:rPr>
            </w:pPr>
            <w:r>
              <w:rPr>
                <w:rFonts w:hint="eastAsia" w:ascii="宋体" w:hAnsi="宋体"/>
                <w:sz w:val="24"/>
              </w:rPr>
              <w:t>A02021005 3D打印机</w:t>
            </w:r>
          </w:p>
        </w:tc>
        <w:tc>
          <w:tcPr>
            <w:tcW w:w="4309" w:type="dxa"/>
            <w:tcBorders>
              <w:top w:val="single" w:color="000000" w:sz="4" w:space="0"/>
              <w:left w:val="single" w:color="000000" w:sz="4" w:space="0"/>
              <w:bottom w:val="single" w:color="000000" w:sz="4" w:space="0"/>
              <w:right w:val="single" w:color="000000" w:sz="4" w:space="0"/>
            </w:tcBorders>
          </w:tcPr>
          <w:p w14:paraId="752B3D7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2CE9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798F44C">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6461EC9">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4BFEF73">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09197C40">
            <w:pPr>
              <w:jc w:val="center"/>
              <w:rPr>
                <w:rFonts w:ascii="宋体" w:hAnsi="宋体"/>
                <w:sz w:val="24"/>
              </w:rPr>
            </w:pPr>
            <w:r>
              <w:rPr>
                <w:rFonts w:hint="eastAsia" w:ascii="宋体" w:hAnsi="宋体"/>
                <w:sz w:val="24"/>
              </w:rPr>
              <w:t>A02021006票据打印机</w:t>
            </w:r>
          </w:p>
        </w:tc>
        <w:tc>
          <w:tcPr>
            <w:tcW w:w="4309" w:type="dxa"/>
            <w:tcBorders>
              <w:top w:val="single" w:color="000000" w:sz="4" w:space="0"/>
              <w:left w:val="single" w:color="000000" w:sz="4" w:space="0"/>
              <w:bottom w:val="single" w:color="000000" w:sz="4" w:space="0"/>
              <w:right w:val="single" w:color="000000" w:sz="4" w:space="0"/>
            </w:tcBorders>
          </w:tcPr>
          <w:p w14:paraId="4A3759DB">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0B170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28306B6">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A8C215B">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AEBAF3A">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6C829342">
            <w:pPr>
              <w:jc w:val="center"/>
              <w:rPr>
                <w:rFonts w:ascii="宋体" w:hAnsi="宋体"/>
                <w:sz w:val="24"/>
              </w:rPr>
            </w:pPr>
            <w:r>
              <w:rPr>
                <w:rFonts w:hint="eastAsia" w:ascii="宋体" w:hAnsi="宋体"/>
                <w:sz w:val="24"/>
              </w:rPr>
              <w:t>A02021007条码打印机</w:t>
            </w:r>
          </w:p>
        </w:tc>
        <w:tc>
          <w:tcPr>
            <w:tcW w:w="4309" w:type="dxa"/>
            <w:tcBorders>
              <w:top w:val="single" w:color="000000" w:sz="4" w:space="0"/>
              <w:left w:val="single" w:color="000000" w:sz="4" w:space="0"/>
              <w:bottom w:val="single" w:color="000000" w:sz="4" w:space="0"/>
              <w:right w:val="single" w:color="000000" w:sz="4" w:space="0"/>
            </w:tcBorders>
          </w:tcPr>
          <w:p w14:paraId="44CE09DE">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4334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38FC185">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25A5BA">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54A95F6">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373D211D">
            <w:pPr>
              <w:jc w:val="center"/>
              <w:rPr>
                <w:rFonts w:ascii="宋体" w:hAnsi="宋体"/>
                <w:sz w:val="24"/>
              </w:rPr>
            </w:pPr>
            <w:r>
              <w:rPr>
                <w:rFonts w:hint="eastAsia" w:ascii="宋体" w:hAnsi="宋体"/>
                <w:sz w:val="24"/>
              </w:rPr>
              <w:t>A02021008地址打印机</w:t>
            </w:r>
          </w:p>
        </w:tc>
        <w:tc>
          <w:tcPr>
            <w:tcW w:w="4309" w:type="dxa"/>
            <w:tcBorders>
              <w:top w:val="single" w:color="000000" w:sz="4" w:space="0"/>
              <w:left w:val="single" w:color="000000" w:sz="4" w:space="0"/>
              <w:bottom w:val="single" w:color="000000" w:sz="4" w:space="0"/>
              <w:right w:val="single" w:color="000000" w:sz="4" w:space="0"/>
            </w:tcBorders>
          </w:tcPr>
          <w:p w14:paraId="402347FA">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3064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B5D51B2">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6E08293">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335A07E">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6828B947">
            <w:pPr>
              <w:jc w:val="center"/>
              <w:rPr>
                <w:rFonts w:ascii="宋体" w:hAnsi="宋体"/>
                <w:sz w:val="24"/>
              </w:rPr>
            </w:pPr>
            <w:r>
              <w:rPr>
                <w:rFonts w:hint="eastAsia" w:ascii="宋体" w:hAnsi="宋体"/>
                <w:sz w:val="24"/>
              </w:rPr>
              <w:t>A02021099其他打印机</w:t>
            </w:r>
          </w:p>
        </w:tc>
        <w:tc>
          <w:tcPr>
            <w:tcW w:w="4309" w:type="dxa"/>
            <w:tcBorders>
              <w:top w:val="single" w:color="000000" w:sz="4" w:space="0"/>
              <w:left w:val="single" w:color="000000" w:sz="4" w:space="0"/>
              <w:bottom w:val="single" w:color="000000" w:sz="4" w:space="0"/>
              <w:right w:val="single" w:color="000000" w:sz="4" w:space="0"/>
            </w:tcBorders>
          </w:tcPr>
          <w:p w14:paraId="32DF6DEE">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6242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D348777">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C89BB98">
            <w:pPr>
              <w:widowControl/>
              <w:jc w:val="left"/>
              <w:rPr>
                <w:rFonts w:ascii="宋体" w:hAnsi="宋体" w:cs="宋体"/>
                <w:sz w:val="24"/>
              </w:rPr>
            </w:pP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6145BA67">
            <w:pPr>
              <w:jc w:val="center"/>
              <w:rPr>
                <w:rFonts w:ascii="宋体" w:hAnsi="宋体"/>
                <w:sz w:val="24"/>
              </w:rPr>
            </w:pPr>
            <w:r>
              <w:rPr>
                <w:rFonts w:hint="eastAsia" w:ascii="宋体" w:hAnsi="宋体"/>
                <w:sz w:val="24"/>
              </w:rPr>
              <w:t>A02021100输入输出设备</w:t>
            </w:r>
          </w:p>
        </w:tc>
        <w:tc>
          <w:tcPr>
            <w:tcW w:w="1536" w:type="dxa"/>
            <w:tcBorders>
              <w:top w:val="single" w:color="000000" w:sz="4" w:space="0"/>
              <w:left w:val="single" w:color="000000" w:sz="4" w:space="0"/>
              <w:bottom w:val="single" w:color="000000" w:sz="4" w:space="0"/>
              <w:right w:val="single" w:color="000000" w:sz="4" w:space="0"/>
            </w:tcBorders>
            <w:vAlign w:val="center"/>
          </w:tcPr>
          <w:p w14:paraId="7EAA1299">
            <w:pPr>
              <w:jc w:val="center"/>
              <w:rPr>
                <w:rFonts w:ascii="宋体" w:hAnsi="宋体"/>
                <w:sz w:val="24"/>
              </w:rPr>
            </w:pPr>
            <w:r>
              <w:rPr>
                <w:rFonts w:hint="eastAsia" w:ascii="宋体" w:hAnsi="宋体" w:cs="宋体"/>
                <w:w w:val="99"/>
                <w:sz w:val="24"/>
              </w:rPr>
              <w:t>★</w:t>
            </w:r>
            <w:r>
              <w:rPr>
                <w:rFonts w:hint="eastAsia" w:ascii="宋体" w:hAnsi="宋体"/>
                <w:sz w:val="24"/>
              </w:rPr>
              <w:t>A02021104液晶显示器</w:t>
            </w:r>
          </w:p>
        </w:tc>
        <w:tc>
          <w:tcPr>
            <w:tcW w:w="4309" w:type="dxa"/>
            <w:tcBorders>
              <w:top w:val="single" w:color="000000" w:sz="4" w:space="0"/>
              <w:left w:val="single" w:color="000000" w:sz="4" w:space="0"/>
              <w:bottom w:val="single" w:color="000000" w:sz="4" w:space="0"/>
              <w:right w:val="single" w:color="000000" w:sz="4" w:space="0"/>
            </w:tcBorders>
            <w:vAlign w:val="center"/>
          </w:tcPr>
          <w:p w14:paraId="3789C856">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《计算机显示器能效限定值及能效等级》（GB21520）</w:t>
            </w:r>
          </w:p>
        </w:tc>
      </w:tr>
      <w:tr w14:paraId="5451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1E515FC">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0423DAC">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A5F9B7F">
            <w:pPr>
              <w:widowControl/>
              <w:jc w:val="left"/>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7C86B758">
            <w:pPr>
              <w:jc w:val="center"/>
              <w:rPr>
                <w:rFonts w:ascii="宋体" w:hAnsi="宋体"/>
                <w:sz w:val="24"/>
              </w:rPr>
            </w:pPr>
            <w:r>
              <w:rPr>
                <w:rFonts w:hint="eastAsia" w:ascii="宋体" w:hAnsi="宋体"/>
                <w:sz w:val="24"/>
              </w:rPr>
              <w:t>A02021118扫描仪</w:t>
            </w:r>
          </w:p>
        </w:tc>
        <w:tc>
          <w:tcPr>
            <w:tcW w:w="4309" w:type="dxa"/>
            <w:tcBorders>
              <w:top w:val="single" w:color="000000" w:sz="4" w:space="0"/>
              <w:left w:val="single" w:color="000000" w:sz="4" w:space="0"/>
              <w:bottom w:val="single" w:color="000000" w:sz="4" w:space="0"/>
              <w:right w:val="single" w:color="000000" w:sz="4" w:space="0"/>
            </w:tcBorders>
            <w:vAlign w:val="center"/>
          </w:tcPr>
          <w:p w14:paraId="55715A54">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参照《复印机、打印机和传真机能效限定值及能效等级》（GB21521）中打印速度为15页/分的针式打印机相关要求</w:t>
            </w:r>
          </w:p>
        </w:tc>
      </w:tr>
      <w:tr w14:paraId="46F9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0B03FE80">
            <w:pPr>
              <w:jc w:val="center"/>
              <w:rPr>
                <w:rFonts w:ascii="宋体" w:hAnsi="宋体"/>
                <w:sz w:val="24"/>
              </w:rPr>
            </w:pPr>
            <w:r>
              <w:rPr>
                <w:rFonts w:hint="eastAsia" w:ascii="宋体" w:hAnsi="宋体"/>
                <w:w w:val="99"/>
                <w:sz w:val="24"/>
              </w:rPr>
              <w:t>3</w:t>
            </w:r>
          </w:p>
        </w:tc>
        <w:tc>
          <w:tcPr>
            <w:tcW w:w="1543" w:type="dxa"/>
            <w:tcBorders>
              <w:top w:val="single" w:color="000000" w:sz="4" w:space="0"/>
              <w:left w:val="single" w:color="000000" w:sz="4" w:space="0"/>
              <w:bottom w:val="single" w:color="000000" w:sz="4" w:space="0"/>
              <w:right w:val="single" w:color="000000" w:sz="4" w:space="0"/>
            </w:tcBorders>
            <w:vAlign w:val="center"/>
          </w:tcPr>
          <w:p w14:paraId="49D8C113">
            <w:pPr>
              <w:jc w:val="center"/>
              <w:rPr>
                <w:rFonts w:ascii="宋体" w:hAnsi="宋体"/>
                <w:sz w:val="24"/>
              </w:rPr>
            </w:pPr>
            <w:r>
              <w:rPr>
                <w:rFonts w:hint="eastAsia" w:ascii="宋体" w:hAnsi="宋体"/>
                <w:sz w:val="24"/>
              </w:rPr>
              <w:t>A02020200投影仪</w:t>
            </w:r>
          </w:p>
        </w:tc>
        <w:tc>
          <w:tcPr>
            <w:tcW w:w="1546" w:type="dxa"/>
            <w:tcBorders>
              <w:top w:val="single" w:color="000000" w:sz="4" w:space="0"/>
              <w:left w:val="single" w:color="000000" w:sz="4" w:space="0"/>
              <w:bottom w:val="single" w:color="000000" w:sz="4" w:space="0"/>
              <w:right w:val="single" w:color="000000" w:sz="4" w:space="0"/>
            </w:tcBorders>
            <w:vAlign w:val="center"/>
          </w:tcPr>
          <w:p w14:paraId="209F255B">
            <w:pPr>
              <w:jc w:val="center"/>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64FCDCBB">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vAlign w:val="center"/>
          </w:tcPr>
          <w:p w14:paraId="3D5BF15C">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《投影机能效限定值及能效等级》（GB32028）</w:t>
            </w:r>
          </w:p>
        </w:tc>
      </w:tr>
      <w:tr w14:paraId="2E57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21CB287">
            <w:pPr>
              <w:jc w:val="center"/>
              <w:rPr>
                <w:rFonts w:ascii="宋体" w:hAnsi="宋体"/>
                <w:sz w:val="24"/>
              </w:rPr>
            </w:pPr>
            <w:r>
              <w:rPr>
                <w:rFonts w:hint="eastAsia" w:ascii="宋体" w:hAnsi="宋体"/>
                <w:sz w:val="24"/>
              </w:rPr>
              <w:t>4</w:t>
            </w:r>
          </w:p>
        </w:tc>
        <w:tc>
          <w:tcPr>
            <w:tcW w:w="1543" w:type="dxa"/>
            <w:tcBorders>
              <w:top w:val="single" w:color="000000" w:sz="4" w:space="0"/>
              <w:left w:val="single" w:color="000000" w:sz="4" w:space="0"/>
              <w:bottom w:val="single" w:color="000000" w:sz="4" w:space="0"/>
              <w:right w:val="single" w:color="000000" w:sz="4" w:space="0"/>
            </w:tcBorders>
            <w:vAlign w:val="center"/>
          </w:tcPr>
          <w:p w14:paraId="3A3B7573">
            <w:pPr>
              <w:pStyle w:val="65"/>
              <w:spacing w:before="66"/>
              <w:ind w:left="7"/>
              <w:jc w:val="center"/>
              <w:rPr>
                <w:rFonts w:ascii="宋体" w:hAnsi="宋体" w:cs="宋体"/>
                <w:kern w:val="2"/>
                <w:sz w:val="24"/>
                <w:szCs w:val="24"/>
              </w:rPr>
            </w:pPr>
            <w:r>
              <w:rPr>
                <w:rFonts w:hint="eastAsia" w:ascii="宋体" w:hAnsi="宋体" w:cs="仿宋_GB2312"/>
                <w:kern w:val="2"/>
                <w:sz w:val="24"/>
                <w:szCs w:val="24"/>
              </w:rPr>
              <w:t>A02020400</w:t>
            </w:r>
            <w:r>
              <w:rPr>
                <w:rFonts w:hint="eastAsia" w:ascii="宋体" w:hAnsi="宋体" w:cs="宋体"/>
                <w:w w:val="99"/>
                <w:kern w:val="2"/>
                <w:sz w:val="24"/>
                <w:szCs w:val="24"/>
              </w:rPr>
              <w:t>多功能一体机</w:t>
            </w:r>
          </w:p>
        </w:tc>
        <w:tc>
          <w:tcPr>
            <w:tcW w:w="1546" w:type="dxa"/>
            <w:tcBorders>
              <w:top w:val="single" w:color="000000" w:sz="4" w:space="0"/>
              <w:left w:val="single" w:color="000000" w:sz="4" w:space="0"/>
              <w:bottom w:val="single" w:color="000000" w:sz="4" w:space="0"/>
              <w:right w:val="single" w:color="000000" w:sz="4" w:space="0"/>
            </w:tcBorders>
            <w:vAlign w:val="center"/>
          </w:tcPr>
          <w:p w14:paraId="66F5091F">
            <w:pPr>
              <w:jc w:val="center"/>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4E9B1AD4">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vAlign w:val="center"/>
          </w:tcPr>
          <w:p w14:paraId="129EAFFF">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《复印机、打印机和传真机能效限定值及能效等级》（GB21521）</w:t>
            </w:r>
          </w:p>
        </w:tc>
      </w:tr>
      <w:tr w14:paraId="2D90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446C0128">
            <w:pPr>
              <w:pStyle w:val="65"/>
              <w:spacing w:before="160"/>
              <w:ind w:right="1"/>
              <w:jc w:val="center"/>
              <w:rPr>
                <w:rFonts w:ascii="宋体" w:hAnsi="宋体" w:cs="宋体"/>
                <w:kern w:val="2"/>
                <w:sz w:val="24"/>
                <w:szCs w:val="24"/>
              </w:rPr>
            </w:pPr>
            <w:r>
              <w:rPr>
                <w:rFonts w:hint="eastAsia" w:ascii="宋体" w:hAnsi="宋体"/>
                <w:w w:val="99"/>
                <w:kern w:val="2"/>
                <w:sz w:val="24"/>
                <w:szCs w:val="24"/>
              </w:rPr>
              <w:t>5</w:t>
            </w:r>
          </w:p>
        </w:tc>
        <w:tc>
          <w:tcPr>
            <w:tcW w:w="1543" w:type="dxa"/>
            <w:tcBorders>
              <w:top w:val="single" w:color="000000" w:sz="4" w:space="0"/>
              <w:left w:val="single" w:color="000000" w:sz="4" w:space="0"/>
              <w:bottom w:val="single" w:color="000000" w:sz="4" w:space="0"/>
              <w:right w:val="single" w:color="000000" w:sz="4" w:space="0"/>
            </w:tcBorders>
            <w:vAlign w:val="center"/>
          </w:tcPr>
          <w:p w14:paraId="57DA6221">
            <w:pPr>
              <w:pStyle w:val="65"/>
              <w:spacing w:before="160"/>
              <w:ind w:left="7"/>
              <w:jc w:val="center"/>
              <w:rPr>
                <w:rFonts w:ascii="宋体" w:hAnsi="宋体" w:cs="宋体"/>
                <w:kern w:val="2"/>
                <w:sz w:val="24"/>
                <w:szCs w:val="24"/>
              </w:rPr>
            </w:pPr>
            <w:r>
              <w:rPr>
                <w:rFonts w:hint="eastAsia" w:ascii="宋体" w:hAnsi="宋体" w:cs="仿宋_GB2312"/>
                <w:kern w:val="2"/>
                <w:sz w:val="24"/>
                <w:szCs w:val="24"/>
              </w:rPr>
              <w:t>A02051900</w:t>
            </w:r>
            <w:r>
              <w:rPr>
                <w:rFonts w:hint="eastAsia" w:ascii="宋体" w:hAnsi="宋体" w:cs="宋体"/>
                <w:w w:val="99"/>
                <w:kern w:val="2"/>
                <w:sz w:val="24"/>
                <w:szCs w:val="24"/>
              </w:rPr>
              <w:t>泵</w:t>
            </w:r>
          </w:p>
        </w:tc>
        <w:tc>
          <w:tcPr>
            <w:tcW w:w="1546" w:type="dxa"/>
            <w:tcBorders>
              <w:top w:val="single" w:color="000000" w:sz="4" w:space="0"/>
              <w:left w:val="single" w:color="000000" w:sz="4" w:space="0"/>
              <w:bottom w:val="single" w:color="000000" w:sz="4" w:space="0"/>
              <w:right w:val="single" w:color="000000" w:sz="4" w:space="0"/>
            </w:tcBorders>
            <w:vAlign w:val="center"/>
          </w:tcPr>
          <w:p w14:paraId="54ECEFE8">
            <w:pPr>
              <w:pStyle w:val="65"/>
              <w:spacing w:before="160"/>
              <w:ind w:left="7"/>
              <w:jc w:val="center"/>
              <w:rPr>
                <w:rFonts w:ascii="宋体" w:hAnsi="宋体" w:cs="宋体"/>
                <w:kern w:val="2"/>
                <w:sz w:val="24"/>
                <w:szCs w:val="24"/>
              </w:rPr>
            </w:pPr>
            <w:r>
              <w:rPr>
                <w:rFonts w:hint="eastAsia" w:ascii="宋体" w:hAnsi="宋体" w:cs="宋体"/>
                <w:spacing w:val="1"/>
                <w:w w:val="99"/>
                <w:kern w:val="2"/>
                <w:sz w:val="24"/>
                <w:szCs w:val="24"/>
              </w:rPr>
              <w:t>A02</w:t>
            </w:r>
            <w:r>
              <w:rPr>
                <w:rFonts w:hint="eastAsia" w:ascii="宋体" w:hAnsi="宋体" w:cs="宋体"/>
                <w:w w:val="99"/>
                <w:kern w:val="2"/>
                <w:sz w:val="24"/>
                <w:szCs w:val="24"/>
              </w:rPr>
              <w:t>05</w:t>
            </w:r>
            <w:r>
              <w:rPr>
                <w:rFonts w:hint="eastAsia" w:ascii="宋体" w:hAnsi="宋体" w:cs="宋体"/>
                <w:spacing w:val="1"/>
                <w:w w:val="99"/>
                <w:kern w:val="2"/>
                <w:sz w:val="24"/>
                <w:szCs w:val="24"/>
              </w:rPr>
              <w:t>1</w:t>
            </w:r>
            <w:r>
              <w:rPr>
                <w:rFonts w:hint="eastAsia" w:ascii="宋体" w:hAnsi="宋体" w:cs="宋体"/>
                <w:w w:val="99"/>
                <w:kern w:val="2"/>
                <w:sz w:val="24"/>
                <w:szCs w:val="24"/>
              </w:rPr>
              <w:t>901离心泵</w:t>
            </w:r>
          </w:p>
        </w:tc>
        <w:tc>
          <w:tcPr>
            <w:tcW w:w="1536" w:type="dxa"/>
            <w:tcBorders>
              <w:top w:val="single" w:color="000000" w:sz="4" w:space="0"/>
              <w:left w:val="single" w:color="000000" w:sz="4" w:space="0"/>
              <w:bottom w:val="single" w:color="000000" w:sz="4" w:space="0"/>
              <w:right w:val="single" w:color="000000" w:sz="4" w:space="0"/>
            </w:tcBorders>
            <w:vAlign w:val="center"/>
          </w:tcPr>
          <w:p w14:paraId="021D29D8">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21D737BF">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《清水离心泵能效限定值及节能评价值》（GB19762）</w:t>
            </w:r>
          </w:p>
        </w:tc>
      </w:tr>
      <w:tr w14:paraId="4E17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422135E9">
            <w:pPr>
              <w:jc w:val="center"/>
              <w:rPr>
                <w:rFonts w:ascii="宋体" w:hAnsi="宋体"/>
                <w:sz w:val="24"/>
              </w:rPr>
            </w:pPr>
            <w:r>
              <w:rPr>
                <w:rFonts w:hint="eastAsia" w:ascii="宋体" w:hAnsi="宋体"/>
                <w:sz w:val="24"/>
              </w:rPr>
              <w:t>6</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20357399">
            <w:pPr>
              <w:pStyle w:val="65"/>
              <w:jc w:val="center"/>
              <w:rPr>
                <w:rFonts w:ascii="宋体" w:hAnsi="宋体" w:cs="宋体"/>
                <w:kern w:val="2"/>
                <w:sz w:val="24"/>
                <w:szCs w:val="24"/>
              </w:rPr>
            </w:pPr>
            <w:r>
              <w:rPr>
                <w:rFonts w:hint="eastAsia" w:ascii="宋体" w:hAnsi="宋体" w:cs="仿宋_GB2312"/>
                <w:kern w:val="2"/>
                <w:sz w:val="24"/>
                <w:szCs w:val="24"/>
              </w:rPr>
              <w:t>A02052300</w:t>
            </w:r>
            <w:r>
              <w:rPr>
                <w:rFonts w:hint="eastAsia" w:ascii="宋体" w:hAnsi="宋体" w:cs="宋体"/>
                <w:w w:val="99"/>
                <w:kern w:val="2"/>
                <w:sz w:val="24"/>
                <w:szCs w:val="24"/>
              </w:rPr>
              <w:t>制冷空调设备</w:t>
            </w: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64584663">
            <w:pPr>
              <w:pStyle w:val="65"/>
              <w:spacing w:line="276" w:lineRule="auto"/>
              <w:ind w:right="5"/>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宋体"/>
                <w:spacing w:val="1"/>
                <w:w w:val="99"/>
                <w:kern w:val="2"/>
                <w:sz w:val="24"/>
                <w:szCs w:val="24"/>
              </w:rPr>
              <w:t>A020</w:t>
            </w:r>
            <w:r>
              <w:rPr>
                <w:rFonts w:hint="eastAsia" w:ascii="宋体" w:hAnsi="宋体" w:cs="宋体"/>
                <w:w w:val="99"/>
                <w:kern w:val="2"/>
                <w:sz w:val="24"/>
                <w:szCs w:val="24"/>
              </w:rPr>
              <w:t>52</w:t>
            </w:r>
            <w:r>
              <w:rPr>
                <w:rFonts w:hint="eastAsia" w:ascii="宋体" w:hAnsi="宋体" w:cs="宋体"/>
                <w:spacing w:val="1"/>
                <w:w w:val="99"/>
                <w:kern w:val="2"/>
                <w:sz w:val="24"/>
                <w:szCs w:val="24"/>
              </w:rPr>
              <w:t>3</w:t>
            </w:r>
            <w:r>
              <w:rPr>
                <w:rFonts w:hint="eastAsia" w:ascii="宋体" w:hAnsi="宋体" w:cs="宋体"/>
                <w:w w:val="99"/>
                <w:kern w:val="2"/>
                <w:sz w:val="24"/>
                <w:szCs w:val="24"/>
              </w:rPr>
              <w:t>01制冷压缩机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30277D3D">
            <w:pPr>
              <w:pStyle w:val="65"/>
              <w:jc w:val="center"/>
              <w:rPr>
                <w:rFonts w:ascii="宋体" w:hAnsi="宋体" w:cs="宋体"/>
                <w:kern w:val="2"/>
                <w:sz w:val="24"/>
                <w:szCs w:val="24"/>
              </w:rPr>
            </w:pPr>
            <w:r>
              <w:rPr>
                <w:rFonts w:hint="eastAsia" w:ascii="宋体" w:hAnsi="宋体" w:cs="宋体"/>
                <w:w w:val="99"/>
                <w:kern w:val="2"/>
                <w:sz w:val="24"/>
                <w:szCs w:val="24"/>
              </w:rPr>
              <w:t>冷水机组</w:t>
            </w:r>
          </w:p>
        </w:tc>
        <w:tc>
          <w:tcPr>
            <w:tcW w:w="4309" w:type="dxa"/>
            <w:tcBorders>
              <w:top w:val="single" w:color="000000" w:sz="4" w:space="0"/>
              <w:left w:val="single" w:color="000000" w:sz="4" w:space="0"/>
              <w:bottom w:val="single" w:color="000000" w:sz="4" w:space="0"/>
              <w:right w:val="single" w:color="000000" w:sz="4" w:space="0"/>
            </w:tcBorders>
          </w:tcPr>
          <w:p w14:paraId="3F96C13F">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《冷水机组能效限定值及能效等级》（GB19577），《低环境温度空气源热泵（冷水）机组能效限定值及能效等级》（GB37480）</w:t>
            </w:r>
          </w:p>
        </w:tc>
      </w:tr>
      <w:tr w14:paraId="0A51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5783794">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F795BEC">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E1B1275">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58A22121">
            <w:pPr>
              <w:jc w:val="center"/>
              <w:rPr>
                <w:rFonts w:ascii="宋体" w:hAnsi="宋体"/>
                <w:sz w:val="24"/>
              </w:rPr>
            </w:pPr>
            <w:r>
              <w:rPr>
                <w:rFonts w:hint="eastAsia" w:ascii="宋体" w:hAnsi="宋体"/>
                <w:sz w:val="24"/>
              </w:rPr>
              <w:t>溴化锂吸收式冷水机组</w:t>
            </w:r>
          </w:p>
        </w:tc>
        <w:tc>
          <w:tcPr>
            <w:tcW w:w="4309" w:type="dxa"/>
            <w:tcBorders>
              <w:top w:val="single" w:color="000000" w:sz="4" w:space="0"/>
              <w:left w:val="single" w:color="000000" w:sz="4" w:space="0"/>
              <w:bottom w:val="single" w:color="000000" w:sz="4" w:space="0"/>
              <w:right w:val="single" w:color="000000" w:sz="4" w:space="0"/>
            </w:tcBorders>
            <w:vAlign w:val="center"/>
          </w:tcPr>
          <w:p w14:paraId="69F3BE0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《溴化锂吸收式冷水机组能效限</w:t>
            </w:r>
          </w:p>
          <w:p w14:paraId="2770BC6A">
            <w:pPr>
              <w:spacing w:before="131" w:line="276" w:lineRule="auto"/>
              <w:ind w:right="4"/>
              <w:rPr>
                <w:rFonts w:ascii="宋体" w:hAnsi="宋体" w:cs="宋体"/>
                <w:spacing w:val="10"/>
                <w:sz w:val="24"/>
              </w:rPr>
            </w:pPr>
            <w:r>
              <w:rPr>
                <w:rFonts w:hint="eastAsia" w:ascii="宋体" w:hAnsi="宋体" w:cs="宋体"/>
                <w:spacing w:val="10"/>
                <w:sz w:val="24"/>
              </w:rPr>
              <w:t>定值及能效等级》（GB29540）</w:t>
            </w:r>
          </w:p>
        </w:tc>
      </w:tr>
      <w:tr w14:paraId="6445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E45D0F5">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DD7465D">
            <w:pPr>
              <w:widowControl/>
              <w:jc w:val="left"/>
              <w:rPr>
                <w:rFonts w:ascii="宋体" w:hAnsi="宋体" w:cs="宋体"/>
                <w:sz w:val="24"/>
              </w:rPr>
            </w:pP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346E8DF3">
            <w:pPr>
              <w:pStyle w:val="65"/>
              <w:spacing w:line="276" w:lineRule="auto"/>
              <w:ind w:right="5"/>
              <w:jc w:val="center"/>
              <w:rPr>
                <w:rFonts w:ascii="宋体" w:hAnsi="宋体" w:cs="宋体"/>
                <w:kern w:val="2"/>
                <w:sz w:val="24"/>
                <w:szCs w:val="24"/>
              </w:rPr>
            </w:pPr>
            <w:r>
              <w:rPr>
                <w:rFonts w:hint="eastAsia" w:ascii="宋体" w:hAnsi="宋体" w:cs="宋体"/>
                <w:w w:val="99"/>
                <w:kern w:val="2"/>
                <w:sz w:val="24"/>
                <w:szCs w:val="24"/>
              </w:rPr>
              <w:t>★A02052305空调机组</w:t>
            </w:r>
          </w:p>
        </w:tc>
        <w:tc>
          <w:tcPr>
            <w:tcW w:w="1536" w:type="dxa"/>
            <w:tcBorders>
              <w:top w:val="single" w:color="000000" w:sz="4" w:space="0"/>
              <w:left w:val="single" w:color="000000" w:sz="4" w:space="0"/>
              <w:bottom w:val="single" w:color="000000" w:sz="4" w:space="0"/>
              <w:right w:val="single" w:color="000000" w:sz="4" w:space="0"/>
            </w:tcBorders>
            <w:vAlign w:val="center"/>
          </w:tcPr>
          <w:p w14:paraId="7478BA47">
            <w:pPr>
              <w:pStyle w:val="65"/>
              <w:spacing w:before="4" w:line="276" w:lineRule="auto"/>
              <w:ind w:left="7" w:right="7"/>
              <w:jc w:val="center"/>
              <w:rPr>
                <w:rFonts w:ascii="宋体" w:hAnsi="宋体" w:cs="宋体"/>
                <w:w w:val="99"/>
                <w:kern w:val="2"/>
                <w:sz w:val="24"/>
                <w:szCs w:val="24"/>
                <w:lang w:eastAsia="zh-CN"/>
              </w:rPr>
            </w:pPr>
            <w:r>
              <w:rPr>
                <w:rFonts w:hint="eastAsia" w:ascii="宋体" w:hAnsi="宋体" w:cs="宋体"/>
                <w:w w:val="99"/>
                <w:kern w:val="2"/>
                <w:sz w:val="24"/>
                <w:szCs w:val="24"/>
                <w:lang w:eastAsia="zh-CN"/>
              </w:rPr>
              <w:t>多联式空调（热泵）机组（制冷量&gt;14000W）</w:t>
            </w:r>
          </w:p>
        </w:tc>
        <w:tc>
          <w:tcPr>
            <w:tcW w:w="4309" w:type="dxa"/>
            <w:tcBorders>
              <w:top w:val="single" w:color="000000" w:sz="4" w:space="0"/>
              <w:left w:val="single" w:color="000000" w:sz="4" w:space="0"/>
              <w:bottom w:val="single" w:color="000000" w:sz="4" w:space="0"/>
              <w:right w:val="single" w:color="000000" w:sz="4" w:space="0"/>
            </w:tcBorders>
          </w:tcPr>
          <w:p w14:paraId="3DF4DF5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《多联式空调（热泵）机组能效限定值及能源效率等级》（GB21454）</w:t>
            </w:r>
          </w:p>
        </w:tc>
      </w:tr>
      <w:tr w14:paraId="460D8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F4F3A22">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383367D">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D830EE9">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3D72C12A">
            <w:pPr>
              <w:jc w:val="center"/>
              <w:rPr>
                <w:rFonts w:ascii="宋体" w:hAnsi="宋体"/>
                <w:sz w:val="24"/>
              </w:rPr>
            </w:pPr>
            <w:r>
              <w:rPr>
                <w:rFonts w:hint="eastAsia" w:ascii="宋体" w:hAnsi="宋体" w:cs="宋体"/>
                <w:w w:val="99"/>
                <w:sz w:val="24"/>
              </w:rPr>
              <w:t>单元式空气调节机</w:t>
            </w:r>
          </w:p>
        </w:tc>
        <w:tc>
          <w:tcPr>
            <w:tcW w:w="4309" w:type="dxa"/>
            <w:tcBorders>
              <w:top w:val="single" w:color="000000" w:sz="4" w:space="0"/>
              <w:left w:val="single" w:color="000000" w:sz="4" w:space="0"/>
              <w:bottom w:val="single" w:color="000000" w:sz="4" w:space="0"/>
              <w:right w:val="single" w:color="000000" w:sz="4" w:space="0"/>
            </w:tcBorders>
          </w:tcPr>
          <w:p w14:paraId="69392F04">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《单元式空气调节机能效限定值及能效等级》（GB19576）《风管送风式空调机组能效限定值及能效等级》（GB37479）</w:t>
            </w:r>
          </w:p>
        </w:tc>
      </w:tr>
      <w:tr w14:paraId="485F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1286764">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7D8A252">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5B3907A6">
            <w:pPr>
              <w:pStyle w:val="65"/>
              <w:spacing w:before="83"/>
              <w:ind w:left="7"/>
              <w:jc w:val="center"/>
              <w:rPr>
                <w:rFonts w:ascii="宋体" w:hAnsi="宋体" w:cs="宋体"/>
                <w:w w:val="99"/>
                <w:kern w:val="2"/>
                <w:sz w:val="24"/>
                <w:szCs w:val="24"/>
                <w:lang w:eastAsia="zh-CN"/>
              </w:rPr>
            </w:pPr>
            <w:r>
              <w:rPr>
                <w:rFonts w:hint="eastAsia" w:ascii="宋体" w:hAnsi="宋体" w:cs="宋体"/>
                <w:w w:val="99"/>
                <w:kern w:val="2"/>
                <w:sz w:val="24"/>
                <w:szCs w:val="24"/>
                <w:lang w:eastAsia="zh-CN"/>
              </w:rPr>
              <w:t>★A02052309专用制冷、空调设备</w:t>
            </w:r>
          </w:p>
        </w:tc>
        <w:tc>
          <w:tcPr>
            <w:tcW w:w="1536" w:type="dxa"/>
            <w:tcBorders>
              <w:top w:val="single" w:color="000000" w:sz="4" w:space="0"/>
              <w:left w:val="single" w:color="000000" w:sz="4" w:space="0"/>
              <w:bottom w:val="single" w:color="000000" w:sz="4" w:space="0"/>
              <w:right w:val="single" w:color="000000" w:sz="4" w:space="0"/>
            </w:tcBorders>
            <w:vAlign w:val="center"/>
          </w:tcPr>
          <w:p w14:paraId="53F0B999">
            <w:pPr>
              <w:pStyle w:val="65"/>
              <w:jc w:val="center"/>
              <w:rPr>
                <w:rFonts w:ascii="宋体" w:hAnsi="宋体" w:cs="宋体"/>
                <w:kern w:val="2"/>
                <w:sz w:val="24"/>
                <w:szCs w:val="24"/>
              </w:rPr>
            </w:pPr>
            <w:r>
              <w:rPr>
                <w:rFonts w:hint="eastAsia" w:ascii="宋体" w:hAnsi="宋体" w:cs="宋体"/>
                <w:w w:val="99"/>
                <w:kern w:val="2"/>
                <w:sz w:val="24"/>
                <w:szCs w:val="24"/>
              </w:rPr>
              <w:t>机房空调</w:t>
            </w:r>
          </w:p>
        </w:tc>
        <w:tc>
          <w:tcPr>
            <w:tcW w:w="4309" w:type="dxa"/>
            <w:tcBorders>
              <w:top w:val="single" w:color="000000" w:sz="4" w:space="0"/>
              <w:left w:val="single" w:color="000000" w:sz="4" w:space="0"/>
              <w:bottom w:val="single" w:color="000000" w:sz="4" w:space="0"/>
              <w:right w:val="single" w:color="000000" w:sz="4" w:space="0"/>
            </w:tcBorders>
          </w:tcPr>
          <w:p w14:paraId="4B0D095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《单元式空气调节机能效限定值</w:t>
            </w:r>
          </w:p>
          <w:p w14:paraId="5A4A988E">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及能效等级》（GB19576）</w:t>
            </w:r>
          </w:p>
        </w:tc>
      </w:tr>
      <w:tr w14:paraId="7D43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6BE7D80">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2DFDBE3">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5CE11D78">
            <w:pPr>
              <w:pStyle w:val="65"/>
              <w:spacing w:line="254" w:lineRule="exact"/>
              <w:ind w:left="7"/>
              <w:jc w:val="center"/>
              <w:rPr>
                <w:rFonts w:ascii="宋体" w:hAnsi="宋体" w:cs="宋体"/>
                <w:w w:val="99"/>
                <w:kern w:val="2"/>
                <w:sz w:val="24"/>
                <w:szCs w:val="24"/>
              </w:rPr>
            </w:pPr>
            <w:r>
              <w:rPr>
                <w:rFonts w:hint="eastAsia" w:ascii="宋体" w:hAnsi="宋体" w:cs="宋体"/>
                <w:w w:val="99"/>
                <w:kern w:val="2"/>
                <w:sz w:val="24"/>
                <w:szCs w:val="24"/>
              </w:rPr>
              <w:t>A02052399其他制冷</w:t>
            </w:r>
          </w:p>
          <w:p w14:paraId="1BC0E560">
            <w:pPr>
              <w:pStyle w:val="65"/>
              <w:spacing w:line="254" w:lineRule="exact"/>
              <w:ind w:left="7"/>
              <w:jc w:val="center"/>
              <w:rPr>
                <w:rFonts w:ascii="宋体" w:hAnsi="宋体" w:cs="宋体"/>
                <w:kern w:val="2"/>
                <w:sz w:val="24"/>
                <w:szCs w:val="24"/>
              </w:rPr>
            </w:pPr>
            <w:r>
              <w:rPr>
                <w:rFonts w:hint="eastAsia" w:ascii="宋体" w:hAnsi="宋体" w:cs="宋体"/>
                <w:w w:val="99"/>
                <w:kern w:val="2"/>
                <w:sz w:val="24"/>
                <w:szCs w:val="24"/>
              </w:rPr>
              <w:t>空调设备</w:t>
            </w:r>
          </w:p>
        </w:tc>
        <w:tc>
          <w:tcPr>
            <w:tcW w:w="1536" w:type="dxa"/>
            <w:tcBorders>
              <w:top w:val="single" w:color="000000" w:sz="4" w:space="0"/>
              <w:left w:val="single" w:color="000000" w:sz="4" w:space="0"/>
              <w:bottom w:val="single" w:color="000000" w:sz="4" w:space="0"/>
              <w:right w:val="single" w:color="000000" w:sz="4" w:space="0"/>
            </w:tcBorders>
            <w:vAlign w:val="center"/>
          </w:tcPr>
          <w:p w14:paraId="46BB2CE4">
            <w:pPr>
              <w:widowControl/>
              <w:jc w:val="center"/>
              <w:rPr>
                <w:rFonts w:ascii="宋体" w:hAnsi="宋体" w:cs="宋体"/>
                <w:sz w:val="24"/>
                <w:lang w:eastAsia="en-US"/>
              </w:rPr>
            </w:pPr>
            <w:r>
              <w:rPr>
                <w:rFonts w:hint="eastAsia" w:ascii="宋体" w:hAnsi="宋体" w:cs="宋体"/>
                <w:w w:val="99"/>
                <w:sz w:val="24"/>
              </w:rPr>
              <w:t>冷却塔</w:t>
            </w:r>
          </w:p>
        </w:tc>
        <w:tc>
          <w:tcPr>
            <w:tcW w:w="4309" w:type="dxa"/>
            <w:tcBorders>
              <w:top w:val="single" w:color="000000" w:sz="4" w:space="0"/>
              <w:left w:val="single" w:color="000000" w:sz="4" w:space="0"/>
              <w:bottom w:val="single" w:color="000000" w:sz="4" w:space="0"/>
              <w:right w:val="single" w:color="000000" w:sz="4" w:space="0"/>
            </w:tcBorders>
          </w:tcPr>
          <w:p w14:paraId="0FB640EB">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《机械通风冷却塔第1部分：中小型开式冷却塔》（GB/T7190.1）</w:t>
            </w:r>
          </w:p>
          <w:p w14:paraId="00BC44F8">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《机械通风冷却塔第2部分：大型开式冷却塔》（GB/T7190.2）</w:t>
            </w:r>
          </w:p>
        </w:tc>
      </w:tr>
      <w:tr w14:paraId="6A6B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2E4B09BF">
            <w:pPr>
              <w:pStyle w:val="65"/>
              <w:ind w:right="1"/>
              <w:jc w:val="center"/>
              <w:rPr>
                <w:rFonts w:ascii="宋体" w:hAnsi="宋体" w:cs="宋体"/>
                <w:kern w:val="2"/>
                <w:sz w:val="24"/>
                <w:szCs w:val="24"/>
              </w:rPr>
            </w:pPr>
            <w:r>
              <w:rPr>
                <w:rFonts w:hint="eastAsia" w:ascii="宋体" w:hAnsi="宋体"/>
                <w:w w:val="99"/>
                <w:kern w:val="2"/>
                <w:sz w:val="24"/>
                <w:szCs w:val="24"/>
              </w:rPr>
              <w:t>7</w:t>
            </w:r>
          </w:p>
        </w:tc>
        <w:tc>
          <w:tcPr>
            <w:tcW w:w="1543" w:type="dxa"/>
            <w:tcBorders>
              <w:top w:val="single" w:color="000000" w:sz="4" w:space="0"/>
              <w:left w:val="single" w:color="000000" w:sz="4" w:space="0"/>
              <w:bottom w:val="single" w:color="000000" w:sz="4" w:space="0"/>
              <w:right w:val="single" w:color="000000" w:sz="4" w:space="0"/>
            </w:tcBorders>
            <w:vAlign w:val="center"/>
          </w:tcPr>
          <w:p w14:paraId="6FC350B6">
            <w:pPr>
              <w:pStyle w:val="65"/>
              <w:jc w:val="center"/>
              <w:rPr>
                <w:rFonts w:ascii="宋体" w:hAnsi="宋体" w:cs="宋体"/>
                <w:kern w:val="2"/>
                <w:sz w:val="24"/>
                <w:szCs w:val="24"/>
              </w:rPr>
            </w:pPr>
            <w:r>
              <w:rPr>
                <w:rFonts w:hint="eastAsia" w:ascii="宋体" w:hAnsi="宋体" w:cs="仿宋_GB2312"/>
                <w:kern w:val="2"/>
                <w:sz w:val="24"/>
                <w:szCs w:val="24"/>
              </w:rPr>
              <w:t>A02060100</w:t>
            </w:r>
            <w:r>
              <w:rPr>
                <w:rFonts w:hint="eastAsia" w:ascii="宋体" w:hAnsi="宋体" w:cs="宋体"/>
                <w:w w:val="99"/>
                <w:kern w:val="2"/>
                <w:sz w:val="24"/>
                <w:szCs w:val="24"/>
              </w:rPr>
              <w:t>电机</w:t>
            </w:r>
          </w:p>
        </w:tc>
        <w:tc>
          <w:tcPr>
            <w:tcW w:w="1546" w:type="dxa"/>
            <w:tcBorders>
              <w:top w:val="single" w:color="000000" w:sz="4" w:space="0"/>
              <w:left w:val="single" w:color="000000" w:sz="4" w:space="0"/>
              <w:bottom w:val="single" w:color="000000" w:sz="4" w:space="0"/>
              <w:right w:val="single" w:color="000000" w:sz="4" w:space="0"/>
            </w:tcBorders>
            <w:vAlign w:val="center"/>
          </w:tcPr>
          <w:p w14:paraId="7B7E0D99">
            <w:pPr>
              <w:jc w:val="center"/>
              <w:rPr>
                <w:rFonts w:ascii="宋体" w:hAnsi="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3AEC7004">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1A28B194">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《中小型三相异步电动机能效限定值及能效等级》（GB18613）</w:t>
            </w:r>
          </w:p>
        </w:tc>
      </w:tr>
      <w:tr w14:paraId="1771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344B00F7">
            <w:pPr>
              <w:pStyle w:val="65"/>
              <w:ind w:right="1"/>
              <w:jc w:val="center"/>
              <w:rPr>
                <w:rFonts w:ascii="宋体" w:hAnsi="宋体" w:cs="宋体"/>
                <w:kern w:val="2"/>
                <w:sz w:val="24"/>
                <w:szCs w:val="24"/>
              </w:rPr>
            </w:pPr>
            <w:r>
              <w:rPr>
                <w:rFonts w:hint="eastAsia" w:ascii="宋体" w:hAnsi="宋体"/>
                <w:w w:val="99"/>
                <w:kern w:val="2"/>
                <w:sz w:val="24"/>
                <w:szCs w:val="24"/>
              </w:rPr>
              <w:t>8</w:t>
            </w:r>
          </w:p>
        </w:tc>
        <w:tc>
          <w:tcPr>
            <w:tcW w:w="1543" w:type="dxa"/>
            <w:tcBorders>
              <w:top w:val="single" w:color="000000" w:sz="4" w:space="0"/>
              <w:left w:val="single" w:color="000000" w:sz="4" w:space="0"/>
              <w:bottom w:val="single" w:color="000000" w:sz="4" w:space="0"/>
              <w:right w:val="single" w:color="000000" w:sz="4" w:space="0"/>
            </w:tcBorders>
            <w:vAlign w:val="center"/>
          </w:tcPr>
          <w:p w14:paraId="6867B976">
            <w:pPr>
              <w:pStyle w:val="65"/>
              <w:spacing w:before="30"/>
              <w:ind w:left="7"/>
              <w:jc w:val="center"/>
              <w:rPr>
                <w:rFonts w:ascii="宋体" w:hAnsi="宋体" w:cs="宋体"/>
                <w:kern w:val="2"/>
                <w:sz w:val="24"/>
                <w:szCs w:val="24"/>
              </w:rPr>
            </w:pPr>
            <w:r>
              <w:rPr>
                <w:rFonts w:hint="eastAsia" w:ascii="宋体" w:hAnsi="宋体" w:cs="仿宋_GB2312"/>
                <w:kern w:val="2"/>
                <w:sz w:val="24"/>
                <w:szCs w:val="24"/>
              </w:rPr>
              <w:t>A02060200</w:t>
            </w:r>
            <w:r>
              <w:rPr>
                <w:rFonts w:hint="eastAsia" w:ascii="宋体" w:hAnsi="宋体" w:cs="宋体"/>
                <w:w w:val="99"/>
                <w:kern w:val="2"/>
                <w:sz w:val="24"/>
                <w:szCs w:val="24"/>
              </w:rPr>
              <w:t>变压</w:t>
            </w:r>
          </w:p>
        </w:tc>
        <w:tc>
          <w:tcPr>
            <w:tcW w:w="1546" w:type="dxa"/>
            <w:tcBorders>
              <w:top w:val="single" w:color="000000" w:sz="4" w:space="0"/>
              <w:left w:val="single" w:color="000000" w:sz="4" w:space="0"/>
              <w:bottom w:val="single" w:color="000000" w:sz="4" w:space="0"/>
              <w:right w:val="single" w:color="000000" w:sz="4" w:space="0"/>
            </w:tcBorders>
            <w:vAlign w:val="center"/>
          </w:tcPr>
          <w:p w14:paraId="2891B9ED">
            <w:pPr>
              <w:pStyle w:val="65"/>
              <w:jc w:val="center"/>
              <w:rPr>
                <w:rFonts w:ascii="宋体" w:hAnsi="宋体" w:cs="宋体"/>
                <w:kern w:val="2"/>
                <w:sz w:val="24"/>
                <w:szCs w:val="24"/>
              </w:rPr>
            </w:pPr>
            <w:r>
              <w:rPr>
                <w:rFonts w:hint="eastAsia" w:ascii="宋体" w:hAnsi="宋体" w:cs="宋体"/>
                <w:w w:val="99"/>
                <w:kern w:val="2"/>
                <w:sz w:val="24"/>
                <w:szCs w:val="24"/>
              </w:rPr>
              <w:t>配电变压器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74938C65">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292B6B33">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《三相配电变压器能效限定值及能效等级》（GB 20052）</w:t>
            </w:r>
          </w:p>
        </w:tc>
      </w:tr>
      <w:tr w14:paraId="0901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AD5F6D2">
            <w:pPr>
              <w:pStyle w:val="65"/>
              <w:ind w:right="1"/>
              <w:jc w:val="center"/>
              <w:rPr>
                <w:rFonts w:ascii="宋体" w:hAnsi="宋体" w:cs="宋体"/>
                <w:kern w:val="2"/>
                <w:sz w:val="24"/>
                <w:szCs w:val="24"/>
              </w:rPr>
            </w:pPr>
            <w:r>
              <w:rPr>
                <w:rFonts w:hint="eastAsia" w:ascii="宋体" w:hAnsi="宋体"/>
                <w:w w:val="99"/>
                <w:kern w:val="2"/>
                <w:sz w:val="24"/>
                <w:szCs w:val="24"/>
              </w:rPr>
              <w:t>9</w:t>
            </w:r>
          </w:p>
        </w:tc>
        <w:tc>
          <w:tcPr>
            <w:tcW w:w="1543" w:type="dxa"/>
            <w:tcBorders>
              <w:top w:val="single" w:color="000000" w:sz="4" w:space="0"/>
              <w:left w:val="single" w:color="000000" w:sz="4" w:space="0"/>
              <w:bottom w:val="single" w:color="000000" w:sz="4" w:space="0"/>
              <w:right w:val="single" w:color="000000" w:sz="4" w:space="0"/>
            </w:tcBorders>
            <w:vAlign w:val="center"/>
          </w:tcPr>
          <w:p w14:paraId="09BC2A73">
            <w:pPr>
              <w:pStyle w:val="65"/>
              <w:spacing w:before="126"/>
              <w:ind w:left="7"/>
              <w:jc w:val="center"/>
              <w:rPr>
                <w:rFonts w:ascii="宋体" w:hAnsi="宋体" w:cs="宋体"/>
                <w:kern w:val="2"/>
                <w:sz w:val="24"/>
                <w:szCs w:val="24"/>
              </w:rPr>
            </w:pPr>
            <w:r>
              <w:rPr>
                <w:rFonts w:hint="eastAsia" w:ascii="宋体" w:hAnsi="宋体" w:cs="宋体"/>
                <w:w w:val="99"/>
                <w:kern w:val="2"/>
                <w:sz w:val="24"/>
                <w:szCs w:val="24"/>
              </w:rPr>
              <w:t>★A02060900镇流器</w:t>
            </w:r>
          </w:p>
        </w:tc>
        <w:tc>
          <w:tcPr>
            <w:tcW w:w="1546" w:type="dxa"/>
            <w:tcBorders>
              <w:top w:val="single" w:color="000000" w:sz="4" w:space="0"/>
              <w:left w:val="single" w:color="000000" w:sz="4" w:space="0"/>
              <w:bottom w:val="single" w:color="000000" w:sz="4" w:space="0"/>
              <w:right w:val="single" w:color="000000" w:sz="4" w:space="0"/>
            </w:tcBorders>
            <w:vAlign w:val="center"/>
          </w:tcPr>
          <w:p w14:paraId="7A597920">
            <w:pPr>
              <w:pStyle w:val="65"/>
              <w:jc w:val="center"/>
              <w:rPr>
                <w:rFonts w:ascii="宋体" w:hAnsi="宋体" w:cs="宋体"/>
                <w:kern w:val="2"/>
                <w:sz w:val="24"/>
                <w:szCs w:val="24"/>
              </w:rPr>
            </w:pPr>
            <w:r>
              <w:rPr>
                <w:rFonts w:hint="eastAsia" w:ascii="宋体" w:hAnsi="宋体" w:cs="宋体"/>
                <w:w w:val="99"/>
                <w:kern w:val="2"/>
                <w:sz w:val="24"/>
                <w:szCs w:val="24"/>
              </w:rPr>
              <w:t>管型荧光灯镇流器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205C81FB">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7486720E">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《管形荧光灯镇流器能效限定值及能效等级》（GB17896）</w:t>
            </w:r>
          </w:p>
        </w:tc>
      </w:tr>
      <w:tr w14:paraId="5EAA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6F1EE674">
            <w:pPr>
              <w:pStyle w:val="65"/>
              <w:jc w:val="center"/>
              <w:rPr>
                <w:rFonts w:ascii="宋体" w:hAnsi="宋体" w:cs="宋体"/>
                <w:kern w:val="2"/>
                <w:sz w:val="24"/>
                <w:szCs w:val="24"/>
              </w:rPr>
            </w:pPr>
            <w:r>
              <w:rPr>
                <w:rFonts w:hint="eastAsia" w:ascii="宋体" w:hAnsi="宋体"/>
                <w:w w:val="99"/>
                <w:kern w:val="2"/>
                <w:sz w:val="24"/>
                <w:szCs w:val="24"/>
              </w:rPr>
              <w:t>10</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73572AC5">
            <w:pPr>
              <w:pStyle w:val="65"/>
              <w:jc w:val="center"/>
              <w:rPr>
                <w:rFonts w:ascii="宋体" w:hAnsi="宋体" w:cs="宋体"/>
                <w:kern w:val="2"/>
                <w:sz w:val="24"/>
                <w:szCs w:val="24"/>
              </w:rPr>
            </w:pPr>
            <w:r>
              <w:rPr>
                <w:rFonts w:hint="eastAsia" w:ascii="宋体" w:hAnsi="宋体" w:cs="宋体"/>
                <w:w w:val="99"/>
                <w:kern w:val="2"/>
                <w:sz w:val="24"/>
                <w:szCs w:val="24"/>
              </w:rPr>
              <w:t>A02061800生活用电器</w:t>
            </w:r>
          </w:p>
        </w:tc>
        <w:tc>
          <w:tcPr>
            <w:tcW w:w="1546" w:type="dxa"/>
            <w:tcBorders>
              <w:top w:val="single" w:color="000000" w:sz="4" w:space="0"/>
              <w:left w:val="single" w:color="000000" w:sz="4" w:space="0"/>
              <w:bottom w:val="single" w:color="000000" w:sz="4" w:space="0"/>
              <w:right w:val="single" w:color="000000" w:sz="4" w:space="0"/>
            </w:tcBorders>
            <w:vAlign w:val="center"/>
          </w:tcPr>
          <w:p w14:paraId="27495ED2">
            <w:pPr>
              <w:pStyle w:val="65"/>
              <w:jc w:val="center"/>
              <w:rPr>
                <w:rFonts w:ascii="宋体" w:hAnsi="宋体" w:cs="宋体"/>
                <w:kern w:val="2"/>
                <w:sz w:val="24"/>
                <w:szCs w:val="24"/>
              </w:rPr>
            </w:pPr>
            <w:r>
              <w:rPr>
                <w:rFonts w:hint="eastAsia" w:ascii="宋体" w:hAnsi="宋体" w:cs="宋体"/>
                <w:w w:val="99"/>
                <w:kern w:val="2"/>
                <w:sz w:val="24"/>
                <w:szCs w:val="24"/>
              </w:rPr>
              <w:t>A02061801电冰箱</w:t>
            </w:r>
          </w:p>
        </w:tc>
        <w:tc>
          <w:tcPr>
            <w:tcW w:w="1536" w:type="dxa"/>
            <w:tcBorders>
              <w:top w:val="single" w:color="000000" w:sz="4" w:space="0"/>
              <w:left w:val="single" w:color="000000" w:sz="4" w:space="0"/>
              <w:bottom w:val="single" w:color="000000" w:sz="4" w:space="0"/>
              <w:right w:val="single" w:color="000000" w:sz="4" w:space="0"/>
            </w:tcBorders>
            <w:vAlign w:val="center"/>
          </w:tcPr>
          <w:p w14:paraId="6EDDBE2D">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701A0357">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《家用电冰箱耗电量限定值及能效等级》（GB12021.2）</w:t>
            </w:r>
          </w:p>
        </w:tc>
      </w:tr>
      <w:tr w14:paraId="03381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3A6BB8">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0114947">
            <w:pPr>
              <w:widowControl/>
              <w:jc w:val="left"/>
              <w:rPr>
                <w:rFonts w:ascii="宋体" w:hAnsi="宋体" w:cs="宋体"/>
                <w:sz w:val="24"/>
              </w:rPr>
            </w:pP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1C6D457C">
            <w:pPr>
              <w:pStyle w:val="65"/>
              <w:spacing w:before="171"/>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仿宋_GB2312"/>
                <w:kern w:val="2"/>
                <w:sz w:val="24"/>
                <w:szCs w:val="24"/>
              </w:rPr>
              <w:t>A02061804</w:t>
            </w:r>
            <w:r>
              <w:rPr>
                <w:rFonts w:hint="eastAsia" w:ascii="宋体" w:hAnsi="宋体" w:cs="宋体"/>
                <w:w w:val="99"/>
                <w:kern w:val="2"/>
                <w:sz w:val="24"/>
                <w:szCs w:val="24"/>
              </w:rPr>
              <w:t>空调机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5DF18E72">
            <w:pPr>
              <w:pStyle w:val="65"/>
              <w:jc w:val="center"/>
              <w:rPr>
                <w:rFonts w:ascii="宋体" w:hAnsi="宋体" w:cs="宋体"/>
                <w:kern w:val="2"/>
                <w:sz w:val="24"/>
                <w:szCs w:val="24"/>
              </w:rPr>
            </w:pPr>
            <w:r>
              <w:rPr>
                <w:rFonts w:hint="eastAsia" w:ascii="宋体" w:hAnsi="宋体" w:cs="宋体"/>
                <w:w w:val="99"/>
                <w:kern w:val="2"/>
                <w:sz w:val="24"/>
                <w:szCs w:val="24"/>
              </w:rPr>
              <w:t>房间空气调节器</w:t>
            </w:r>
          </w:p>
        </w:tc>
        <w:tc>
          <w:tcPr>
            <w:tcW w:w="4309" w:type="dxa"/>
            <w:tcBorders>
              <w:top w:val="single" w:color="000000" w:sz="4" w:space="0"/>
              <w:left w:val="single" w:color="000000" w:sz="4" w:space="0"/>
              <w:bottom w:val="single" w:color="000000" w:sz="4" w:space="0"/>
              <w:right w:val="single" w:color="000000" w:sz="4" w:space="0"/>
            </w:tcBorders>
          </w:tcPr>
          <w:p w14:paraId="015B749A">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《房间空气调节器能效限定值及能效等级》（GB21455-2019）</w:t>
            </w:r>
          </w:p>
        </w:tc>
      </w:tr>
      <w:tr w14:paraId="6A1B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6C30951">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93D950C">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024BEBA">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0C5FAEC6">
            <w:pPr>
              <w:pStyle w:val="65"/>
              <w:spacing w:before="4" w:line="276" w:lineRule="auto"/>
              <w:ind w:left="7" w:right="7"/>
              <w:jc w:val="center"/>
              <w:rPr>
                <w:rFonts w:ascii="宋体" w:hAnsi="宋体" w:cs="宋体"/>
                <w:kern w:val="2"/>
                <w:sz w:val="24"/>
                <w:szCs w:val="24"/>
                <w:lang w:eastAsia="zh-CN"/>
              </w:rPr>
            </w:pPr>
            <w:r>
              <w:rPr>
                <w:rFonts w:hint="eastAsia" w:ascii="宋体" w:hAnsi="宋体" w:cs="宋体"/>
                <w:w w:val="99"/>
                <w:kern w:val="2"/>
                <w:sz w:val="24"/>
                <w:szCs w:val="24"/>
                <w:lang w:eastAsia="zh-CN"/>
              </w:rPr>
              <w:t>多联式空调（热泵）机组（制冷量≤ 14000W）</w:t>
            </w:r>
          </w:p>
        </w:tc>
        <w:tc>
          <w:tcPr>
            <w:tcW w:w="4309" w:type="dxa"/>
            <w:tcBorders>
              <w:top w:val="single" w:color="000000" w:sz="4" w:space="0"/>
              <w:left w:val="single" w:color="000000" w:sz="4" w:space="0"/>
              <w:bottom w:val="single" w:color="000000" w:sz="4" w:space="0"/>
              <w:right w:val="single" w:color="000000" w:sz="4" w:space="0"/>
            </w:tcBorders>
          </w:tcPr>
          <w:p w14:paraId="0F9E8F3C">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《多联式空调（热泵）机组能效限定值及能源效率等级》（GB21454）</w:t>
            </w:r>
          </w:p>
        </w:tc>
      </w:tr>
      <w:tr w14:paraId="34D0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57DEAC3">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67C25E0">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0B7E157">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3E29A292">
            <w:pPr>
              <w:pStyle w:val="65"/>
              <w:jc w:val="center"/>
              <w:rPr>
                <w:rFonts w:ascii="宋体" w:hAnsi="宋体" w:cs="宋体"/>
                <w:kern w:val="2"/>
                <w:sz w:val="24"/>
                <w:szCs w:val="24"/>
                <w:lang w:eastAsia="zh-CN"/>
              </w:rPr>
            </w:pPr>
            <w:r>
              <w:rPr>
                <w:rFonts w:hint="eastAsia" w:ascii="宋体" w:hAnsi="宋体" w:cs="宋体"/>
                <w:w w:val="99"/>
                <w:kern w:val="2"/>
                <w:sz w:val="24"/>
                <w:szCs w:val="24"/>
                <w:lang w:eastAsia="zh-CN"/>
              </w:rPr>
              <w:t>单元式空气调节机（制冷量≤ 14000W）</w:t>
            </w:r>
          </w:p>
        </w:tc>
        <w:tc>
          <w:tcPr>
            <w:tcW w:w="4309" w:type="dxa"/>
            <w:tcBorders>
              <w:top w:val="single" w:color="000000" w:sz="4" w:space="0"/>
              <w:left w:val="single" w:color="000000" w:sz="4" w:space="0"/>
              <w:bottom w:val="single" w:color="000000" w:sz="4" w:space="0"/>
              <w:right w:val="single" w:color="000000" w:sz="4" w:space="0"/>
            </w:tcBorders>
          </w:tcPr>
          <w:p w14:paraId="1D423233">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《单元式空气调节机能效限定值及能源效率等级》（GB19576）《风管送风式空调机组能效限定值及能效等级》（GB37479）</w:t>
            </w:r>
          </w:p>
        </w:tc>
      </w:tr>
      <w:tr w14:paraId="72CCF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B11AAA2">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D9ABAC4">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4230DA53">
            <w:pPr>
              <w:pStyle w:val="65"/>
              <w:spacing w:before="162"/>
              <w:ind w:left="7"/>
              <w:jc w:val="center"/>
              <w:rPr>
                <w:rFonts w:ascii="宋体" w:hAnsi="宋体" w:cs="宋体"/>
                <w:kern w:val="2"/>
                <w:sz w:val="24"/>
                <w:szCs w:val="24"/>
              </w:rPr>
            </w:pPr>
            <w:r>
              <w:rPr>
                <w:rFonts w:hint="eastAsia" w:ascii="宋体" w:hAnsi="宋体" w:cs="仿宋_GB2312"/>
                <w:kern w:val="2"/>
                <w:sz w:val="24"/>
                <w:szCs w:val="24"/>
              </w:rPr>
              <w:t>A02061810</w:t>
            </w:r>
            <w:r>
              <w:rPr>
                <w:rFonts w:hint="eastAsia" w:ascii="宋体" w:hAnsi="宋体" w:cs="宋体"/>
                <w:w w:val="99"/>
                <w:kern w:val="2"/>
                <w:sz w:val="24"/>
                <w:szCs w:val="24"/>
              </w:rPr>
              <w:t>洗衣机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52297B4F">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5CC11B67">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《电动洗衣机能效水效限定值及等级》（GB12021.4）</w:t>
            </w:r>
          </w:p>
        </w:tc>
      </w:tr>
      <w:tr w14:paraId="45617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9055E4F">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7B58830">
            <w:pPr>
              <w:widowControl/>
              <w:jc w:val="left"/>
              <w:rPr>
                <w:rFonts w:ascii="宋体" w:hAnsi="宋体" w:cs="宋体"/>
                <w:sz w:val="24"/>
              </w:rPr>
            </w:pPr>
          </w:p>
        </w:tc>
        <w:tc>
          <w:tcPr>
            <w:tcW w:w="1546" w:type="dxa"/>
            <w:vMerge w:val="restart"/>
            <w:tcBorders>
              <w:top w:val="single" w:color="000000" w:sz="4" w:space="0"/>
              <w:left w:val="single" w:color="000000" w:sz="4" w:space="0"/>
              <w:bottom w:val="single" w:color="000000" w:sz="4" w:space="0"/>
              <w:right w:val="single" w:color="000000" w:sz="4" w:space="0"/>
            </w:tcBorders>
            <w:vAlign w:val="center"/>
          </w:tcPr>
          <w:p w14:paraId="62C7503D">
            <w:pPr>
              <w:pStyle w:val="65"/>
              <w:spacing w:before="161"/>
              <w:jc w:val="center"/>
              <w:rPr>
                <w:rFonts w:ascii="宋体" w:hAnsi="宋体" w:cs="宋体"/>
                <w:kern w:val="2"/>
                <w:sz w:val="24"/>
                <w:szCs w:val="24"/>
              </w:rPr>
            </w:pPr>
            <w:r>
              <w:rPr>
                <w:rFonts w:hint="eastAsia" w:ascii="宋体" w:hAnsi="宋体" w:cs="仿宋_GB2312"/>
                <w:kern w:val="2"/>
                <w:sz w:val="24"/>
                <w:szCs w:val="24"/>
              </w:rPr>
              <w:t>A02061819</w:t>
            </w:r>
            <w:r>
              <w:rPr>
                <w:rFonts w:hint="eastAsia" w:ascii="宋体" w:hAnsi="宋体" w:cs="宋体"/>
                <w:w w:val="99"/>
                <w:kern w:val="2"/>
                <w:sz w:val="24"/>
                <w:szCs w:val="24"/>
              </w:rPr>
              <w:t>热水器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3807B30B">
            <w:pPr>
              <w:pStyle w:val="65"/>
              <w:jc w:val="center"/>
              <w:rPr>
                <w:rFonts w:ascii="宋体" w:hAnsi="宋体" w:cs="宋体"/>
                <w:kern w:val="2"/>
                <w:sz w:val="24"/>
                <w:szCs w:val="24"/>
              </w:rPr>
            </w:pPr>
            <w:r>
              <w:rPr>
                <w:rFonts w:hint="eastAsia" w:ascii="宋体" w:hAnsi="宋体" w:cs="宋体"/>
                <w:w w:val="99"/>
                <w:kern w:val="2"/>
                <w:sz w:val="24"/>
                <w:szCs w:val="24"/>
              </w:rPr>
              <w:t>★电热</w:t>
            </w:r>
            <w:r>
              <w:rPr>
                <w:rFonts w:hint="eastAsia" w:ascii="宋体" w:hAnsi="宋体" w:cs="宋体"/>
                <w:spacing w:val="2"/>
                <w:w w:val="99"/>
                <w:kern w:val="2"/>
                <w:sz w:val="24"/>
                <w:szCs w:val="24"/>
              </w:rPr>
              <w:t>水</w:t>
            </w:r>
            <w:r>
              <w:rPr>
                <w:rFonts w:hint="eastAsia" w:ascii="宋体" w:hAnsi="宋体" w:cs="宋体"/>
                <w:w w:val="99"/>
                <w:kern w:val="2"/>
                <w:sz w:val="24"/>
                <w:szCs w:val="24"/>
              </w:rPr>
              <w:t>器</w:t>
            </w:r>
          </w:p>
        </w:tc>
        <w:tc>
          <w:tcPr>
            <w:tcW w:w="4309" w:type="dxa"/>
            <w:tcBorders>
              <w:top w:val="single" w:color="000000" w:sz="4" w:space="0"/>
              <w:left w:val="single" w:color="000000" w:sz="4" w:space="0"/>
              <w:bottom w:val="single" w:color="000000" w:sz="4" w:space="0"/>
              <w:right w:val="single" w:color="000000" w:sz="4" w:space="0"/>
            </w:tcBorders>
          </w:tcPr>
          <w:p w14:paraId="19557CA7">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《储水式电热水器能效限定值及能效等级》（GB21519）</w:t>
            </w:r>
          </w:p>
        </w:tc>
      </w:tr>
      <w:tr w14:paraId="345F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875D865">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D066D80">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6621180">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7697FF39">
            <w:pPr>
              <w:pStyle w:val="65"/>
              <w:jc w:val="center"/>
              <w:rPr>
                <w:rFonts w:ascii="宋体" w:hAnsi="宋体" w:cs="宋体"/>
                <w:kern w:val="2"/>
                <w:sz w:val="24"/>
                <w:szCs w:val="24"/>
              </w:rPr>
            </w:pPr>
            <w:r>
              <w:rPr>
                <w:rFonts w:hint="eastAsia" w:ascii="宋体" w:hAnsi="宋体" w:cs="宋体"/>
                <w:w w:val="99"/>
                <w:kern w:val="2"/>
                <w:sz w:val="24"/>
                <w:szCs w:val="24"/>
              </w:rPr>
              <w:t>燃气热</w:t>
            </w:r>
            <w:r>
              <w:rPr>
                <w:rFonts w:hint="eastAsia" w:ascii="宋体" w:hAnsi="宋体" w:cs="宋体"/>
                <w:spacing w:val="2"/>
                <w:w w:val="99"/>
                <w:kern w:val="2"/>
                <w:sz w:val="24"/>
                <w:szCs w:val="24"/>
              </w:rPr>
              <w:t>水</w:t>
            </w:r>
            <w:r>
              <w:rPr>
                <w:rFonts w:hint="eastAsia" w:ascii="宋体" w:hAnsi="宋体" w:cs="宋体"/>
                <w:w w:val="99"/>
                <w:kern w:val="2"/>
                <w:sz w:val="24"/>
                <w:szCs w:val="24"/>
              </w:rPr>
              <w:t>器</w:t>
            </w:r>
          </w:p>
        </w:tc>
        <w:tc>
          <w:tcPr>
            <w:tcW w:w="4309" w:type="dxa"/>
            <w:tcBorders>
              <w:top w:val="single" w:color="000000" w:sz="4" w:space="0"/>
              <w:left w:val="single" w:color="000000" w:sz="4" w:space="0"/>
              <w:bottom w:val="single" w:color="000000" w:sz="4" w:space="0"/>
              <w:right w:val="single" w:color="000000" w:sz="4" w:space="0"/>
            </w:tcBorders>
          </w:tcPr>
          <w:p w14:paraId="59BC87DA">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《家用燃气快速热水器和燃气采暖热水炉能效限定值及能效等级》（GB20665）</w:t>
            </w:r>
          </w:p>
        </w:tc>
      </w:tr>
      <w:tr w14:paraId="55FB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9C68AF5">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13D612AB">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8629310">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26F0DE31">
            <w:pPr>
              <w:pStyle w:val="65"/>
              <w:jc w:val="center"/>
              <w:rPr>
                <w:rFonts w:ascii="宋体" w:hAnsi="宋体" w:cs="宋体"/>
                <w:kern w:val="2"/>
                <w:sz w:val="24"/>
                <w:szCs w:val="24"/>
              </w:rPr>
            </w:pPr>
            <w:r>
              <w:rPr>
                <w:rFonts w:hint="eastAsia" w:ascii="宋体" w:hAnsi="宋体" w:cs="宋体"/>
                <w:w w:val="99"/>
                <w:kern w:val="2"/>
                <w:sz w:val="24"/>
                <w:szCs w:val="24"/>
              </w:rPr>
              <w:t>热泵热</w:t>
            </w:r>
            <w:r>
              <w:rPr>
                <w:rFonts w:hint="eastAsia" w:ascii="宋体" w:hAnsi="宋体" w:cs="宋体"/>
                <w:spacing w:val="2"/>
                <w:w w:val="99"/>
                <w:kern w:val="2"/>
                <w:sz w:val="24"/>
                <w:szCs w:val="24"/>
              </w:rPr>
              <w:t>水</w:t>
            </w:r>
            <w:r>
              <w:rPr>
                <w:rFonts w:hint="eastAsia" w:ascii="宋体" w:hAnsi="宋体" w:cs="宋体"/>
                <w:w w:val="99"/>
                <w:kern w:val="2"/>
                <w:sz w:val="24"/>
                <w:szCs w:val="24"/>
              </w:rPr>
              <w:t>器</w:t>
            </w:r>
          </w:p>
        </w:tc>
        <w:tc>
          <w:tcPr>
            <w:tcW w:w="4309" w:type="dxa"/>
            <w:tcBorders>
              <w:top w:val="single" w:color="000000" w:sz="4" w:space="0"/>
              <w:left w:val="single" w:color="000000" w:sz="4" w:space="0"/>
              <w:bottom w:val="single" w:color="000000" w:sz="4" w:space="0"/>
              <w:right w:val="single" w:color="000000" w:sz="4" w:space="0"/>
            </w:tcBorders>
          </w:tcPr>
          <w:p w14:paraId="6F92E709">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《热泵热水机（器）能效限定值及能效等级》（GB29541）</w:t>
            </w:r>
          </w:p>
        </w:tc>
      </w:tr>
      <w:tr w14:paraId="60A3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C9B0D45">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67C5F48">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4FB13BB">
            <w:pPr>
              <w:widowControl/>
              <w:jc w:val="left"/>
              <w:rPr>
                <w:rFonts w:ascii="宋体" w:hAnsi="宋体" w:cs="宋体"/>
                <w:sz w:val="24"/>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45DDB975">
            <w:pPr>
              <w:pStyle w:val="65"/>
              <w:jc w:val="center"/>
              <w:rPr>
                <w:rFonts w:ascii="宋体" w:hAnsi="宋体" w:cs="宋体"/>
                <w:kern w:val="2"/>
                <w:sz w:val="24"/>
                <w:szCs w:val="24"/>
              </w:rPr>
            </w:pPr>
            <w:r>
              <w:rPr>
                <w:rFonts w:hint="eastAsia" w:ascii="宋体" w:hAnsi="宋体" w:cs="宋体"/>
                <w:w w:val="99"/>
                <w:kern w:val="2"/>
                <w:sz w:val="24"/>
                <w:szCs w:val="24"/>
              </w:rPr>
              <w:t>太阳能</w:t>
            </w:r>
            <w:r>
              <w:rPr>
                <w:rFonts w:hint="eastAsia" w:ascii="宋体" w:hAnsi="宋体" w:cs="宋体"/>
                <w:spacing w:val="2"/>
                <w:w w:val="99"/>
                <w:kern w:val="2"/>
                <w:sz w:val="24"/>
                <w:szCs w:val="24"/>
              </w:rPr>
              <w:t>热</w:t>
            </w:r>
            <w:r>
              <w:rPr>
                <w:rFonts w:hint="eastAsia" w:ascii="宋体" w:hAnsi="宋体" w:cs="宋体"/>
                <w:w w:val="99"/>
                <w:kern w:val="2"/>
                <w:sz w:val="24"/>
                <w:szCs w:val="24"/>
              </w:rPr>
              <w:t>水系统</w:t>
            </w:r>
          </w:p>
        </w:tc>
        <w:tc>
          <w:tcPr>
            <w:tcW w:w="4309" w:type="dxa"/>
            <w:tcBorders>
              <w:top w:val="single" w:color="000000" w:sz="4" w:space="0"/>
              <w:left w:val="single" w:color="000000" w:sz="4" w:space="0"/>
              <w:bottom w:val="single" w:color="000000" w:sz="4" w:space="0"/>
              <w:right w:val="single" w:color="000000" w:sz="4" w:space="0"/>
            </w:tcBorders>
          </w:tcPr>
          <w:p w14:paraId="265B326B">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《家用太阳能热水系统能效限定值及能效等级》（GB26969）</w:t>
            </w:r>
          </w:p>
        </w:tc>
      </w:tr>
      <w:tr w14:paraId="5926C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7F5A0E40">
            <w:pPr>
              <w:pStyle w:val="65"/>
              <w:jc w:val="center"/>
              <w:rPr>
                <w:rFonts w:ascii="宋体" w:hAnsi="宋体" w:cs="宋体"/>
                <w:kern w:val="2"/>
                <w:sz w:val="24"/>
                <w:szCs w:val="24"/>
              </w:rPr>
            </w:pPr>
            <w:r>
              <w:rPr>
                <w:rFonts w:hint="eastAsia" w:ascii="宋体" w:hAnsi="宋体"/>
                <w:spacing w:val="1"/>
                <w:w w:val="99"/>
                <w:kern w:val="2"/>
                <w:sz w:val="24"/>
                <w:szCs w:val="24"/>
              </w:rPr>
              <w:t>1</w:t>
            </w:r>
            <w:r>
              <w:rPr>
                <w:rFonts w:hint="eastAsia" w:ascii="宋体" w:hAnsi="宋体"/>
                <w:w w:val="99"/>
                <w:kern w:val="2"/>
                <w:sz w:val="24"/>
                <w:szCs w:val="24"/>
              </w:rPr>
              <w:t>1</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5E27C646">
            <w:pPr>
              <w:pStyle w:val="65"/>
              <w:spacing w:before="157"/>
              <w:jc w:val="center"/>
              <w:rPr>
                <w:rFonts w:ascii="宋体" w:hAnsi="宋体" w:cs="宋体"/>
                <w:kern w:val="2"/>
                <w:sz w:val="24"/>
                <w:szCs w:val="24"/>
              </w:rPr>
            </w:pPr>
            <w:r>
              <w:rPr>
                <w:rFonts w:hint="eastAsia" w:ascii="宋体" w:hAnsi="宋体" w:cs="宋体"/>
                <w:spacing w:val="1"/>
                <w:w w:val="99"/>
                <w:kern w:val="2"/>
                <w:sz w:val="24"/>
                <w:szCs w:val="24"/>
              </w:rPr>
              <w:t>A02</w:t>
            </w:r>
            <w:r>
              <w:rPr>
                <w:rFonts w:hint="eastAsia" w:ascii="宋体" w:hAnsi="宋体" w:cs="宋体"/>
                <w:w w:val="99"/>
                <w:kern w:val="2"/>
                <w:sz w:val="24"/>
                <w:szCs w:val="24"/>
              </w:rPr>
              <w:t>06</w:t>
            </w:r>
            <w:r>
              <w:rPr>
                <w:rFonts w:hint="eastAsia" w:ascii="宋体" w:hAnsi="宋体" w:cs="宋体"/>
                <w:spacing w:val="1"/>
                <w:w w:val="99"/>
                <w:kern w:val="2"/>
                <w:sz w:val="24"/>
                <w:szCs w:val="24"/>
              </w:rPr>
              <w:t>1</w:t>
            </w:r>
            <w:r>
              <w:rPr>
                <w:rFonts w:hint="eastAsia" w:ascii="宋体" w:hAnsi="宋体" w:cs="宋体"/>
                <w:w w:val="99"/>
                <w:kern w:val="2"/>
                <w:sz w:val="24"/>
                <w:szCs w:val="24"/>
              </w:rPr>
              <w:t>900照明设备</w:t>
            </w:r>
          </w:p>
        </w:tc>
        <w:tc>
          <w:tcPr>
            <w:tcW w:w="1546" w:type="dxa"/>
            <w:tcBorders>
              <w:top w:val="single" w:color="000000" w:sz="4" w:space="0"/>
              <w:left w:val="single" w:color="000000" w:sz="4" w:space="0"/>
              <w:bottom w:val="single" w:color="000000" w:sz="4" w:space="0"/>
              <w:right w:val="single" w:color="000000" w:sz="4" w:space="0"/>
            </w:tcBorders>
            <w:vAlign w:val="center"/>
          </w:tcPr>
          <w:p w14:paraId="41A62219">
            <w:pPr>
              <w:pStyle w:val="65"/>
              <w:spacing w:before="133" w:line="276" w:lineRule="auto"/>
              <w:ind w:left="7" w:right="7"/>
              <w:jc w:val="center"/>
              <w:rPr>
                <w:rFonts w:ascii="宋体" w:hAnsi="宋体" w:cs="宋体"/>
                <w:kern w:val="2"/>
                <w:sz w:val="24"/>
                <w:szCs w:val="24"/>
                <w:lang w:eastAsia="zh-CN"/>
              </w:rPr>
            </w:pPr>
            <w:r>
              <w:rPr>
                <w:rFonts w:hint="eastAsia" w:ascii="宋体" w:hAnsi="宋体" w:cs="宋体"/>
                <w:w w:val="99"/>
                <w:kern w:val="2"/>
                <w:sz w:val="24"/>
                <w:szCs w:val="24"/>
                <w:lang w:eastAsia="zh-CN"/>
              </w:rPr>
              <w:t>★普通照明用双端荧光灯</w:t>
            </w:r>
          </w:p>
        </w:tc>
        <w:tc>
          <w:tcPr>
            <w:tcW w:w="1536" w:type="dxa"/>
            <w:tcBorders>
              <w:top w:val="single" w:color="000000" w:sz="4" w:space="0"/>
              <w:left w:val="single" w:color="000000" w:sz="4" w:space="0"/>
              <w:bottom w:val="single" w:color="000000" w:sz="4" w:space="0"/>
              <w:right w:val="single" w:color="000000" w:sz="4" w:space="0"/>
            </w:tcBorders>
            <w:vAlign w:val="center"/>
          </w:tcPr>
          <w:p w14:paraId="4470B386">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47C4BCBE">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《普通照明用双端荧光灯能效限定值及能效等级》（GB19043）</w:t>
            </w:r>
          </w:p>
        </w:tc>
      </w:tr>
      <w:tr w14:paraId="6526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3647750">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53407D0">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3FA63387">
            <w:pPr>
              <w:pStyle w:val="65"/>
              <w:spacing w:before="92" w:line="276" w:lineRule="auto"/>
              <w:ind w:left="7" w:right="2"/>
              <w:jc w:val="center"/>
              <w:rPr>
                <w:rFonts w:ascii="宋体" w:hAnsi="宋体" w:cs="宋体"/>
                <w:kern w:val="2"/>
                <w:sz w:val="24"/>
                <w:szCs w:val="24"/>
              </w:rPr>
            </w:pPr>
            <w:r>
              <w:rPr>
                <w:rFonts w:hint="eastAsia" w:ascii="宋体" w:hAnsi="宋体" w:cs="宋体"/>
                <w:spacing w:val="1"/>
                <w:w w:val="99"/>
                <w:kern w:val="2"/>
                <w:sz w:val="24"/>
                <w:szCs w:val="24"/>
              </w:rPr>
              <w:t>LE</w:t>
            </w:r>
            <w:r>
              <w:rPr>
                <w:rFonts w:hint="eastAsia" w:ascii="宋体" w:hAnsi="宋体" w:cs="宋体"/>
                <w:w w:val="99"/>
                <w:kern w:val="2"/>
                <w:sz w:val="24"/>
                <w:szCs w:val="24"/>
              </w:rPr>
              <w:t>D</w:t>
            </w:r>
            <w:r>
              <w:rPr>
                <w:rFonts w:hint="eastAsia" w:ascii="宋体" w:hAnsi="宋体" w:cs="宋体"/>
                <w:spacing w:val="12"/>
                <w:w w:val="99"/>
                <w:kern w:val="2"/>
                <w:sz w:val="24"/>
                <w:szCs w:val="24"/>
              </w:rPr>
              <w:t>道</w:t>
            </w:r>
            <w:r>
              <w:rPr>
                <w:rFonts w:hint="eastAsia" w:ascii="宋体" w:hAnsi="宋体" w:cs="宋体"/>
                <w:spacing w:val="9"/>
                <w:w w:val="99"/>
                <w:kern w:val="2"/>
                <w:sz w:val="24"/>
                <w:szCs w:val="24"/>
              </w:rPr>
              <w:t>路</w:t>
            </w:r>
            <w:r>
              <w:rPr>
                <w:rFonts w:hint="eastAsia" w:ascii="宋体" w:hAnsi="宋体" w:cs="宋体"/>
                <w:spacing w:val="13"/>
                <w:w w:val="99"/>
                <w:kern w:val="2"/>
                <w:sz w:val="24"/>
                <w:szCs w:val="24"/>
              </w:rPr>
              <w:t>/</w:t>
            </w:r>
            <w:r>
              <w:rPr>
                <w:rFonts w:hint="eastAsia" w:ascii="宋体" w:hAnsi="宋体" w:cs="宋体"/>
                <w:spacing w:val="12"/>
                <w:w w:val="99"/>
                <w:kern w:val="2"/>
                <w:sz w:val="24"/>
                <w:szCs w:val="24"/>
              </w:rPr>
              <w:t>隧道照</w:t>
            </w:r>
            <w:r>
              <w:rPr>
                <w:rFonts w:hint="eastAsia" w:ascii="宋体" w:hAnsi="宋体" w:cs="宋体"/>
                <w:w w:val="99"/>
                <w:kern w:val="2"/>
                <w:sz w:val="24"/>
                <w:szCs w:val="24"/>
              </w:rPr>
              <w:t>明产品</w:t>
            </w:r>
          </w:p>
        </w:tc>
        <w:tc>
          <w:tcPr>
            <w:tcW w:w="1536" w:type="dxa"/>
            <w:tcBorders>
              <w:top w:val="single" w:color="000000" w:sz="4" w:space="0"/>
              <w:left w:val="single" w:color="000000" w:sz="4" w:space="0"/>
              <w:bottom w:val="single" w:color="000000" w:sz="4" w:space="0"/>
              <w:right w:val="single" w:color="000000" w:sz="4" w:space="0"/>
            </w:tcBorders>
            <w:vAlign w:val="center"/>
          </w:tcPr>
          <w:p w14:paraId="2448C80D">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1295CF7C">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《道路和隧道照明用LED灯具能效限定值及能效等级》（GB37478）</w:t>
            </w:r>
          </w:p>
        </w:tc>
      </w:tr>
      <w:tr w14:paraId="3BB0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BDB46C3">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6772A199">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25EE1E22">
            <w:pPr>
              <w:pStyle w:val="65"/>
              <w:jc w:val="center"/>
              <w:rPr>
                <w:rFonts w:ascii="宋体" w:hAnsi="宋体" w:cs="宋体"/>
                <w:kern w:val="2"/>
                <w:sz w:val="24"/>
                <w:szCs w:val="24"/>
              </w:rPr>
            </w:pPr>
            <w:r>
              <w:rPr>
                <w:rFonts w:hint="eastAsia" w:ascii="宋体" w:hAnsi="宋体" w:cs="宋体"/>
                <w:spacing w:val="1"/>
                <w:w w:val="99"/>
                <w:kern w:val="2"/>
                <w:sz w:val="24"/>
                <w:szCs w:val="24"/>
              </w:rPr>
              <w:t>LE</w:t>
            </w:r>
            <w:r>
              <w:rPr>
                <w:rFonts w:hint="eastAsia" w:ascii="宋体" w:hAnsi="宋体" w:cs="宋体"/>
                <w:w w:val="99"/>
                <w:kern w:val="2"/>
                <w:sz w:val="24"/>
                <w:szCs w:val="24"/>
              </w:rPr>
              <w:t>D筒灯</w:t>
            </w:r>
          </w:p>
        </w:tc>
        <w:tc>
          <w:tcPr>
            <w:tcW w:w="1536" w:type="dxa"/>
            <w:tcBorders>
              <w:top w:val="single" w:color="000000" w:sz="4" w:space="0"/>
              <w:left w:val="single" w:color="000000" w:sz="4" w:space="0"/>
              <w:bottom w:val="single" w:color="000000" w:sz="4" w:space="0"/>
              <w:right w:val="single" w:color="000000" w:sz="4" w:space="0"/>
            </w:tcBorders>
            <w:vAlign w:val="center"/>
          </w:tcPr>
          <w:p w14:paraId="33849EC9">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74EDEF06">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《室内照明用LED产品能效限定值及能效等级》（GB30255）</w:t>
            </w:r>
          </w:p>
        </w:tc>
      </w:tr>
      <w:tr w14:paraId="4A5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682A949">
            <w:pPr>
              <w:widowControl/>
              <w:jc w:val="left"/>
              <w:rPr>
                <w:rFonts w:ascii="宋体" w:hAnsi="宋体" w:cs="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D72228C">
            <w:pPr>
              <w:widowControl/>
              <w:jc w:val="left"/>
              <w:rPr>
                <w:rFonts w:ascii="宋体" w:hAnsi="宋体" w:cs="宋体"/>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10374250">
            <w:pPr>
              <w:pStyle w:val="65"/>
              <w:spacing w:line="276" w:lineRule="auto"/>
              <w:ind w:right="7"/>
              <w:jc w:val="center"/>
              <w:rPr>
                <w:rFonts w:ascii="宋体" w:hAnsi="宋体" w:cs="宋体"/>
                <w:kern w:val="2"/>
                <w:sz w:val="24"/>
                <w:szCs w:val="24"/>
                <w:lang w:eastAsia="zh-CN"/>
              </w:rPr>
            </w:pPr>
            <w:r>
              <w:rPr>
                <w:rFonts w:hint="eastAsia" w:ascii="宋体" w:hAnsi="宋体" w:cs="宋体"/>
                <w:w w:val="99"/>
                <w:kern w:val="2"/>
                <w:sz w:val="24"/>
                <w:szCs w:val="24"/>
                <w:lang w:eastAsia="zh-CN"/>
              </w:rPr>
              <w:t>普</w:t>
            </w:r>
            <w:r>
              <w:rPr>
                <w:rFonts w:hint="eastAsia" w:ascii="宋体" w:hAnsi="宋体" w:cs="宋体"/>
                <w:spacing w:val="24"/>
                <w:w w:val="99"/>
                <w:kern w:val="2"/>
                <w:sz w:val="24"/>
                <w:szCs w:val="24"/>
                <w:lang w:eastAsia="zh-CN"/>
              </w:rPr>
              <w:t>通</w:t>
            </w:r>
            <w:r>
              <w:rPr>
                <w:rFonts w:hint="eastAsia" w:ascii="宋体" w:hAnsi="宋体" w:cs="宋体"/>
                <w:w w:val="99"/>
                <w:kern w:val="2"/>
                <w:sz w:val="24"/>
                <w:szCs w:val="24"/>
                <w:lang w:eastAsia="zh-CN"/>
              </w:rPr>
              <w:t>照明用非</w:t>
            </w:r>
            <w:r>
              <w:rPr>
                <w:rFonts w:hint="eastAsia" w:ascii="宋体" w:hAnsi="宋体" w:cs="宋体"/>
                <w:spacing w:val="24"/>
                <w:w w:val="99"/>
                <w:kern w:val="2"/>
                <w:sz w:val="24"/>
                <w:szCs w:val="24"/>
                <w:lang w:eastAsia="zh-CN"/>
              </w:rPr>
              <w:t>定</w:t>
            </w:r>
            <w:r>
              <w:rPr>
                <w:rFonts w:hint="eastAsia" w:ascii="宋体" w:hAnsi="宋体" w:cs="宋体"/>
                <w:w w:val="99"/>
                <w:kern w:val="2"/>
                <w:sz w:val="24"/>
                <w:szCs w:val="24"/>
                <w:lang w:eastAsia="zh-CN"/>
              </w:rPr>
              <w:t>向自镇流</w:t>
            </w:r>
            <w:r>
              <w:rPr>
                <w:rFonts w:hint="eastAsia" w:ascii="宋体" w:hAnsi="宋体" w:cs="宋体"/>
                <w:spacing w:val="1"/>
                <w:w w:val="99"/>
                <w:kern w:val="2"/>
                <w:sz w:val="24"/>
                <w:szCs w:val="24"/>
                <w:lang w:eastAsia="zh-CN"/>
              </w:rPr>
              <w:t>LE</w:t>
            </w:r>
            <w:r>
              <w:rPr>
                <w:rFonts w:hint="eastAsia" w:ascii="宋体" w:hAnsi="宋体" w:cs="宋体"/>
                <w:w w:val="99"/>
                <w:kern w:val="2"/>
                <w:sz w:val="24"/>
                <w:szCs w:val="24"/>
                <w:lang w:eastAsia="zh-CN"/>
              </w:rPr>
              <w:t>D灯</w:t>
            </w:r>
          </w:p>
        </w:tc>
        <w:tc>
          <w:tcPr>
            <w:tcW w:w="1536" w:type="dxa"/>
            <w:tcBorders>
              <w:top w:val="single" w:color="000000" w:sz="4" w:space="0"/>
              <w:left w:val="single" w:color="000000" w:sz="4" w:space="0"/>
              <w:bottom w:val="single" w:color="000000" w:sz="4" w:space="0"/>
              <w:right w:val="single" w:color="000000" w:sz="4" w:space="0"/>
            </w:tcBorders>
            <w:vAlign w:val="center"/>
          </w:tcPr>
          <w:p w14:paraId="619F307D">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390B5D73">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《室内照明用LED产品能效限定值及能效等级》（GB30255）</w:t>
            </w:r>
          </w:p>
        </w:tc>
      </w:tr>
      <w:tr w14:paraId="33E1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3AE9B72A">
            <w:pPr>
              <w:pStyle w:val="65"/>
              <w:jc w:val="center"/>
              <w:rPr>
                <w:rFonts w:ascii="宋体" w:hAnsi="宋体" w:cs="宋体"/>
                <w:kern w:val="2"/>
                <w:sz w:val="24"/>
                <w:szCs w:val="24"/>
              </w:rPr>
            </w:pPr>
            <w:r>
              <w:rPr>
                <w:rFonts w:hint="eastAsia" w:ascii="宋体" w:hAnsi="宋体"/>
                <w:spacing w:val="1"/>
                <w:w w:val="99"/>
                <w:kern w:val="2"/>
                <w:sz w:val="24"/>
                <w:szCs w:val="24"/>
              </w:rPr>
              <w:t>1</w:t>
            </w:r>
            <w:r>
              <w:rPr>
                <w:rFonts w:hint="eastAsia" w:ascii="宋体" w:hAnsi="宋体"/>
                <w:w w:val="99"/>
                <w:kern w:val="2"/>
                <w:sz w:val="24"/>
                <w:szCs w:val="24"/>
              </w:rPr>
              <w:t>2</w:t>
            </w:r>
          </w:p>
        </w:tc>
        <w:tc>
          <w:tcPr>
            <w:tcW w:w="1543" w:type="dxa"/>
            <w:tcBorders>
              <w:top w:val="single" w:color="000000" w:sz="4" w:space="0"/>
              <w:left w:val="single" w:color="000000" w:sz="4" w:space="0"/>
              <w:bottom w:val="single" w:color="000000" w:sz="4" w:space="0"/>
              <w:right w:val="single" w:color="000000" w:sz="4" w:space="0"/>
            </w:tcBorders>
            <w:vAlign w:val="center"/>
          </w:tcPr>
          <w:p w14:paraId="5E02C378">
            <w:pPr>
              <w:pStyle w:val="65"/>
              <w:spacing w:before="81"/>
              <w:ind w:left="7"/>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宋体"/>
                <w:spacing w:val="1"/>
                <w:w w:val="99"/>
                <w:kern w:val="2"/>
                <w:sz w:val="24"/>
                <w:szCs w:val="24"/>
              </w:rPr>
              <w:t>A020</w:t>
            </w:r>
            <w:r>
              <w:rPr>
                <w:rFonts w:hint="eastAsia" w:ascii="宋体" w:hAnsi="宋体" w:cs="宋体"/>
                <w:w w:val="99"/>
                <w:kern w:val="2"/>
                <w:sz w:val="24"/>
                <w:szCs w:val="24"/>
              </w:rPr>
              <w:t>91000电视设备</w:t>
            </w:r>
          </w:p>
        </w:tc>
        <w:tc>
          <w:tcPr>
            <w:tcW w:w="1546" w:type="dxa"/>
            <w:tcBorders>
              <w:top w:val="single" w:color="000000" w:sz="4" w:space="0"/>
              <w:left w:val="single" w:color="000000" w:sz="4" w:space="0"/>
              <w:bottom w:val="single" w:color="000000" w:sz="4" w:space="0"/>
              <w:right w:val="single" w:color="000000" w:sz="4" w:space="0"/>
            </w:tcBorders>
            <w:vAlign w:val="center"/>
          </w:tcPr>
          <w:p w14:paraId="1174DE2B">
            <w:pPr>
              <w:pStyle w:val="65"/>
              <w:spacing w:before="81" w:line="276" w:lineRule="auto"/>
              <w:ind w:left="7" w:right="5"/>
              <w:jc w:val="center"/>
              <w:rPr>
                <w:rFonts w:ascii="宋体" w:hAnsi="宋体" w:cs="宋体"/>
                <w:kern w:val="2"/>
                <w:sz w:val="24"/>
                <w:szCs w:val="24"/>
                <w:lang w:eastAsia="zh-CN"/>
              </w:rPr>
            </w:pPr>
            <w:r>
              <w:rPr>
                <w:rFonts w:hint="eastAsia" w:ascii="宋体" w:hAnsi="宋体" w:cs="宋体"/>
                <w:spacing w:val="1"/>
                <w:w w:val="99"/>
                <w:kern w:val="2"/>
                <w:sz w:val="24"/>
                <w:szCs w:val="24"/>
                <w:lang w:eastAsia="zh-CN"/>
              </w:rPr>
              <w:t>A02</w:t>
            </w:r>
            <w:r>
              <w:rPr>
                <w:rFonts w:hint="eastAsia" w:ascii="宋体" w:hAnsi="宋体" w:cs="宋体"/>
                <w:w w:val="99"/>
                <w:kern w:val="2"/>
                <w:sz w:val="24"/>
                <w:szCs w:val="24"/>
                <w:lang w:eastAsia="zh-CN"/>
              </w:rPr>
              <w:t>09</w:t>
            </w:r>
            <w:r>
              <w:rPr>
                <w:rFonts w:hint="eastAsia" w:ascii="宋体" w:hAnsi="宋体" w:cs="宋体"/>
                <w:spacing w:val="1"/>
                <w:w w:val="99"/>
                <w:kern w:val="2"/>
                <w:sz w:val="24"/>
                <w:szCs w:val="24"/>
                <w:lang w:eastAsia="zh-CN"/>
              </w:rPr>
              <w:t>1</w:t>
            </w:r>
            <w:r>
              <w:rPr>
                <w:rFonts w:hint="eastAsia" w:ascii="宋体" w:hAnsi="宋体" w:cs="宋体"/>
                <w:w w:val="99"/>
                <w:kern w:val="2"/>
                <w:sz w:val="24"/>
                <w:szCs w:val="24"/>
                <w:lang w:eastAsia="zh-CN"/>
              </w:rPr>
              <w:t>001普通电视设备（</w:t>
            </w:r>
            <w:r>
              <w:rPr>
                <w:rFonts w:hint="eastAsia" w:ascii="宋体" w:hAnsi="宋体" w:cs="宋体"/>
                <w:spacing w:val="2"/>
                <w:w w:val="99"/>
                <w:kern w:val="2"/>
                <w:sz w:val="24"/>
                <w:szCs w:val="24"/>
                <w:lang w:eastAsia="zh-CN"/>
              </w:rPr>
              <w:t>电</w:t>
            </w:r>
            <w:r>
              <w:rPr>
                <w:rFonts w:hint="eastAsia" w:ascii="宋体" w:hAnsi="宋体" w:cs="宋体"/>
                <w:w w:val="99"/>
                <w:kern w:val="2"/>
                <w:sz w:val="24"/>
                <w:szCs w:val="24"/>
                <w:lang w:eastAsia="zh-CN"/>
              </w:rPr>
              <w:t>视机）</w:t>
            </w:r>
          </w:p>
        </w:tc>
        <w:tc>
          <w:tcPr>
            <w:tcW w:w="1536" w:type="dxa"/>
            <w:tcBorders>
              <w:top w:val="single" w:color="000000" w:sz="4" w:space="0"/>
              <w:left w:val="single" w:color="000000" w:sz="4" w:space="0"/>
              <w:bottom w:val="single" w:color="000000" w:sz="4" w:space="0"/>
              <w:right w:val="single" w:color="000000" w:sz="4" w:space="0"/>
            </w:tcBorders>
            <w:vAlign w:val="center"/>
          </w:tcPr>
          <w:p w14:paraId="3557328E">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6C63C655">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《平板电视能效限定值及能效等级》（GB24850）</w:t>
            </w:r>
          </w:p>
        </w:tc>
      </w:tr>
      <w:tr w14:paraId="5317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1EFCFB43">
            <w:pPr>
              <w:pStyle w:val="65"/>
              <w:jc w:val="center"/>
              <w:rPr>
                <w:rFonts w:ascii="宋体" w:hAnsi="宋体" w:cs="宋体"/>
                <w:kern w:val="2"/>
                <w:sz w:val="24"/>
                <w:szCs w:val="24"/>
              </w:rPr>
            </w:pPr>
            <w:r>
              <w:rPr>
                <w:rFonts w:hint="eastAsia" w:ascii="宋体" w:hAnsi="宋体"/>
                <w:spacing w:val="1"/>
                <w:w w:val="99"/>
                <w:kern w:val="2"/>
                <w:sz w:val="24"/>
                <w:szCs w:val="24"/>
              </w:rPr>
              <w:t>1</w:t>
            </w:r>
            <w:r>
              <w:rPr>
                <w:rFonts w:hint="eastAsia" w:ascii="宋体" w:hAnsi="宋体"/>
                <w:w w:val="99"/>
                <w:kern w:val="2"/>
                <w:sz w:val="24"/>
                <w:szCs w:val="24"/>
              </w:rPr>
              <w:t>3</w:t>
            </w:r>
          </w:p>
        </w:tc>
        <w:tc>
          <w:tcPr>
            <w:tcW w:w="1543" w:type="dxa"/>
            <w:tcBorders>
              <w:top w:val="single" w:color="000000" w:sz="4" w:space="0"/>
              <w:left w:val="single" w:color="000000" w:sz="4" w:space="0"/>
              <w:bottom w:val="single" w:color="000000" w:sz="4" w:space="0"/>
              <w:right w:val="single" w:color="000000" w:sz="4" w:space="0"/>
            </w:tcBorders>
            <w:vAlign w:val="center"/>
          </w:tcPr>
          <w:p w14:paraId="54E7B3FA">
            <w:pPr>
              <w:pStyle w:val="65"/>
              <w:jc w:val="center"/>
              <w:rPr>
                <w:rFonts w:ascii="宋体" w:hAnsi="宋体" w:cs="宋体"/>
                <w:kern w:val="2"/>
                <w:sz w:val="24"/>
                <w:szCs w:val="24"/>
              </w:rPr>
            </w:pPr>
            <w:r>
              <w:rPr>
                <w:rFonts w:hint="eastAsia" w:ascii="宋体" w:hAnsi="宋体" w:cs="宋体"/>
                <w:w w:val="99"/>
                <w:kern w:val="2"/>
                <w:sz w:val="24"/>
                <w:szCs w:val="24"/>
              </w:rPr>
              <w:t>★</w:t>
            </w:r>
            <w:r>
              <w:rPr>
                <w:rFonts w:hint="eastAsia" w:ascii="宋体" w:hAnsi="宋体" w:cs="宋体"/>
                <w:spacing w:val="1"/>
                <w:w w:val="99"/>
                <w:kern w:val="2"/>
                <w:sz w:val="24"/>
                <w:szCs w:val="24"/>
              </w:rPr>
              <w:t>A020</w:t>
            </w:r>
            <w:r>
              <w:rPr>
                <w:rFonts w:hint="eastAsia" w:ascii="宋体" w:hAnsi="宋体" w:cs="宋体"/>
                <w:w w:val="99"/>
                <w:kern w:val="2"/>
                <w:sz w:val="24"/>
                <w:szCs w:val="24"/>
              </w:rPr>
              <w:t>91100视频设备</w:t>
            </w:r>
          </w:p>
        </w:tc>
        <w:tc>
          <w:tcPr>
            <w:tcW w:w="1546" w:type="dxa"/>
            <w:tcBorders>
              <w:top w:val="single" w:color="000000" w:sz="4" w:space="0"/>
              <w:left w:val="single" w:color="000000" w:sz="4" w:space="0"/>
              <w:bottom w:val="single" w:color="000000" w:sz="4" w:space="0"/>
              <w:right w:val="single" w:color="000000" w:sz="4" w:space="0"/>
            </w:tcBorders>
            <w:vAlign w:val="center"/>
          </w:tcPr>
          <w:p w14:paraId="2F2CF875">
            <w:pPr>
              <w:pStyle w:val="65"/>
              <w:spacing w:line="276" w:lineRule="auto"/>
              <w:ind w:right="5"/>
              <w:jc w:val="center"/>
              <w:rPr>
                <w:rFonts w:ascii="宋体" w:hAnsi="宋体" w:cs="宋体"/>
                <w:kern w:val="2"/>
                <w:sz w:val="24"/>
                <w:szCs w:val="24"/>
              </w:rPr>
            </w:pPr>
            <w:r>
              <w:rPr>
                <w:rFonts w:hint="eastAsia" w:ascii="宋体" w:hAnsi="宋体" w:cs="宋体"/>
                <w:spacing w:val="1"/>
                <w:w w:val="99"/>
                <w:kern w:val="2"/>
                <w:sz w:val="24"/>
                <w:szCs w:val="24"/>
              </w:rPr>
              <w:t>A02</w:t>
            </w:r>
            <w:r>
              <w:rPr>
                <w:rFonts w:hint="eastAsia" w:ascii="宋体" w:hAnsi="宋体" w:cs="宋体"/>
                <w:w w:val="99"/>
                <w:kern w:val="2"/>
                <w:sz w:val="24"/>
                <w:szCs w:val="24"/>
              </w:rPr>
              <w:t>09</w:t>
            </w:r>
            <w:r>
              <w:rPr>
                <w:rFonts w:hint="eastAsia" w:ascii="宋体" w:hAnsi="宋体" w:cs="宋体"/>
                <w:spacing w:val="1"/>
                <w:w w:val="99"/>
                <w:kern w:val="2"/>
                <w:sz w:val="24"/>
                <w:szCs w:val="24"/>
              </w:rPr>
              <w:t>1</w:t>
            </w:r>
            <w:r>
              <w:rPr>
                <w:rFonts w:hint="eastAsia" w:ascii="宋体" w:hAnsi="宋体" w:cs="宋体"/>
                <w:w w:val="99"/>
                <w:kern w:val="2"/>
                <w:sz w:val="24"/>
                <w:szCs w:val="24"/>
              </w:rPr>
              <w:t>107视频监控设备</w:t>
            </w:r>
          </w:p>
        </w:tc>
        <w:tc>
          <w:tcPr>
            <w:tcW w:w="1536" w:type="dxa"/>
            <w:tcBorders>
              <w:top w:val="single" w:color="000000" w:sz="4" w:space="0"/>
              <w:left w:val="single" w:color="000000" w:sz="4" w:space="0"/>
              <w:bottom w:val="single" w:color="000000" w:sz="4" w:space="0"/>
              <w:right w:val="single" w:color="000000" w:sz="4" w:space="0"/>
            </w:tcBorders>
            <w:vAlign w:val="center"/>
          </w:tcPr>
          <w:p w14:paraId="4B08A03C">
            <w:pPr>
              <w:pStyle w:val="65"/>
              <w:jc w:val="center"/>
              <w:rPr>
                <w:rFonts w:ascii="宋体" w:hAnsi="宋体" w:cs="宋体"/>
                <w:kern w:val="2"/>
                <w:sz w:val="24"/>
                <w:szCs w:val="24"/>
              </w:rPr>
            </w:pPr>
            <w:r>
              <w:rPr>
                <w:rFonts w:hint="eastAsia" w:ascii="宋体" w:hAnsi="宋体" w:cs="宋体"/>
                <w:w w:val="99"/>
                <w:kern w:val="2"/>
                <w:sz w:val="24"/>
                <w:szCs w:val="24"/>
              </w:rPr>
              <w:t>监视器</w:t>
            </w:r>
          </w:p>
        </w:tc>
        <w:tc>
          <w:tcPr>
            <w:tcW w:w="4309" w:type="dxa"/>
            <w:tcBorders>
              <w:top w:val="single" w:color="000000" w:sz="4" w:space="0"/>
              <w:left w:val="single" w:color="000000" w:sz="4" w:space="0"/>
              <w:bottom w:val="single" w:color="000000" w:sz="4" w:space="0"/>
              <w:right w:val="single" w:color="000000" w:sz="4" w:space="0"/>
            </w:tcBorders>
          </w:tcPr>
          <w:p w14:paraId="3F97B259">
            <w:pPr>
              <w:pStyle w:val="65"/>
              <w:spacing w:before="131" w:line="276" w:lineRule="auto"/>
              <w:ind w:left="7" w:right="4"/>
              <w:rPr>
                <w:rFonts w:ascii="宋体" w:hAnsi="宋体" w:cs="宋体"/>
                <w:spacing w:val="10"/>
                <w:kern w:val="2"/>
                <w:sz w:val="24"/>
                <w:szCs w:val="24"/>
                <w:lang w:eastAsia="zh-CN"/>
              </w:rPr>
            </w:pPr>
            <w:r>
              <w:rPr>
                <w:rFonts w:hint="eastAsia" w:ascii="宋体" w:hAnsi="宋体" w:cs="宋体"/>
                <w:spacing w:val="10"/>
                <w:kern w:val="2"/>
                <w:sz w:val="24"/>
                <w:szCs w:val="24"/>
                <w:lang w:eastAsia="zh-CN"/>
              </w:rPr>
              <w:t>以射频信号为主要信号输入的监视器应符合《平板电视能效限定值及能效等级》（GB24850），以数字信号为主要信号输入的监视器应符合《计算机显示器能效限定值及能效等级》（GB21520）</w:t>
            </w:r>
          </w:p>
        </w:tc>
      </w:tr>
      <w:tr w14:paraId="121D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79B5C5C5">
            <w:pPr>
              <w:pStyle w:val="65"/>
              <w:jc w:val="center"/>
              <w:rPr>
                <w:rFonts w:ascii="宋体" w:hAnsi="宋体" w:cs="宋体"/>
                <w:kern w:val="2"/>
                <w:sz w:val="24"/>
                <w:szCs w:val="24"/>
              </w:rPr>
            </w:pPr>
            <w:r>
              <w:rPr>
                <w:rFonts w:hint="eastAsia" w:ascii="宋体" w:hAnsi="宋体"/>
                <w:spacing w:val="1"/>
                <w:w w:val="99"/>
                <w:kern w:val="2"/>
                <w:sz w:val="24"/>
                <w:szCs w:val="24"/>
              </w:rPr>
              <w:t>1</w:t>
            </w:r>
            <w:r>
              <w:rPr>
                <w:rFonts w:hint="eastAsia" w:ascii="宋体" w:hAnsi="宋体"/>
                <w:w w:val="99"/>
                <w:kern w:val="2"/>
                <w:sz w:val="24"/>
                <w:szCs w:val="24"/>
              </w:rPr>
              <w:t>4</w:t>
            </w:r>
          </w:p>
        </w:tc>
        <w:tc>
          <w:tcPr>
            <w:tcW w:w="1543" w:type="dxa"/>
            <w:tcBorders>
              <w:top w:val="single" w:color="000000" w:sz="4" w:space="0"/>
              <w:left w:val="single" w:color="000000" w:sz="4" w:space="0"/>
              <w:bottom w:val="single" w:color="000000" w:sz="4" w:space="0"/>
              <w:right w:val="single" w:color="000000" w:sz="4" w:space="0"/>
            </w:tcBorders>
            <w:vAlign w:val="center"/>
          </w:tcPr>
          <w:p w14:paraId="3CFED811">
            <w:pPr>
              <w:pStyle w:val="65"/>
              <w:spacing w:before="76"/>
              <w:ind w:left="7"/>
              <w:jc w:val="center"/>
              <w:rPr>
                <w:rFonts w:ascii="宋体" w:hAnsi="宋体" w:cs="宋体"/>
                <w:kern w:val="2"/>
                <w:sz w:val="24"/>
                <w:szCs w:val="24"/>
              </w:rPr>
            </w:pPr>
            <w:r>
              <w:rPr>
                <w:rFonts w:hint="eastAsia" w:ascii="宋体" w:hAnsi="宋体" w:cs="仿宋_GB2312"/>
                <w:kern w:val="2"/>
                <w:sz w:val="24"/>
                <w:szCs w:val="24"/>
              </w:rPr>
              <w:t>A02241000</w:t>
            </w:r>
            <w:r>
              <w:rPr>
                <w:rFonts w:hint="eastAsia" w:ascii="宋体" w:hAnsi="宋体" w:cs="宋体"/>
                <w:w w:val="99"/>
                <w:kern w:val="2"/>
                <w:sz w:val="24"/>
                <w:szCs w:val="24"/>
              </w:rPr>
              <w:t>饮食炊事机械</w:t>
            </w:r>
          </w:p>
        </w:tc>
        <w:tc>
          <w:tcPr>
            <w:tcW w:w="1546" w:type="dxa"/>
            <w:tcBorders>
              <w:top w:val="single" w:color="000000" w:sz="4" w:space="0"/>
              <w:left w:val="single" w:color="000000" w:sz="4" w:space="0"/>
              <w:bottom w:val="single" w:color="000000" w:sz="4" w:space="0"/>
              <w:right w:val="single" w:color="000000" w:sz="4" w:space="0"/>
            </w:tcBorders>
            <w:vAlign w:val="center"/>
          </w:tcPr>
          <w:p w14:paraId="0F190F29">
            <w:pPr>
              <w:pStyle w:val="65"/>
              <w:jc w:val="center"/>
              <w:rPr>
                <w:rFonts w:ascii="宋体" w:hAnsi="宋体" w:cs="宋体"/>
                <w:kern w:val="2"/>
                <w:sz w:val="24"/>
                <w:szCs w:val="24"/>
              </w:rPr>
            </w:pPr>
            <w:r>
              <w:rPr>
                <w:rFonts w:hint="eastAsia" w:ascii="宋体" w:hAnsi="宋体" w:cs="宋体"/>
                <w:w w:val="99"/>
                <w:kern w:val="2"/>
                <w:sz w:val="24"/>
                <w:szCs w:val="24"/>
              </w:rPr>
              <w:t>商用燃</w:t>
            </w:r>
            <w:r>
              <w:rPr>
                <w:rFonts w:hint="eastAsia" w:ascii="宋体" w:hAnsi="宋体" w:cs="宋体"/>
                <w:spacing w:val="2"/>
                <w:w w:val="99"/>
                <w:kern w:val="2"/>
                <w:sz w:val="24"/>
                <w:szCs w:val="24"/>
              </w:rPr>
              <w:t>气</w:t>
            </w:r>
            <w:r>
              <w:rPr>
                <w:rFonts w:hint="eastAsia" w:ascii="宋体" w:hAnsi="宋体" w:cs="宋体"/>
                <w:w w:val="99"/>
                <w:kern w:val="2"/>
                <w:sz w:val="24"/>
                <w:szCs w:val="24"/>
              </w:rPr>
              <w:t>灶具</w:t>
            </w:r>
          </w:p>
        </w:tc>
        <w:tc>
          <w:tcPr>
            <w:tcW w:w="1536" w:type="dxa"/>
            <w:tcBorders>
              <w:top w:val="single" w:color="000000" w:sz="4" w:space="0"/>
              <w:left w:val="single" w:color="000000" w:sz="4" w:space="0"/>
              <w:bottom w:val="single" w:color="000000" w:sz="4" w:space="0"/>
              <w:right w:val="single" w:color="000000" w:sz="4" w:space="0"/>
            </w:tcBorders>
            <w:vAlign w:val="center"/>
          </w:tcPr>
          <w:p w14:paraId="5F5ABB0D">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5DB33B58">
            <w:pPr>
              <w:pStyle w:val="65"/>
              <w:spacing w:before="131" w:line="276" w:lineRule="auto"/>
              <w:ind w:left="7" w:right="4"/>
              <w:rPr>
                <w:rFonts w:ascii="宋体" w:hAnsi="宋体" w:cs="宋体"/>
                <w:kern w:val="2"/>
                <w:sz w:val="24"/>
                <w:szCs w:val="24"/>
                <w:lang w:eastAsia="zh-CN"/>
              </w:rPr>
            </w:pPr>
            <w:r>
              <w:rPr>
                <w:rFonts w:hint="eastAsia" w:ascii="宋体" w:hAnsi="宋体" w:cs="宋体"/>
                <w:kern w:val="2"/>
                <w:sz w:val="24"/>
                <w:szCs w:val="24"/>
                <w:lang w:eastAsia="zh-CN"/>
              </w:rPr>
              <w:t>《商用燃气灶具能效限定值及能效等级》（GB30531）</w:t>
            </w:r>
          </w:p>
        </w:tc>
      </w:tr>
      <w:tr w14:paraId="3CFD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tcBorders>
              <w:top w:val="single" w:color="000000" w:sz="4" w:space="0"/>
              <w:left w:val="single" w:color="000000" w:sz="4" w:space="0"/>
              <w:bottom w:val="single" w:color="000000" w:sz="4" w:space="0"/>
              <w:right w:val="single" w:color="000000" w:sz="4" w:space="0"/>
            </w:tcBorders>
            <w:vAlign w:val="center"/>
          </w:tcPr>
          <w:p w14:paraId="347EEAC2">
            <w:pPr>
              <w:jc w:val="center"/>
              <w:rPr>
                <w:rFonts w:ascii="宋体" w:hAnsi="宋体"/>
                <w:sz w:val="24"/>
              </w:rPr>
            </w:pPr>
            <w:r>
              <w:rPr>
                <w:rFonts w:hint="eastAsia" w:ascii="宋体" w:hAnsi="宋体"/>
                <w:sz w:val="24"/>
              </w:rPr>
              <w:t>15</w:t>
            </w:r>
          </w:p>
        </w:tc>
        <w:tc>
          <w:tcPr>
            <w:tcW w:w="1543" w:type="dxa"/>
            <w:vMerge w:val="restart"/>
            <w:tcBorders>
              <w:top w:val="single" w:color="000000" w:sz="4" w:space="0"/>
              <w:left w:val="single" w:color="000000" w:sz="4" w:space="0"/>
              <w:bottom w:val="single" w:color="000000" w:sz="4" w:space="0"/>
              <w:right w:val="single" w:color="000000" w:sz="4" w:space="0"/>
            </w:tcBorders>
            <w:vAlign w:val="center"/>
          </w:tcPr>
          <w:p w14:paraId="42CA5A55">
            <w:pPr>
              <w:pStyle w:val="65"/>
              <w:jc w:val="center"/>
              <w:rPr>
                <w:rFonts w:ascii="宋体" w:hAnsi="宋体" w:cs="宋体"/>
                <w:w w:val="99"/>
                <w:kern w:val="2"/>
                <w:sz w:val="24"/>
                <w:szCs w:val="24"/>
              </w:rPr>
            </w:pPr>
            <w:r>
              <w:rPr>
                <w:rFonts w:hint="eastAsia" w:ascii="宋体" w:hAnsi="宋体" w:cs="宋体"/>
                <w:w w:val="99"/>
                <w:kern w:val="2"/>
                <w:sz w:val="24"/>
                <w:szCs w:val="24"/>
              </w:rPr>
              <w:t>★</w:t>
            </w:r>
            <w:r>
              <w:rPr>
                <w:rFonts w:hint="eastAsia" w:ascii="宋体" w:hAnsi="宋体" w:cs="仿宋_GB2312"/>
                <w:kern w:val="2"/>
                <w:sz w:val="24"/>
                <w:szCs w:val="24"/>
              </w:rPr>
              <w:t>A05020105</w:t>
            </w:r>
            <w:r>
              <w:rPr>
                <w:rFonts w:hint="eastAsia" w:ascii="宋体" w:hAnsi="宋体" w:cs="宋体"/>
                <w:w w:val="99"/>
                <w:kern w:val="2"/>
                <w:sz w:val="24"/>
                <w:szCs w:val="24"/>
              </w:rPr>
              <w:t>便器</w:t>
            </w:r>
          </w:p>
        </w:tc>
        <w:tc>
          <w:tcPr>
            <w:tcW w:w="1546" w:type="dxa"/>
            <w:tcBorders>
              <w:top w:val="single" w:color="000000" w:sz="4" w:space="0"/>
              <w:left w:val="single" w:color="000000" w:sz="4" w:space="0"/>
              <w:bottom w:val="single" w:color="000000" w:sz="4" w:space="0"/>
              <w:right w:val="single" w:color="000000" w:sz="4" w:space="0"/>
            </w:tcBorders>
            <w:vAlign w:val="center"/>
          </w:tcPr>
          <w:p w14:paraId="0AD9A589">
            <w:pPr>
              <w:pStyle w:val="65"/>
              <w:jc w:val="center"/>
              <w:rPr>
                <w:rFonts w:ascii="宋体" w:hAnsi="宋体" w:cs="宋体"/>
                <w:kern w:val="2"/>
                <w:sz w:val="24"/>
                <w:szCs w:val="24"/>
              </w:rPr>
            </w:pPr>
            <w:r>
              <w:rPr>
                <w:rFonts w:hint="eastAsia" w:ascii="宋体" w:hAnsi="宋体" w:cs="宋体"/>
                <w:w w:val="99"/>
                <w:kern w:val="2"/>
                <w:sz w:val="24"/>
                <w:szCs w:val="24"/>
              </w:rPr>
              <w:t>坐便器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2EF35617">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2F998A18">
            <w:pPr>
              <w:pStyle w:val="65"/>
              <w:spacing w:before="131" w:line="276" w:lineRule="auto"/>
              <w:ind w:left="7" w:right="4"/>
              <w:rPr>
                <w:rFonts w:ascii="宋体" w:hAnsi="宋体" w:cs="宋体"/>
                <w:kern w:val="2"/>
                <w:sz w:val="24"/>
                <w:szCs w:val="24"/>
                <w:lang w:eastAsia="zh-CN"/>
              </w:rPr>
            </w:pPr>
            <w:r>
              <w:rPr>
                <w:rFonts w:hint="eastAsia" w:ascii="宋体" w:hAnsi="宋体" w:cs="宋体"/>
                <w:kern w:val="2"/>
                <w:sz w:val="24"/>
                <w:szCs w:val="24"/>
                <w:lang w:eastAsia="zh-CN"/>
              </w:rPr>
              <w:t>《坐便器水效限定值及水效等级》</w:t>
            </w:r>
          </w:p>
          <w:p w14:paraId="1A5B85C8">
            <w:pPr>
              <w:pStyle w:val="65"/>
              <w:spacing w:before="131" w:line="276" w:lineRule="auto"/>
              <w:ind w:left="7" w:right="4"/>
              <w:rPr>
                <w:rFonts w:ascii="宋体" w:hAnsi="宋体" w:cs="宋体"/>
                <w:kern w:val="2"/>
                <w:sz w:val="24"/>
                <w:szCs w:val="24"/>
                <w:lang w:eastAsia="zh-CN"/>
              </w:rPr>
            </w:pPr>
            <w:r>
              <w:rPr>
                <w:rFonts w:hint="eastAsia" w:ascii="宋体" w:hAnsi="宋体" w:cs="宋体"/>
                <w:kern w:val="2"/>
                <w:sz w:val="24"/>
                <w:szCs w:val="24"/>
                <w:lang w:eastAsia="zh-CN"/>
              </w:rPr>
              <w:t>（GB25502）</w:t>
            </w:r>
          </w:p>
        </w:tc>
      </w:tr>
      <w:tr w14:paraId="1C870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B62EA82">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3F8AC7B">
            <w:pPr>
              <w:widowControl/>
              <w:jc w:val="left"/>
              <w:rPr>
                <w:rFonts w:ascii="宋体" w:hAnsi="宋体" w:cs="宋体"/>
                <w:w w:val="99"/>
                <w:sz w:val="24"/>
                <w:lang w:eastAsia="en-US"/>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174367E3">
            <w:pPr>
              <w:pStyle w:val="65"/>
              <w:jc w:val="center"/>
              <w:rPr>
                <w:rFonts w:ascii="宋体" w:hAnsi="宋体" w:cs="宋体"/>
                <w:kern w:val="2"/>
                <w:sz w:val="24"/>
                <w:szCs w:val="24"/>
              </w:rPr>
            </w:pPr>
            <w:r>
              <w:rPr>
                <w:rFonts w:hint="eastAsia" w:ascii="宋体" w:hAnsi="宋体" w:cs="宋体"/>
                <w:w w:val="99"/>
                <w:kern w:val="2"/>
                <w:sz w:val="24"/>
                <w:szCs w:val="24"/>
              </w:rPr>
              <w:t>蹲便器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34E172B7">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3517905F">
            <w:pPr>
              <w:pStyle w:val="65"/>
              <w:spacing w:before="131" w:line="276" w:lineRule="auto"/>
              <w:ind w:left="7" w:right="4"/>
              <w:rPr>
                <w:rFonts w:ascii="宋体" w:hAnsi="宋体" w:cs="宋体"/>
                <w:kern w:val="2"/>
                <w:sz w:val="24"/>
                <w:szCs w:val="24"/>
                <w:lang w:eastAsia="zh-CN"/>
              </w:rPr>
            </w:pPr>
            <w:r>
              <w:rPr>
                <w:rFonts w:hint="eastAsia" w:ascii="宋体" w:hAnsi="宋体" w:cs="宋体"/>
                <w:kern w:val="2"/>
                <w:sz w:val="24"/>
                <w:szCs w:val="24"/>
                <w:lang w:eastAsia="zh-CN"/>
              </w:rPr>
              <w:t>《蹲便器用水效率限定值及用水效率等级》（GB30717）</w:t>
            </w:r>
          </w:p>
        </w:tc>
      </w:tr>
      <w:tr w14:paraId="3F16C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CF63279">
            <w:pPr>
              <w:widowControl/>
              <w:jc w:val="left"/>
              <w:rPr>
                <w:rFonts w:ascii="宋体" w:hAnsi="宋体"/>
                <w:sz w:val="24"/>
              </w:rPr>
            </w:pP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4C237172">
            <w:pPr>
              <w:widowControl/>
              <w:jc w:val="left"/>
              <w:rPr>
                <w:rFonts w:ascii="宋体" w:hAnsi="宋体" w:cs="宋体"/>
                <w:w w:val="99"/>
                <w:sz w:val="24"/>
              </w:rPr>
            </w:pPr>
          </w:p>
        </w:tc>
        <w:tc>
          <w:tcPr>
            <w:tcW w:w="1546" w:type="dxa"/>
            <w:tcBorders>
              <w:top w:val="single" w:color="000000" w:sz="4" w:space="0"/>
              <w:left w:val="single" w:color="000000" w:sz="4" w:space="0"/>
              <w:bottom w:val="single" w:color="000000" w:sz="4" w:space="0"/>
              <w:right w:val="single" w:color="000000" w:sz="4" w:space="0"/>
            </w:tcBorders>
            <w:vAlign w:val="center"/>
          </w:tcPr>
          <w:p w14:paraId="07D41A79">
            <w:pPr>
              <w:pStyle w:val="65"/>
              <w:jc w:val="center"/>
              <w:rPr>
                <w:rFonts w:ascii="宋体" w:hAnsi="宋体" w:cs="宋体"/>
                <w:kern w:val="2"/>
                <w:sz w:val="24"/>
                <w:szCs w:val="24"/>
              </w:rPr>
            </w:pPr>
            <w:r>
              <w:rPr>
                <w:rFonts w:hint="eastAsia" w:ascii="宋体" w:hAnsi="宋体" w:cs="宋体"/>
                <w:w w:val="99"/>
                <w:kern w:val="2"/>
                <w:sz w:val="24"/>
                <w:szCs w:val="24"/>
              </w:rPr>
              <w:t>小便器</w:t>
            </w:r>
          </w:p>
        </w:tc>
        <w:tc>
          <w:tcPr>
            <w:tcW w:w="1536" w:type="dxa"/>
            <w:tcBorders>
              <w:top w:val="single" w:color="000000" w:sz="4" w:space="0"/>
              <w:left w:val="single" w:color="000000" w:sz="4" w:space="0"/>
              <w:bottom w:val="single" w:color="000000" w:sz="4" w:space="0"/>
              <w:right w:val="single" w:color="000000" w:sz="4" w:space="0"/>
            </w:tcBorders>
            <w:vAlign w:val="center"/>
          </w:tcPr>
          <w:p w14:paraId="270C17AC">
            <w:pPr>
              <w:jc w:val="center"/>
              <w:rPr>
                <w:rFonts w:ascii="宋体" w:hAnsi="宋体"/>
                <w:sz w:val="24"/>
              </w:rPr>
            </w:pPr>
          </w:p>
        </w:tc>
        <w:tc>
          <w:tcPr>
            <w:tcW w:w="4309" w:type="dxa"/>
            <w:tcBorders>
              <w:top w:val="single" w:color="000000" w:sz="4" w:space="0"/>
              <w:left w:val="single" w:color="000000" w:sz="4" w:space="0"/>
              <w:bottom w:val="single" w:color="000000" w:sz="4" w:space="0"/>
              <w:right w:val="single" w:color="000000" w:sz="4" w:space="0"/>
            </w:tcBorders>
          </w:tcPr>
          <w:p w14:paraId="62954A76">
            <w:pPr>
              <w:pStyle w:val="65"/>
              <w:spacing w:before="131" w:line="276" w:lineRule="auto"/>
              <w:ind w:left="7" w:right="4"/>
              <w:rPr>
                <w:rFonts w:ascii="宋体" w:hAnsi="宋体" w:cs="宋体"/>
                <w:kern w:val="2"/>
                <w:sz w:val="24"/>
                <w:szCs w:val="24"/>
                <w:lang w:eastAsia="zh-CN"/>
              </w:rPr>
            </w:pPr>
            <w:r>
              <w:rPr>
                <w:rFonts w:hint="eastAsia" w:ascii="宋体" w:hAnsi="宋体" w:cs="宋体"/>
                <w:kern w:val="2"/>
                <w:sz w:val="24"/>
                <w:szCs w:val="24"/>
                <w:lang w:eastAsia="zh-CN"/>
              </w:rPr>
              <w:t>《小便器用水效率限定值及用水效率等级》（GB28377）</w:t>
            </w:r>
          </w:p>
        </w:tc>
      </w:tr>
      <w:tr w14:paraId="43A3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0705AB1B">
            <w:pPr>
              <w:pStyle w:val="65"/>
              <w:jc w:val="center"/>
              <w:rPr>
                <w:rFonts w:ascii="宋体" w:hAnsi="宋体" w:cs="宋体"/>
                <w:kern w:val="2"/>
                <w:sz w:val="24"/>
                <w:szCs w:val="24"/>
              </w:rPr>
            </w:pPr>
            <w:r>
              <w:rPr>
                <w:rFonts w:hint="eastAsia" w:ascii="宋体" w:hAnsi="宋体"/>
                <w:kern w:val="2"/>
                <w:sz w:val="24"/>
                <w:szCs w:val="24"/>
              </w:rPr>
              <w:t>16</w:t>
            </w:r>
          </w:p>
        </w:tc>
        <w:tc>
          <w:tcPr>
            <w:tcW w:w="1543" w:type="dxa"/>
            <w:tcBorders>
              <w:top w:val="single" w:color="000000" w:sz="4" w:space="0"/>
              <w:left w:val="single" w:color="000000" w:sz="4" w:space="0"/>
              <w:bottom w:val="single" w:color="000000" w:sz="4" w:space="0"/>
              <w:right w:val="single" w:color="000000" w:sz="4" w:space="0"/>
            </w:tcBorders>
            <w:vAlign w:val="center"/>
          </w:tcPr>
          <w:p w14:paraId="688AE977">
            <w:pPr>
              <w:pStyle w:val="65"/>
              <w:spacing w:before="153"/>
              <w:ind w:left="7"/>
              <w:jc w:val="center"/>
              <w:rPr>
                <w:rFonts w:ascii="宋体" w:hAnsi="宋体" w:cs="宋体"/>
                <w:kern w:val="2"/>
                <w:sz w:val="24"/>
                <w:szCs w:val="24"/>
              </w:rPr>
            </w:pPr>
            <w:r>
              <w:rPr>
                <w:rFonts w:hint="eastAsia" w:ascii="宋体" w:hAnsi="宋体" w:cs="宋体"/>
                <w:kern w:val="2"/>
                <w:sz w:val="24"/>
                <w:szCs w:val="24"/>
              </w:rPr>
              <w:t>★</w:t>
            </w:r>
            <w:r>
              <w:rPr>
                <w:rFonts w:hint="eastAsia" w:ascii="宋体" w:hAnsi="宋体" w:cs="仿宋_GB2312"/>
                <w:kern w:val="2"/>
                <w:sz w:val="24"/>
                <w:szCs w:val="24"/>
              </w:rPr>
              <w:t>A05020106</w:t>
            </w:r>
            <w:r>
              <w:rPr>
                <w:rFonts w:hint="eastAsia" w:ascii="宋体" w:hAnsi="宋体" w:cs="宋体"/>
                <w:kern w:val="2"/>
                <w:sz w:val="24"/>
                <w:szCs w:val="24"/>
              </w:rPr>
              <w:t>水</w:t>
            </w:r>
            <w:r>
              <w:rPr>
                <w:rFonts w:hint="eastAsia" w:ascii="宋体" w:hAnsi="宋体" w:cs="宋体"/>
                <w:w w:val="99"/>
                <w:kern w:val="2"/>
                <w:sz w:val="24"/>
                <w:szCs w:val="24"/>
              </w:rPr>
              <w:t>嘴</w:t>
            </w:r>
          </w:p>
        </w:tc>
        <w:tc>
          <w:tcPr>
            <w:tcW w:w="1546" w:type="dxa"/>
            <w:tcBorders>
              <w:top w:val="single" w:color="000000" w:sz="4" w:space="0"/>
              <w:left w:val="single" w:color="000000" w:sz="4" w:space="0"/>
              <w:bottom w:val="single" w:color="000000" w:sz="4" w:space="0"/>
              <w:right w:val="single" w:color="000000" w:sz="4" w:space="0"/>
            </w:tcBorders>
            <w:vAlign w:val="center"/>
          </w:tcPr>
          <w:p w14:paraId="5E984916">
            <w:pPr>
              <w:jc w:val="center"/>
              <w:rPr>
                <w:rFonts w:ascii="宋体" w:hAnsi="宋体"/>
                <w:sz w:val="24"/>
                <w:lang w:eastAsia="en-US"/>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453BD1B1">
            <w:pPr>
              <w:jc w:val="center"/>
              <w:rPr>
                <w:rFonts w:ascii="宋体" w:hAnsi="宋体"/>
                <w:sz w:val="24"/>
                <w:lang w:eastAsia="en-US"/>
              </w:rPr>
            </w:pPr>
          </w:p>
        </w:tc>
        <w:tc>
          <w:tcPr>
            <w:tcW w:w="4309" w:type="dxa"/>
            <w:tcBorders>
              <w:top w:val="single" w:color="000000" w:sz="4" w:space="0"/>
              <w:left w:val="single" w:color="000000" w:sz="4" w:space="0"/>
              <w:bottom w:val="single" w:color="000000" w:sz="4" w:space="0"/>
              <w:right w:val="single" w:color="000000" w:sz="4" w:space="0"/>
            </w:tcBorders>
          </w:tcPr>
          <w:p w14:paraId="1E204D85">
            <w:pPr>
              <w:pStyle w:val="65"/>
              <w:spacing w:before="153" w:line="276" w:lineRule="auto"/>
              <w:ind w:left="7" w:right="4"/>
              <w:rPr>
                <w:rFonts w:ascii="宋体" w:hAnsi="宋体" w:cs="宋体"/>
                <w:kern w:val="2"/>
                <w:sz w:val="24"/>
                <w:szCs w:val="24"/>
                <w:lang w:eastAsia="zh-CN"/>
              </w:rPr>
            </w:pPr>
            <w:r>
              <w:rPr>
                <w:rFonts w:hint="eastAsia" w:ascii="宋体" w:hAnsi="宋体" w:cs="宋体"/>
                <w:spacing w:val="10"/>
                <w:kern w:val="2"/>
                <w:sz w:val="24"/>
                <w:szCs w:val="24"/>
                <w:lang w:eastAsia="zh-CN"/>
              </w:rPr>
              <w:t>《水嘴用水效率限定值及用水效</w:t>
            </w:r>
            <w:r>
              <w:rPr>
                <w:rFonts w:hint="eastAsia" w:ascii="宋体" w:hAnsi="宋体" w:cs="宋体"/>
                <w:kern w:val="2"/>
                <w:sz w:val="24"/>
                <w:szCs w:val="24"/>
                <w:lang w:eastAsia="zh-CN"/>
              </w:rPr>
              <w:t>率等级》（GB 25501）</w:t>
            </w:r>
          </w:p>
        </w:tc>
      </w:tr>
      <w:tr w14:paraId="613D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0561315F">
            <w:pPr>
              <w:pStyle w:val="65"/>
              <w:jc w:val="center"/>
              <w:rPr>
                <w:rFonts w:ascii="宋体" w:hAnsi="宋体" w:cs="宋体"/>
                <w:kern w:val="2"/>
                <w:sz w:val="24"/>
                <w:szCs w:val="24"/>
              </w:rPr>
            </w:pPr>
            <w:r>
              <w:rPr>
                <w:rFonts w:hint="eastAsia" w:ascii="宋体" w:hAnsi="宋体"/>
                <w:kern w:val="2"/>
                <w:sz w:val="24"/>
                <w:szCs w:val="24"/>
              </w:rPr>
              <w:t>17</w:t>
            </w:r>
          </w:p>
        </w:tc>
        <w:tc>
          <w:tcPr>
            <w:tcW w:w="1543" w:type="dxa"/>
            <w:tcBorders>
              <w:top w:val="single" w:color="000000" w:sz="4" w:space="0"/>
              <w:left w:val="single" w:color="000000" w:sz="4" w:space="0"/>
              <w:bottom w:val="single" w:color="000000" w:sz="4" w:space="0"/>
              <w:right w:val="single" w:color="000000" w:sz="4" w:space="0"/>
            </w:tcBorders>
            <w:vAlign w:val="center"/>
          </w:tcPr>
          <w:p w14:paraId="543ADDA4">
            <w:pPr>
              <w:pStyle w:val="65"/>
              <w:spacing w:before="112"/>
              <w:ind w:left="7"/>
              <w:jc w:val="center"/>
              <w:rPr>
                <w:rFonts w:ascii="宋体" w:hAnsi="宋体" w:cs="宋体"/>
                <w:kern w:val="2"/>
                <w:sz w:val="24"/>
                <w:szCs w:val="24"/>
              </w:rPr>
            </w:pPr>
            <w:r>
              <w:rPr>
                <w:rFonts w:hint="eastAsia" w:ascii="宋体" w:hAnsi="宋体" w:cs="仿宋_GB2312"/>
                <w:kern w:val="2"/>
                <w:sz w:val="24"/>
                <w:szCs w:val="24"/>
              </w:rPr>
              <w:t>A05020107</w:t>
            </w:r>
            <w:r>
              <w:rPr>
                <w:rFonts w:hint="eastAsia" w:ascii="宋体" w:hAnsi="宋体" w:cs="宋体"/>
                <w:kern w:val="2"/>
                <w:sz w:val="24"/>
                <w:szCs w:val="24"/>
              </w:rPr>
              <w:t>便器冲洗阀</w:t>
            </w:r>
          </w:p>
        </w:tc>
        <w:tc>
          <w:tcPr>
            <w:tcW w:w="1546" w:type="dxa"/>
            <w:tcBorders>
              <w:top w:val="single" w:color="000000" w:sz="4" w:space="0"/>
              <w:left w:val="single" w:color="000000" w:sz="4" w:space="0"/>
              <w:bottom w:val="single" w:color="000000" w:sz="4" w:space="0"/>
              <w:right w:val="single" w:color="000000" w:sz="4" w:space="0"/>
            </w:tcBorders>
            <w:vAlign w:val="center"/>
          </w:tcPr>
          <w:p w14:paraId="635D0232">
            <w:pPr>
              <w:jc w:val="center"/>
              <w:rPr>
                <w:rFonts w:ascii="宋体" w:hAnsi="宋体"/>
                <w:sz w:val="24"/>
                <w:lang w:eastAsia="en-US"/>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07BE7169">
            <w:pPr>
              <w:jc w:val="center"/>
              <w:rPr>
                <w:rFonts w:ascii="宋体" w:hAnsi="宋体"/>
                <w:sz w:val="24"/>
                <w:lang w:eastAsia="en-US"/>
              </w:rPr>
            </w:pPr>
          </w:p>
        </w:tc>
        <w:tc>
          <w:tcPr>
            <w:tcW w:w="4309" w:type="dxa"/>
            <w:tcBorders>
              <w:top w:val="single" w:color="000000" w:sz="4" w:space="0"/>
              <w:left w:val="single" w:color="000000" w:sz="4" w:space="0"/>
              <w:bottom w:val="single" w:color="000000" w:sz="4" w:space="0"/>
              <w:right w:val="single" w:color="000000" w:sz="4" w:space="0"/>
            </w:tcBorders>
          </w:tcPr>
          <w:p w14:paraId="689F153D">
            <w:pPr>
              <w:pStyle w:val="65"/>
              <w:spacing w:before="112" w:line="276" w:lineRule="auto"/>
              <w:ind w:left="7" w:right="4"/>
              <w:rPr>
                <w:rFonts w:ascii="宋体" w:hAnsi="宋体" w:cs="宋体"/>
                <w:kern w:val="2"/>
                <w:sz w:val="24"/>
                <w:szCs w:val="24"/>
                <w:lang w:eastAsia="zh-CN"/>
              </w:rPr>
            </w:pPr>
            <w:r>
              <w:rPr>
                <w:rFonts w:hint="eastAsia" w:ascii="宋体" w:hAnsi="宋体" w:cs="宋体"/>
                <w:spacing w:val="10"/>
                <w:kern w:val="2"/>
                <w:sz w:val="24"/>
                <w:szCs w:val="24"/>
                <w:lang w:eastAsia="zh-CN"/>
              </w:rPr>
              <w:t>《便器冲洗阀用水效率限定值及</w:t>
            </w:r>
            <w:r>
              <w:rPr>
                <w:rFonts w:hint="eastAsia" w:ascii="宋体" w:hAnsi="宋体" w:cs="宋体"/>
                <w:kern w:val="2"/>
                <w:sz w:val="24"/>
                <w:szCs w:val="24"/>
                <w:lang w:eastAsia="zh-CN"/>
              </w:rPr>
              <w:t>用水效率等级》（GB28379）</w:t>
            </w:r>
          </w:p>
        </w:tc>
      </w:tr>
      <w:tr w14:paraId="27A9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tcBorders>
              <w:top w:val="single" w:color="000000" w:sz="4" w:space="0"/>
              <w:left w:val="single" w:color="000000" w:sz="4" w:space="0"/>
              <w:bottom w:val="single" w:color="000000" w:sz="4" w:space="0"/>
              <w:right w:val="single" w:color="000000" w:sz="4" w:space="0"/>
            </w:tcBorders>
            <w:vAlign w:val="center"/>
          </w:tcPr>
          <w:p w14:paraId="04765766">
            <w:pPr>
              <w:pStyle w:val="65"/>
              <w:jc w:val="center"/>
              <w:rPr>
                <w:rFonts w:ascii="宋体" w:hAnsi="宋体" w:cs="宋体"/>
                <w:kern w:val="2"/>
                <w:sz w:val="24"/>
                <w:szCs w:val="24"/>
              </w:rPr>
            </w:pPr>
            <w:r>
              <w:rPr>
                <w:rFonts w:hint="eastAsia" w:ascii="宋体" w:hAnsi="宋体"/>
                <w:kern w:val="2"/>
                <w:sz w:val="24"/>
                <w:szCs w:val="24"/>
              </w:rPr>
              <w:t>18</w:t>
            </w:r>
          </w:p>
        </w:tc>
        <w:tc>
          <w:tcPr>
            <w:tcW w:w="1543" w:type="dxa"/>
            <w:tcBorders>
              <w:top w:val="single" w:color="000000" w:sz="4" w:space="0"/>
              <w:left w:val="single" w:color="000000" w:sz="4" w:space="0"/>
              <w:bottom w:val="single" w:color="000000" w:sz="4" w:space="0"/>
              <w:right w:val="single" w:color="000000" w:sz="4" w:space="0"/>
            </w:tcBorders>
            <w:vAlign w:val="center"/>
          </w:tcPr>
          <w:p w14:paraId="73E0ABCB">
            <w:pPr>
              <w:pStyle w:val="65"/>
              <w:spacing w:before="131"/>
              <w:ind w:left="7"/>
              <w:jc w:val="center"/>
              <w:rPr>
                <w:rFonts w:ascii="宋体" w:hAnsi="宋体" w:cs="宋体"/>
                <w:kern w:val="2"/>
                <w:sz w:val="24"/>
                <w:szCs w:val="24"/>
              </w:rPr>
            </w:pPr>
            <w:r>
              <w:rPr>
                <w:rFonts w:hint="eastAsia" w:ascii="宋体" w:hAnsi="宋体" w:cs="仿宋_GB2312"/>
                <w:kern w:val="2"/>
                <w:sz w:val="24"/>
                <w:szCs w:val="24"/>
              </w:rPr>
              <w:t>A05020110</w:t>
            </w:r>
            <w:r>
              <w:rPr>
                <w:rFonts w:hint="eastAsia" w:ascii="宋体" w:hAnsi="宋体" w:cs="宋体"/>
                <w:kern w:val="2"/>
                <w:sz w:val="24"/>
                <w:szCs w:val="24"/>
              </w:rPr>
              <w:t>淋浴</w:t>
            </w:r>
            <w:r>
              <w:rPr>
                <w:rFonts w:hint="eastAsia" w:ascii="宋体" w:hAnsi="宋体" w:cs="宋体"/>
                <w:w w:val="99"/>
                <w:kern w:val="2"/>
                <w:sz w:val="24"/>
                <w:szCs w:val="24"/>
              </w:rPr>
              <w:t>器</w:t>
            </w:r>
          </w:p>
        </w:tc>
        <w:tc>
          <w:tcPr>
            <w:tcW w:w="1546" w:type="dxa"/>
            <w:tcBorders>
              <w:top w:val="single" w:color="000000" w:sz="4" w:space="0"/>
              <w:left w:val="single" w:color="000000" w:sz="4" w:space="0"/>
              <w:bottom w:val="single" w:color="000000" w:sz="4" w:space="0"/>
              <w:right w:val="single" w:color="000000" w:sz="4" w:space="0"/>
            </w:tcBorders>
            <w:vAlign w:val="center"/>
          </w:tcPr>
          <w:p w14:paraId="5A429FDA">
            <w:pPr>
              <w:jc w:val="center"/>
              <w:rPr>
                <w:rFonts w:ascii="宋体" w:hAnsi="宋体"/>
                <w:sz w:val="24"/>
                <w:lang w:eastAsia="en-US"/>
              </w:rPr>
            </w:pPr>
          </w:p>
        </w:tc>
        <w:tc>
          <w:tcPr>
            <w:tcW w:w="1536" w:type="dxa"/>
            <w:tcBorders>
              <w:top w:val="single" w:color="000000" w:sz="4" w:space="0"/>
              <w:left w:val="single" w:color="000000" w:sz="4" w:space="0"/>
              <w:bottom w:val="single" w:color="000000" w:sz="4" w:space="0"/>
              <w:right w:val="single" w:color="000000" w:sz="4" w:space="0"/>
            </w:tcBorders>
            <w:vAlign w:val="center"/>
          </w:tcPr>
          <w:p w14:paraId="5D1AE728">
            <w:pPr>
              <w:jc w:val="center"/>
              <w:rPr>
                <w:rFonts w:ascii="宋体" w:hAnsi="宋体"/>
                <w:sz w:val="24"/>
                <w:lang w:eastAsia="en-US"/>
              </w:rPr>
            </w:pPr>
          </w:p>
        </w:tc>
        <w:tc>
          <w:tcPr>
            <w:tcW w:w="4309" w:type="dxa"/>
            <w:tcBorders>
              <w:top w:val="single" w:color="000000" w:sz="4" w:space="0"/>
              <w:left w:val="single" w:color="000000" w:sz="4" w:space="0"/>
              <w:bottom w:val="single" w:color="000000" w:sz="4" w:space="0"/>
              <w:right w:val="single" w:color="000000" w:sz="4" w:space="0"/>
            </w:tcBorders>
          </w:tcPr>
          <w:p w14:paraId="24901EA6">
            <w:pPr>
              <w:pStyle w:val="65"/>
              <w:spacing w:before="131" w:line="276" w:lineRule="auto"/>
              <w:ind w:left="7" w:right="4"/>
              <w:rPr>
                <w:rFonts w:ascii="宋体" w:hAnsi="宋体" w:cs="宋体"/>
                <w:kern w:val="2"/>
                <w:sz w:val="24"/>
                <w:szCs w:val="24"/>
                <w:lang w:eastAsia="zh-CN"/>
              </w:rPr>
            </w:pPr>
            <w:r>
              <w:rPr>
                <w:rFonts w:hint="eastAsia" w:ascii="宋体" w:hAnsi="宋体" w:cs="宋体"/>
                <w:spacing w:val="10"/>
                <w:kern w:val="2"/>
                <w:sz w:val="24"/>
                <w:szCs w:val="24"/>
                <w:lang w:eastAsia="zh-CN"/>
              </w:rPr>
              <w:t>《淋浴器用水效率限定值及用水</w:t>
            </w:r>
            <w:r>
              <w:rPr>
                <w:rFonts w:hint="eastAsia" w:ascii="宋体" w:hAnsi="宋体" w:cs="宋体"/>
                <w:kern w:val="2"/>
                <w:sz w:val="24"/>
                <w:szCs w:val="24"/>
                <w:lang w:eastAsia="zh-CN"/>
              </w:rPr>
              <w:t>效率等级》（GB28378）</w:t>
            </w:r>
          </w:p>
        </w:tc>
      </w:tr>
    </w:tbl>
    <w:p w14:paraId="17C5363B">
      <w:pPr>
        <w:pStyle w:val="19"/>
        <w:spacing w:line="360" w:lineRule="auto"/>
        <w:ind w:firstLine="470" w:firstLineChars="200"/>
        <w:rPr>
          <w:rFonts w:ascii="楷体" w:hAnsi="楷体" w:eastAsia="楷体" w:cs="宋体"/>
          <w:spacing w:val="-3"/>
        </w:rPr>
      </w:pPr>
      <w:r>
        <w:rPr>
          <w:rFonts w:hint="eastAsia" w:ascii="楷体" w:hAnsi="楷体" w:eastAsia="楷体" w:cs="宋体"/>
          <w:b/>
          <w:spacing w:val="-3"/>
        </w:rPr>
        <w:t>注</w:t>
      </w:r>
      <w:r>
        <w:rPr>
          <w:rFonts w:hint="eastAsia" w:ascii="楷体" w:hAnsi="楷体" w:eastAsia="楷体" w:cs="宋体"/>
          <w:spacing w:val="-3"/>
        </w:rPr>
        <w:t>：1.节能产品认证应依据相关国家标准的最新版本，依据国家标准中二级能效（水效）指标。</w:t>
      </w:r>
    </w:p>
    <w:p w14:paraId="2405CA8C">
      <w:pPr>
        <w:pStyle w:val="19"/>
        <w:spacing w:line="360" w:lineRule="auto"/>
        <w:ind w:firstLine="468" w:firstLineChars="200"/>
        <w:rPr>
          <w:rFonts w:ascii="楷体" w:hAnsi="楷体" w:eastAsia="楷体" w:cs="宋体"/>
          <w:spacing w:val="-3"/>
        </w:rPr>
      </w:pPr>
      <w:r>
        <w:rPr>
          <w:rFonts w:hint="eastAsia" w:ascii="楷体" w:hAnsi="楷体" w:eastAsia="楷体" w:cs="宋体"/>
          <w:spacing w:val="-3"/>
        </w:rPr>
        <w:t>2.以“★”标注的为政府强制采购产品。</w:t>
      </w:r>
    </w:p>
    <w:p w14:paraId="5B9913DC">
      <w:pPr>
        <w:pStyle w:val="19"/>
        <w:spacing w:line="360" w:lineRule="auto"/>
        <w:ind w:firstLine="468" w:firstLineChars="200"/>
        <w:rPr>
          <w:rFonts w:hAnsi="宋体" w:cs="宋体"/>
        </w:rPr>
      </w:pPr>
      <w:r>
        <w:rPr>
          <w:rFonts w:hint="eastAsia" w:ascii="楷体" w:hAnsi="楷体" w:eastAsia="楷体" w:cs="宋体"/>
          <w:spacing w:val="-3"/>
        </w:rPr>
        <w:t xml:space="preserve">3.本表格原为《关于印发节能产品政府采购品目清单的通知》（财库〔2019〕19号）规定的表格附件，其中名称及编码已根据《财政部关于印发〈政府采购品目分类目录〉的通知》（财库〔2022〕31号）修改。 </w:t>
      </w:r>
      <w:r>
        <w:rPr>
          <w:rFonts w:hint="eastAsia" w:hAnsi="宋体" w:cs="宋体"/>
        </w:rPr>
        <w:br w:type="page"/>
      </w:r>
    </w:p>
    <w:p w14:paraId="64F127B9">
      <w:pPr>
        <w:pStyle w:val="26"/>
        <w:jc w:val="left"/>
        <w:rPr>
          <w:rFonts w:hAnsi="宋体" w:cs="宋体"/>
          <w:sz w:val="24"/>
          <w:szCs w:val="24"/>
        </w:rPr>
      </w:pPr>
      <w:r>
        <w:rPr>
          <w:rFonts w:hint="eastAsia" w:hAnsi="宋体" w:cs="宋体"/>
          <w:sz w:val="24"/>
          <w:szCs w:val="24"/>
        </w:rPr>
        <w:t>附件2：</w:t>
      </w:r>
    </w:p>
    <w:p w14:paraId="5C9FD203">
      <w:pPr>
        <w:spacing w:line="528" w:lineRule="exact"/>
        <w:ind w:left="220"/>
        <w:jc w:val="center"/>
        <w:rPr>
          <w:rFonts w:ascii="宋体" w:hAnsi="宋体" w:cs="宋体"/>
          <w:b/>
          <w:bCs/>
          <w:sz w:val="36"/>
          <w:szCs w:val="36"/>
        </w:rPr>
      </w:pPr>
      <w:r>
        <w:rPr>
          <w:rFonts w:hint="eastAsia" w:ascii="宋体" w:hAnsi="宋体" w:cs="宋体"/>
          <w:b/>
          <w:bCs/>
          <w:sz w:val="36"/>
          <w:szCs w:val="36"/>
        </w:rPr>
        <w:t>中小微企业划型标准</w:t>
      </w:r>
    </w:p>
    <w:tbl>
      <w:tblPr>
        <w:tblStyle w:val="48"/>
        <w:tblW w:w="9418" w:type="dxa"/>
        <w:tblInd w:w="250" w:type="dxa"/>
        <w:tblLayout w:type="fixed"/>
        <w:tblCellMar>
          <w:top w:w="0" w:type="dxa"/>
          <w:left w:w="108" w:type="dxa"/>
          <w:bottom w:w="0" w:type="dxa"/>
          <w:right w:w="108" w:type="dxa"/>
        </w:tblCellMar>
      </w:tblPr>
      <w:tblGrid>
        <w:gridCol w:w="2007"/>
        <w:gridCol w:w="1633"/>
        <w:gridCol w:w="1077"/>
        <w:gridCol w:w="1911"/>
        <w:gridCol w:w="1699"/>
        <w:gridCol w:w="1091"/>
      </w:tblGrid>
      <w:tr w14:paraId="7F66C16E">
        <w:tblPrEx>
          <w:tblCellMar>
            <w:top w:w="0" w:type="dxa"/>
            <w:left w:w="108" w:type="dxa"/>
            <w:bottom w:w="0" w:type="dxa"/>
            <w:right w:w="108" w:type="dxa"/>
          </w:tblCellMar>
        </w:tblPrEx>
        <w:trPr>
          <w:trHeight w:val="364" w:hRule="atLeast"/>
        </w:trPr>
        <w:tc>
          <w:tcPr>
            <w:tcW w:w="2007" w:type="dxa"/>
            <w:tcBorders>
              <w:top w:val="single" w:color="auto" w:sz="4" w:space="0"/>
              <w:left w:val="single" w:color="auto" w:sz="4" w:space="0"/>
              <w:bottom w:val="single" w:color="auto" w:sz="4" w:space="0"/>
              <w:right w:val="single" w:color="auto" w:sz="4" w:space="0"/>
            </w:tcBorders>
            <w:vAlign w:val="center"/>
          </w:tcPr>
          <w:p w14:paraId="33B88D1D">
            <w:pPr>
              <w:widowControl/>
              <w:jc w:val="center"/>
              <w:rPr>
                <w:rFonts w:ascii="宋体" w:hAnsi="宋体" w:cs="宋体"/>
                <w:b/>
                <w:kern w:val="0"/>
                <w:sz w:val="20"/>
                <w:szCs w:val="20"/>
              </w:rPr>
            </w:pPr>
            <w:r>
              <w:rPr>
                <w:rFonts w:hint="eastAsia" w:ascii="宋体" w:hAnsi="宋体" w:cs="宋体"/>
                <w:b/>
                <w:kern w:val="0"/>
                <w:sz w:val="20"/>
                <w:szCs w:val="20"/>
              </w:rPr>
              <w:t>行业名称</w:t>
            </w:r>
          </w:p>
        </w:tc>
        <w:tc>
          <w:tcPr>
            <w:tcW w:w="1633" w:type="dxa"/>
            <w:tcBorders>
              <w:top w:val="single" w:color="auto" w:sz="4" w:space="0"/>
              <w:left w:val="nil"/>
              <w:bottom w:val="single" w:color="auto" w:sz="4" w:space="0"/>
              <w:right w:val="single" w:color="auto" w:sz="4" w:space="0"/>
            </w:tcBorders>
            <w:vAlign w:val="center"/>
          </w:tcPr>
          <w:p w14:paraId="704F8727">
            <w:pPr>
              <w:widowControl/>
              <w:jc w:val="center"/>
              <w:rPr>
                <w:rFonts w:ascii="宋体" w:hAnsi="宋体" w:cs="宋体"/>
                <w:b/>
                <w:kern w:val="0"/>
                <w:sz w:val="20"/>
                <w:szCs w:val="20"/>
              </w:rPr>
            </w:pPr>
            <w:r>
              <w:rPr>
                <w:rFonts w:hint="eastAsia" w:ascii="宋体" w:hAnsi="宋体" w:cs="宋体"/>
                <w:b/>
                <w:kern w:val="0"/>
                <w:sz w:val="20"/>
                <w:szCs w:val="20"/>
              </w:rPr>
              <w:t>指标名称</w:t>
            </w:r>
          </w:p>
        </w:tc>
        <w:tc>
          <w:tcPr>
            <w:tcW w:w="1077" w:type="dxa"/>
            <w:tcBorders>
              <w:top w:val="single" w:color="auto" w:sz="4" w:space="0"/>
              <w:left w:val="nil"/>
              <w:bottom w:val="single" w:color="auto" w:sz="4" w:space="0"/>
              <w:right w:val="single" w:color="auto" w:sz="4" w:space="0"/>
            </w:tcBorders>
            <w:vAlign w:val="center"/>
          </w:tcPr>
          <w:p w14:paraId="1459FD75">
            <w:pPr>
              <w:widowControl/>
              <w:jc w:val="center"/>
              <w:rPr>
                <w:rFonts w:ascii="宋体" w:hAnsi="宋体" w:cs="宋体"/>
                <w:b/>
                <w:kern w:val="0"/>
                <w:sz w:val="20"/>
                <w:szCs w:val="20"/>
              </w:rPr>
            </w:pPr>
            <w:r>
              <w:rPr>
                <w:rFonts w:hint="eastAsia" w:ascii="宋体" w:hAnsi="宋体" w:cs="宋体"/>
                <w:b/>
                <w:kern w:val="0"/>
                <w:sz w:val="20"/>
                <w:szCs w:val="20"/>
              </w:rPr>
              <w:t>计量单位</w:t>
            </w:r>
          </w:p>
        </w:tc>
        <w:tc>
          <w:tcPr>
            <w:tcW w:w="1911" w:type="dxa"/>
            <w:tcBorders>
              <w:top w:val="single" w:color="auto" w:sz="4" w:space="0"/>
              <w:left w:val="nil"/>
              <w:bottom w:val="single" w:color="auto" w:sz="4" w:space="0"/>
              <w:right w:val="single" w:color="auto" w:sz="4" w:space="0"/>
            </w:tcBorders>
            <w:vAlign w:val="center"/>
          </w:tcPr>
          <w:p w14:paraId="2C86C18A">
            <w:pPr>
              <w:widowControl/>
              <w:jc w:val="center"/>
              <w:rPr>
                <w:rFonts w:ascii="宋体" w:hAnsi="宋体" w:cs="宋体"/>
                <w:b/>
                <w:kern w:val="0"/>
                <w:sz w:val="20"/>
                <w:szCs w:val="20"/>
              </w:rPr>
            </w:pPr>
            <w:r>
              <w:rPr>
                <w:rFonts w:hint="eastAsia" w:ascii="宋体" w:hAnsi="宋体" w:cs="宋体"/>
                <w:b/>
                <w:kern w:val="0"/>
                <w:sz w:val="20"/>
                <w:szCs w:val="20"/>
              </w:rPr>
              <w:t>中型</w:t>
            </w:r>
          </w:p>
        </w:tc>
        <w:tc>
          <w:tcPr>
            <w:tcW w:w="1699" w:type="dxa"/>
            <w:tcBorders>
              <w:top w:val="single" w:color="auto" w:sz="4" w:space="0"/>
              <w:left w:val="nil"/>
              <w:bottom w:val="single" w:color="auto" w:sz="4" w:space="0"/>
              <w:right w:val="single" w:color="auto" w:sz="4" w:space="0"/>
            </w:tcBorders>
            <w:vAlign w:val="center"/>
          </w:tcPr>
          <w:p w14:paraId="48ED75E9">
            <w:pPr>
              <w:widowControl/>
              <w:jc w:val="center"/>
              <w:rPr>
                <w:rFonts w:ascii="宋体" w:hAnsi="宋体" w:cs="宋体"/>
                <w:b/>
                <w:kern w:val="0"/>
                <w:sz w:val="20"/>
                <w:szCs w:val="20"/>
              </w:rPr>
            </w:pPr>
            <w:r>
              <w:rPr>
                <w:rFonts w:hint="eastAsia" w:ascii="宋体" w:hAnsi="宋体" w:cs="宋体"/>
                <w:b/>
                <w:kern w:val="0"/>
                <w:sz w:val="20"/>
                <w:szCs w:val="20"/>
              </w:rPr>
              <w:t>小型</w:t>
            </w:r>
          </w:p>
        </w:tc>
        <w:tc>
          <w:tcPr>
            <w:tcW w:w="1091" w:type="dxa"/>
            <w:tcBorders>
              <w:top w:val="single" w:color="auto" w:sz="4" w:space="0"/>
              <w:left w:val="nil"/>
              <w:bottom w:val="single" w:color="auto" w:sz="4" w:space="0"/>
              <w:right w:val="single" w:color="auto" w:sz="4" w:space="0"/>
            </w:tcBorders>
            <w:vAlign w:val="center"/>
          </w:tcPr>
          <w:p w14:paraId="0D75D363">
            <w:pPr>
              <w:widowControl/>
              <w:jc w:val="center"/>
              <w:rPr>
                <w:rFonts w:ascii="宋体" w:hAnsi="宋体" w:cs="宋体"/>
                <w:b/>
                <w:kern w:val="0"/>
                <w:sz w:val="20"/>
                <w:szCs w:val="20"/>
              </w:rPr>
            </w:pPr>
            <w:r>
              <w:rPr>
                <w:rFonts w:hint="eastAsia" w:ascii="宋体" w:hAnsi="宋体" w:cs="宋体"/>
                <w:b/>
                <w:kern w:val="0"/>
                <w:sz w:val="20"/>
                <w:szCs w:val="20"/>
              </w:rPr>
              <w:t>微型</w:t>
            </w:r>
          </w:p>
        </w:tc>
      </w:tr>
      <w:tr w14:paraId="3AD28995">
        <w:tblPrEx>
          <w:tblCellMar>
            <w:top w:w="0" w:type="dxa"/>
            <w:left w:w="108" w:type="dxa"/>
            <w:bottom w:w="0" w:type="dxa"/>
            <w:right w:w="108" w:type="dxa"/>
          </w:tblCellMar>
        </w:tblPrEx>
        <w:trPr>
          <w:trHeight w:val="364" w:hRule="atLeast"/>
        </w:trPr>
        <w:tc>
          <w:tcPr>
            <w:tcW w:w="2007" w:type="dxa"/>
            <w:tcBorders>
              <w:top w:val="nil"/>
              <w:left w:val="single" w:color="auto" w:sz="4" w:space="0"/>
              <w:bottom w:val="single" w:color="auto" w:sz="4" w:space="0"/>
              <w:right w:val="single" w:color="auto" w:sz="4" w:space="0"/>
            </w:tcBorders>
            <w:vAlign w:val="bottom"/>
          </w:tcPr>
          <w:p w14:paraId="52EFDBAD">
            <w:pPr>
              <w:widowControl/>
              <w:jc w:val="center"/>
              <w:rPr>
                <w:rFonts w:ascii="宋体" w:hAnsi="宋体" w:cs="宋体"/>
                <w:b/>
                <w:bCs/>
                <w:kern w:val="0"/>
                <w:sz w:val="20"/>
                <w:szCs w:val="20"/>
              </w:rPr>
            </w:pPr>
            <w:r>
              <w:rPr>
                <w:rFonts w:hint="eastAsia" w:ascii="宋体" w:hAnsi="宋体" w:cs="宋体"/>
                <w:b/>
                <w:bCs/>
                <w:kern w:val="0"/>
                <w:sz w:val="20"/>
                <w:szCs w:val="20"/>
              </w:rPr>
              <w:t>农、林、牧、渔</w:t>
            </w:r>
          </w:p>
        </w:tc>
        <w:tc>
          <w:tcPr>
            <w:tcW w:w="1633" w:type="dxa"/>
            <w:tcBorders>
              <w:top w:val="nil"/>
              <w:left w:val="nil"/>
              <w:bottom w:val="single" w:color="auto" w:sz="4" w:space="0"/>
              <w:right w:val="single" w:color="auto" w:sz="4" w:space="0"/>
            </w:tcBorders>
            <w:vAlign w:val="center"/>
          </w:tcPr>
          <w:p w14:paraId="4BE158BD">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6A3E949E">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4A42B3E2">
            <w:pPr>
              <w:widowControl/>
              <w:jc w:val="left"/>
              <w:rPr>
                <w:rFonts w:ascii="宋体" w:hAnsi="宋体" w:cs="宋体"/>
                <w:kern w:val="0"/>
                <w:sz w:val="20"/>
                <w:szCs w:val="20"/>
              </w:rPr>
            </w:pPr>
            <w:r>
              <w:rPr>
                <w:rFonts w:hint="eastAsia" w:ascii="宋体" w:hAnsi="宋体" w:cs="宋体"/>
                <w:kern w:val="0"/>
                <w:sz w:val="20"/>
                <w:szCs w:val="20"/>
              </w:rPr>
              <w:t>500≤Y＜20000</w:t>
            </w:r>
          </w:p>
        </w:tc>
        <w:tc>
          <w:tcPr>
            <w:tcW w:w="1699" w:type="dxa"/>
            <w:tcBorders>
              <w:top w:val="nil"/>
              <w:left w:val="nil"/>
              <w:bottom w:val="single" w:color="auto" w:sz="4" w:space="0"/>
              <w:right w:val="single" w:color="auto" w:sz="4" w:space="0"/>
            </w:tcBorders>
            <w:vAlign w:val="center"/>
          </w:tcPr>
          <w:p w14:paraId="0D1268B0">
            <w:pPr>
              <w:widowControl/>
              <w:jc w:val="left"/>
              <w:rPr>
                <w:rFonts w:ascii="宋体" w:hAnsi="宋体" w:cs="宋体"/>
                <w:kern w:val="0"/>
                <w:sz w:val="20"/>
                <w:szCs w:val="20"/>
              </w:rPr>
            </w:pPr>
            <w:r>
              <w:rPr>
                <w:rFonts w:hint="eastAsia" w:ascii="宋体" w:hAnsi="宋体" w:cs="宋体"/>
                <w:kern w:val="0"/>
                <w:sz w:val="20"/>
                <w:szCs w:val="20"/>
              </w:rPr>
              <w:t>50≤Y＜500</w:t>
            </w:r>
          </w:p>
        </w:tc>
        <w:tc>
          <w:tcPr>
            <w:tcW w:w="1091" w:type="dxa"/>
            <w:tcBorders>
              <w:top w:val="nil"/>
              <w:left w:val="nil"/>
              <w:bottom w:val="single" w:color="auto" w:sz="4" w:space="0"/>
              <w:right w:val="single" w:color="auto" w:sz="4" w:space="0"/>
            </w:tcBorders>
            <w:vAlign w:val="center"/>
          </w:tcPr>
          <w:p w14:paraId="797508B3">
            <w:pPr>
              <w:widowControl/>
              <w:jc w:val="left"/>
              <w:rPr>
                <w:rFonts w:ascii="宋体" w:hAnsi="宋体" w:cs="宋体"/>
                <w:kern w:val="0"/>
                <w:sz w:val="20"/>
                <w:szCs w:val="20"/>
              </w:rPr>
            </w:pPr>
            <w:r>
              <w:rPr>
                <w:rFonts w:hint="eastAsia" w:ascii="宋体" w:hAnsi="宋体" w:cs="宋体"/>
                <w:kern w:val="0"/>
                <w:sz w:val="20"/>
                <w:szCs w:val="20"/>
              </w:rPr>
              <w:t>Y＜50</w:t>
            </w:r>
          </w:p>
        </w:tc>
      </w:tr>
      <w:tr w14:paraId="2F667E52">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825D834">
            <w:pPr>
              <w:widowControl/>
              <w:jc w:val="center"/>
              <w:rPr>
                <w:rFonts w:ascii="宋体" w:hAnsi="宋体" w:cs="宋体"/>
                <w:b/>
                <w:bCs/>
                <w:kern w:val="0"/>
                <w:sz w:val="20"/>
                <w:szCs w:val="20"/>
              </w:rPr>
            </w:pPr>
            <w:r>
              <w:rPr>
                <w:rFonts w:hint="eastAsia" w:ascii="宋体" w:hAnsi="宋体" w:cs="宋体"/>
                <w:b/>
                <w:bCs/>
                <w:kern w:val="0"/>
                <w:sz w:val="20"/>
                <w:szCs w:val="20"/>
              </w:rPr>
              <w:t>工业</w:t>
            </w:r>
          </w:p>
        </w:tc>
        <w:tc>
          <w:tcPr>
            <w:tcW w:w="1633" w:type="dxa"/>
            <w:tcBorders>
              <w:top w:val="nil"/>
              <w:left w:val="nil"/>
              <w:bottom w:val="single" w:color="auto" w:sz="4" w:space="0"/>
              <w:right w:val="single" w:color="auto" w:sz="4" w:space="0"/>
            </w:tcBorders>
            <w:vAlign w:val="center"/>
          </w:tcPr>
          <w:p w14:paraId="040B1917">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5585C184">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6DBECC92">
            <w:pPr>
              <w:widowControl/>
              <w:jc w:val="left"/>
              <w:rPr>
                <w:rFonts w:ascii="宋体" w:hAnsi="宋体" w:cs="宋体"/>
                <w:kern w:val="0"/>
                <w:sz w:val="20"/>
                <w:szCs w:val="20"/>
              </w:rPr>
            </w:pPr>
            <w:r>
              <w:rPr>
                <w:rFonts w:hint="eastAsia" w:ascii="宋体" w:hAnsi="宋体" w:cs="宋体"/>
                <w:kern w:val="0"/>
                <w:sz w:val="20"/>
                <w:szCs w:val="20"/>
              </w:rPr>
              <w:t>300≤X＜1000</w:t>
            </w:r>
          </w:p>
        </w:tc>
        <w:tc>
          <w:tcPr>
            <w:tcW w:w="1699" w:type="dxa"/>
            <w:tcBorders>
              <w:top w:val="nil"/>
              <w:left w:val="nil"/>
              <w:bottom w:val="single" w:color="auto" w:sz="4" w:space="0"/>
              <w:right w:val="single" w:color="auto" w:sz="4" w:space="0"/>
            </w:tcBorders>
            <w:vAlign w:val="center"/>
          </w:tcPr>
          <w:p w14:paraId="3BC79566">
            <w:pPr>
              <w:widowControl/>
              <w:jc w:val="left"/>
              <w:rPr>
                <w:rFonts w:ascii="宋体" w:hAnsi="宋体" w:cs="宋体"/>
                <w:kern w:val="0"/>
                <w:sz w:val="20"/>
                <w:szCs w:val="20"/>
              </w:rPr>
            </w:pPr>
            <w:r>
              <w:rPr>
                <w:rFonts w:hint="eastAsia" w:ascii="宋体" w:hAnsi="宋体" w:cs="宋体"/>
                <w:kern w:val="0"/>
                <w:sz w:val="20"/>
                <w:szCs w:val="20"/>
              </w:rPr>
              <w:t>20≤X＜300</w:t>
            </w:r>
          </w:p>
        </w:tc>
        <w:tc>
          <w:tcPr>
            <w:tcW w:w="1091" w:type="dxa"/>
            <w:tcBorders>
              <w:top w:val="nil"/>
              <w:left w:val="nil"/>
              <w:bottom w:val="single" w:color="auto" w:sz="4" w:space="0"/>
              <w:right w:val="single" w:color="auto" w:sz="4" w:space="0"/>
            </w:tcBorders>
            <w:vAlign w:val="center"/>
          </w:tcPr>
          <w:p w14:paraId="00B75B05">
            <w:pPr>
              <w:widowControl/>
              <w:jc w:val="left"/>
              <w:rPr>
                <w:rFonts w:ascii="宋体" w:hAnsi="宋体" w:cs="宋体"/>
                <w:kern w:val="0"/>
                <w:sz w:val="20"/>
                <w:szCs w:val="20"/>
              </w:rPr>
            </w:pPr>
            <w:r>
              <w:rPr>
                <w:rFonts w:hint="eastAsia" w:ascii="宋体" w:hAnsi="宋体" w:cs="宋体"/>
                <w:kern w:val="0"/>
                <w:sz w:val="20"/>
                <w:szCs w:val="20"/>
              </w:rPr>
              <w:t>X＜20</w:t>
            </w:r>
          </w:p>
        </w:tc>
      </w:tr>
      <w:tr w14:paraId="40981FEF">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41FAE146">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130C8D1E">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38B20048">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699E088A">
            <w:pPr>
              <w:widowControl/>
              <w:jc w:val="left"/>
              <w:rPr>
                <w:rFonts w:ascii="宋体" w:hAnsi="宋体" w:cs="宋体"/>
                <w:kern w:val="0"/>
                <w:sz w:val="20"/>
                <w:szCs w:val="20"/>
              </w:rPr>
            </w:pPr>
            <w:r>
              <w:rPr>
                <w:rFonts w:hint="eastAsia" w:ascii="宋体" w:hAnsi="宋体" w:cs="宋体"/>
                <w:kern w:val="0"/>
                <w:sz w:val="20"/>
                <w:szCs w:val="20"/>
              </w:rPr>
              <w:t>2000≤Y＜40000</w:t>
            </w:r>
          </w:p>
        </w:tc>
        <w:tc>
          <w:tcPr>
            <w:tcW w:w="1699" w:type="dxa"/>
            <w:tcBorders>
              <w:top w:val="nil"/>
              <w:left w:val="nil"/>
              <w:bottom w:val="single" w:color="auto" w:sz="4" w:space="0"/>
              <w:right w:val="single" w:color="auto" w:sz="4" w:space="0"/>
            </w:tcBorders>
            <w:vAlign w:val="center"/>
          </w:tcPr>
          <w:p w14:paraId="63F771EE">
            <w:pPr>
              <w:widowControl/>
              <w:jc w:val="left"/>
              <w:rPr>
                <w:rFonts w:ascii="宋体" w:hAnsi="宋体" w:cs="宋体"/>
                <w:kern w:val="0"/>
                <w:sz w:val="20"/>
                <w:szCs w:val="20"/>
              </w:rPr>
            </w:pPr>
            <w:r>
              <w:rPr>
                <w:rFonts w:hint="eastAsia" w:ascii="宋体" w:hAnsi="宋体" w:cs="宋体"/>
                <w:kern w:val="0"/>
                <w:sz w:val="20"/>
                <w:szCs w:val="20"/>
              </w:rPr>
              <w:t>300≤Y＜2000</w:t>
            </w:r>
          </w:p>
        </w:tc>
        <w:tc>
          <w:tcPr>
            <w:tcW w:w="1091" w:type="dxa"/>
            <w:tcBorders>
              <w:top w:val="nil"/>
              <w:left w:val="nil"/>
              <w:bottom w:val="single" w:color="auto" w:sz="4" w:space="0"/>
              <w:right w:val="single" w:color="auto" w:sz="4" w:space="0"/>
            </w:tcBorders>
            <w:vAlign w:val="center"/>
          </w:tcPr>
          <w:p w14:paraId="5905AB1F">
            <w:pPr>
              <w:widowControl/>
              <w:jc w:val="left"/>
              <w:rPr>
                <w:rFonts w:ascii="宋体" w:hAnsi="宋体" w:cs="宋体"/>
                <w:kern w:val="0"/>
                <w:sz w:val="20"/>
                <w:szCs w:val="20"/>
              </w:rPr>
            </w:pPr>
            <w:r>
              <w:rPr>
                <w:rFonts w:hint="eastAsia" w:ascii="宋体" w:hAnsi="宋体" w:cs="宋体"/>
                <w:kern w:val="0"/>
                <w:sz w:val="20"/>
                <w:szCs w:val="20"/>
              </w:rPr>
              <w:t>Y＜300</w:t>
            </w:r>
          </w:p>
        </w:tc>
      </w:tr>
      <w:tr w14:paraId="4098638E">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1A87B1FC">
            <w:pPr>
              <w:widowControl/>
              <w:jc w:val="center"/>
              <w:rPr>
                <w:rFonts w:ascii="宋体" w:hAnsi="宋体" w:cs="宋体"/>
                <w:b/>
                <w:bCs/>
                <w:kern w:val="0"/>
                <w:sz w:val="20"/>
                <w:szCs w:val="20"/>
              </w:rPr>
            </w:pPr>
            <w:r>
              <w:rPr>
                <w:rFonts w:hint="eastAsia" w:ascii="宋体" w:hAnsi="宋体" w:cs="宋体"/>
                <w:b/>
                <w:bCs/>
                <w:kern w:val="0"/>
                <w:sz w:val="20"/>
                <w:szCs w:val="20"/>
              </w:rPr>
              <w:t>建筑业</w:t>
            </w:r>
          </w:p>
        </w:tc>
        <w:tc>
          <w:tcPr>
            <w:tcW w:w="1633" w:type="dxa"/>
            <w:tcBorders>
              <w:top w:val="nil"/>
              <w:left w:val="nil"/>
              <w:bottom w:val="single" w:color="auto" w:sz="4" w:space="0"/>
              <w:right w:val="single" w:color="auto" w:sz="4" w:space="0"/>
            </w:tcBorders>
            <w:vAlign w:val="center"/>
          </w:tcPr>
          <w:p w14:paraId="45837F3F">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59912632">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395B7717">
            <w:pPr>
              <w:widowControl/>
              <w:jc w:val="left"/>
              <w:rPr>
                <w:rFonts w:ascii="宋体" w:hAnsi="宋体" w:cs="宋体"/>
                <w:kern w:val="0"/>
                <w:sz w:val="20"/>
                <w:szCs w:val="20"/>
              </w:rPr>
            </w:pPr>
            <w:r>
              <w:rPr>
                <w:rFonts w:hint="eastAsia" w:ascii="宋体" w:hAnsi="宋体" w:cs="宋体"/>
                <w:kern w:val="0"/>
                <w:sz w:val="20"/>
                <w:szCs w:val="20"/>
              </w:rPr>
              <w:t>6000≤Y＜80000</w:t>
            </w:r>
          </w:p>
        </w:tc>
        <w:tc>
          <w:tcPr>
            <w:tcW w:w="1699" w:type="dxa"/>
            <w:tcBorders>
              <w:top w:val="nil"/>
              <w:left w:val="nil"/>
              <w:bottom w:val="single" w:color="auto" w:sz="4" w:space="0"/>
              <w:right w:val="single" w:color="auto" w:sz="4" w:space="0"/>
            </w:tcBorders>
            <w:vAlign w:val="center"/>
          </w:tcPr>
          <w:p w14:paraId="6EFB2B14">
            <w:pPr>
              <w:widowControl/>
              <w:jc w:val="left"/>
              <w:rPr>
                <w:rFonts w:ascii="宋体" w:hAnsi="宋体" w:cs="宋体"/>
                <w:kern w:val="0"/>
                <w:sz w:val="20"/>
                <w:szCs w:val="20"/>
              </w:rPr>
            </w:pPr>
            <w:r>
              <w:rPr>
                <w:rFonts w:hint="eastAsia" w:ascii="宋体" w:hAnsi="宋体" w:cs="宋体"/>
                <w:kern w:val="0"/>
                <w:sz w:val="20"/>
                <w:szCs w:val="20"/>
              </w:rPr>
              <w:t>300≤Y＜6000</w:t>
            </w:r>
          </w:p>
        </w:tc>
        <w:tc>
          <w:tcPr>
            <w:tcW w:w="1091" w:type="dxa"/>
            <w:tcBorders>
              <w:top w:val="nil"/>
              <w:left w:val="nil"/>
              <w:bottom w:val="single" w:color="auto" w:sz="4" w:space="0"/>
              <w:right w:val="single" w:color="auto" w:sz="4" w:space="0"/>
            </w:tcBorders>
            <w:vAlign w:val="center"/>
          </w:tcPr>
          <w:p w14:paraId="63466606">
            <w:pPr>
              <w:widowControl/>
              <w:jc w:val="left"/>
              <w:rPr>
                <w:rFonts w:ascii="宋体" w:hAnsi="宋体" w:cs="宋体"/>
                <w:kern w:val="0"/>
                <w:sz w:val="20"/>
                <w:szCs w:val="20"/>
              </w:rPr>
            </w:pPr>
            <w:r>
              <w:rPr>
                <w:rFonts w:hint="eastAsia" w:ascii="宋体" w:hAnsi="宋体" w:cs="宋体"/>
                <w:kern w:val="0"/>
                <w:sz w:val="20"/>
                <w:szCs w:val="20"/>
              </w:rPr>
              <w:t>Y＜300</w:t>
            </w:r>
          </w:p>
        </w:tc>
      </w:tr>
      <w:tr w14:paraId="5E59A492">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3030697B">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4B10D4F8">
            <w:pPr>
              <w:widowControl/>
              <w:jc w:val="left"/>
              <w:rPr>
                <w:rFonts w:ascii="宋体" w:hAnsi="宋体" w:cs="宋体"/>
                <w:kern w:val="0"/>
                <w:sz w:val="20"/>
                <w:szCs w:val="20"/>
              </w:rPr>
            </w:pPr>
            <w:r>
              <w:rPr>
                <w:rFonts w:hint="eastAsia" w:ascii="宋体" w:hAnsi="宋体" w:cs="宋体"/>
                <w:kern w:val="0"/>
                <w:sz w:val="20"/>
                <w:szCs w:val="20"/>
              </w:rPr>
              <w:t>资产总额（Z）</w:t>
            </w:r>
          </w:p>
        </w:tc>
        <w:tc>
          <w:tcPr>
            <w:tcW w:w="1077" w:type="dxa"/>
            <w:tcBorders>
              <w:top w:val="nil"/>
              <w:left w:val="nil"/>
              <w:bottom w:val="single" w:color="auto" w:sz="4" w:space="0"/>
              <w:right w:val="single" w:color="auto" w:sz="4" w:space="0"/>
            </w:tcBorders>
            <w:vAlign w:val="center"/>
          </w:tcPr>
          <w:p w14:paraId="126207E2">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555B10B3">
            <w:pPr>
              <w:widowControl/>
              <w:jc w:val="left"/>
              <w:rPr>
                <w:rFonts w:ascii="宋体" w:hAnsi="宋体" w:cs="宋体"/>
                <w:kern w:val="0"/>
                <w:sz w:val="20"/>
                <w:szCs w:val="20"/>
              </w:rPr>
            </w:pPr>
            <w:r>
              <w:rPr>
                <w:rFonts w:hint="eastAsia" w:ascii="宋体" w:hAnsi="宋体" w:cs="宋体"/>
                <w:kern w:val="0"/>
                <w:sz w:val="20"/>
                <w:szCs w:val="20"/>
              </w:rPr>
              <w:t>5000≤Z＜80000</w:t>
            </w:r>
          </w:p>
        </w:tc>
        <w:tc>
          <w:tcPr>
            <w:tcW w:w="1699" w:type="dxa"/>
            <w:tcBorders>
              <w:top w:val="nil"/>
              <w:left w:val="nil"/>
              <w:bottom w:val="single" w:color="auto" w:sz="4" w:space="0"/>
              <w:right w:val="single" w:color="auto" w:sz="4" w:space="0"/>
            </w:tcBorders>
            <w:vAlign w:val="center"/>
          </w:tcPr>
          <w:p w14:paraId="38DDD10F">
            <w:pPr>
              <w:widowControl/>
              <w:jc w:val="left"/>
              <w:rPr>
                <w:rFonts w:ascii="宋体" w:hAnsi="宋体" w:cs="宋体"/>
                <w:kern w:val="0"/>
                <w:sz w:val="20"/>
                <w:szCs w:val="20"/>
              </w:rPr>
            </w:pPr>
            <w:r>
              <w:rPr>
                <w:rFonts w:hint="eastAsia" w:ascii="宋体" w:hAnsi="宋体" w:cs="宋体"/>
                <w:kern w:val="0"/>
                <w:sz w:val="20"/>
                <w:szCs w:val="20"/>
              </w:rPr>
              <w:t>300≤Z＜5000</w:t>
            </w:r>
          </w:p>
        </w:tc>
        <w:tc>
          <w:tcPr>
            <w:tcW w:w="1091" w:type="dxa"/>
            <w:tcBorders>
              <w:top w:val="nil"/>
              <w:left w:val="nil"/>
              <w:bottom w:val="single" w:color="auto" w:sz="4" w:space="0"/>
              <w:right w:val="single" w:color="auto" w:sz="4" w:space="0"/>
            </w:tcBorders>
            <w:vAlign w:val="center"/>
          </w:tcPr>
          <w:p w14:paraId="43E86BAF">
            <w:pPr>
              <w:widowControl/>
              <w:jc w:val="left"/>
              <w:rPr>
                <w:rFonts w:ascii="宋体" w:hAnsi="宋体" w:cs="宋体"/>
                <w:kern w:val="0"/>
                <w:sz w:val="20"/>
                <w:szCs w:val="20"/>
              </w:rPr>
            </w:pPr>
            <w:r>
              <w:rPr>
                <w:rFonts w:hint="eastAsia" w:ascii="宋体" w:hAnsi="宋体" w:cs="宋体"/>
                <w:kern w:val="0"/>
                <w:sz w:val="20"/>
                <w:szCs w:val="20"/>
              </w:rPr>
              <w:t>Z＜300</w:t>
            </w:r>
          </w:p>
        </w:tc>
      </w:tr>
      <w:tr w14:paraId="7DE19E49">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54EDDE6">
            <w:pPr>
              <w:widowControl/>
              <w:jc w:val="center"/>
              <w:rPr>
                <w:rFonts w:ascii="宋体" w:hAnsi="宋体" w:cs="宋体"/>
                <w:b/>
                <w:bCs/>
                <w:kern w:val="0"/>
                <w:sz w:val="20"/>
                <w:szCs w:val="20"/>
              </w:rPr>
            </w:pPr>
            <w:r>
              <w:rPr>
                <w:rFonts w:hint="eastAsia" w:ascii="宋体" w:hAnsi="宋体" w:cs="宋体"/>
                <w:b/>
                <w:bCs/>
                <w:kern w:val="0"/>
                <w:sz w:val="20"/>
                <w:szCs w:val="20"/>
              </w:rPr>
              <w:t>批发业</w:t>
            </w:r>
          </w:p>
        </w:tc>
        <w:tc>
          <w:tcPr>
            <w:tcW w:w="1633" w:type="dxa"/>
            <w:tcBorders>
              <w:top w:val="nil"/>
              <w:left w:val="nil"/>
              <w:bottom w:val="single" w:color="auto" w:sz="4" w:space="0"/>
              <w:right w:val="single" w:color="auto" w:sz="4" w:space="0"/>
            </w:tcBorders>
            <w:vAlign w:val="center"/>
          </w:tcPr>
          <w:p w14:paraId="7EF265EA">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65DA4336">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557ADA97">
            <w:pPr>
              <w:widowControl/>
              <w:jc w:val="left"/>
              <w:rPr>
                <w:rFonts w:ascii="宋体" w:hAnsi="宋体" w:cs="宋体"/>
                <w:kern w:val="0"/>
                <w:sz w:val="20"/>
                <w:szCs w:val="20"/>
              </w:rPr>
            </w:pPr>
            <w:r>
              <w:rPr>
                <w:rFonts w:hint="eastAsia" w:ascii="宋体" w:hAnsi="宋体" w:cs="宋体"/>
                <w:kern w:val="0"/>
                <w:sz w:val="20"/>
                <w:szCs w:val="20"/>
              </w:rPr>
              <w:t>20≤X＜200</w:t>
            </w:r>
          </w:p>
        </w:tc>
        <w:tc>
          <w:tcPr>
            <w:tcW w:w="1699" w:type="dxa"/>
            <w:tcBorders>
              <w:top w:val="nil"/>
              <w:left w:val="nil"/>
              <w:bottom w:val="single" w:color="auto" w:sz="4" w:space="0"/>
              <w:right w:val="single" w:color="auto" w:sz="4" w:space="0"/>
            </w:tcBorders>
            <w:vAlign w:val="center"/>
          </w:tcPr>
          <w:p w14:paraId="402D59CE">
            <w:pPr>
              <w:widowControl/>
              <w:jc w:val="left"/>
              <w:rPr>
                <w:rFonts w:ascii="宋体" w:hAnsi="宋体" w:cs="宋体"/>
                <w:kern w:val="0"/>
                <w:sz w:val="20"/>
                <w:szCs w:val="20"/>
              </w:rPr>
            </w:pPr>
            <w:r>
              <w:rPr>
                <w:rFonts w:hint="eastAsia" w:ascii="宋体" w:hAnsi="宋体" w:cs="宋体"/>
                <w:kern w:val="0"/>
                <w:sz w:val="20"/>
                <w:szCs w:val="20"/>
              </w:rPr>
              <w:t>5≤X＜20</w:t>
            </w:r>
          </w:p>
        </w:tc>
        <w:tc>
          <w:tcPr>
            <w:tcW w:w="1091" w:type="dxa"/>
            <w:tcBorders>
              <w:top w:val="nil"/>
              <w:left w:val="nil"/>
              <w:bottom w:val="single" w:color="auto" w:sz="4" w:space="0"/>
              <w:right w:val="single" w:color="auto" w:sz="4" w:space="0"/>
            </w:tcBorders>
            <w:vAlign w:val="center"/>
          </w:tcPr>
          <w:p w14:paraId="063F26BB">
            <w:pPr>
              <w:widowControl/>
              <w:jc w:val="left"/>
              <w:rPr>
                <w:rFonts w:ascii="宋体" w:hAnsi="宋体" w:cs="宋体"/>
                <w:kern w:val="0"/>
                <w:sz w:val="20"/>
                <w:szCs w:val="20"/>
              </w:rPr>
            </w:pPr>
            <w:r>
              <w:rPr>
                <w:rFonts w:hint="eastAsia" w:ascii="宋体" w:hAnsi="宋体" w:cs="宋体"/>
                <w:kern w:val="0"/>
                <w:sz w:val="20"/>
                <w:szCs w:val="20"/>
              </w:rPr>
              <w:t>X＜5</w:t>
            </w:r>
          </w:p>
        </w:tc>
      </w:tr>
      <w:tr w14:paraId="349B9CB8">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7FE1EA0B">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1A91C67A">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6BC79D00">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367D4D31">
            <w:pPr>
              <w:widowControl/>
              <w:jc w:val="left"/>
              <w:rPr>
                <w:rFonts w:ascii="宋体" w:hAnsi="宋体" w:cs="宋体"/>
                <w:kern w:val="0"/>
                <w:sz w:val="20"/>
                <w:szCs w:val="20"/>
              </w:rPr>
            </w:pPr>
            <w:r>
              <w:rPr>
                <w:rFonts w:hint="eastAsia" w:ascii="宋体" w:hAnsi="宋体" w:cs="宋体"/>
                <w:kern w:val="0"/>
                <w:sz w:val="20"/>
                <w:szCs w:val="20"/>
              </w:rPr>
              <w:t>5000≤Y＜40000</w:t>
            </w:r>
          </w:p>
        </w:tc>
        <w:tc>
          <w:tcPr>
            <w:tcW w:w="1699" w:type="dxa"/>
            <w:tcBorders>
              <w:top w:val="nil"/>
              <w:left w:val="nil"/>
              <w:bottom w:val="single" w:color="auto" w:sz="4" w:space="0"/>
              <w:right w:val="single" w:color="auto" w:sz="4" w:space="0"/>
            </w:tcBorders>
            <w:vAlign w:val="center"/>
          </w:tcPr>
          <w:p w14:paraId="49CCC614">
            <w:pPr>
              <w:widowControl/>
              <w:jc w:val="left"/>
              <w:rPr>
                <w:rFonts w:ascii="宋体" w:hAnsi="宋体" w:cs="宋体"/>
                <w:kern w:val="0"/>
                <w:sz w:val="20"/>
                <w:szCs w:val="20"/>
              </w:rPr>
            </w:pPr>
            <w:r>
              <w:rPr>
                <w:rFonts w:hint="eastAsia" w:ascii="宋体" w:hAnsi="宋体" w:cs="宋体"/>
                <w:kern w:val="0"/>
                <w:sz w:val="20"/>
                <w:szCs w:val="20"/>
              </w:rPr>
              <w:t>1000≤Y＜5000</w:t>
            </w:r>
          </w:p>
        </w:tc>
        <w:tc>
          <w:tcPr>
            <w:tcW w:w="1091" w:type="dxa"/>
            <w:tcBorders>
              <w:top w:val="nil"/>
              <w:left w:val="nil"/>
              <w:bottom w:val="single" w:color="auto" w:sz="4" w:space="0"/>
              <w:right w:val="single" w:color="auto" w:sz="4" w:space="0"/>
            </w:tcBorders>
            <w:vAlign w:val="center"/>
          </w:tcPr>
          <w:p w14:paraId="21880778">
            <w:pPr>
              <w:widowControl/>
              <w:jc w:val="left"/>
              <w:rPr>
                <w:rFonts w:ascii="宋体" w:hAnsi="宋体" w:cs="宋体"/>
                <w:kern w:val="0"/>
                <w:sz w:val="20"/>
                <w:szCs w:val="20"/>
              </w:rPr>
            </w:pPr>
            <w:r>
              <w:rPr>
                <w:rFonts w:hint="eastAsia" w:ascii="宋体" w:hAnsi="宋体" w:cs="宋体"/>
                <w:kern w:val="0"/>
                <w:sz w:val="20"/>
                <w:szCs w:val="20"/>
              </w:rPr>
              <w:t>Y＜1000</w:t>
            </w:r>
          </w:p>
        </w:tc>
      </w:tr>
      <w:tr w14:paraId="04FC68ED">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15EEDD97">
            <w:pPr>
              <w:widowControl/>
              <w:jc w:val="center"/>
              <w:rPr>
                <w:rFonts w:ascii="宋体" w:hAnsi="宋体" w:cs="宋体"/>
                <w:b/>
                <w:bCs/>
                <w:kern w:val="0"/>
                <w:sz w:val="20"/>
                <w:szCs w:val="20"/>
              </w:rPr>
            </w:pPr>
            <w:r>
              <w:rPr>
                <w:rFonts w:hint="eastAsia" w:ascii="宋体" w:hAnsi="宋体" w:cs="宋体"/>
                <w:b/>
                <w:bCs/>
                <w:kern w:val="0"/>
                <w:sz w:val="20"/>
                <w:szCs w:val="20"/>
              </w:rPr>
              <w:t>零售业</w:t>
            </w:r>
          </w:p>
        </w:tc>
        <w:tc>
          <w:tcPr>
            <w:tcW w:w="1633" w:type="dxa"/>
            <w:tcBorders>
              <w:top w:val="nil"/>
              <w:left w:val="nil"/>
              <w:bottom w:val="single" w:color="auto" w:sz="4" w:space="0"/>
              <w:right w:val="single" w:color="auto" w:sz="4" w:space="0"/>
            </w:tcBorders>
            <w:vAlign w:val="center"/>
          </w:tcPr>
          <w:p w14:paraId="5D7976A6">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158517BF">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36F0F1FE">
            <w:pPr>
              <w:widowControl/>
              <w:jc w:val="left"/>
              <w:rPr>
                <w:rFonts w:ascii="宋体" w:hAnsi="宋体" w:cs="宋体"/>
                <w:kern w:val="0"/>
                <w:sz w:val="20"/>
                <w:szCs w:val="20"/>
              </w:rPr>
            </w:pPr>
            <w:r>
              <w:rPr>
                <w:rFonts w:hint="eastAsia" w:ascii="宋体" w:hAnsi="宋体" w:cs="宋体"/>
                <w:kern w:val="0"/>
                <w:sz w:val="20"/>
                <w:szCs w:val="20"/>
              </w:rPr>
              <w:t>50≤X＜300</w:t>
            </w:r>
          </w:p>
        </w:tc>
        <w:tc>
          <w:tcPr>
            <w:tcW w:w="1699" w:type="dxa"/>
            <w:tcBorders>
              <w:top w:val="nil"/>
              <w:left w:val="nil"/>
              <w:bottom w:val="single" w:color="auto" w:sz="4" w:space="0"/>
              <w:right w:val="single" w:color="auto" w:sz="4" w:space="0"/>
            </w:tcBorders>
            <w:vAlign w:val="center"/>
          </w:tcPr>
          <w:p w14:paraId="213F8DA7">
            <w:pPr>
              <w:widowControl/>
              <w:jc w:val="left"/>
              <w:rPr>
                <w:rFonts w:ascii="宋体" w:hAnsi="宋体" w:cs="宋体"/>
                <w:kern w:val="0"/>
                <w:sz w:val="20"/>
                <w:szCs w:val="20"/>
              </w:rPr>
            </w:pPr>
            <w:r>
              <w:rPr>
                <w:rFonts w:hint="eastAsia" w:ascii="宋体" w:hAnsi="宋体" w:cs="宋体"/>
                <w:kern w:val="0"/>
                <w:sz w:val="20"/>
                <w:szCs w:val="20"/>
              </w:rPr>
              <w:t>10≤X＜50</w:t>
            </w:r>
          </w:p>
        </w:tc>
        <w:tc>
          <w:tcPr>
            <w:tcW w:w="1091" w:type="dxa"/>
            <w:tcBorders>
              <w:top w:val="nil"/>
              <w:left w:val="nil"/>
              <w:bottom w:val="single" w:color="auto" w:sz="4" w:space="0"/>
              <w:right w:val="single" w:color="auto" w:sz="4" w:space="0"/>
            </w:tcBorders>
            <w:vAlign w:val="center"/>
          </w:tcPr>
          <w:p w14:paraId="58C97C7F">
            <w:pPr>
              <w:widowControl/>
              <w:jc w:val="left"/>
              <w:rPr>
                <w:rFonts w:ascii="宋体" w:hAnsi="宋体" w:cs="宋体"/>
                <w:kern w:val="0"/>
                <w:sz w:val="20"/>
                <w:szCs w:val="20"/>
              </w:rPr>
            </w:pPr>
            <w:r>
              <w:rPr>
                <w:rFonts w:hint="eastAsia" w:ascii="宋体" w:hAnsi="宋体" w:cs="宋体"/>
                <w:kern w:val="0"/>
                <w:sz w:val="20"/>
                <w:szCs w:val="20"/>
              </w:rPr>
              <w:t>X＜10</w:t>
            </w:r>
          </w:p>
        </w:tc>
      </w:tr>
      <w:tr w14:paraId="1603EC78">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235847FE">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1936F264">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43CFCEF4">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627C1417">
            <w:pPr>
              <w:widowControl/>
              <w:jc w:val="left"/>
              <w:rPr>
                <w:rFonts w:ascii="宋体" w:hAnsi="宋体" w:cs="宋体"/>
                <w:kern w:val="0"/>
                <w:sz w:val="20"/>
                <w:szCs w:val="20"/>
              </w:rPr>
            </w:pPr>
            <w:r>
              <w:rPr>
                <w:rFonts w:hint="eastAsia" w:ascii="宋体" w:hAnsi="宋体" w:cs="宋体"/>
                <w:kern w:val="0"/>
                <w:sz w:val="20"/>
                <w:szCs w:val="20"/>
              </w:rPr>
              <w:t>500≤Y＜20000</w:t>
            </w:r>
          </w:p>
        </w:tc>
        <w:tc>
          <w:tcPr>
            <w:tcW w:w="1699" w:type="dxa"/>
            <w:tcBorders>
              <w:top w:val="nil"/>
              <w:left w:val="nil"/>
              <w:bottom w:val="single" w:color="auto" w:sz="4" w:space="0"/>
              <w:right w:val="single" w:color="auto" w:sz="4" w:space="0"/>
            </w:tcBorders>
            <w:vAlign w:val="center"/>
          </w:tcPr>
          <w:p w14:paraId="2785008B">
            <w:pPr>
              <w:widowControl/>
              <w:jc w:val="left"/>
              <w:rPr>
                <w:rFonts w:ascii="宋体" w:hAnsi="宋体" w:cs="宋体"/>
                <w:kern w:val="0"/>
                <w:sz w:val="20"/>
                <w:szCs w:val="20"/>
              </w:rPr>
            </w:pPr>
            <w:r>
              <w:rPr>
                <w:rFonts w:hint="eastAsia" w:ascii="宋体" w:hAnsi="宋体" w:cs="宋体"/>
                <w:kern w:val="0"/>
                <w:sz w:val="20"/>
                <w:szCs w:val="20"/>
              </w:rPr>
              <w:t>100≤Y＜500</w:t>
            </w:r>
          </w:p>
        </w:tc>
        <w:tc>
          <w:tcPr>
            <w:tcW w:w="1091" w:type="dxa"/>
            <w:tcBorders>
              <w:top w:val="nil"/>
              <w:left w:val="nil"/>
              <w:bottom w:val="single" w:color="auto" w:sz="4" w:space="0"/>
              <w:right w:val="single" w:color="auto" w:sz="4" w:space="0"/>
            </w:tcBorders>
            <w:vAlign w:val="center"/>
          </w:tcPr>
          <w:p w14:paraId="26552729">
            <w:pPr>
              <w:widowControl/>
              <w:jc w:val="left"/>
              <w:rPr>
                <w:rFonts w:ascii="宋体" w:hAnsi="宋体" w:cs="宋体"/>
                <w:kern w:val="0"/>
                <w:sz w:val="20"/>
                <w:szCs w:val="20"/>
              </w:rPr>
            </w:pPr>
            <w:r>
              <w:rPr>
                <w:rFonts w:hint="eastAsia" w:ascii="宋体" w:hAnsi="宋体" w:cs="宋体"/>
                <w:kern w:val="0"/>
                <w:sz w:val="20"/>
                <w:szCs w:val="20"/>
              </w:rPr>
              <w:t>Y＜100</w:t>
            </w:r>
          </w:p>
        </w:tc>
      </w:tr>
      <w:tr w14:paraId="79AB4167">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78FD1F01">
            <w:pPr>
              <w:widowControl/>
              <w:jc w:val="center"/>
              <w:rPr>
                <w:rFonts w:ascii="宋体" w:hAnsi="宋体" w:cs="宋体"/>
                <w:b/>
                <w:bCs/>
                <w:kern w:val="0"/>
                <w:sz w:val="20"/>
                <w:szCs w:val="20"/>
              </w:rPr>
            </w:pPr>
            <w:r>
              <w:rPr>
                <w:rFonts w:hint="eastAsia" w:ascii="宋体" w:hAnsi="宋体" w:cs="宋体"/>
                <w:b/>
                <w:bCs/>
                <w:kern w:val="0"/>
                <w:sz w:val="20"/>
                <w:szCs w:val="20"/>
              </w:rPr>
              <w:t>交通运输业</w:t>
            </w:r>
          </w:p>
        </w:tc>
        <w:tc>
          <w:tcPr>
            <w:tcW w:w="1633" w:type="dxa"/>
            <w:tcBorders>
              <w:top w:val="nil"/>
              <w:left w:val="nil"/>
              <w:bottom w:val="single" w:color="auto" w:sz="4" w:space="0"/>
              <w:right w:val="single" w:color="auto" w:sz="4" w:space="0"/>
            </w:tcBorders>
            <w:vAlign w:val="center"/>
          </w:tcPr>
          <w:p w14:paraId="3C08A95B">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4EF776B2">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3A863671">
            <w:pPr>
              <w:widowControl/>
              <w:jc w:val="left"/>
              <w:rPr>
                <w:rFonts w:ascii="宋体" w:hAnsi="宋体" w:cs="宋体"/>
                <w:kern w:val="0"/>
                <w:sz w:val="20"/>
                <w:szCs w:val="20"/>
              </w:rPr>
            </w:pPr>
            <w:r>
              <w:rPr>
                <w:rFonts w:hint="eastAsia" w:ascii="宋体" w:hAnsi="宋体" w:cs="宋体"/>
                <w:kern w:val="0"/>
                <w:sz w:val="20"/>
                <w:szCs w:val="20"/>
              </w:rPr>
              <w:t>300≤X＜1000</w:t>
            </w:r>
          </w:p>
        </w:tc>
        <w:tc>
          <w:tcPr>
            <w:tcW w:w="1699" w:type="dxa"/>
            <w:tcBorders>
              <w:top w:val="nil"/>
              <w:left w:val="nil"/>
              <w:bottom w:val="single" w:color="auto" w:sz="4" w:space="0"/>
              <w:right w:val="single" w:color="auto" w:sz="4" w:space="0"/>
            </w:tcBorders>
            <w:vAlign w:val="center"/>
          </w:tcPr>
          <w:p w14:paraId="7391739F">
            <w:pPr>
              <w:widowControl/>
              <w:jc w:val="left"/>
              <w:rPr>
                <w:rFonts w:ascii="宋体" w:hAnsi="宋体" w:cs="宋体"/>
                <w:kern w:val="0"/>
                <w:sz w:val="20"/>
                <w:szCs w:val="20"/>
              </w:rPr>
            </w:pPr>
            <w:r>
              <w:rPr>
                <w:rFonts w:hint="eastAsia" w:ascii="宋体" w:hAnsi="宋体" w:cs="宋体"/>
                <w:kern w:val="0"/>
                <w:sz w:val="20"/>
                <w:szCs w:val="20"/>
              </w:rPr>
              <w:t>20≤X＜300</w:t>
            </w:r>
          </w:p>
        </w:tc>
        <w:tc>
          <w:tcPr>
            <w:tcW w:w="1091" w:type="dxa"/>
            <w:tcBorders>
              <w:top w:val="nil"/>
              <w:left w:val="nil"/>
              <w:bottom w:val="single" w:color="auto" w:sz="4" w:space="0"/>
              <w:right w:val="single" w:color="auto" w:sz="4" w:space="0"/>
            </w:tcBorders>
            <w:vAlign w:val="center"/>
          </w:tcPr>
          <w:p w14:paraId="71550250">
            <w:pPr>
              <w:widowControl/>
              <w:jc w:val="left"/>
              <w:rPr>
                <w:rFonts w:ascii="宋体" w:hAnsi="宋体" w:cs="宋体"/>
                <w:kern w:val="0"/>
                <w:sz w:val="20"/>
                <w:szCs w:val="20"/>
              </w:rPr>
            </w:pPr>
            <w:r>
              <w:rPr>
                <w:rFonts w:hint="eastAsia" w:ascii="宋体" w:hAnsi="宋体" w:cs="宋体"/>
                <w:kern w:val="0"/>
                <w:sz w:val="20"/>
                <w:szCs w:val="20"/>
              </w:rPr>
              <w:t>X＜20</w:t>
            </w:r>
          </w:p>
        </w:tc>
      </w:tr>
      <w:tr w14:paraId="6FA222F7">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BA709DA">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240FA35C">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512DBAB4">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4CA9F925">
            <w:pPr>
              <w:widowControl/>
              <w:jc w:val="left"/>
              <w:rPr>
                <w:rFonts w:ascii="宋体" w:hAnsi="宋体" w:cs="宋体"/>
                <w:kern w:val="0"/>
                <w:sz w:val="20"/>
                <w:szCs w:val="20"/>
              </w:rPr>
            </w:pPr>
            <w:r>
              <w:rPr>
                <w:rFonts w:hint="eastAsia" w:ascii="宋体" w:hAnsi="宋体" w:cs="宋体"/>
                <w:kern w:val="0"/>
                <w:sz w:val="20"/>
                <w:szCs w:val="20"/>
              </w:rPr>
              <w:t>3000≤Y＜30000</w:t>
            </w:r>
          </w:p>
        </w:tc>
        <w:tc>
          <w:tcPr>
            <w:tcW w:w="1699" w:type="dxa"/>
            <w:tcBorders>
              <w:top w:val="nil"/>
              <w:left w:val="nil"/>
              <w:bottom w:val="single" w:color="auto" w:sz="4" w:space="0"/>
              <w:right w:val="single" w:color="auto" w:sz="4" w:space="0"/>
            </w:tcBorders>
            <w:vAlign w:val="center"/>
          </w:tcPr>
          <w:p w14:paraId="471454D1">
            <w:pPr>
              <w:widowControl/>
              <w:jc w:val="left"/>
              <w:rPr>
                <w:rFonts w:ascii="宋体" w:hAnsi="宋体" w:cs="宋体"/>
                <w:kern w:val="0"/>
                <w:sz w:val="20"/>
                <w:szCs w:val="20"/>
              </w:rPr>
            </w:pPr>
            <w:r>
              <w:rPr>
                <w:rFonts w:hint="eastAsia" w:ascii="宋体" w:hAnsi="宋体" w:cs="宋体"/>
                <w:kern w:val="0"/>
                <w:sz w:val="20"/>
                <w:szCs w:val="20"/>
              </w:rPr>
              <w:t>200≤Y＜3000</w:t>
            </w:r>
          </w:p>
        </w:tc>
        <w:tc>
          <w:tcPr>
            <w:tcW w:w="1091" w:type="dxa"/>
            <w:tcBorders>
              <w:top w:val="nil"/>
              <w:left w:val="nil"/>
              <w:bottom w:val="single" w:color="auto" w:sz="4" w:space="0"/>
              <w:right w:val="single" w:color="auto" w:sz="4" w:space="0"/>
            </w:tcBorders>
            <w:vAlign w:val="center"/>
          </w:tcPr>
          <w:p w14:paraId="71379975">
            <w:pPr>
              <w:widowControl/>
              <w:jc w:val="left"/>
              <w:rPr>
                <w:rFonts w:ascii="宋体" w:hAnsi="宋体" w:cs="宋体"/>
                <w:kern w:val="0"/>
                <w:sz w:val="20"/>
                <w:szCs w:val="20"/>
              </w:rPr>
            </w:pPr>
            <w:r>
              <w:rPr>
                <w:rFonts w:hint="eastAsia" w:ascii="宋体" w:hAnsi="宋体" w:cs="宋体"/>
                <w:kern w:val="0"/>
                <w:sz w:val="20"/>
                <w:szCs w:val="20"/>
              </w:rPr>
              <w:t>Y＜200</w:t>
            </w:r>
          </w:p>
        </w:tc>
      </w:tr>
      <w:tr w14:paraId="7C461D01">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FAA9BE5">
            <w:pPr>
              <w:widowControl/>
              <w:jc w:val="center"/>
              <w:rPr>
                <w:rFonts w:ascii="宋体" w:hAnsi="宋体" w:cs="宋体"/>
                <w:b/>
                <w:bCs/>
                <w:kern w:val="0"/>
                <w:sz w:val="20"/>
                <w:szCs w:val="20"/>
              </w:rPr>
            </w:pPr>
            <w:r>
              <w:rPr>
                <w:rFonts w:hint="eastAsia" w:ascii="宋体" w:hAnsi="宋体" w:cs="宋体"/>
                <w:b/>
                <w:bCs/>
                <w:kern w:val="0"/>
                <w:sz w:val="20"/>
                <w:szCs w:val="20"/>
              </w:rPr>
              <w:t>仓储业</w:t>
            </w:r>
          </w:p>
        </w:tc>
        <w:tc>
          <w:tcPr>
            <w:tcW w:w="1633" w:type="dxa"/>
            <w:tcBorders>
              <w:top w:val="nil"/>
              <w:left w:val="nil"/>
              <w:bottom w:val="single" w:color="auto" w:sz="4" w:space="0"/>
              <w:right w:val="single" w:color="auto" w:sz="4" w:space="0"/>
            </w:tcBorders>
            <w:vAlign w:val="center"/>
          </w:tcPr>
          <w:p w14:paraId="10A5B216">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692C556E">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66D99719">
            <w:pPr>
              <w:widowControl/>
              <w:jc w:val="left"/>
              <w:rPr>
                <w:rFonts w:ascii="宋体" w:hAnsi="宋体" w:cs="宋体"/>
                <w:kern w:val="0"/>
                <w:sz w:val="20"/>
                <w:szCs w:val="20"/>
              </w:rPr>
            </w:pPr>
            <w:r>
              <w:rPr>
                <w:rFonts w:hint="eastAsia" w:ascii="宋体" w:hAnsi="宋体" w:cs="宋体"/>
                <w:kern w:val="0"/>
                <w:sz w:val="20"/>
                <w:szCs w:val="20"/>
              </w:rPr>
              <w:t>100≤X＜200</w:t>
            </w:r>
          </w:p>
        </w:tc>
        <w:tc>
          <w:tcPr>
            <w:tcW w:w="1699" w:type="dxa"/>
            <w:tcBorders>
              <w:top w:val="nil"/>
              <w:left w:val="nil"/>
              <w:bottom w:val="single" w:color="auto" w:sz="4" w:space="0"/>
              <w:right w:val="single" w:color="auto" w:sz="4" w:space="0"/>
            </w:tcBorders>
            <w:vAlign w:val="center"/>
          </w:tcPr>
          <w:p w14:paraId="334961A1">
            <w:pPr>
              <w:widowControl/>
              <w:jc w:val="left"/>
              <w:rPr>
                <w:rFonts w:ascii="宋体" w:hAnsi="宋体" w:cs="宋体"/>
                <w:kern w:val="0"/>
                <w:sz w:val="20"/>
                <w:szCs w:val="20"/>
              </w:rPr>
            </w:pPr>
            <w:r>
              <w:rPr>
                <w:rFonts w:hint="eastAsia" w:ascii="宋体" w:hAnsi="宋体" w:cs="宋体"/>
                <w:kern w:val="0"/>
                <w:sz w:val="20"/>
                <w:szCs w:val="20"/>
              </w:rPr>
              <w:t>20≤X＜100</w:t>
            </w:r>
          </w:p>
        </w:tc>
        <w:tc>
          <w:tcPr>
            <w:tcW w:w="1091" w:type="dxa"/>
            <w:tcBorders>
              <w:top w:val="nil"/>
              <w:left w:val="nil"/>
              <w:bottom w:val="single" w:color="auto" w:sz="4" w:space="0"/>
              <w:right w:val="single" w:color="auto" w:sz="4" w:space="0"/>
            </w:tcBorders>
            <w:vAlign w:val="center"/>
          </w:tcPr>
          <w:p w14:paraId="0C9A2879">
            <w:pPr>
              <w:widowControl/>
              <w:jc w:val="left"/>
              <w:rPr>
                <w:rFonts w:ascii="宋体" w:hAnsi="宋体" w:cs="宋体"/>
                <w:kern w:val="0"/>
                <w:sz w:val="20"/>
                <w:szCs w:val="20"/>
              </w:rPr>
            </w:pPr>
            <w:r>
              <w:rPr>
                <w:rFonts w:hint="eastAsia" w:ascii="宋体" w:hAnsi="宋体" w:cs="宋体"/>
                <w:kern w:val="0"/>
                <w:sz w:val="20"/>
                <w:szCs w:val="20"/>
              </w:rPr>
              <w:t>X＜20</w:t>
            </w:r>
          </w:p>
        </w:tc>
      </w:tr>
      <w:tr w14:paraId="217D37C5">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644B4FA3">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15BC84B9">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29DA5DE1">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6F4C6119">
            <w:pPr>
              <w:widowControl/>
              <w:jc w:val="left"/>
              <w:rPr>
                <w:rFonts w:ascii="宋体" w:hAnsi="宋体" w:cs="宋体"/>
                <w:kern w:val="0"/>
                <w:sz w:val="20"/>
                <w:szCs w:val="20"/>
              </w:rPr>
            </w:pPr>
            <w:r>
              <w:rPr>
                <w:rFonts w:hint="eastAsia" w:ascii="宋体" w:hAnsi="宋体" w:cs="宋体"/>
                <w:kern w:val="0"/>
                <w:sz w:val="20"/>
                <w:szCs w:val="20"/>
              </w:rPr>
              <w:t>1000≤Y＜30000</w:t>
            </w:r>
          </w:p>
        </w:tc>
        <w:tc>
          <w:tcPr>
            <w:tcW w:w="1699" w:type="dxa"/>
            <w:tcBorders>
              <w:top w:val="nil"/>
              <w:left w:val="nil"/>
              <w:bottom w:val="single" w:color="auto" w:sz="4" w:space="0"/>
              <w:right w:val="single" w:color="auto" w:sz="4" w:space="0"/>
            </w:tcBorders>
            <w:vAlign w:val="center"/>
          </w:tcPr>
          <w:p w14:paraId="511D007B">
            <w:pPr>
              <w:widowControl/>
              <w:jc w:val="left"/>
              <w:rPr>
                <w:rFonts w:ascii="宋体" w:hAnsi="宋体" w:cs="宋体"/>
                <w:kern w:val="0"/>
                <w:sz w:val="20"/>
                <w:szCs w:val="20"/>
              </w:rPr>
            </w:pPr>
            <w:r>
              <w:rPr>
                <w:rFonts w:hint="eastAsia" w:ascii="宋体" w:hAnsi="宋体" w:cs="宋体"/>
                <w:kern w:val="0"/>
                <w:sz w:val="20"/>
                <w:szCs w:val="20"/>
              </w:rPr>
              <w:t>100≤Y＜1000</w:t>
            </w:r>
          </w:p>
        </w:tc>
        <w:tc>
          <w:tcPr>
            <w:tcW w:w="1091" w:type="dxa"/>
            <w:tcBorders>
              <w:top w:val="nil"/>
              <w:left w:val="nil"/>
              <w:bottom w:val="single" w:color="auto" w:sz="4" w:space="0"/>
              <w:right w:val="single" w:color="auto" w:sz="4" w:space="0"/>
            </w:tcBorders>
            <w:vAlign w:val="center"/>
          </w:tcPr>
          <w:p w14:paraId="77AD8F0C">
            <w:pPr>
              <w:widowControl/>
              <w:jc w:val="left"/>
              <w:rPr>
                <w:rFonts w:ascii="宋体" w:hAnsi="宋体" w:cs="宋体"/>
                <w:kern w:val="0"/>
                <w:sz w:val="20"/>
                <w:szCs w:val="20"/>
              </w:rPr>
            </w:pPr>
            <w:r>
              <w:rPr>
                <w:rFonts w:hint="eastAsia" w:ascii="宋体" w:hAnsi="宋体" w:cs="宋体"/>
                <w:kern w:val="0"/>
                <w:sz w:val="20"/>
                <w:szCs w:val="20"/>
              </w:rPr>
              <w:t>Y＜100</w:t>
            </w:r>
          </w:p>
        </w:tc>
      </w:tr>
      <w:tr w14:paraId="3EF834F4">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6374C751">
            <w:pPr>
              <w:widowControl/>
              <w:jc w:val="center"/>
              <w:rPr>
                <w:rFonts w:ascii="宋体" w:hAnsi="宋体" w:cs="宋体"/>
                <w:b/>
                <w:bCs/>
                <w:kern w:val="0"/>
                <w:sz w:val="20"/>
                <w:szCs w:val="20"/>
              </w:rPr>
            </w:pPr>
            <w:r>
              <w:rPr>
                <w:rFonts w:hint="eastAsia" w:ascii="宋体" w:hAnsi="宋体" w:cs="宋体"/>
                <w:b/>
                <w:bCs/>
                <w:kern w:val="0"/>
                <w:sz w:val="20"/>
                <w:szCs w:val="20"/>
              </w:rPr>
              <w:t>邮政业</w:t>
            </w:r>
          </w:p>
        </w:tc>
        <w:tc>
          <w:tcPr>
            <w:tcW w:w="1633" w:type="dxa"/>
            <w:tcBorders>
              <w:top w:val="nil"/>
              <w:left w:val="nil"/>
              <w:bottom w:val="single" w:color="auto" w:sz="4" w:space="0"/>
              <w:right w:val="single" w:color="auto" w:sz="4" w:space="0"/>
            </w:tcBorders>
            <w:vAlign w:val="center"/>
          </w:tcPr>
          <w:p w14:paraId="31245595">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5B2DE790">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40C3771F">
            <w:pPr>
              <w:widowControl/>
              <w:jc w:val="left"/>
              <w:rPr>
                <w:rFonts w:ascii="宋体" w:hAnsi="宋体" w:cs="宋体"/>
                <w:kern w:val="0"/>
                <w:sz w:val="20"/>
                <w:szCs w:val="20"/>
              </w:rPr>
            </w:pPr>
            <w:r>
              <w:rPr>
                <w:rFonts w:hint="eastAsia" w:ascii="宋体" w:hAnsi="宋体" w:cs="宋体"/>
                <w:kern w:val="0"/>
                <w:sz w:val="20"/>
                <w:szCs w:val="20"/>
              </w:rPr>
              <w:t>300≤X＜1000</w:t>
            </w:r>
          </w:p>
        </w:tc>
        <w:tc>
          <w:tcPr>
            <w:tcW w:w="1699" w:type="dxa"/>
            <w:tcBorders>
              <w:top w:val="nil"/>
              <w:left w:val="nil"/>
              <w:bottom w:val="single" w:color="auto" w:sz="4" w:space="0"/>
              <w:right w:val="single" w:color="auto" w:sz="4" w:space="0"/>
            </w:tcBorders>
            <w:vAlign w:val="center"/>
          </w:tcPr>
          <w:p w14:paraId="62E91D22">
            <w:pPr>
              <w:widowControl/>
              <w:jc w:val="left"/>
              <w:rPr>
                <w:rFonts w:ascii="宋体" w:hAnsi="宋体" w:cs="宋体"/>
                <w:kern w:val="0"/>
                <w:sz w:val="20"/>
                <w:szCs w:val="20"/>
              </w:rPr>
            </w:pPr>
            <w:r>
              <w:rPr>
                <w:rFonts w:hint="eastAsia" w:ascii="宋体" w:hAnsi="宋体" w:cs="宋体"/>
                <w:kern w:val="0"/>
                <w:sz w:val="20"/>
                <w:szCs w:val="20"/>
              </w:rPr>
              <w:t>20≤X＜300</w:t>
            </w:r>
          </w:p>
        </w:tc>
        <w:tc>
          <w:tcPr>
            <w:tcW w:w="1091" w:type="dxa"/>
            <w:tcBorders>
              <w:top w:val="nil"/>
              <w:left w:val="nil"/>
              <w:bottom w:val="single" w:color="auto" w:sz="4" w:space="0"/>
              <w:right w:val="single" w:color="auto" w:sz="4" w:space="0"/>
            </w:tcBorders>
            <w:vAlign w:val="center"/>
          </w:tcPr>
          <w:p w14:paraId="779B23F4">
            <w:pPr>
              <w:widowControl/>
              <w:jc w:val="left"/>
              <w:rPr>
                <w:rFonts w:ascii="宋体" w:hAnsi="宋体" w:cs="宋体"/>
                <w:kern w:val="0"/>
                <w:sz w:val="20"/>
                <w:szCs w:val="20"/>
              </w:rPr>
            </w:pPr>
            <w:r>
              <w:rPr>
                <w:rFonts w:hint="eastAsia" w:ascii="宋体" w:hAnsi="宋体" w:cs="宋体"/>
                <w:kern w:val="0"/>
                <w:sz w:val="20"/>
                <w:szCs w:val="20"/>
              </w:rPr>
              <w:t>X＜20</w:t>
            </w:r>
          </w:p>
        </w:tc>
      </w:tr>
      <w:tr w14:paraId="71B28623">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30B32314">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159F373D">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0B6E83A3">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6DBA0385">
            <w:pPr>
              <w:widowControl/>
              <w:jc w:val="left"/>
              <w:rPr>
                <w:rFonts w:ascii="宋体" w:hAnsi="宋体" w:cs="宋体"/>
                <w:kern w:val="0"/>
                <w:sz w:val="20"/>
                <w:szCs w:val="20"/>
              </w:rPr>
            </w:pPr>
            <w:r>
              <w:rPr>
                <w:rFonts w:hint="eastAsia" w:ascii="宋体" w:hAnsi="宋体" w:cs="宋体"/>
                <w:kern w:val="0"/>
                <w:sz w:val="20"/>
                <w:szCs w:val="20"/>
              </w:rPr>
              <w:t>2000≤Y＜30000</w:t>
            </w:r>
          </w:p>
        </w:tc>
        <w:tc>
          <w:tcPr>
            <w:tcW w:w="1699" w:type="dxa"/>
            <w:tcBorders>
              <w:top w:val="nil"/>
              <w:left w:val="nil"/>
              <w:bottom w:val="single" w:color="auto" w:sz="4" w:space="0"/>
              <w:right w:val="single" w:color="auto" w:sz="4" w:space="0"/>
            </w:tcBorders>
            <w:vAlign w:val="center"/>
          </w:tcPr>
          <w:p w14:paraId="3F7DE2D8">
            <w:pPr>
              <w:widowControl/>
              <w:jc w:val="left"/>
              <w:rPr>
                <w:rFonts w:ascii="宋体" w:hAnsi="宋体" w:cs="宋体"/>
                <w:kern w:val="0"/>
                <w:sz w:val="20"/>
                <w:szCs w:val="20"/>
              </w:rPr>
            </w:pPr>
            <w:r>
              <w:rPr>
                <w:rFonts w:hint="eastAsia" w:ascii="宋体" w:hAnsi="宋体" w:cs="宋体"/>
                <w:kern w:val="0"/>
                <w:sz w:val="20"/>
                <w:szCs w:val="20"/>
              </w:rPr>
              <w:t>100≤Y＜2000</w:t>
            </w:r>
          </w:p>
        </w:tc>
        <w:tc>
          <w:tcPr>
            <w:tcW w:w="1091" w:type="dxa"/>
            <w:tcBorders>
              <w:top w:val="nil"/>
              <w:left w:val="nil"/>
              <w:bottom w:val="single" w:color="auto" w:sz="4" w:space="0"/>
              <w:right w:val="single" w:color="auto" w:sz="4" w:space="0"/>
            </w:tcBorders>
            <w:vAlign w:val="center"/>
          </w:tcPr>
          <w:p w14:paraId="2E0ADF16">
            <w:pPr>
              <w:widowControl/>
              <w:jc w:val="left"/>
              <w:rPr>
                <w:rFonts w:ascii="宋体" w:hAnsi="宋体" w:cs="宋体"/>
                <w:kern w:val="0"/>
                <w:sz w:val="20"/>
                <w:szCs w:val="20"/>
              </w:rPr>
            </w:pPr>
            <w:r>
              <w:rPr>
                <w:rFonts w:hint="eastAsia" w:ascii="宋体" w:hAnsi="宋体" w:cs="宋体"/>
                <w:kern w:val="0"/>
                <w:sz w:val="20"/>
                <w:szCs w:val="20"/>
              </w:rPr>
              <w:t>Y＜100</w:t>
            </w:r>
          </w:p>
        </w:tc>
      </w:tr>
      <w:tr w14:paraId="568DA34A">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5C0C071C">
            <w:pPr>
              <w:widowControl/>
              <w:jc w:val="center"/>
              <w:rPr>
                <w:rFonts w:ascii="宋体" w:hAnsi="宋体" w:cs="宋体"/>
                <w:b/>
                <w:bCs/>
                <w:kern w:val="0"/>
                <w:sz w:val="20"/>
                <w:szCs w:val="20"/>
              </w:rPr>
            </w:pPr>
            <w:r>
              <w:rPr>
                <w:rFonts w:hint="eastAsia" w:ascii="宋体" w:hAnsi="宋体" w:cs="宋体"/>
                <w:b/>
                <w:bCs/>
                <w:kern w:val="0"/>
                <w:sz w:val="20"/>
                <w:szCs w:val="20"/>
              </w:rPr>
              <w:t>住宿业</w:t>
            </w:r>
          </w:p>
        </w:tc>
        <w:tc>
          <w:tcPr>
            <w:tcW w:w="1633" w:type="dxa"/>
            <w:tcBorders>
              <w:top w:val="nil"/>
              <w:left w:val="nil"/>
              <w:bottom w:val="single" w:color="auto" w:sz="4" w:space="0"/>
              <w:right w:val="single" w:color="auto" w:sz="4" w:space="0"/>
            </w:tcBorders>
            <w:vAlign w:val="center"/>
          </w:tcPr>
          <w:p w14:paraId="451767F8">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11F28DFD">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02951679">
            <w:pPr>
              <w:widowControl/>
              <w:jc w:val="left"/>
              <w:rPr>
                <w:rFonts w:ascii="宋体" w:hAnsi="宋体" w:cs="宋体"/>
                <w:kern w:val="0"/>
                <w:sz w:val="20"/>
                <w:szCs w:val="20"/>
              </w:rPr>
            </w:pPr>
            <w:r>
              <w:rPr>
                <w:rFonts w:hint="eastAsia" w:ascii="宋体" w:hAnsi="宋体" w:cs="宋体"/>
                <w:kern w:val="0"/>
                <w:sz w:val="20"/>
                <w:szCs w:val="20"/>
              </w:rPr>
              <w:t>100≤X＜300</w:t>
            </w:r>
          </w:p>
        </w:tc>
        <w:tc>
          <w:tcPr>
            <w:tcW w:w="1699" w:type="dxa"/>
            <w:tcBorders>
              <w:top w:val="nil"/>
              <w:left w:val="nil"/>
              <w:bottom w:val="single" w:color="auto" w:sz="4" w:space="0"/>
              <w:right w:val="single" w:color="auto" w:sz="4" w:space="0"/>
            </w:tcBorders>
            <w:vAlign w:val="center"/>
          </w:tcPr>
          <w:p w14:paraId="3C17F137">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3922E9D1">
            <w:pPr>
              <w:widowControl/>
              <w:jc w:val="left"/>
              <w:rPr>
                <w:rFonts w:ascii="宋体" w:hAnsi="宋体" w:cs="宋体"/>
                <w:kern w:val="0"/>
                <w:sz w:val="20"/>
                <w:szCs w:val="20"/>
              </w:rPr>
            </w:pPr>
            <w:r>
              <w:rPr>
                <w:rFonts w:hint="eastAsia" w:ascii="宋体" w:hAnsi="宋体" w:cs="宋体"/>
                <w:kern w:val="0"/>
                <w:sz w:val="20"/>
                <w:szCs w:val="20"/>
              </w:rPr>
              <w:t>X＜10</w:t>
            </w:r>
          </w:p>
        </w:tc>
      </w:tr>
      <w:tr w14:paraId="2EE4FF74">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42FD8F32">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60B66AFE">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769D516A">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60A5286D">
            <w:pPr>
              <w:widowControl/>
              <w:jc w:val="left"/>
              <w:rPr>
                <w:rFonts w:ascii="宋体" w:hAnsi="宋体" w:cs="宋体"/>
                <w:kern w:val="0"/>
                <w:sz w:val="20"/>
                <w:szCs w:val="20"/>
              </w:rPr>
            </w:pPr>
            <w:r>
              <w:rPr>
                <w:rFonts w:hint="eastAsia" w:ascii="宋体" w:hAnsi="宋体" w:cs="宋体"/>
                <w:kern w:val="0"/>
                <w:sz w:val="20"/>
                <w:szCs w:val="20"/>
              </w:rPr>
              <w:t>2000≤Y＜10000</w:t>
            </w:r>
          </w:p>
        </w:tc>
        <w:tc>
          <w:tcPr>
            <w:tcW w:w="1699" w:type="dxa"/>
            <w:tcBorders>
              <w:top w:val="nil"/>
              <w:left w:val="nil"/>
              <w:bottom w:val="single" w:color="auto" w:sz="4" w:space="0"/>
              <w:right w:val="single" w:color="auto" w:sz="4" w:space="0"/>
            </w:tcBorders>
            <w:vAlign w:val="center"/>
          </w:tcPr>
          <w:p w14:paraId="14EC75F3">
            <w:pPr>
              <w:widowControl/>
              <w:jc w:val="left"/>
              <w:rPr>
                <w:rFonts w:ascii="宋体" w:hAnsi="宋体" w:cs="宋体"/>
                <w:kern w:val="0"/>
                <w:sz w:val="20"/>
                <w:szCs w:val="20"/>
              </w:rPr>
            </w:pPr>
            <w:r>
              <w:rPr>
                <w:rFonts w:hint="eastAsia" w:ascii="宋体" w:hAnsi="宋体" w:cs="宋体"/>
                <w:kern w:val="0"/>
                <w:sz w:val="20"/>
                <w:szCs w:val="20"/>
              </w:rPr>
              <w:t>100≤Y＜2000</w:t>
            </w:r>
          </w:p>
        </w:tc>
        <w:tc>
          <w:tcPr>
            <w:tcW w:w="1091" w:type="dxa"/>
            <w:tcBorders>
              <w:top w:val="nil"/>
              <w:left w:val="nil"/>
              <w:bottom w:val="single" w:color="auto" w:sz="4" w:space="0"/>
              <w:right w:val="single" w:color="auto" w:sz="4" w:space="0"/>
            </w:tcBorders>
            <w:vAlign w:val="center"/>
          </w:tcPr>
          <w:p w14:paraId="387D9834">
            <w:pPr>
              <w:widowControl/>
              <w:jc w:val="left"/>
              <w:rPr>
                <w:rFonts w:ascii="宋体" w:hAnsi="宋体" w:cs="宋体"/>
                <w:kern w:val="0"/>
                <w:sz w:val="20"/>
                <w:szCs w:val="20"/>
              </w:rPr>
            </w:pPr>
            <w:r>
              <w:rPr>
                <w:rFonts w:hint="eastAsia" w:ascii="宋体" w:hAnsi="宋体" w:cs="宋体"/>
                <w:kern w:val="0"/>
                <w:sz w:val="20"/>
                <w:szCs w:val="20"/>
              </w:rPr>
              <w:t>Y＜100</w:t>
            </w:r>
          </w:p>
        </w:tc>
      </w:tr>
      <w:tr w14:paraId="5182AAFA">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6CBAA017">
            <w:pPr>
              <w:widowControl/>
              <w:jc w:val="center"/>
              <w:rPr>
                <w:rFonts w:ascii="宋体" w:hAnsi="宋体" w:cs="宋体"/>
                <w:b/>
                <w:bCs/>
                <w:kern w:val="0"/>
                <w:sz w:val="20"/>
                <w:szCs w:val="20"/>
              </w:rPr>
            </w:pPr>
            <w:r>
              <w:rPr>
                <w:rFonts w:hint="eastAsia" w:ascii="宋体" w:hAnsi="宋体" w:cs="宋体"/>
                <w:b/>
                <w:bCs/>
                <w:kern w:val="0"/>
                <w:sz w:val="20"/>
                <w:szCs w:val="20"/>
              </w:rPr>
              <w:t>餐饮业</w:t>
            </w:r>
          </w:p>
        </w:tc>
        <w:tc>
          <w:tcPr>
            <w:tcW w:w="1633" w:type="dxa"/>
            <w:tcBorders>
              <w:top w:val="nil"/>
              <w:left w:val="nil"/>
              <w:bottom w:val="single" w:color="auto" w:sz="4" w:space="0"/>
              <w:right w:val="single" w:color="auto" w:sz="4" w:space="0"/>
            </w:tcBorders>
            <w:vAlign w:val="center"/>
          </w:tcPr>
          <w:p w14:paraId="5579B98D">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6FF38128">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259298F8">
            <w:pPr>
              <w:widowControl/>
              <w:jc w:val="left"/>
              <w:rPr>
                <w:rFonts w:ascii="宋体" w:hAnsi="宋体" w:cs="宋体"/>
                <w:kern w:val="0"/>
                <w:sz w:val="20"/>
                <w:szCs w:val="20"/>
              </w:rPr>
            </w:pPr>
            <w:r>
              <w:rPr>
                <w:rFonts w:hint="eastAsia" w:ascii="宋体" w:hAnsi="宋体" w:cs="宋体"/>
                <w:kern w:val="0"/>
                <w:sz w:val="20"/>
                <w:szCs w:val="20"/>
              </w:rPr>
              <w:t>100≤X＜300</w:t>
            </w:r>
          </w:p>
        </w:tc>
        <w:tc>
          <w:tcPr>
            <w:tcW w:w="1699" w:type="dxa"/>
            <w:tcBorders>
              <w:top w:val="nil"/>
              <w:left w:val="nil"/>
              <w:bottom w:val="single" w:color="auto" w:sz="4" w:space="0"/>
              <w:right w:val="single" w:color="auto" w:sz="4" w:space="0"/>
            </w:tcBorders>
            <w:vAlign w:val="center"/>
          </w:tcPr>
          <w:p w14:paraId="0568A1D0">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3D186954">
            <w:pPr>
              <w:widowControl/>
              <w:jc w:val="left"/>
              <w:rPr>
                <w:rFonts w:ascii="宋体" w:hAnsi="宋体" w:cs="宋体"/>
                <w:kern w:val="0"/>
                <w:sz w:val="20"/>
                <w:szCs w:val="20"/>
              </w:rPr>
            </w:pPr>
            <w:r>
              <w:rPr>
                <w:rFonts w:hint="eastAsia" w:ascii="宋体" w:hAnsi="宋体" w:cs="宋体"/>
                <w:kern w:val="0"/>
                <w:sz w:val="20"/>
                <w:szCs w:val="20"/>
              </w:rPr>
              <w:t>X＜10</w:t>
            </w:r>
          </w:p>
        </w:tc>
      </w:tr>
      <w:tr w14:paraId="491280B2">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36543289">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3C8A690C">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4A664A9D">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5F6C23A3">
            <w:pPr>
              <w:widowControl/>
              <w:jc w:val="left"/>
              <w:rPr>
                <w:rFonts w:ascii="宋体" w:hAnsi="宋体" w:cs="宋体"/>
                <w:kern w:val="0"/>
                <w:sz w:val="20"/>
                <w:szCs w:val="20"/>
              </w:rPr>
            </w:pPr>
            <w:r>
              <w:rPr>
                <w:rFonts w:hint="eastAsia" w:ascii="宋体" w:hAnsi="宋体" w:cs="宋体"/>
                <w:kern w:val="0"/>
                <w:sz w:val="20"/>
                <w:szCs w:val="20"/>
              </w:rPr>
              <w:t>2000≤Y＜10000</w:t>
            </w:r>
          </w:p>
        </w:tc>
        <w:tc>
          <w:tcPr>
            <w:tcW w:w="1699" w:type="dxa"/>
            <w:tcBorders>
              <w:top w:val="nil"/>
              <w:left w:val="nil"/>
              <w:bottom w:val="single" w:color="auto" w:sz="4" w:space="0"/>
              <w:right w:val="single" w:color="auto" w:sz="4" w:space="0"/>
            </w:tcBorders>
            <w:vAlign w:val="center"/>
          </w:tcPr>
          <w:p w14:paraId="0EF9AC49">
            <w:pPr>
              <w:widowControl/>
              <w:jc w:val="left"/>
              <w:rPr>
                <w:rFonts w:ascii="宋体" w:hAnsi="宋体" w:cs="宋体"/>
                <w:kern w:val="0"/>
                <w:sz w:val="20"/>
                <w:szCs w:val="20"/>
              </w:rPr>
            </w:pPr>
            <w:r>
              <w:rPr>
                <w:rFonts w:hint="eastAsia" w:ascii="宋体" w:hAnsi="宋体" w:cs="宋体"/>
                <w:kern w:val="0"/>
                <w:sz w:val="20"/>
                <w:szCs w:val="20"/>
              </w:rPr>
              <w:t>100≤Y＜2000</w:t>
            </w:r>
          </w:p>
        </w:tc>
        <w:tc>
          <w:tcPr>
            <w:tcW w:w="1091" w:type="dxa"/>
            <w:tcBorders>
              <w:top w:val="nil"/>
              <w:left w:val="nil"/>
              <w:bottom w:val="single" w:color="auto" w:sz="4" w:space="0"/>
              <w:right w:val="single" w:color="auto" w:sz="4" w:space="0"/>
            </w:tcBorders>
            <w:vAlign w:val="center"/>
          </w:tcPr>
          <w:p w14:paraId="36BDBC16">
            <w:pPr>
              <w:widowControl/>
              <w:jc w:val="left"/>
              <w:rPr>
                <w:rFonts w:ascii="宋体" w:hAnsi="宋体" w:cs="宋体"/>
                <w:kern w:val="0"/>
                <w:sz w:val="20"/>
                <w:szCs w:val="20"/>
              </w:rPr>
            </w:pPr>
            <w:r>
              <w:rPr>
                <w:rFonts w:hint="eastAsia" w:ascii="宋体" w:hAnsi="宋体" w:cs="宋体"/>
                <w:kern w:val="0"/>
                <w:sz w:val="20"/>
                <w:szCs w:val="20"/>
              </w:rPr>
              <w:t>Y＜100</w:t>
            </w:r>
          </w:p>
        </w:tc>
      </w:tr>
      <w:tr w14:paraId="53F615EC">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53A4586C">
            <w:pPr>
              <w:widowControl/>
              <w:jc w:val="center"/>
              <w:rPr>
                <w:rFonts w:ascii="宋体" w:hAnsi="宋体" w:cs="宋体"/>
                <w:b/>
                <w:bCs/>
                <w:kern w:val="0"/>
                <w:sz w:val="20"/>
                <w:szCs w:val="20"/>
              </w:rPr>
            </w:pPr>
            <w:r>
              <w:rPr>
                <w:rFonts w:hint="eastAsia" w:ascii="宋体" w:hAnsi="宋体" w:cs="宋体"/>
                <w:b/>
                <w:bCs/>
                <w:kern w:val="0"/>
                <w:sz w:val="20"/>
                <w:szCs w:val="20"/>
              </w:rPr>
              <w:t>信息传输业</w:t>
            </w:r>
          </w:p>
        </w:tc>
        <w:tc>
          <w:tcPr>
            <w:tcW w:w="1633" w:type="dxa"/>
            <w:tcBorders>
              <w:top w:val="nil"/>
              <w:left w:val="nil"/>
              <w:bottom w:val="single" w:color="auto" w:sz="4" w:space="0"/>
              <w:right w:val="single" w:color="auto" w:sz="4" w:space="0"/>
            </w:tcBorders>
            <w:vAlign w:val="center"/>
          </w:tcPr>
          <w:p w14:paraId="262931CA">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0C6E3662">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61B5DF2A">
            <w:pPr>
              <w:widowControl/>
              <w:jc w:val="left"/>
              <w:rPr>
                <w:rFonts w:ascii="宋体" w:hAnsi="宋体" w:cs="宋体"/>
                <w:kern w:val="0"/>
                <w:sz w:val="20"/>
                <w:szCs w:val="20"/>
              </w:rPr>
            </w:pPr>
            <w:r>
              <w:rPr>
                <w:rFonts w:hint="eastAsia" w:ascii="宋体" w:hAnsi="宋体" w:cs="宋体"/>
                <w:kern w:val="0"/>
                <w:sz w:val="20"/>
                <w:szCs w:val="20"/>
              </w:rPr>
              <w:t>100≤X＜2000</w:t>
            </w:r>
          </w:p>
        </w:tc>
        <w:tc>
          <w:tcPr>
            <w:tcW w:w="1699" w:type="dxa"/>
            <w:tcBorders>
              <w:top w:val="nil"/>
              <w:left w:val="nil"/>
              <w:bottom w:val="single" w:color="auto" w:sz="4" w:space="0"/>
              <w:right w:val="single" w:color="auto" w:sz="4" w:space="0"/>
            </w:tcBorders>
            <w:vAlign w:val="center"/>
          </w:tcPr>
          <w:p w14:paraId="06704D2B">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512CC913">
            <w:pPr>
              <w:widowControl/>
              <w:jc w:val="left"/>
              <w:rPr>
                <w:rFonts w:ascii="宋体" w:hAnsi="宋体" w:cs="宋体"/>
                <w:kern w:val="0"/>
                <w:sz w:val="20"/>
                <w:szCs w:val="20"/>
              </w:rPr>
            </w:pPr>
            <w:r>
              <w:rPr>
                <w:rFonts w:hint="eastAsia" w:ascii="宋体" w:hAnsi="宋体" w:cs="宋体"/>
                <w:kern w:val="0"/>
                <w:sz w:val="20"/>
                <w:szCs w:val="20"/>
              </w:rPr>
              <w:t>X＜10</w:t>
            </w:r>
          </w:p>
        </w:tc>
      </w:tr>
      <w:tr w14:paraId="3475EC5D">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7E789721">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453C4ECA">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432B19B9">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342FCB25">
            <w:pPr>
              <w:widowControl/>
              <w:jc w:val="left"/>
              <w:rPr>
                <w:rFonts w:ascii="宋体" w:hAnsi="宋体" w:cs="宋体"/>
                <w:kern w:val="0"/>
                <w:sz w:val="20"/>
                <w:szCs w:val="20"/>
              </w:rPr>
            </w:pPr>
            <w:r>
              <w:rPr>
                <w:rFonts w:hint="eastAsia" w:ascii="宋体" w:hAnsi="宋体" w:cs="宋体"/>
                <w:kern w:val="0"/>
                <w:sz w:val="20"/>
                <w:szCs w:val="20"/>
              </w:rPr>
              <w:t>1000≤Y＜100000</w:t>
            </w:r>
          </w:p>
        </w:tc>
        <w:tc>
          <w:tcPr>
            <w:tcW w:w="1699" w:type="dxa"/>
            <w:tcBorders>
              <w:top w:val="nil"/>
              <w:left w:val="nil"/>
              <w:bottom w:val="single" w:color="auto" w:sz="4" w:space="0"/>
              <w:right w:val="single" w:color="auto" w:sz="4" w:space="0"/>
            </w:tcBorders>
            <w:vAlign w:val="center"/>
          </w:tcPr>
          <w:p w14:paraId="5F66C60B">
            <w:pPr>
              <w:widowControl/>
              <w:jc w:val="left"/>
              <w:rPr>
                <w:rFonts w:ascii="宋体" w:hAnsi="宋体" w:cs="宋体"/>
                <w:kern w:val="0"/>
                <w:sz w:val="20"/>
                <w:szCs w:val="20"/>
              </w:rPr>
            </w:pPr>
            <w:r>
              <w:rPr>
                <w:rFonts w:hint="eastAsia" w:ascii="宋体" w:hAnsi="宋体" w:cs="宋体"/>
                <w:kern w:val="0"/>
                <w:sz w:val="20"/>
                <w:szCs w:val="20"/>
              </w:rPr>
              <w:t>100≤Y＜1000</w:t>
            </w:r>
          </w:p>
        </w:tc>
        <w:tc>
          <w:tcPr>
            <w:tcW w:w="1091" w:type="dxa"/>
            <w:tcBorders>
              <w:top w:val="nil"/>
              <w:left w:val="nil"/>
              <w:bottom w:val="single" w:color="auto" w:sz="4" w:space="0"/>
              <w:right w:val="single" w:color="auto" w:sz="4" w:space="0"/>
            </w:tcBorders>
            <w:vAlign w:val="center"/>
          </w:tcPr>
          <w:p w14:paraId="522EBB18">
            <w:pPr>
              <w:widowControl/>
              <w:jc w:val="left"/>
              <w:rPr>
                <w:rFonts w:ascii="宋体" w:hAnsi="宋体" w:cs="宋体"/>
                <w:kern w:val="0"/>
                <w:sz w:val="20"/>
                <w:szCs w:val="20"/>
              </w:rPr>
            </w:pPr>
            <w:r>
              <w:rPr>
                <w:rFonts w:hint="eastAsia" w:ascii="宋体" w:hAnsi="宋体" w:cs="宋体"/>
                <w:kern w:val="0"/>
                <w:sz w:val="20"/>
                <w:szCs w:val="20"/>
              </w:rPr>
              <w:t>Y＜100</w:t>
            </w:r>
          </w:p>
        </w:tc>
      </w:tr>
      <w:tr w14:paraId="659BE42C">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D049532">
            <w:pPr>
              <w:widowControl/>
              <w:jc w:val="center"/>
              <w:rPr>
                <w:rFonts w:ascii="宋体" w:hAnsi="宋体" w:cs="宋体"/>
                <w:b/>
                <w:bCs/>
                <w:kern w:val="0"/>
                <w:sz w:val="20"/>
                <w:szCs w:val="20"/>
              </w:rPr>
            </w:pPr>
            <w:r>
              <w:rPr>
                <w:rFonts w:hint="eastAsia" w:ascii="宋体" w:hAnsi="宋体" w:cs="宋体"/>
                <w:b/>
                <w:bCs/>
                <w:kern w:val="0"/>
                <w:sz w:val="20"/>
                <w:szCs w:val="20"/>
              </w:rPr>
              <w:t>软件和信息技术服务业</w:t>
            </w:r>
          </w:p>
        </w:tc>
        <w:tc>
          <w:tcPr>
            <w:tcW w:w="1633" w:type="dxa"/>
            <w:tcBorders>
              <w:top w:val="nil"/>
              <w:left w:val="nil"/>
              <w:bottom w:val="single" w:color="auto" w:sz="4" w:space="0"/>
              <w:right w:val="single" w:color="auto" w:sz="4" w:space="0"/>
            </w:tcBorders>
            <w:vAlign w:val="center"/>
          </w:tcPr>
          <w:p w14:paraId="7A2CAEF4">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54B6DCBB">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26C142C3">
            <w:pPr>
              <w:widowControl/>
              <w:jc w:val="left"/>
              <w:rPr>
                <w:rFonts w:ascii="宋体" w:hAnsi="宋体" w:cs="宋体"/>
                <w:kern w:val="0"/>
                <w:sz w:val="20"/>
                <w:szCs w:val="20"/>
              </w:rPr>
            </w:pPr>
            <w:r>
              <w:rPr>
                <w:rFonts w:hint="eastAsia" w:ascii="宋体" w:hAnsi="宋体" w:cs="宋体"/>
                <w:kern w:val="0"/>
                <w:sz w:val="20"/>
                <w:szCs w:val="20"/>
              </w:rPr>
              <w:t>100≤X＜300</w:t>
            </w:r>
          </w:p>
        </w:tc>
        <w:tc>
          <w:tcPr>
            <w:tcW w:w="1699" w:type="dxa"/>
            <w:tcBorders>
              <w:top w:val="nil"/>
              <w:left w:val="nil"/>
              <w:bottom w:val="single" w:color="auto" w:sz="4" w:space="0"/>
              <w:right w:val="single" w:color="auto" w:sz="4" w:space="0"/>
            </w:tcBorders>
            <w:vAlign w:val="center"/>
          </w:tcPr>
          <w:p w14:paraId="08F04901">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20950B76">
            <w:pPr>
              <w:widowControl/>
              <w:jc w:val="left"/>
              <w:rPr>
                <w:rFonts w:ascii="宋体" w:hAnsi="宋体" w:cs="宋体"/>
                <w:kern w:val="0"/>
                <w:sz w:val="20"/>
                <w:szCs w:val="20"/>
              </w:rPr>
            </w:pPr>
            <w:r>
              <w:rPr>
                <w:rFonts w:hint="eastAsia" w:ascii="宋体" w:hAnsi="宋体" w:cs="宋体"/>
                <w:kern w:val="0"/>
                <w:sz w:val="20"/>
                <w:szCs w:val="20"/>
              </w:rPr>
              <w:t>X＜10</w:t>
            </w:r>
          </w:p>
        </w:tc>
      </w:tr>
      <w:tr w14:paraId="5801180C">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16F1E8E8">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6D0B65D8">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04500943">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36003397">
            <w:pPr>
              <w:widowControl/>
              <w:jc w:val="left"/>
              <w:rPr>
                <w:rFonts w:ascii="宋体" w:hAnsi="宋体" w:cs="宋体"/>
                <w:kern w:val="0"/>
                <w:sz w:val="20"/>
                <w:szCs w:val="20"/>
              </w:rPr>
            </w:pPr>
            <w:r>
              <w:rPr>
                <w:rFonts w:hint="eastAsia" w:ascii="宋体" w:hAnsi="宋体" w:cs="宋体"/>
                <w:kern w:val="0"/>
                <w:sz w:val="20"/>
                <w:szCs w:val="20"/>
              </w:rPr>
              <w:t>1000≤Y＜10000</w:t>
            </w:r>
          </w:p>
        </w:tc>
        <w:tc>
          <w:tcPr>
            <w:tcW w:w="1699" w:type="dxa"/>
            <w:tcBorders>
              <w:top w:val="nil"/>
              <w:left w:val="nil"/>
              <w:bottom w:val="single" w:color="auto" w:sz="4" w:space="0"/>
              <w:right w:val="single" w:color="auto" w:sz="4" w:space="0"/>
            </w:tcBorders>
            <w:vAlign w:val="center"/>
          </w:tcPr>
          <w:p w14:paraId="285DB304">
            <w:pPr>
              <w:widowControl/>
              <w:jc w:val="left"/>
              <w:rPr>
                <w:rFonts w:ascii="宋体" w:hAnsi="宋体" w:cs="宋体"/>
                <w:kern w:val="0"/>
                <w:sz w:val="20"/>
                <w:szCs w:val="20"/>
              </w:rPr>
            </w:pPr>
            <w:r>
              <w:rPr>
                <w:rFonts w:hint="eastAsia" w:ascii="宋体" w:hAnsi="宋体" w:cs="宋体"/>
                <w:kern w:val="0"/>
                <w:sz w:val="20"/>
                <w:szCs w:val="20"/>
              </w:rPr>
              <w:t>50≤Y＜1000</w:t>
            </w:r>
          </w:p>
        </w:tc>
        <w:tc>
          <w:tcPr>
            <w:tcW w:w="1091" w:type="dxa"/>
            <w:tcBorders>
              <w:top w:val="nil"/>
              <w:left w:val="nil"/>
              <w:bottom w:val="single" w:color="auto" w:sz="4" w:space="0"/>
              <w:right w:val="single" w:color="auto" w:sz="4" w:space="0"/>
            </w:tcBorders>
            <w:vAlign w:val="center"/>
          </w:tcPr>
          <w:p w14:paraId="54282739">
            <w:pPr>
              <w:widowControl/>
              <w:jc w:val="left"/>
              <w:rPr>
                <w:rFonts w:ascii="宋体" w:hAnsi="宋体" w:cs="宋体"/>
                <w:kern w:val="0"/>
                <w:sz w:val="20"/>
                <w:szCs w:val="20"/>
              </w:rPr>
            </w:pPr>
            <w:r>
              <w:rPr>
                <w:rFonts w:hint="eastAsia" w:ascii="宋体" w:hAnsi="宋体" w:cs="宋体"/>
                <w:kern w:val="0"/>
                <w:sz w:val="20"/>
                <w:szCs w:val="20"/>
              </w:rPr>
              <w:t>Y＜50</w:t>
            </w:r>
          </w:p>
        </w:tc>
      </w:tr>
      <w:tr w14:paraId="655BBE24">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64B710C">
            <w:pPr>
              <w:widowControl/>
              <w:jc w:val="center"/>
              <w:rPr>
                <w:rFonts w:ascii="宋体" w:hAnsi="宋体" w:cs="宋体"/>
                <w:b/>
                <w:bCs/>
                <w:kern w:val="0"/>
                <w:sz w:val="20"/>
                <w:szCs w:val="20"/>
              </w:rPr>
            </w:pPr>
            <w:r>
              <w:rPr>
                <w:rFonts w:hint="eastAsia" w:ascii="宋体" w:hAnsi="宋体" w:cs="宋体"/>
                <w:b/>
                <w:bCs/>
                <w:kern w:val="0"/>
                <w:sz w:val="20"/>
                <w:szCs w:val="20"/>
              </w:rPr>
              <w:t>房地产开发经营</w:t>
            </w:r>
          </w:p>
        </w:tc>
        <w:tc>
          <w:tcPr>
            <w:tcW w:w="1633" w:type="dxa"/>
            <w:tcBorders>
              <w:top w:val="nil"/>
              <w:left w:val="nil"/>
              <w:bottom w:val="single" w:color="auto" w:sz="4" w:space="0"/>
              <w:right w:val="single" w:color="auto" w:sz="4" w:space="0"/>
            </w:tcBorders>
            <w:vAlign w:val="center"/>
          </w:tcPr>
          <w:p w14:paraId="0559A492">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25D5609D">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385C22C0">
            <w:pPr>
              <w:widowControl/>
              <w:jc w:val="left"/>
              <w:rPr>
                <w:rFonts w:ascii="宋体" w:hAnsi="宋体" w:cs="宋体"/>
                <w:kern w:val="0"/>
                <w:sz w:val="20"/>
                <w:szCs w:val="20"/>
              </w:rPr>
            </w:pPr>
            <w:r>
              <w:rPr>
                <w:rFonts w:hint="eastAsia" w:ascii="宋体" w:hAnsi="宋体" w:cs="宋体"/>
                <w:kern w:val="0"/>
                <w:sz w:val="20"/>
                <w:szCs w:val="20"/>
              </w:rPr>
              <w:t>1000≤Y＜200000</w:t>
            </w:r>
          </w:p>
        </w:tc>
        <w:tc>
          <w:tcPr>
            <w:tcW w:w="1699" w:type="dxa"/>
            <w:tcBorders>
              <w:top w:val="nil"/>
              <w:left w:val="nil"/>
              <w:bottom w:val="single" w:color="auto" w:sz="4" w:space="0"/>
              <w:right w:val="single" w:color="auto" w:sz="4" w:space="0"/>
            </w:tcBorders>
            <w:vAlign w:val="center"/>
          </w:tcPr>
          <w:p w14:paraId="34988223">
            <w:pPr>
              <w:widowControl/>
              <w:jc w:val="left"/>
              <w:rPr>
                <w:rFonts w:ascii="宋体" w:hAnsi="宋体" w:cs="宋体"/>
                <w:kern w:val="0"/>
                <w:sz w:val="20"/>
                <w:szCs w:val="20"/>
              </w:rPr>
            </w:pPr>
            <w:r>
              <w:rPr>
                <w:rFonts w:hint="eastAsia" w:ascii="宋体" w:hAnsi="宋体" w:cs="宋体"/>
                <w:kern w:val="0"/>
                <w:sz w:val="20"/>
                <w:szCs w:val="20"/>
              </w:rPr>
              <w:t>100≤X＜1000</w:t>
            </w:r>
          </w:p>
        </w:tc>
        <w:tc>
          <w:tcPr>
            <w:tcW w:w="1091" w:type="dxa"/>
            <w:tcBorders>
              <w:top w:val="nil"/>
              <w:left w:val="nil"/>
              <w:bottom w:val="single" w:color="auto" w:sz="4" w:space="0"/>
              <w:right w:val="single" w:color="auto" w:sz="4" w:space="0"/>
            </w:tcBorders>
            <w:vAlign w:val="center"/>
          </w:tcPr>
          <w:p w14:paraId="70E80AE9">
            <w:pPr>
              <w:widowControl/>
              <w:jc w:val="left"/>
              <w:rPr>
                <w:rFonts w:ascii="宋体" w:hAnsi="宋体" w:cs="宋体"/>
                <w:kern w:val="0"/>
                <w:sz w:val="20"/>
                <w:szCs w:val="20"/>
              </w:rPr>
            </w:pPr>
            <w:r>
              <w:rPr>
                <w:rFonts w:hint="eastAsia" w:ascii="宋体" w:hAnsi="宋体" w:cs="宋体"/>
                <w:kern w:val="0"/>
                <w:sz w:val="20"/>
                <w:szCs w:val="20"/>
              </w:rPr>
              <w:t>X＜100</w:t>
            </w:r>
          </w:p>
        </w:tc>
      </w:tr>
      <w:tr w14:paraId="1233DB52">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1EE2766">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27C13344">
            <w:pPr>
              <w:widowControl/>
              <w:jc w:val="left"/>
              <w:rPr>
                <w:rFonts w:ascii="宋体" w:hAnsi="宋体" w:cs="宋体"/>
                <w:kern w:val="0"/>
                <w:sz w:val="20"/>
                <w:szCs w:val="20"/>
              </w:rPr>
            </w:pPr>
            <w:r>
              <w:rPr>
                <w:rFonts w:hint="eastAsia" w:ascii="宋体" w:hAnsi="宋体" w:cs="宋体"/>
                <w:kern w:val="0"/>
                <w:sz w:val="20"/>
                <w:szCs w:val="20"/>
              </w:rPr>
              <w:t>资产总额（Z）</w:t>
            </w:r>
          </w:p>
        </w:tc>
        <w:tc>
          <w:tcPr>
            <w:tcW w:w="1077" w:type="dxa"/>
            <w:tcBorders>
              <w:top w:val="nil"/>
              <w:left w:val="nil"/>
              <w:bottom w:val="single" w:color="auto" w:sz="4" w:space="0"/>
              <w:right w:val="single" w:color="auto" w:sz="4" w:space="0"/>
            </w:tcBorders>
            <w:vAlign w:val="center"/>
          </w:tcPr>
          <w:p w14:paraId="2801A39D">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754F99D2">
            <w:pPr>
              <w:widowControl/>
              <w:jc w:val="left"/>
              <w:rPr>
                <w:rFonts w:ascii="宋体" w:hAnsi="宋体" w:cs="宋体"/>
                <w:kern w:val="0"/>
                <w:sz w:val="20"/>
                <w:szCs w:val="20"/>
              </w:rPr>
            </w:pPr>
            <w:r>
              <w:rPr>
                <w:rFonts w:hint="eastAsia" w:ascii="宋体" w:hAnsi="宋体" w:cs="宋体"/>
                <w:kern w:val="0"/>
                <w:sz w:val="20"/>
                <w:szCs w:val="20"/>
              </w:rPr>
              <w:t>5000≤Z＜10000</w:t>
            </w:r>
          </w:p>
        </w:tc>
        <w:tc>
          <w:tcPr>
            <w:tcW w:w="1699" w:type="dxa"/>
            <w:tcBorders>
              <w:top w:val="nil"/>
              <w:left w:val="nil"/>
              <w:bottom w:val="single" w:color="auto" w:sz="4" w:space="0"/>
              <w:right w:val="single" w:color="auto" w:sz="4" w:space="0"/>
            </w:tcBorders>
            <w:vAlign w:val="center"/>
          </w:tcPr>
          <w:p w14:paraId="43818BA8">
            <w:pPr>
              <w:widowControl/>
              <w:jc w:val="left"/>
              <w:rPr>
                <w:rFonts w:ascii="宋体" w:hAnsi="宋体" w:cs="宋体"/>
                <w:kern w:val="0"/>
                <w:sz w:val="20"/>
                <w:szCs w:val="20"/>
              </w:rPr>
            </w:pPr>
            <w:r>
              <w:rPr>
                <w:rFonts w:hint="eastAsia" w:ascii="宋体" w:hAnsi="宋体" w:cs="宋体"/>
                <w:kern w:val="0"/>
                <w:sz w:val="20"/>
                <w:szCs w:val="20"/>
              </w:rPr>
              <w:t>2000≤Y＜5000</w:t>
            </w:r>
          </w:p>
        </w:tc>
        <w:tc>
          <w:tcPr>
            <w:tcW w:w="1091" w:type="dxa"/>
            <w:tcBorders>
              <w:top w:val="nil"/>
              <w:left w:val="nil"/>
              <w:bottom w:val="single" w:color="auto" w:sz="4" w:space="0"/>
              <w:right w:val="single" w:color="auto" w:sz="4" w:space="0"/>
            </w:tcBorders>
            <w:vAlign w:val="center"/>
          </w:tcPr>
          <w:p w14:paraId="30EB2E6E">
            <w:pPr>
              <w:widowControl/>
              <w:jc w:val="left"/>
              <w:rPr>
                <w:rFonts w:ascii="宋体" w:hAnsi="宋体" w:cs="宋体"/>
                <w:kern w:val="0"/>
                <w:sz w:val="20"/>
                <w:szCs w:val="20"/>
              </w:rPr>
            </w:pPr>
            <w:r>
              <w:rPr>
                <w:rFonts w:hint="eastAsia" w:ascii="宋体" w:hAnsi="宋体" w:cs="宋体"/>
                <w:kern w:val="0"/>
                <w:sz w:val="20"/>
                <w:szCs w:val="20"/>
              </w:rPr>
              <w:t>Y＜2000</w:t>
            </w:r>
          </w:p>
        </w:tc>
      </w:tr>
      <w:tr w14:paraId="28C7C21F">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022AF54C">
            <w:pPr>
              <w:widowControl/>
              <w:jc w:val="center"/>
              <w:rPr>
                <w:rFonts w:ascii="宋体" w:hAnsi="宋体" w:cs="宋体"/>
                <w:b/>
                <w:bCs/>
                <w:kern w:val="0"/>
                <w:sz w:val="20"/>
                <w:szCs w:val="20"/>
              </w:rPr>
            </w:pPr>
            <w:r>
              <w:rPr>
                <w:rFonts w:hint="eastAsia" w:ascii="宋体" w:hAnsi="宋体" w:cs="宋体"/>
                <w:b/>
                <w:bCs/>
                <w:kern w:val="0"/>
                <w:sz w:val="20"/>
                <w:szCs w:val="20"/>
              </w:rPr>
              <w:t>物业管理</w:t>
            </w:r>
          </w:p>
        </w:tc>
        <w:tc>
          <w:tcPr>
            <w:tcW w:w="1633" w:type="dxa"/>
            <w:tcBorders>
              <w:top w:val="nil"/>
              <w:left w:val="nil"/>
              <w:bottom w:val="single" w:color="auto" w:sz="4" w:space="0"/>
              <w:right w:val="single" w:color="auto" w:sz="4" w:space="0"/>
            </w:tcBorders>
            <w:vAlign w:val="center"/>
          </w:tcPr>
          <w:p w14:paraId="0CE11761">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2480CBCF">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39066018">
            <w:pPr>
              <w:widowControl/>
              <w:jc w:val="left"/>
              <w:rPr>
                <w:rFonts w:ascii="宋体" w:hAnsi="宋体" w:cs="宋体"/>
                <w:kern w:val="0"/>
                <w:sz w:val="20"/>
                <w:szCs w:val="20"/>
              </w:rPr>
            </w:pPr>
            <w:r>
              <w:rPr>
                <w:rFonts w:hint="eastAsia" w:ascii="宋体" w:hAnsi="宋体" w:cs="宋体"/>
                <w:kern w:val="0"/>
                <w:sz w:val="20"/>
                <w:szCs w:val="20"/>
              </w:rPr>
              <w:t>300≤X＜1000</w:t>
            </w:r>
          </w:p>
        </w:tc>
        <w:tc>
          <w:tcPr>
            <w:tcW w:w="1699" w:type="dxa"/>
            <w:tcBorders>
              <w:top w:val="nil"/>
              <w:left w:val="nil"/>
              <w:bottom w:val="single" w:color="auto" w:sz="4" w:space="0"/>
              <w:right w:val="single" w:color="auto" w:sz="4" w:space="0"/>
            </w:tcBorders>
            <w:vAlign w:val="center"/>
          </w:tcPr>
          <w:p w14:paraId="0BCA64E2">
            <w:pPr>
              <w:widowControl/>
              <w:jc w:val="left"/>
              <w:rPr>
                <w:rFonts w:ascii="宋体" w:hAnsi="宋体" w:cs="宋体"/>
                <w:kern w:val="0"/>
                <w:sz w:val="20"/>
                <w:szCs w:val="20"/>
              </w:rPr>
            </w:pPr>
            <w:r>
              <w:rPr>
                <w:rFonts w:hint="eastAsia" w:ascii="宋体" w:hAnsi="宋体" w:cs="宋体"/>
                <w:kern w:val="0"/>
                <w:sz w:val="20"/>
                <w:szCs w:val="20"/>
              </w:rPr>
              <w:t>100≤X＜300</w:t>
            </w:r>
          </w:p>
        </w:tc>
        <w:tc>
          <w:tcPr>
            <w:tcW w:w="1091" w:type="dxa"/>
            <w:tcBorders>
              <w:top w:val="nil"/>
              <w:left w:val="nil"/>
              <w:bottom w:val="single" w:color="auto" w:sz="4" w:space="0"/>
              <w:right w:val="single" w:color="auto" w:sz="4" w:space="0"/>
            </w:tcBorders>
            <w:vAlign w:val="center"/>
          </w:tcPr>
          <w:p w14:paraId="2461AED0">
            <w:pPr>
              <w:widowControl/>
              <w:jc w:val="left"/>
              <w:rPr>
                <w:rFonts w:ascii="宋体" w:hAnsi="宋体" w:cs="宋体"/>
                <w:kern w:val="0"/>
                <w:sz w:val="20"/>
                <w:szCs w:val="20"/>
              </w:rPr>
            </w:pPr>
            <w:r>
              <w:rPr>
                <w:rFonts w:hint="eastAsia" w:ascii="宋体" w:hAnsi="宋体" w:cs="宋体"/>
                <w:kern w:val="0"/>
                <w:sz w:val="20"/>
                <w:szCs w:val="20"/>
              </w:rPr>
              <w:t>X＜100</w:t>
            </w:r>
          </w:p>
        </w:tc>
      </w:tr>
      <w:tr w14:paraId="54283093">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5DE7B8F1">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2A981B64">
            <w:pPr>
              <w:widowControl/>
              <w:jc w:val="left"/>
              <w:rPr>
                <w:rFonts w:ascii="宋体" w:hAnsi="宋体" w:cs="宋体"/>
                <w:kern w:val="0"/>
                <w:sz w:val="20"/>
                <w:szCs w:val="20"/>
              </w:rPr>
            </w:pPr>
            <w:r>
              <w:rPr>
                <w:rFonts w:hint="eastAsia" w:ascii="宋体" w:hAnsi="宋体" w:cs="宋体"/>
                <w:kern w:val="0"/>
                <w:sz w:val="20"/>
                <w:szCs w:val="20"/>
              </w:rPr>
              <w:t>营业收入（Y）</w:t>
            </w:r>
          </w:p>
        </w:tc>
        <w:tc>
          <w:tcPr>
            <w:tcW w:w="1077" w:type="dxa"/>
            <w:tcBorders>
              <w:top w:val="nil"/>
              <w:left w:val="nil"/>
              <w:bottom w:val="single" w:color="auto" w:sz="4" w:space="0"/>
              <w:right w:val="single" w:color="auto" w:sz="4" w:space="0"/>
            </w:tcBorders>
            <w:vAlign w:val="center"/>
          </w:tcPr>
          <w:p w14:paraId="7F73F24E">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0DEA7D05">
            <w:pPr>
              <w:widowControl/>
              <w:jc w:val="left"/>
              <w:rPr>
                <w:rFonts w:ascii="宋体" w:hAnsi="宋体" w:cs="宋体"/>
                <w:kern w:val="0"/>
                <w:sz w:val="20"/>
                <w:szCs w:val="20"/>
              </w:rPr>
            </w:pPr>
            <w:r>
              <w:rPr>
                <w:rFonts w:hint="eastAsia" w:ascii="宋体" w:hAnsi="宋体" w:cs="宋体"/>
                <w:kern w:val="0"/>
                <w:sz w:val="20"/>
                <w:szCs w:val="20"/>
              </w:rPr>
              <w:t>1000≤Y＜5000</w:t>
            </w:r>
          </w:p>
        </w:tc>
        <w:tc>
          <w:tcPr>
            <w:tcW w:w="1699" w:type="dxa"/>
            <w:tcBorders>
              <w:top w:val="nil"/>
              <w:left w:val="nil"/>
              <w:bottom w:val="single" w:color="auto" w:sz="4" w:space="0"/>
              <w:right w:val="single" w:color="auto" w:sz="4" w:space="0"/>
            </w:tcBorders>
            <w:vAlign w:val="center"/>
          </w:tcPr>
          <w:p w14:paraId="7E0EE00D">
            <w:pPr>
              <w:widowControl/>
              <w:jc w:val="left"/>
              <w:rPr>
                <w:rFonts w:ascii="宋体" w:hAnsi="宋体" w:cs="宋体"/>
                <w:kern w:val="0"/>
                <w:sz w:val="20"/>
                <w:szCs w:val="20"/>
              </w:rPr>
            </w:pPr>
            <w:r>
              <w:rPr>
                <w:rFonts w:hint="eastAsia" w:ascii="宋体" w:hAnsi="宋体" w:cs="宋体"/>
                <w:kern w:val="0"/>
                <w:sz w:val="20"/>
                <w:szCs w:val="20"/>
              </w:rPr>
              <w:t>500≤Y＜1000</w:t>
            </w:r>
          </w:p>
        </w:tc>
        <w:tc>
          <w:tcPr>
            <w:tcW w:w="1091" w:type="dxa"/>
            <w:tcBorders>
              <w:top w:val="nil"/>
              <w:left w:val="nil"/>
              <w:bottom w:val="single" w:color="auto" w:sz="4" w:space="0"/>
              <w:right w:val="single" w:color="auto" w:sz="4" w:space="0"/>
            </w:tcBorders>
            <w:vAlign w:val="center"/>
          </w:tcPr>
          <w:p w14:paraId="051C6E20">
            <w:pPr>
              <w:widowControl/>
              <w:jc w:val="left"/>
              <w:rPr>
                <w:rFonts w:ascii="宋体" w:hAnsi="宋体" w:cs="宋体"/>
                <w:kern w:val="0"/>
                <w:sz w:val="20"/>
                <w:szCs w:val="20"/>
              </w:rPr>
            </w:pPr>
            <w:r>
              <w:rPr>
                <w:rFonts w:hint="eastAsia" w:ascii="宋体" w:hAnsi="宋体" w:cs="宋体"/>
                <w:kern w:val="0"/>
                <w:sz w:val="20"/>
                <w:szCs w:val="20"/>
              </w:rPr>
              <w:t>Y＜500</w:t>
            </w:r>
          </w:p>
        </w:tc>
      </w:tr>
      <w:tr w14:paraId="046DA904">
        <w:tblPrEx>
          <w:tblCellMar>
            <w:top w:w="0" w:type="dxa"/>
            <w:left w:w="108" w:type="dxa"/>
            <w:bottom w:w="0" w:type="dxa"/>
            <w:right w:w="108" w:type="dxa"/>
          </w:tblCellMar>
        </w:tblPrEx>
        <w:trPr>
          <w:trHeight w:val="364" w:hRule="atLeast"/>
        </w:trPr>
        <w:tc>
          <w:tcPr>
            <w:tcW w:w="2007" w:type="dxa"/>
            <w:vMerge w:val="restart"/>
            <w:tcBorders>
              <w:top w:val="nil"/>
              <w:left w:val="single" w:color="auto" w:sz="4" w:space="0"/>
              <w:bottom w:val="single" w:color="auto" w:sz="4" w:space="0"/>
              <w:right w:val="single" w:color="auto" w:sz="4" w:space="0"/>
            </w:tcBorders>
            <w:vAlign w:val="bottom"/>
          </w:tcPr>
          <w:p w14:paraId="27EB7F9A">
            <w:pPr>
              <w:widowControl/>
              <w:jc w:val="center"/>
              <w:rPr>
                <w:rFonts w:ascii="宋体" w:hAnsi="宋体" w:cs="宋体"/>
                <w:b/>
                <w:bCs/>
                <w:kern w:val="0"/>
                <w:sz w:val="20"/>
                <w:szCs w:val="20"/>
              </w:rPr>
            </w:pPr>
            <w:r>
              <w:rPr>
                <w:rFonts w:hint="eastAsia" w:ascii="宋体" w:hAnsi="宋体" w:cs="宋体"/>
                <w:b/>
                <w:bCs/>
                <w:kern w:val="0"/>
                <w:sz w:val="20"/>
                <w:szCs w:val="20"/>
              </w:rPr>
              <w:t>租赁和商务服务业</w:t>
            </w:r>
          </w:p>
        </w:tc>
        <w:tc>
          <w:tcPr>
            <w:tcW w:w="1633" w:type="dxa"/>
            <w:tcBorders>
              <w:top w:val="nil"/>
              <w:left w:val="nil"/>
              <w:bottom w:val="single" w:color="auto" w:sz="4" w:space="0"/>
              <w:right w:val="single" w:color="auto" w:sz="4" w:space="0"/>
            </w:tcBorders>
            <w:vAlign w:val="center"/>
          </w:tcPr>
          <w:p w14:paraId="05D05C9D">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456ED3A2">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6B9B02DC">
            <w:pPr>
              <w:widowControl/>
              <w:jc w:val="left"/>
              <w:rPr>
                <w:rFonts w:ascii="宋体" w:hAnsi="宋体" w:cs="宋体"/>
                <w:kern w:val="0"/>
                <w:sz w:val="20"/>
                <w:szCs w:val="20"/>
              </w:rPr>
            </w:pPr>
            <w:r>
              <w:rPr>
                <w:rFonts w:hint="eastAsia" w:ascii="宋体" w:hAnsi="宋体" w:cs="宋体"/>
                <w:kern w:val="0"/>
                <w:sz w:val="20"/>
                <w:szCs w:val="20"/>
              </w:rPr>
              <w:t>100≤X＜300</w:t>
            </w:r>
          </w:p>
        </w:tc>
        <w:tc>
          <w:tcPr>
            <w:tcW w:w="1699" w:type="dxa"/>
            <w:tcBorders>
              <w:top w:val="nil"/>
              <w:left w:val="nil"/>
              <w:bottom w:val="single" w:color="auto" w:sz="4" w:space="0"/>
              <w:right w:val="single" w:color="auto" w:sz="4" w:space="0"/>
            </w:tcBorders>
            <w:vAlign w:val="center"/>
          </w:tcPr>
          <w:p w14:paraId="2E5B0142">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47FDD80C">
            <w:pPr>
              <w:widowControl/>
              <w:jc w:val="left"/>
              <w:rPr>
                <w:rFonts w:ascii="宋体" w:hAnsi="宋体" w:cs="宋体"/>
                <w:kern w:val="0"/>
                <w:sz w:val="20"/>
                <w:szCs w:val="20"/>
              </w:rPr>
            </w:pPr>
            <w:r>
              <w:rPr>
                <w:rFonts w:hint="eastAsia" w:ascii="宋体" w:hAnsi="宋体" w:cs="宋体"/>
                <w:kern w:val="0"/>
                <w:sz w:val="20"/>
                <w:szCs w:val="20"/>
              </w:rPr>
              <w:t>X＜10</w:t>
            </w:r>
          </w:p>
        </w:tc>
      </w:tr>
      <w:tr w14:paraId="24ED9374">
        <w:tblPrEx>
          <w:tblCellMar>
            <w:top w:w="0" w:type="dxa"/>
            <w:left w:w="108" w:type="dxa"/>
            <w:bottom w:w="0" w:type="dxa"/>
            <w:right w:w="108" w:type="dxa"/>
          </w:tblCellMar>
        </w:tblPrEx>
        <w:trPr>
          <w:trHeight w:val="364" w:hRule="atLeast"/>
        </w:trPr>
        <w:tc>
          <w:tcPr>
            <w:tcW w:w="2007" w:type="dxa"/>
            <w:vMerge w:val="continue"/>
            <w:tcBorders>
              <w:top w:val="nil"/>
              <w:left w:val="single" w:color="auto" w:sz="4" w:space="0"/>
              <w:bottom w:val="single" w:color="auto" w:sz="4" w:space="0"/>
              <w:right w:val="single" w:color="auto" w:sz="4" w:space="0"/>
            </w:tcBorders>
            <w:vAlign w:val="center"/>
          </w:tcPr>
          <w:p w14:paraId="0C28C6D9">
            <w:pPr>
              <w:widowControl/>
              <w:jc w:val="left"/>
              <w:rPr>
                <w:rFonts w:ascii="宋体" w:hAnsi="宋体" w:cs="宋体"/>
                <w:b/>
                <w:bCs/>
                <w:kern w:val="0"/>
                <w:sz w:val="20"/>
                <w:szCs w:val="20"/>
              </w:rPr>
            </w:pPr>
          </w:p>
        </w:tc>
        <w:tc>
          <w:tcPr>
            <w:tcW w:w="1633" w:type="dxa"/>
            <w:tcBorders>
              <w:top w:val="nil"/>
              <w:left w:val="nil"/>
              <w:bottom w:val="single" w:color="auto" w:sz="4" w:space="0"/>
              <w:right w:val="single" w:color="auto" w:sz="4" w:space="0"/>
            </w:tcBorders>
            <w:vAlign w:val="center"/>
          </w:tcPr>
          <w:p w14:paraId="61E771F7">
            <w:pPr>
              <w:widowControl/>
              <w:jc w:val="left"/>
              <w:rPr>
                <w:rFonts w:ascii="宋体" w:hAnsi="宋体" w:cs="宋体"/>
                <w:kern w:val="0"/>
                <w:sz w:val="20"/>
                <w:szCs w:val="20"/>
              </w:rPr>
            </w:pPr>
            <w:r>
              <w:rPr>
                <w:rFonts w:hint="eastAsia" w:ascii="宋体" w:hAnsi="宋体" w:cs="宋体"/>
                <w:kern w:val="0"/>
                <w:sz w:val="20"/>
                <w:szCs w:val="20"/>
              </w:rPr>
              <w:t>资产总额（Z）</w:t>
            </w:r>
          </w:p>
        </w:tc>
        <w:tc>
          <w:tcPr>
            <w:tcW w:w="1077" w:type="dxa"/>
            <w:tcBorders>
              <w:top w:val="nil"/>
              <w:left w:val="nil"/>
              <w:bottom w:val="single" w:color="auto" w:sz="4" w:space="0"/>
              <w:right w:val="single" w:color="auto" w:sz="4" w:space="0"/>
            </w:tcBorders>
            <w:vAlign w:val="center"/>
          </w:tcPr>
          <w:p w14:paraId="534E96C2">
            <w:pPr>
              <w:widowControl/>
              <w:jc w:val="left"/>
              <w:rPr>
                <w:rFonts w:ascii="宋体" w:hAnsi="宋体" w:cs="宋体"/>
                <w:kern w:val="0"/>
                <w:sz w:val="20"/>
                <w:szCs w:val="20"/>
              </w:rPr>
            </w:pPr>
            <w:r>
              <w:rPr>
                <w:rFonts w:hint="eastAsia" w:ascii="宋体" w:hAnsi="宋体" w:cs="宋体"/>
                <w:kern w:val="0"/>
                <w:sz w:val="20"/>
                <w:szCs w:val="20"/>
              </w:rPr>
              <w:t>万元</w:t>
            </w:r>
          </w:p>
        </w:tc>
        <w:tc>
          <w:tcPr>
            <w:tcW w:w="1911" w:type="dxa"/>
            <w:tcBorders>
              <w:top w:val="nil"/>
              <w:left w:val="nil"/>
              <w:bottom w:val="single" w:color="auto" w:sz="4" w:space="0"/>
              <w:right w:val="single" w:color="auto" w:sz="4" w:space="0"/>
            </w:tcBorders>
            <w:vAlign w:val="center"/>
          </w:tcPr>
          <w:p w14:paraId="14B52CE8">
            <w:pPr>
              <w:widowControl/>
              <w:jc w:val="left"/>
              <w:rPr>
                <w:rFonts w:ascii="宋体" w:hAnsi="宋体" w:cs="宋体"/>
                <w:kern w:val="0"/>
                <w:sz w:val="20"/>
                <w:szCs w:val="20"/>
              </w:rPr>
            </w:pPr>
            <w:r>
              <w:rPr>
                <w:rFonts w:hint="eastAsia" w:ascii="宋体" w:hAnsi="宋体" w:cs="宋体"/>
                <w:kern w:val="0"/>
                <w:sz w:val="20"/>
                <w:szCs w:val="20"/>
              </w:rPr>
              <w:t>8000≤Z＜120000</w:t>
            </w:r>
          </w:p>
        </w:tc>
        <w:tc>
          <w:tcPr>
            <w:tcW w:w="1699" w:type="dxa"/>
            <w:tcBorders>
              <w:top w:val="nil"/>
              <w:left w:val="nil"/>
              <w:bottom w:val="single" w:color="auto" w:sz="4" w:space="0"/>
              <w:right w:val="single" w:color="auto" w:sz="4" w:space="0"/>
            </w:tcBorders>
            <w:vAlign w:val="center"/>
          </w:tcPr>
          <w:p w14:paraId="79A353F7">
            <w:pPr>
              <w:widowControl/>
              <w:jc w:val="left"/>
              <w:rPr>
                <w:rFonts w:ascii="宋体" w:hAnsi="宋体" w:cs="宋体"/>
                <w:kern w:val="0"/>
                <w:sz w:val="20"/>
                <w:szCs w:val="20"/>
              </w:rPr>
            </w:pPr>
            <w:r>
              <w:rPr>
                <w:rFonts w:hint="eastAsia" w:ascii="宋体" w:hAnsi="宋体" w:cs="宋体"/>
                <w:kern w:val="0"/>
                <w:sz w:val="20"/>
                <w:szCs w:val="20"/>
              </w:rPr>
              <w:t>100≤Z＜8000</w:t>
            </w:r>
          </w:p>
        </w:tc>
        <w:tc>
          <w:tcPr>
            <w:tcW w:w="1091" w:type="dxa"/>
            <w:tcBorders>
              <w:top w:val="nil"/>
              <w:left w:val="nil"/>
              <w:bottom w:val="single" w:color="auto" w:sz="4" w:space="0"/>
              <w:right w:val="single" w:color="auto" w:sz="4" w:space="0"/>
            </w:tcBorders>
            <w:vAlign w:val="center"/>
          </w:tcPr>
          <w:p w14:paraId="02952AEB">
            <w:pPr>
              <w:widowControl/>
              <w:jc w:val="left"/>
              <w:rPr>
                <w:rFonts w:ascii="宋体" w:hAnsi="宋体" w:cs="宋体"/>
                <w:kern w:val="0"/>
                <w:sz w:val="20"/>
                <w:szCs w:val="20"/>
              </w:rPr>
            </w:pPr>
            <w:r>
              <w:rPr>
                <w:rFonts w:hint="eastAsia" w:ascii="宋体" w:hAnsi="宋体" w:cs="宋体"/>
                <w:kern w:val="0"/>
                <w:sz w:val="20"/>
                <w:szCs w:val="20"/>
              </w:rPr>
              <w:t>Y＜100</w:t>
            </w:r>
          </w:p>
        </w:tc>
      </w:tr>
      <w:tr w14:paraId="7673851F">
        <w:tblPrEx>
          <w:tblCellMar>
            <w:top w:w="0" w:type="dxa"/>
            <w:left w:w="108" w:type="dxa"/>
            <w:bottom w:w="0" w:type="dxa"/>
            <w:right w:w="108" w:type="dxa"/>
          </w:tblCellMar>
        </w:tblPrEx>
        <w:trPr>
          <w:trHeight w:val="375" w:hRule="atLeast"/>
        </w:trPr>
        <w:tc>
          <w:tcPr>
            <w:tcW w:w="2007" w:type="dxa"/>
            <w:tcBorders>
              <w:top w:val="nil"/>
              <w:left w:val="single" w:color="auto" w:sz="4" w:space="0"/>
              <w:bottom w:val="single" w:color="auto" w:sz="4" w:space="0"/>
              <w:right w:val="single" w:color="auto" w:sz="4" w:space="0"/>
            </w:tcBorders>
            <w:vAlign w:val="bottom"/>
          </w:tcPr>
          <w:p w14:paraId="1B5A4CA7">
            <w:pPr>
              <w:widowControl/>
              <w:jc w:val="center"/>
              <w:rPr>
                <w:rFonts w:ascii="宋体" w:hAnsi="宋体" w:cs="宋体"/>
                <w:b/>
                <w:bCs/>
                <w:kern w:val="0"/>
                <w:sz w:val="20"/>
                <w:szCs w:val="20"/>
              </w:rPr>
            </w:pPr>
            <w:r>
              <w:rPr>
                <w:rFonts w:hint="eastAsia" w:ascii="宋体" w:hAnsi="宋体" w:cs="宋体"/>
                <w:b/>
                <w:bCs/>
                <w:kern w:val="0"/>
                <w:sz w:val="20"/>
                <w:szCs w:val="20"/>
              </w:rPr>
              <w:t>其他未列明行业</w:t>
            </w:r>
          </w:p>
        </w:tc>
        <w:tc>
          <w:tcPr>
            <w:tcW w:w="1633" w:type="dxa"/>
            <w:tcBorders>
              <w:top w:val="nil"/>
              <w:left w:val="nil"/>
              <w:bottom w:val="single" w:color="auto" w:sz="4" w:space="0"/>
              <w:right w:val="single" w:color="auto" w:sz="4" w:space="0"/>
            </w:tcBorders>
            <w:vAlign w:val="center"/>
          </w:tcPr>
          <w:p w14:paraId="2320DB9F">
            <w:pPr>
              <w:widowControl/>
              <w:jc w:val="left"/>
              <w:rPr>
                <w:rFonts w:ascii="宋体" w:hAnsi="宋体" w:cs="宋体"/>
                <w:kern w:val="0"/>
                <w:sz w:val="20"/>
                <w:szCs w:val="20"/>
              </w:rPr>
            </w:pPr>
            <w:r>
              <w:rPr>
                <w:rFonts w:hint="eastAsia" w:ascii="宋体" w:hAnsi="宋体" w:cs="宋体"/>
                <w:kern w:val="0"/>
                <w:sz w:val="20"/>
                <w:szCs w:val="20"/>
              </w:rPr>
              <w:t>从业人员（X）</w:t>
            </w:r>
          </w:p>
        </w:tc>
        <w:tc>
          <w:tcPr>
            <w:tcW w:w="1077" w:type="dxa"/>
            <w:tcBorders>
              <w:top w:val="nil"/>
              <w:left w:val="nil"/>
              <w:bottom w:val="single" w:color="auto" w:sz="4" w:space="0"/>
              <w:right w:val="single" w:color="auto" w:sz="4" w:space="0"/>
            </w:tcBorders>
            <w:vAlign w:val="center"/>
          </w:tcPr>
          <w:p w14:paraId="3E80C899">
            <w:pPr>
              <w:widowControl/>
              <w:jc w:val="left"/>
              <w:rPr>
                <w:rFonts w:ascii="宋体" w:hAnsi="宋体" w:cs="宋体"/>
                <w:kern w:val="0"/>
                <w:sz w:val="20"/>
                <w:szCs w:val="20"/>
              </w:rPr>
            </w:pPr>
            <w:r>
              <w:rPr>
                <w:rFonts w:hint="eastAsia" w:ascii="宋体" w:hAnsi="宋体" w:cs="宋体"/>
                <w:kern w:val="0"/>
                <w:sz w:val="20"/>
                <w:szCs w:val="20"/>
              </w:rPr>
              <w:t>人</w:t>
            </w:r>
          </w:p>
        </w:tc>
        <w:tc>
          <w:tcPr>
            <w:tcW w:w="1911" w:type="dxa"/>
            <w:tcBorders>
              <w:top w:val="nil"/>
              <w:left w:val="nil"/>
              <w:bottom w:val="single" w:color="auto" w:sz="4" w:space="0"/>
              <w:right w:val="single" w:color="auto" w:sz="4" w:space="0"/>
            </w:tcBorders>
            <w:vAlign w:val="center"/>
          </w:tcPr>
          <w:p w14:paraId="16CCAF0B">
            <w:pPr>
              <w:widowControl/>
              <w:jc w:val="left"/>
              <w:rPr>
                <w:rFonts w:ascii="宋体" w:hAnsi="宋体" w:cs="宋体"/>
                <w:kern w:val="0"/>
                <w:sz w:val="20"/>
                <w:szCs w:val="20"/>
              </w:rPr>
            </w:pPr>
            <w:r>
              <w:rPr>
                <w:rFonts w:hint="eastAsia" w:ascii="宋体" w:hAnsi="宋体" w:cs="宋体"/>
                <w:kern w:val="0"/>
                <w:sz w:val="20"/>
                <w:szCs w:val="20"/>
              </w:rPr>
              <w:t>100≤X＜300</w:t>
            </w:r>
          </w:p>
        </w:tc>
        <w:tc>
          <w:tcPr>
            <w:tcW w:w="1699" w:type="dxa"/>
            <w:tcBorders>
              <w:top w:val="nil"/>
              <w:left w:val="nil"/>
              <w:bottom w:val="single" w:color="auto" w:sz="4" w:space="0"/>
              <w:right w:val="single" w:color="auto" w:sz="4" w:space="0"/>
            </w:tcBorders>
            <w:vAlign w:val="center"/>
          </w:tcPr>
          <w:p w14:paraId="42D2666D">
            <w:pPr>
              <w:widowControl/>
              <w:jc w:val="left"/>
              <w:rPr>
                <w:rFonts w:ascii="宋体" w:hAnsi="宋体" w:cs="宋体"/>
                <w:kern w:val="0"/>
                <w:sz w:val="20"/>
                <w:szCs w:val="20"/>
              </w:rPr>
            </w:pPr>
            <w:r>
              <w:rPr>
                <w:rFonts w:hint="eastAsia" w:ascii="宋体" w:hAnsi="宋体" w:cs="宋体"/>
                <w:kern w:val="0"/>
                <w:sz w:val="20"/>
                <w:szCs w:val="20"/>
              </w:rPr>
              <w:t>10≤X＜100</w:t>
            </w:r>
          </w:p>
        </w:tc>
        <w:tc>
          <w:tcPr>
            <w:tcW w:w="1091" w:type="dxa"/>
            <w:tcBorders>
              <w:top w:val="nil"/>
              <w:left w:val="nil"/>
              <w:bottom w:val="single" w:color="auto" w:sz="4" w:space="0"/>
              <w:right w:val="single" w:color="auto" w:sz="4" w:space="0"/>
            </w:tcBorders>
            <w:vAlign w:val="center"/>
          </w:tcPr>
          <w:p w14:paraId="62C03612">
            <w:pPr>
              <w:widowControl/>
              <w:jc w:val="left"/>
              <w:rPr>
                <w:rFonts w:ascii="宋体" w:hAnsi="宋体" w:cs="宋体"/>
                <w:kern w:val="0"/>
                <w:sz w:val="20"/>
                <w:szCs w:val="20"/>
              </w:rPr>
            </w:pPr>
            <w:r>
              <w:rPr>
                <w:rFonts w:hint="eastAsia" w:ascii="宋体" w:hAnsi="宋体" w:cs="宋体"/>
                <w:kern w:val="0"/>
                <w:sz w:val="20"/>
                <w:szCs w:val="20"/>
              </w:rPr>
              <w:t>X＜10</w:t>
            </w:r>
          </w:p>
        </w:tc>
      </w:tr>
    </w:tbl>
    <w:p w14:paraId="4A0D47C4">
      <w:pPr>
        <w:spacing w:line="360" w:lineRule="auto"/>
        <w:ind w:firstLine="602" w:firstLineChars="250"/>
        <w:rPr>
          <w:rFonts w:ascii="楷体" w:hAnsi="楷体" w:eastAsia="楷体" w:cs="宋体"/>
          <w:sz w:val="24"/>
        </w:rPr>
      </w:pPr>
      <w:r>
        <w:rPr>
          <w:rFonts w:hint="eastAsia" w:ascii="楷体" w:hAnsi="楷体" w:eastAsia="楷体" w:cs="宋体"/>
          <w:b/>
          <w:sz w:val="24"/>
        </w:rPr>
        <w:t>说明</w:t>
      </w:r>
      <w:r>
        <w:rPr>
          <w:rFonts w:hint="eastAsia" w:ascii="楷体" w:hAnsi="楷体" w:eastAsia="楷体" w:cs="宋体"/>
          <w:sz w:val="24"/>
        </w:rPr>
        <w:t>：上述标准参照《关于印发中小企业划型标准规定的通知》（工信部联企业</w:t>
      </w:r>
      <w:r>
        <w:rPr>
          <w:rFonts w:ascii="楷体" w:hAnsi="楷体" w:eastAsia="楷体" w:cs="宋体"/>
          <w:sz w:val="24"/>
        </w:rPr>
        <w:t>[2011]300号），大型、中型和小型企业须同时满足所列指标的下限，否则下划一档；微型企业只须满足所列指标中的一项即可。</w:t>
      </w:r>
    </w:p>
    <w:p w14:paraId="2DC2357B">
      <w:pPr>
        <w:widowControl/>
        <w:jc w:val="left"/>
        <w:rPr>
          <w:rFonts w:ascii="宋体" w:hAnsi="宋体" w:cs="宋体"/>
          <w:sz w:val="24"/>
        </w:rPr>
        <w:sectPr>
          <w:footerReference r:id="rId4" w:type="default"/>
          <w:pgSz w:w="11906" w:h="16838"/>
          <w:pgMar w:top="1134" w:right="1134" w:bottom="1134" w:left="1134" w:header="720" w:footer="720" w:gutter="0"/>
          <w:pgNumType w:start="1"/>
          <w:cols w:space="720" w:num="1"/>
          <w:docGrid w:type="lines" w:linePitch="331" w:charSpace="0"/>
        </w:sectPr>
      </w:pPr>
    </w:p>
    <w:p w14:paraId="4100B487">
      <w:pPr>
        <w:pStyle w:val="3"/>
        <w:spacing w:line="360" w:lineRule="auto"/>
        <w:jc w:val="center"/>
        <w:rPr>
          <w:rFonts w:ascii="宋体" w:hAnsi="宋体" w:cs="宋体"/>
        </w:rPr>
      </w:pPr>
      <w:bookmarkStart w:id="49" w:name="_Toc18691"/>
      <w:r>
        <w:rPr>
          <w:rFonts w:hint="eastAsia" w:ascii="宋体" w:hAnsi="宋体" w:cs="宋体"/>
        </w:rPr>
        <w:t>第三章  投标人须知</w:t>
      </w:r>
      <w:bookmarkEnd w:id="48"/>
      <w:bookmarkEnd w:id="49"/>
    </w:p>
    <w:p w14:paraId="36855208">
      <w:pPr>
        <w:spacing w:line="360" w:lineRule="auto"/>
        <w:jc w:val="center"/>
        <w:rPr>
          <w:rFonts w:ascii="宋体" w:hAnsi="宋体" w:cs="宋体"/>
          <w:sz w:val="36"/>
          <w:szCs w:val="36"/>
        </w:rPr>
      </w:pPr>
      <w:bookmarkStart w:id="50" w:name="_Toc254970526"/>
      <w:bookmarkStart w:id="51" w:name="_Toc254970667"/>
      <w:r>
        <w:rPr>
          <w:rFonts w:hint="eastAsia" w:ascii="宋体" w:hAnsi="宋体" w:cs="宋体"/>
          <w:sz w:val="36"/>
          <w:szCs w:val="36"/>
        </w:rPr>
        <w:t>投标人须知前附表</w:t>
      </w:r>
      <w:bookmarkEnd w:id="50"/>
      <w:bookmarkEnd w:id="51"/>
    </w:p>
    <w:p w14:paraId="6F022AC4">
      <w:pPr>
        <w:jc w:val="center"/>
        <w:rPr>
          <w:rFonts w:ascii="宋体" w:hAnsi="宋体" w:cs="宋体"/>
          <w:sz w:val="36"/>
          <w:szCs w:val="36"/>
        </w:rPr>
      </w:pPr>
    </w:p>
    <w:tbl>
      <w:tblPr>
        <w:tblStyle w:val="48"/>
        <w:tblW w:w="96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5"/>
        <w:gridCol w:w="8708"/>
      </w:tblGrid>
      <w:tr w14:paraId="62A5E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61CB372C">
            <w:pPr>
              <w:snapToGrid w:val="0"/>
              <w:spacing w:line="360" w:lineRule="auto"/>
              <w:jc w:val="left"/>
              <w:rPr>
                <w:rFonts w:ascii="宋体" w:hAnsi="宋体" w:cs="宋体"/>
                <w:sz w:val="24"/>
              </w:rPr>
            </w:pPr>
            <w:r>
              <w:rPr>
                <w:rFonts w:hint="eastAsia" w:ascii="宋体" w:hAnsi="宋体" w:cs="宋体"/>
                <w:sz w:val="24"/>
              </w:rPr>
              <w:t>条款号</w:t>
            </w:r>
          </w:p>
        </w:tc>
        <w:tc>
          <w:tcPr>
            <w:tcW w:w="8708" w:type="dxa"/>
            <w:tcBorders>
              <w:top w:val="single" w:color="auto" w:sz="4" w:space="0"/>
              <w:left w:val="single" w:color="auto" w:sz="4" w:space="0"/>
              <w:bottom w:val="single" w:color="auto" w:sz="4" w:space="0"/>
              <w:right w:val="single" w:color="auto" w:sz="4" w:space="0"/>
            </w:tcBorders>
            <w:vAlign w:val="center"/>
          </w:tcPr>
          <w:p w14:paraId="7B0175A9">
            <w:pPr>
              <w:snapToGrid w:val="0"/>
              <w:spacing w:line="360" w:lineRule="auto"/>
              <w:jc w:val="center"/>
              <w:rPr>
                <w:rFonts w:ascii="宋体" w:hAnsi="宋体" w:cs="宋体"/>
                <w:sz w:val="24"/>
              </w:rPr>
            </w:pPr>
            <w:r>
              <w:rPr>
                <w:rFonts w:hint="eastAsia" w:ascii="宋体" w:hAnsi="宋体" w:cs="宋体"/>
                <w:sz w:val="24"/>
              </w:rPr>
              <w:t>编列内容</w:t>
            </w:r>
          </w:p>
        </w:tc>
      </w:tr>
      <w:tr w14:paraId="269FB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45C59420">
            <w:pPr>
              <w:spacing w:line="360" w:lineRule="auto"/>
              <w:jc w:val="center"/>
              <w:rPr>
                <w:rFonts w:ascii="宋体" w:hAnsi="宋体" w:cs="宋体"/>
                <w:sz w:val="24"/>
              </w:rPr>
            </w:pPr>
            <w:r>
              <w:rPr>
                <w:rFonts w:hint="eastAsia" w:ascii="宋体" w:hAnsi="宋体" w:cs="宋体"/>
                <w:sz w:val="24"/>
              </w:rPr>
              <w:t>3</w:t>
            </w:r>
          </w:p>
        </w:tc>
        <w:tc>
          <w:tcPr>
            <w:tcW w:w="8708" w:type="dxa"/>
            <w:tcBorders>
              <w:top w:val="single" w:color="auto" w:sz="4" w:space="0"/>
              <w:left w:val="single" w:color="auto" w:sz="4" w:space="0"/>
              <w:bottom w:val="single" w:color="auto" w:sz="4" w:space="0"/>
              <w:right w:val="single" w:color="auto" w:sz="4" w:space="0"/>
            </w:tcBorders>
            <w:vAlign w:val="center"/>
          </w:tcPr>
          <w:p w14:paraId="67714EA1">
            <w:pPr>
              <w:snapToGrid w:val="0"/>
              <w:spacing w:line="360" w:lineRule="auto"/>
              <w:jc w:val="left"/>
              <w:rPr>
                <w:rFonts w:ascii="宋体" w:hAnsi="宋体" w:cs="宋体"/>
                <w:sz w:val="24"/>
              </w:rPr>
            </w:pPr>
            <w:r>
              <w:rPr>
                <w:rFonts w:hint="eastAsia" w:ascii="宋体" w:hAnsi="宋体" w:cs="宋体"/>
                <w:sz w:val="24"/>
              </w:rPr>
              <w:t>投标人的资格要求：详见招标公告。</w:t>
            </w:r>
          </w:p>
        </w:tc>
      </w:tr>
      <w:tr w14:paraId="27972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2E0E53CD">
            <w:pPr>
              <w:spacing w:line="360" w:lineRule="auto"/>
              <w:jc w:val="center"/>
              <w:rPr>
                <w:rFonts w:ascii="宋体" w:hAnsi="宋体" w:cs="宋体"/>
                <w:sz w:val="24"/>
              </w:rPr>
            </w:pPr>
            <w:bookmarkStart w:id="52" w:name="_5"/>
            <w:bookmarkEnd w:id="52"/>
            <w:bookmarkStart w:id="53" w:name="_8.1"/>
            <w:bookmarkEnd w:id="53"/>
            <w:bookmarkStart w:id="54" w:name="_9.2"/>
            <w:bookmarkEnd w:id="54"/>
            <w:r>
              <w:rPr>
                <w:rFonts w:hint="eastAsia" w:ascii="宋体" w:hAnsi="宋体" w:cs="宋体"/>
                <w:sz w:val="24"/>
              </w:rPr>
              <w:t>6.1</w:t>
            </w:r>
          </w:p>
        </w:tc>
        <w:tc>
          <w:tcPr>
            <w:tcW w:w="8708" w:type="dxa"/>
            <w:tcBorders>
              <w:top w:val="single" w:color="auto" w:sz="4" w:space="0"/>
              <w:left w:val="single" w:color="auto" w:sz="4" w:space="0"/>
              <w:bottom w:val="single" w:color="auto" w:sz="4" w:space="0"/>
              <w:right w:val="single" w:color="auto" w:sz="4" w:space="0"/>
            </w:tcBorders>
            <w:vAlign w:val="center"/>
          </w:tcPr>
          <w:p w14:paraId="798531A6">
            <w:pPr>
              <w:pStyle w:val="17"/>
              <w:spacing w:line="360" w:lineRule="auto"/>
              <w:rPr>
                <w:rFonts w:ascii="宋体" w:hAnsi="宋体" w:cs="宋体"/>
                <w:sz w:val="24"/>
              </w:rPr>
            </w:pPr>
            <w:r>
              <w:rPr>
                <w:rFonts w:hint="eastAsia" w:ascii="宋体" w:hAnsi="宋体" w:cs="宋体"/>
                <w:sz w:val="24"/>
              </w:rPr>
              <w:t>本项目是否接受联合体投标：详见招标公告</w:t>
            </w:r>
          </w:p>
        </w:tc>
      </w:tr>
      <w:tr w14:paraId="5D9EC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5F1162AD">
            <w:pPr>
              <w:spacing w:line="360" w:lineRule="auto"/>
              <w:jc w:val="center"/>
              <w:rPr>
                <w:rFonts w:ascii="宋体" w:hAnsi="宋体" w:cs="宋体"/>
                <w:sz w:val="24"/>
              </w:rPr>
            </w:pPr>
            <w:r>
              <w:rPr>
                <w:rFonts w:hint="eastAsia" w:ascii="宋体" w:hAnsi="宋体" w:cs="宋体"/>
                <w:sz w:val="24"/>
              </w:rPr>
              <w:t>6.2</w:t>
            </w:r>
          </w:p>
        </w:tc>
        <w:tc>
          <w:tcPr>
            <w:tcW w:w="8708" w:type="dxa"/>
            <w:tcBorders>
              <w:top w:val="single" w:color="auto" w:sz="4" w:space="0"/>
              <w:left w:val="single" w:color="auto" w:sz="4" w:space="0"/>
              <w:bottom w:val="single" w:color="auto" w:sz="4" w:space="0"/>
              <w:right w:val="single" w:color="auto" w:sz="4" w:space="0"/>
            </w:tcBorders>
            <w:vAlign w:val="center"/>
          </w:tcPr>
          <w:p w14:paraId="34E8EDFE">
            <w:pPr>
              <w:autoSpaceDE w:val="0"/>
              <w:autoSpaceDN w:val="0"/>
              <w:snapToGrid w:val="0"/>
              <w:spacing w:line="360" w:lineRule="auto"/>
              <w:textAlignment w:val="bottom"/>
              <w:rPr>
                <w:rFonts w:ascii="宋体" w:hAnsi="宋体" w:cs="宋体"/>
                <w:sz w:val="24"/>
              </w:rPr>
            </w:pPr>
            <w:bookmarkStart w:id="55" w:name="_Hlk54105293"/>
            <w:r>
              <w:rPr>
                <w:rFonts w:hint="eastAsia" w:ascii="宋体" w:hAnsi="宋体" w:cs="宋体"/>
                <w:sz w:val="24"/>
              </w:rPr>
              <w:t>如接受联合体投标，</w:t>
            </w:r>
            <w:bookmarkEnd w:id="55"/>
            <w:r>
              <w:rPr>
                <w:rFonts w:hint="eastAsia" w:ascii="宋体" w:hAnsi="宋体" w:cs="宋体"/>
                <w:sz w:val="24"/>
              </w:rPr>
              <w:t>联合体投标要求如下：</w:t>
            </w:r>
          </w:p>
          <w:p w14:paraId="1A789C41">
            <w:pPr>
              <w:autoSpaceDE w:val="0"/>
              <w:autoSpaceDN w:val="0"/>
              <w:snapToGrid w:val="0"/>
              <w:spacing w:line="360" w:lineRule="auto"/>
              <w:textAlignment w:val="bottom"/>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两个以上供应商可以组成一个投标联合体，以一个投标人的身份共同参加投标，联合体投标人的名称应统一按“XXX 公司与 XXX 公司的联合体”的规则填写。</w:t>
            </w:r>
            <w:r>
              <w:rPr>
                <w:rFonts w:hint="eastAsia" w:ascii="宋体" w:hAnsi="宋体" w:cs="宋体"/>
                <w:sz w:val="24"/>
              </w:rPr>
              <w:tab/>
            </w:r>
          </w:p>
          <w:p w14:paraId="64F68242">
            <w:pPr>
              <w:autoSpaceDE w:val="0"/>
              <w:autoSpaceDN w:val="0"/>
              <w:snapToGrid w:val="0"/>
              <w:spacing w:line="360" w:lineRule="auto"/>
              <w:textAlignment w:val="bottom"/>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以联合体形式参加投标的，联合体各方均必须具备《中华人民共和国政府采购法》第二十二条第一款规定的基本条件（涉及行政许可范围的内容，联合体各方均应具备相应资质）。本项目有特殊要求规定投标人特定条件的，联合体各方中至少有一方必须符合本项目招标公告“申请人的资格要求”第3点 “3、本项目的特定资格要求”的要求。</w:t>
            </w:r>
          </w:p>
          <w:p w14:paraId="06A9515E">
            <w:pPr>
              <w:autoSpaceDE w:val="0"/>
              <w:autoSpaceDN w:val="0"/>
              <w:snapToGrid w:val="0"/>
              <w:spacing w:line="360" w:lineRule="auto"/>
              <w:textAlignment w:val="bottom"/>
              <w:rPr>
                <w:rFonts w:ascii="宋体" w:hAnsi="宋体" w:cs="宋体"/>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联合体投标的，须提供《联合体投标协议书》（格式后附），协议书必须明确主体方（或者牵头方）并明确约定联合体各方承担的工作和相应的责任（各方承担责任与义务的分工必须符合采购需求，否则，联合体投标无效），并将联合投标协议放入投标文件。联合体各方必须共同与采购人签订采购合同，就采购合同约定的事项对采购人承担连带责任。</w:t>
            </w:r>
            <w:r>
              <w:rPr>
                <w:rFonts w:hint="eastAsia" w:ascii="宋体" w:hAnsi="宋体" w:cs="宋体"/>
                <w:sz w:val="24"/>
              </w:rPr>
              <w:tab/>
            </w:r>
          </w:p>
          <w:p w14:paraId="1C42CBF2">
            <w:pPr>
              <w:autoSpaceDE w:val="0"/>
              <w:autoSpaceDN w:val="0"/>
              <w:snapToGrid w:val="0"/>
              <w:spacing w:line="360" w:lineRule="auto"/>
              <w:textAlignment w:val="bottom"/>
              <w:rPr>
                <w:rFonts w:ascii="宋体" w:hAnsi="宋体" w:cs="宋体"/>
                <w:sz w:val="24"/>
              </w:rPr>
            </w:pPr>
            <w:r>
              <w:rPr>
                <w:rFonts w:hint="eastAsia" w:ascii="宋体" w:hAnsi="宋体" w:cs="宋体"/>
                <w:sz w:val="24"/>
              </w:rPr>
              <w:t>4</w:t>
            </w:r>
            <w:r>
              <w:rPr>
                <w:rFonts w:hint="eastAsia" w:ascii="宋体" w:hAnsi="宋体" w:cs="宋体"/>
                <w:bCs/>
                <w:sz w:val="24"/>
              </w:rPr>
              <w:t>.</w:t>
            </w:r>
            <w:r>
              <w:rPr>
                <w:rFonts w:hint="eastAsia" w:ascii="宋体" w:hAnsi="宋体" w:cs="宋体"/>
                <w:sz w:val="24"/>
              </w:rPr>
              <w:t>以联合体形式参加政府采购活动的，联合体各方不得再单独参加或者与其他投标人另外组成联合体参加同一合同项下的政府采购活动，否则与之相关的投标文件作废。</w:t>
            </w:r>
            <w:r>
              <w:rPr>
                <w:rFonts w:hint="eastAsia" w:ascii="宋体" w:hAnsi="宋体" w:cs="宋体"/>
                <w:sz w:val="24"/>
              </w:rPr>
              <w:tab/>
            </w:r>
            <w:r>
              <w:rPr>
                <w:rFonts w:hint="eastAsia" w:ascii="宋体" w:hAnsi="宋体" w:cs="宋体"/>
                <w:sz w:val="24"/>
              </w:rPr>
              <w:tab/>
            </w:r>
          </w:p>
          <w:p w14:paraId="480EBBF0">
            <w:pPr>
              <w:autoSpaceDE w:val="0"/>
              <w:autoSpaceDN w:val="0"/>
              <w:snapToGrid w:val="0"/>
              <w:spacing w:line="360" w:lineRule="auto"/>
              <w:textAlignment w:val="bottom"/>
              <w:rPr>
                <w:rFonts w:ascii="宋体" w:hAnsi="宋体" w:cs="宋体"/>
                <w:sz w:val="24"/>
              </w:rPr>
            </w:pPr>
            <w:r>
              <w:rPr>
                <w:rFonts w:hint="eastAsia" w:ascii="宋体" w:hAnsi="宋体" w:cs="宋体"/>
                <w:sz w:val="24"/>
              </w:rPr>
              <w:t>5</w:t>
            </w:r>
            <w:r>
              <w:rPr>
                <w:rFonts w:hint="eastAsia" w:ascii="宋体" w:hAnsi="宋体" w:cs="宋体"/>
                <w:bCs/>
                <w:sz w:val="24"/>
              </w:rPr>
              <w:t>.</w:t>
            </w:r>
            <w:r>
              <w:rPr>
                <w:rFonts w:hint="eastAsia" w:ascii="宋体" w:hAnsi="宋体" w:cs="宋体"/>
                <w:sz w:val="24"/>
              </w:rPr>
              <w:t>联合体中有同类资质的投标人按照联合体分工承担相同工作的，应当按照资质等级较低的投标人确定资质等级。</w:t>
            </w:r>
            <w:r>
              <w:rPr>
                <w:rFonts w:hint="eastAsia" w:ascii="宋体" w:hAnsi="宋体" w:cs="宋体"/>
                <w:sz w:val="24"/>
              </w:rPr>
              <w:tab/>
            </w:r>
            <w:r>
              <w:rPr>
                <w:rFonts w:hint="eastAsia" w:ascii="宋体" w:hAnsi="宋体" w:cs="宋体"/>
                <w:sz w:val="24"/>
              </w:rPr>
              <w:tab/>
            </w:r>
          </w:p>
          <w:p w14:paraId="7A836260">
            <w:pPr>
              <w:autoSpaceDE w:val="0"/>
              <w:autoSpaceDN w:val="0"/>
              <w:snapToGrid w:val="0"/>
              <w:spacing w:line="360" w:lineRule="auto"/>
              <w:textAlignment w:val="bottom"/>
              <w:rPr>
                <w:rFonts w:ascii="宋体" w:hAnsi="宋体" w:cs="宋体"/>
                <w:sz w:val="24"/>
              </w:rPr>
            </w:pPr>
            <w:r>
              <w:rPr>
                <w:rFonts w:hint="eastAsia" w:ascii="宋体" w:hAnsi="宋体" w:cs="宋体"/>
                <w:sz w:val="24"/>
              </w:rPr>
              <w:t>6</w:t>
            </w:r>
            <w:r>
              <w:rPr>
                <w:rFonts w:hint="eastAsia" w:ascii="宋体" w:hAnsi="宋体" w:cs="宋体"/>
                <w:bCs/>
                <w:sz w:val="24"/>
              </w:rPr>
              <w:t>.</w:t>
            </w:r>
            <w:r>
              <w:rPr>
                <w:rFonts w:hint="eastAsia" w:ascii="宋体" w:hAnsi="宋体" w:cs="宋体"/>
                <w:sz w:val="24"/>
              </w:rPr>
              <w:t>联合体投标业绩、履约能力按照联合体各方其中较高的一方认定并计算（招标文件另有规定的除外）。</w:t>
            </w:r>
            <w:r>
              <w:rPr>
                <w:rFonts w:hint="eastAsia" w:ascii="宋体" w:hAnsi="宋体" w:cs="宋体"/>
                <w:sz w:val="24"/>
              </w:rPr>
              <w:tab/>
            </w:r>
            <w:r>
              <w:rPr>
                <w:rFonts w:hint="eastAsia" w:ascii="宋体" w:hAnsi="宋体" w:cs="宋体"/>
                <w:sz w:val="24"/>
              </w:rPr>
              <w:tab/>
            </w:r>
            <w:r>
              <w:rPr>
                <w:rFonts w:hint="eastAsia" w:ascii="宋体" w:hAnsi="宋体" w:cs="宋体"/>
                <w:sz w:val="24"/>
              </w:rPr>
              <w:tab/>
            </w:r>
          </w:p>
          <w:p w14:paraId="3B363285">
            <w:pPr>
              <w:autoSpaceDE w:val="0"/>
              <w:autoSpaceDN w:val="0"/>
              <w:snapToGrid w:val="0"/>
              <w:spacing w:line="360" w:lineRule="auto"/>
              <w:textAlignment w:val="bottom"/>
              <w:rPr>
                <w:rFonts w:ascii="宋体" w:hAnsi="宋体" w:cs="宋体"/>
                <w:sz w:val="24"/>
              </w:rPr>
            </w:pPr>
            <w:r>
              <w:rPr>
                <w:rFonts w:hint="eastAsia" w:ascii="宋体" w:hAnsi="宋体" w:cs="宋体"/>
                <w:sz w:val="24"/>
              </w:rPr>
              <w:t>7</w:t>
            </w:r>
            <w:r>
              <w:rPr>
                <w:rFonts w:hint="eastAsia" w:ascii="宋体" w:hAnsi="宋体" w:cs="宋体"/>
                <w:bCs/>
                <w:sz w:val="24"/>
              </w:rPr>
              <w:t>.</w:t>
            </w:r>
            <w:r>
              <w:rPr>
                <w:rFonts w:hint="eastAsia" w:ascii="宋体" w:hAnsi="宋体" w:cs="宋体"/>
                <w:sz w:val="24"/>
              </w:rPr>
              <w:t>联合体各方均应按照招标文件的规定提交资格证明文件。</w:t>
            </w:r>
          </w:p>
        </w:tc>
      </w:tr>
      <w:tr w14:paraId="666103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76F045E4">
            <w:pPr>
              <w:spacing w:line="360" w:lineRule="auto"/>
              <w:jc w:val="center"/>
              <w:rPr>
                <w:rFonts w:ascii="宋体" w:hAnsi="宋体" w:cs="宋体"/>
                <w:sz w:val="24"/>
              </w:rPr>
            </w:pPr>
            <w:r>
              <w:rPr>
                <w:rFonts w:hint="eastAsia" w:ascii="宋体" w:hAnsi="宋体" w:cs="宋体"/>
                <w:sz w:val="24"/>
              </w:rPr>
              <w:t>7.2</w:t>
            </w:r>
          </w:p>
        </w:tc>
        <w:tc>
          <w:tcPr>
            <w:tcW w:w="8708" w:type="dxa"/>
            <w:tcBorders>
              <w:top w:val="single" w:color="auto" w:sz="4" w:space="0"/>
              <w:left w:val="single" w:color="auto" w:sz="4" w:space="0"/>
              <w:bottom w:val="single" w:color="auto" w:sz="4" w:space="0"/>
              <w:right w:val="single" w:color="auto" w:sz="4" w:space="0"/>
            </w:tcBorders>
            <w:vAlign w:val="center"/>
          </w:tcPr>
          <w:p w14:paraId="7A855176">
            <w:pPr>
              <w:pStyle w:val="17"/>
              <w:spacing w:line="360" w:lineRule="auto"/>
              <w:rPr>
                <w:rFonts w:ascii="宋体" w:hAnsi="宋体" w:cs="宋体"/>
                <w:sz w:val="24"/>
              </w:rPr>
            </w:pPr>
            <w:r>
              <w:rPr>
                <w:rFonts w:hint="eastAsia" w:ascii="宋体" w:hAnsi="宋体" w:cs="宋体"/>
                <w:sz w:val="24"/>
              </w:rPr>
              <w:sym w:font="Wingdings" w:char="00FE"/>
            </w:r>
            <w:r>
              <w:rPr>
                <w:rFonts w:hint="eastAsia" w:ascii="宋体" w:hAnsi="宋体" w:cs="宋体"/>
                <w:sz w:val="24"/>
              </w:rPr>
              <w:t>本项目不允许分包。</w:t>
            </w:r>
          </w:p>
          <w:p w14:paraId="0BB947C1">
            <w:pPr>
              <w:pStyle w:val="17"/>
              <w:spacing w:line="360" w:lineRule="auto"/>
              <w:rPr>
                <w:rFonts w:ascii="宋体" w:hAnsi="宋体" w:cs="宋体"/>
                <w:sz w:val="24"/>
              </w:rPr>
            </w:pPr>
            <w:r>
              <w:rPr>
                <w:rFonts w:hint="eastAsia" w:ascii="宋体" w:hAnsi="宋体" w:cs="宋体"/>
                <w:sz w:val="24"/>
              </w:rPr>
              <w:sym w:font="Wingdings" w:char="00A8"/>
            </w:r>
            <w:r>
              <w:rPr>
                <w:rFonts w:hint="eastAsia" w:ascii="宋体" w:hAnsi="宋体" w:cs="宋体"/>
                <w:sz w:val="24"/>
              </w:rPr>
              <w:t>本项目允许分包：</w:t>
            </w:r>
          </w:p>
          <w:p w14:paraId="71E5DF2A">
            <w:pPr>
              <w:pStyle w:val="17"/>
              <w:spacing w:line="360" w:lineRule="auto"/>
              <w:rPr>
                <w:rFonts w:ascii="宋体" w:hAnsi="宋体" w:cs="宋体"/>
                <w:sz w:val="24"/>
                <w:u w:val="single"/>
              </w:rPr>
            </w:pPr>
            <w:r>
              <w:rPr>
                <w:rFonts w:hint="eastAsia" w:ascii="宋体" w:hAnsi="宋体" w:cs="宋体"/>
                <w:sz w:val="24"/>
              </w:rPr>
              <w:t>分包内容：</w:t>
            </w:r>
            <w:r>
              <w:rPr>
                <w:rFonts w:hint="eastAsia" w:ascii="宋体" w:hAnsi="宋体" w:cs="宋体"/>
                <w:sz w:val="24"/>
                <w:u w:val="single"/>
              </w:rPr>
              <w:t>/</w:t>
            </w:r>
          </w:p>
          <w:p w14:paraId="0DF65C7B">
            <w:pPr>
              <w:pStyle w:val="17"/>
              <w:spacing w:line="360" w:lineRule="auto"/>
              <w:jc w:val="both"/>
              <w:rPr>
                <w:rFonts w:ascii="宋体" w:hAnsi="宋体" w:cs="宋体"/>
                <w:sz w:val="24"/>
                <w:u w:val="single"/>
              </w:rPr>
            </w:pPr>
            <w:r>
              <w:rPr>
                <w:rFonts w:hint="eastAsia" w:ascii="宋体" w:hAnsi="宋体" w:cs="宋体"/>
                <w:sz w:val="24"/>
              </w:rPr>
              <w:t>分包金额或者比例：</w:t>
            </w:r>
            <w:r>
              <w:rPr>
                <w:rFonts w:hint="eastAsia" w:ascii="宋体" w:hAnsi="宋体" w:cs="宋体"/>
                <w:sz w:val="24"/>
                <w:u w:val="single"/>
              </w:rPr>
              <w:t>/</w:t>
            </w:r>
          </w:p>
        </w:tc>
      </w:tr>
      <w:tr w14:paraId="09E477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6"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678D640A">
            <w:pPr>
              <w:spacing w:line="360" w:lineRule="auto"/>
              <w:jc w:val="center"/>
              <w:rPr>
                <w:rFonts w:ascii="宋体" w:hAnsi="宋体" w:cs="宋体"/>
                <w:sz w:val="24"/>
              </w:rPr>
            </w:pPr>
            <w:r>
              <w:rPr>
                <w:rFonts w:hint="eastAsia" w:ascii="宋体" w:hAnsi="宋体" w:cs="宋体"/>
                <w:sz w:val="24"/>
              </w:rPr>
              <w:t>8.1</w:t>
            </w:r>
          </w:p>
        </w:tc>
        <w:tc>
          <w:tcPr>
            <w:tcW w:w="8708" w:type="dxa"/>
            <w:tcBorders>
              <w:top w:val="single" w:color="auto" w:sz="4" w:space="0"/>
              <w:left w:val="single" w:color="auto" w:sz="4" w:space="0"/>
              <w:bottom w:val="single" w:color="auto" w:sz="4" w:space="0"/>
              <w:right w:val="single" w:color="auto" w:sz="4" w:space="0"/>
            </w:tcBorders>
            <w:vAlign w:val="center"/>
          </w:tcPr>
          <w:p w14:paraId="6A59D27C">
            <w:pPr>
              <w:autoSpaceDE w:val="0"/>
              <w:autoSpaceDN w:val="0"/>
              <w:snapToGrid w:val="0"/>
              <w:spacing w:line="360" w:lineRule="auto"/>
              <w:textAlignment w:val="bottom"/>
              <w:rPr>
                <w:rFonts w:ascii="宋体" w:hAnsi="宋体" w:cs="宋体"/>
                <w:sz w:val="24"/>
              </w:rPr>
            </w:pPr>
            <w:r>
              <w:rPr>
                <w:rFonts w:hint="eastAsia" w:ascii="宋体" w:hAnsi="宋体" w:cs="宋体"/>
                <w:sz w:val="24"/>
              </w:rPr>
              <w:t>1.采用最低评标价法的采购项目，提供相同品牌产品（非单一产品采购项目的，指核心产品）的不同投标人评标价相同时，按照下列方式确定一个投标人获得中标人推荐资格：评标委员会按投标报价低的原则确定，投标报价相同的按节能环保优先、技术指标高优先、质量保证期长优先、交货期短优先、故障响应时间短优先的顺序依次确定。</w:t>
            </w:r>
          </w:p>
          <w:p w14:paraId="0B0F2D76">
            <w:pPr>
              <w:autoSpaceDE w:val="0"/>
              <w:autoSpaceDN w:val="0"/>
              <w:snapToGrid w:val="0"/>
              <w:spacing w:line="360" w:lineRule="auto"/>
              <w:textAlignment w:val="bottom"/>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采用综合评分法的采购项目，提供相同品牌产品（非单一产品采购项目的，指核心产品）的不同投标人评审后得分最高的同品牌投标人获得中标人推荐资格；评审得分相同时，依次按照投标报价低的优先、政策分得分高的优先、技术评分高的优先、商务评分高的优先、质量保证期长优先、交货期短优先、故障响应时间短优先的顺序确定一个投标人获得中标人推荐资格。</w:t>
            </w:r>
          </w:p>
        </w:tc>
      </w:tr>
      <w:tr w14:paraId="4ADF74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2" w:hRule="atLeast"/>
          <w:jc w:val="center"/>
        </w:trPr>
        <w:tc>
          <w:tcPr>
            <w:tcW w:w="895" w:type="dxa"/>
            <w:vMerge w:val="restart"/>
            <w:tcBorders>
              <w:top w:val="single" w:color="auto" w:sz="4" w:space="0"/>
              <w:left w:val="single" w:color="auto" w:sz="4" w:space="0"/>
              <w:right w:val="single" w:color="auto" w:sz="4" w:space="0"/>
            </w:tcBorders>
            <w:vAlign w:val="center"/>
          </w:tcPr>
          <w:p w14:paraId="1D8C4271">
            <w:pPr>
              <w:spacing w:line="360" w:lineRule="auto"/>
              <w:jc w:val="center"/>
              <w:rPr>
                <w:rFonts w:ascii="宋体" w:hAnsi="宋体" w:cs="宋体"/>
                <w:sz w:val="24"/>
              </w:rPr>
            </w:pPr>
            <w:r>
              <w:rPr>
                <w:rFonts w:hint="eastAsia" w:ascii="宋体" w:hAnsi="宋体" w:cs="宋体"/>
                <w:sz w:val="24"/>
              </w:rPr>
              <w:t>11.5</w:t>
            </w:r>
          </w:p>
        </w:tc>
        <w:tc>
          <w:tcPr>
            <w:tcW w:w="8708" w:type="dxa"/>
            <w:tcBorders>
              <w:top w:val="single" w:color="auto" w:sz="4" w:space="0"/>
              <w:left w:val="single" w:color="auto" w:sz="4" w:space="0"/>
              <w:bottom w:val="single" w:color="auto" w:sz="4" w:space="0"/>
              <w:right w:val="single" w:color="auto" w:sz="4" w:space="0"/>
            </w:tcBorders>
            <w:vAlign w:val="center"/>
          </w:tcPr>
          <w:p w14:paraId="4C30E9AF">
            <w:pPr>
              <w:snapToGrid w:val="0"/>
              <w:spacing w:line="360" w:lineRule="auto"/>
              <w:rPr>
                <w:rFonts w:ascii="宋体" w:hAnsi="宋体" w:cs="宋体"/>
                <w:sz w:val="24"/>
              </w:rPr>
            </w:pPr>
            <w:r>
              <w:rPr>
                <w:rFonts w:hint="eastAsia" w:ascii="宋体" w:hAnsi="宋体" w:cs="宋体"/>
                <w:sz w:val="24"/>
              </w:rPr>
              <w:t>本项目是否组织现场考察：是</w:t>
            </w:r>
            <w:r>
              <w:rPr>
                <w:rFonts w:hint="eastAsia" w:ascii="黑体" w:hAnsi="黑体" w:eastAsia="黑体" w:cs="宋体"/>
                <w:b/>
                <w:sz w:val="24"/>
              </w:rPr>
              <w:t>（ ）</w:t>
            </w:r>
            <w:r>
              <w:rPr>
                <w:rFonts w:hint="eastAsia" w:ascii="宋体" w:hAnsi="宋体" w:cs="宋体"/>
                <w:sz w:val="24"/>
              </w:rPr>
              <w:t>/否</w:t>
            </w:r>
            <w:r>
              <w:rPr>
                <w:rFonts w:hint="eastAsia" w:ascii="黑体" w:hAnsi="黑体" w:eastAsia="黑体" w:cs="宋体"/>
                <w:b/>
                <w:sz w:val="24"/>
              </w:rPr>
              <w:t>（</w:t>
            </w:r>
            <w:r>
              <w:rPr>
                <w:rFonts w:ascii="Arial" w:hAnsi="Arial" w:eastAsia="黑体" w:cs="Arial"/>
                <w:b/>
                <w:sz w:val="24"/>
              </w:rPr>
              <w:t>√</w:t>
            </w:r>
            <w:r>
              <w:rPr>
                <w:rFonts w:hint="eastAsia" w:ascii="黑体" w:hAnsi="黑体" w:eastAsia="黑体" w:cs="宋体"/>
                <w:b/>
                <w:sz w:val="24"/>
              </w:rPr>
              <w:t xml:space="preserve"> ）</w:t>
            </w:r>
            <w:r>
              <w:rPr>
                <w:rFonts w:hint="eastAsia" w:ascii="宋体" w:hAnsi="宋体" w:cs="宋体"/>
                <w:sz w:val="24"/>
              </w:rPr>
              <w:t>。</w:t>
            </w:r>
            <w:r>
              <w:rPr>
                <w:rFonts w:hint="eastAsia" w:ascii="黑体" w:hAnsi="黑体" w:eastAsia="黑体" w:cs="宋体"/>
                <w:b/>
                <w:sz w:val="24"/>
              </w:rPr>
              <w:t>（括号内√选）</w:t>
            </w:r>
          </w:p>
        </w:tc>
      </w:tr>
      <w:tr w14:paraId="629658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895" w:type="dxa"/>
            <w:vMerge w:val="continue"/>
            <w:tcBorders>
              <w:left w:val="single" w:color="auto" w:sz="4" w:space="0"/>
              <w:bottom w:val="single" w:color="auto" w:sz="4" w:space="0"/>
              <w:right w:val="single" w:color="auto" w:sz="4" w:space="0"/>
            </w:tcBorders>
            <w:vAlign w:val="center"/>
          </w:tcPr>
          <w:p w14:paraId="55103163">
            <w:pPr>
              <w:spacing w:line="360" w:lineRule="auto"/>
              <w:jc w:val="center"/>
              <w:rPr>
                <w:rFonts w:ascii="宋体" w:hAnsi="宋体" w:cs="宋体"/>
                <w:sz w:val="24"/>
              </w:rPr>
            </w:pPr>
          </w:p>
        </w:tc>
        <w:tc>
          <w:tcPr>
            <w:tcW w:w="8708" w:type="dxa"/>
            <w:tcBorders>
              <w:top w:val="single" w:color="auto" w:sz="4" w:space="0"/>
              <w:left w:val="single" w:color="auto" w:sz="4" w:space="0"/>
              <w:bottom w:val="single" w:color="auto" w:sz="4" w:space="0"/>
              <w:right w:val="single" w:color="auto" w:sz="4" w:space="0"/>
            </w:tcBorders>
            <w:vAlign w:val="center"/>
          </w:tcPr>
          <w:p w14:paraId="7DB02DC8">
            <w:pPr>
              <w:snapToGrid w:val="0"/>
              <w:spacing w:line="360" w:lineRule="auto"/>
              <w:rPr>
                <w:rFonts w:ascii="宋体" w:hAnsi="宋体" w:cs="宋体"/>
                <w:sz w:val="24"/>
              </w:rPr>
            </w:pPr>
            <w:r>
              <w:rPr>
                <w:rFonts w:hint="eastAsia" w:ascii="宋体" w:hAnsi="宋体" w:cs="宋体"/>
                <w:sz w:val="24"/>
              </w:rPr>
              <w:sym w:font="Wingdings" w:char="00FE"/>
            </w:r>
            <w:r>
              <w:rPr>
                <w:rFonts w:hint="eastAsia" w:ascii="宋体" w:hAnsi="宋体" w:cs="宋体"/>
                <w:sz w:val="24"/>
              </w:rPr>
              <w:t>本项目不组织召开开标前答疑会。</w:t>
            </w:r>
          </w:p>
          <w:p w14:paraId="2E97FBCF">
            <w:pPr>
              <w:snapToGrid w:val="0"/>
              <w:spacing w:line="360" w:lineRule="auto"/>
              <w:rPr>
                <w:rFonts w:ascii="宋体" w:hAnsi="宋体" w:cs="宋体"/>
                <w:sz w:val="24"/>
              </w:rPr>
            </w:pPr>
            <w:r>
              <w:rPr>
                <w:rFonts w:hint="eastAsia" w:ascii="宋体" w:hAnsi="宋体" w:cs="宋体"/>
                <w:sz w:val="24"/>
              </w:rPr>
              <w:sym w:font="Wingdings" w:char="00A8"/>
            </w:r>
            <w:r>
              <w:rPr>
                <w:rFonts w:hint="eastAsia" w:ascii="宋体" w:hAnsi="宋体" w:cs="宋体"/>
                <w:sz w:val="24"/>
              </w:rPr>
              <w:t>本项目组织召开开标前答疑会：详见商务条款。</w:t>
            </w:r>
          </w:p>
        </w:tc>
      </w:tr>
      <w:tr w14:paraId="22B25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vMerge w:val="restart"/>
            <w:tcBorders>
              <w:top w:val="single" w:color="auto" w:sz="4" w:space="0"/>
              <w:left w:val="single" w:color="auto" w:sz="4" w:space="0"/>
              <w:right w:val="single" w:color="auto" w:sz="4" w:space="0"/>
            </w:tcBorders>
            <w:vAlign w:val="center"/>
          </w:tcPr>
          <w:p w14:paraId="44A482FE">
            <w:pPr>
              <w:spacing w:line="360" w:lineRule="auto"/>
              <w:jc w:val="center"/>
              <w:rPr>
                <w:rFonts w:ascii="宋体" w:hAnsi="宋体" w:cs="宋体"/>
                <w:sz w:val="24"/>
              </w:rPr>
            </w:pPr>
            <w:bookmarkStart w:id="56" w:name="_13.1"/>
            <w:bookmarkEnd w:id="56"/>
            <w:r>
              <w:rPr>
                <w:rFonts w:hint="eastAsia" w:ascii="宋体" w:hAnsi="宋体" w:cs="宋体"/>
                <w:sz w:val="24"/>
              </w:rPr>
              <w:t>13.</w:t>
            </w:r>
            <w:bookmarkStart w:id="57" w:name="_Hlt19632543"/>
            <w:r>
              <w:rPr>
                <w:rFonts w:hint="eastAsia" w:ascii="宋体" w:hAnsi="宋体" w:cs="宋体"/>
                <w:sz w:val="24"/>
              </w:rPr>
              <w:t>1</w:t>
            </w:r>
            <w:bookmarkEnd w:id="57"/>
          </w:p>
        </w:tc>
        <w:tc>
          <w:tcPr>
            <w:tcW w:w="8708" w:type="dxa"/>
            <w:tcBorders>
              <w:top w:val="single" w:color="auto" w:sz="4" w:space="0"/>
              <w:left w:val="single" w:color="auto" w:sz="4" w:space="0"/>
              <w:bottom w:val="single" w:color="auto" w:sz="4" w:space="0"/>
              <w:right w:val="single" w:color="auto" w:sz="4" w:space="0"/>
            </w:tcBorders>
            <w:vAlign w:val="center"/>
          </w:tcPr>
          <w:p w14:paraId="71F7D45C">
            <w:pPr>
              <w:autoSpaceDE w:val="0"/>
              <w:autoSpaceDN w:val="0"/>
              <w:snapToGrid w:val="0"/>
              <w:spacing w:line="360" w:lineRule="auto"/>
              <w:textAlignment w:val="bottom"/>
              <w:rPr>
                <w:rFonts w:ascii="宋体" w:hAnsi="宋体" w:cs="宋体"/>
                <w:sz w:val="24"/>
              </w:rPr>
            </w:pPr>
            <w:r>
              <w:rPr>
                <w:rFonts w:hint="eastAsia" w:ascii="宋体" w:hAnsi="宋体" w:cs="宋体"/>
                <w:sz w:val="24"/>
              </w:rPr>
              <w:t>报价文件：</w:t>
            </w:r>
          </w:p>
          <w:p w14:paraId="235E4655">
            <w:pPr>
              <w:autoSpaceDE w:val="0"/>
              <w:autoSpaceDN w:val="0"/>
              <w:snapToGrid w:val="0"/>
              <w:spacing w:line="360" w:lineRule="auto"/>
              <w:textAlignment w:val="bottom"/>
              <w:rPr>
                <w:rFonts w:ascii="宋体" w:hAnsi="宋体" w:cs="宋体"/>
                <w:b/>
                <w:bCs/>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投标函（格式后附）；</w:t>
            </w:r>
            <w:r>
              <w:rPr>
                <w:rFonts w:hint="eastAsia" w:ascii="宋体" w:hAnsi="宋体" w:cs="宋体"/>
                <w:b/>
                <w:bCs/>
                <w:sz w:val="24"/>
              </w:rPr>
              <w:t>（必须提供，否则按无效投标处理）</w:t>
            </w:r>
          </w:p>
          <w:p w14:paraId="4BCED0F1">
            <w:pPr>
              <w:autoSpaceDE w:val="0"/>
              <w:autoSpaceDN w:val="0"/>
              <w:snapToGrid w:val="0"/>
              <w:spacing w:line="360" w:lineRule="auto"/>
              <w:textAlignment w:val="bottom"/>
              <w:rPr>
                <w:rFonts w:ascii="宋体" w:hAnsi="宋体" w:cs="宋体"/>
                <w:b/>
                <w:bCs/>
                <w:sz w:val="24"/>
              </w:rPr>
            </w:pPr>
            <w:bookmarkStart w:id="58" w:name="_Hlk71299233"/>
            <w:r>
              <w:rPr>
                <w:rFonts w:hint="eastAsia" w:ascii="宋体" w:hAnsi="宋体" w:cs="宋体"/>
                <w:sz w:val="24"/>
              </w:rPr>
              <w:t>2</w:t>
            </w:r>
            <w:r>
              <w:rPr>
                <w:rFonts w:hint="eastAsia" w:ascii="宋体" w:hAnsi="宋体" w:cs="宋体"/>
                <w:bCs/>
                <w:sz w:val="24"/>
              </w:rPr>
              <w:t>.</w:t>
            </w:r>
            <w:r>
              <w:rPr>
                <w:rFonts w:hint="eastAsia" w:ascii="宋体" w:hAnsi="宋体" w:cs="宋体"/>
                <w:sz w:val="24"/>
              </w:rPr>
              <w:t>开标一览表</w:t>
            </w:r>
            <w:bookmarkEnd w:id="58"/>
            <w:r>
              <w:rPr>
                <w:rFonts w:hint="eastAsia" w:ascii="宋体" w:hAnsi="宋体" w:cs="宋体"/>
                <w:sz w:val="24"/>
              </w:rPr>
              <w:t>（格式后附）；</w:t>
            </w:r>
            <w:r>
              <w:rPr>
                <w:rFonts w:hint="eastAsia" w:ascii="宋体" w:hAnsi="宋体" w:cs="宋体"/>
                <w:b/>
                <w:bCs/>
                <w:sz w:val="24"/>
              </w:rPr>
              <w:t xml:space="preserve"> （必须提供，否则按无效投标处理）</w:t>
            </w:r>
          </w:p>
          <w:p w14:paraId="156ABEA0">
            <w:pPr>
              <w:autoSpaceDE w:val="0"/>
              <w:autoSpaceDN w:val="0"/>
              <w:snapToGrid w:val="0"/>
              <w:spacing w:line="360" w:lineRule="auto"/>
              <w:textAlignment w:val="bottom"/>
              <w:rPr>
                <w:rFonts w:ascii="宋体" w:hAnsi="宋体" w:cs="宋体"/>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中小企业声明函（或残疾人福利性单位声明函或监狱企业声明函，残疾人福利性单位或监狱企业视同小微企业）（格式后附）；</w:t>
            </w:r>
          </w:p>
          <w:p w14:paraId="0F0682EF">
            <w:pPr>
              <w:autoSpaceDE w:val="0"/>
              <w:autoSpaceDN w:val="0"/>
              <w:snapToGrid w:val="0"/>
              <w:spacing w:line="360" w:lineRule="auto"/>
              <w:textAlignment w:val="bottom"/>
              <w:rPr>
                <w:rFonts w:ascii="宋体" w:hAnsi="宋体" w:cs="宋体"/>
                <w:b/>
                <w:bCs/>
                <w:sz w:val="24"/>
              </w:rPr>
            </w:pPr>
            <w:r>
              <w:rPr>
                <w:rFonts w:hint="eastAsia" w:ascii="宋体" w:hAnsi="宋体" w:cs="宋体"/>
                <w:b/>
                <w:bCs/>
                <w:sz w:val="24"/>
              </w:rPr>
              <w:t>4.《关于符合本国产品标准的声明函》（供应商根据自身响应情况出具）（格式后附）；</w:t>
            </w:r>
          </w:p>
          <w:p w14:paraId="31BCBA82">
            <w:pPr>
              <w:autoSpaceDE w:val="0"/>
              <w:autoSpaceDN w:val="0"/>
              <w:snapToGrid w:val="0"/>
              <w:spacing w:line="360" w:lineRule="auto"/>
              <w:textAlignment w:val="bottom"/>
              <w:rPr>
                <w:rFonts w:ascii="宋体" w:hAnsi="宋体" w:cs="宋体"/>
                <w:sz w:val="24"/>
              </w:rPr>
            </w:pPr>
            <w:r>
              <w:rPr>
                <w:rFonts w:ascii="宋体" w:hAnsi="宋体" w:cs="宋体"/>
                <w:sz w:val="24"/>
              </w:rPr>
              <w:t>5</w:t>
            </w:r>
            <w:r>
              <w:rPr>
                <w:rFonts w:hint="eastAsia" w:ascii="宋体" w:hAnsi="宋体" w:cs="宋体"/>
                <w:bCs/>
                <w:sz w:val="24"/>
              </w:rPr>
              <w:t>.</w:t>
            </w:r>
            <w:r>
              <w:rPr>
                <w:rFonts w:hint="eastAsia" w:ascii="宋体" w:hAnsi="宋体" w:cs="宋体"/>
                <w:sz w:val="24"/>
              </w:rPr>
              <w:t>投标人针对报价需要说明的其他文件和说明（格式自拟）。</w:t>
            </w:r>
          </w:p>
          <w:p w14:paraId="6B27644F">
            <w:pPr>
              <w:autoSpaceDE w:val="0"/>
              <w:autoSpaceDN w:val="0"/>
              <w:snapToGrid w:val="0"/>
              <w:spacing w:line="360" w:lineRule="auto"/>
              <w:textAlignment w:val="bottom"/>
              <w:rPr>
                <w:rFonts w:ascii="楷体" w:hAnsi="楷体" w:eastAsia="楷体"/>
              </w:rPr>
            </w:pPr>
            <w:r>
              <w:rPr>
                <w:rFonts w:hint="eastAsia" w:ascii="楷体" w:hAnsi="楷体" w:eastAsia="楷体" w:cs="宋体"/>
                <w:sz w:val="24"/>
              </w:rPr>
              <w:t>注：投标函、开标一览表必须由法定代表人或者委托代理人在规定签章处逐一签字并加盖投标人公章，否则按无效投标处理。</w:t>
            </w:r>
          </w:p>
        </w:tc>
      </w:tr>
      <w:tr w14:paraId="5CDC9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vMerge w:val="continue"/>
            <w:tcBorders>
              <w:left w:val="single" w:color="auto" w:sz="4" w:space="0"/>
              <w:right w:val="single" w:color="auto" w:sz="4" w:space="0"/>
            </w:tcBorders>
            <w:vAlign w:val="center"/>
          </w:tcPr>
          <w:p w14:paraId="1F912B51">
            <w:pPr>
              <w:spacing w:line="360" w:lineRule="auto"/>
              <w:rPr>
                <w:rFonts w:ascii="宋体" w:hAnsi="宋体" w:cs="宋体"/>
                <w:sz w:val="24"/>
              </w:rPr>
            </w:pPr>
            <w:bookmarkStart w:id="59" w:name="_13.2"/>
            <w:bookmarkEnd w:id="59"/>
          </w:p>
        </w:tc>
        <w:tc>
          <w:tcPr>
            <w:tcW w:w="8708" w:type="dxa"/>
            <w:tcBorders>
              <w:top w:val="single" w:color="auto" w:sz="4" w:space="0"/>
              <w:left w:val="single" w:color="auto" w:sz="4" w:space="0"/>
              <w:bottom w:val="single" w:color="auto" w:sz="4" w:space="0"/>
              <w:right w:val="single" w:color="auto" w:sz="4" w:space="0"/>
            </w:tcBorders>
            <w:vAlign w:val="center"/>
          </w:tcPr>
          <w:p w14:paraId="66BD7D0C">
            <w:pPr>
              <w:snapToGrid w:val="0"/>
              <w:spacing w:line="360" w:lineRule="auto"/>
              <w:jc w:val="left"/>
              <w:rPr>
                <w:rFonts w:ascii="宋体" w:hAnsi="宋体" w:cs="宋体"/>
                <w:b/>
                <w:sz w:val="24"/>
              </w:rPr>
            </w:pPr>
            <w:r>
              <w:rPr>
                <w:rFonts w:hint="eastAsia" w:ascii="宋体" w:hAnsi="宋体" w:cs="宋体"/>
                <w:b/>
                <w:sz w:val="24"/>
              </w:rPr>
              <w:t>资格证明文件：</w:t>
            </w:r>
          </w:p>
          <w:p w14:paraId="09E10730">
            <w:pPr>
              <w:autoSpaceDE w:val="0"/>
              <w:autoSpaceDN w:val="0"/>
              <w:snapToGrid w:val="0"/>
              <w:spacing w:line="360" w:lineRule="auto"/>
              <w:textAlignment w:val="bottom"/>
              <w:rPr>
                <w:rFonts w:ascii="宋体" w:hAnsi="宋体" w:cs="宋体"/>
                <w:b/>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投标人为法人或者其他组织的，证明文件为其营业执照复印件（如营业执照或者事业单位法人证书或者执业许可证等）；投标人为自然人的，证明文件为其身份证复印件；</w:t>
            </w:r>
            <w:r>
              <w:rPr>
                <w:rFonts w:hint="eastAsia" w:ascii="宋体" w:hAnsi="宋体" w:cs="宋体"/>
                <w:b/>
                <w:sz w:val="24"/>
              </w:rPr>
              <w:t>（必须提供，否则投标文件按无效投标处理）</w:t>
            </w:r>
          </w:p>
          <w:p w14:paraId="272FE2D6">
            <w:pPr>
              <w:autoSpaceDE w:val="0"/>
              <w:autoSpaceDN w:val="0"/>
              <w:snapToGrid w:val="0"/>
              <w:spacing w:line="360" w:lineRule="auto"/>
              <w:textAlignment w:val="bottom"/>
              <w:rPr>
                <w:rFonts w:ascii="宋体" w:hAnsi="宋体" w:cs="宋体"/>
                <w:b/>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投标人依法缴纳税收的相关材料（截至投标截止之日半年内连续三个月依法缴纳税收的凭据复印件；依法免税的供应商，必须提供相应文件证明其依法免税。从取得营业执照时间起到投标文件提交截止之日不足要求月数的，只需提供从取得营业执照时间起的依法缴纳税收相应证明文件）；</w:t>
            </w:r>
            <w:r>
              <w:rPr>
                <w:rFonts w:hint="eastAsia" w:ascii="宋体" w:hAnsi="宋体" w:cs="宋体"/>
                <w:b/>
                <w:sz w:val="24"/>
              </w:rPr>
              <w:t>（必须提供，否则按无效投标处理）</w:t>
            </w:r>
          </w:p>
          <w:p w14:paraId="70D5B52B">
            <w:pPr>
              <w:autoSpaceDE w:val="0"/>
              <w:autoSpaceDN w:val="0"/>
              <w:snapToGrid w:val="0"/>
              <w:spacing w:line="360" w:lineRule="auto"/>
              <w:textAlignment w:val="bottom"/>
              <w:rPr>
                <w:rFonts w:ascii="宋体" w:hAnsi="宋体" w:cs="宋体"/>
                <w:b/>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投标人依法缴纳社会保障资金的相关材料[截至投标截止之日半年内连续三个月的依法缴纳社会保障资金的缴费凭证（专用收据或者社会保险缴纳清单）复印件；依法不需要缴纳社会保障资金的供应商，必须提供相应文件证明不需要缴纳社会保障资金。从取得营业执照时间起到投标文件提交截止之日不足要求月数的只需提供从取得营业执照时间起的依法缴纳社会保障资金的相应证明文件]；</w:t>
            </w:r>
            <w:r>
              <w:rPr>
                <w:rFonts w:hint="eastAsia" w:ascii="宋体" w:hAnsi="宋体" w:cs="宋体"/>
                <w:b/>
                <w:sz w:val="24"/>
              </w:rPr>
              <w:t>（必须提供，否则按无效投标处理）</w:t>
            </w:r>
          </w:p>
          <w:p w14:paraId="54C8EA0F">
            <w:pPr>
              <w:autoSpaceDE w:val="0"/>
              <w:autoSpaceDN w:val="0"/>
              <w:snapToGrid w:val="0"/>
              <w:spacing w:line="360" w:lineRule="auto"/>
              <w:textAlignment w:val="bottom"/>
              <w:rPr>
                <w:rFonts w:ascii="宋体" w:hAnsi="宋体" w:cs="宋体"/>
                <w:b/>
                <w:sz w:val="24"/>
              </w:rPr>
            </w:pPr>
            <w:r>
              <w:rPr>
                <w:rFonts w:hint="eastAsia" w:ascii="宋体" w:hAnsi="宋体" w:cs="宋体"/>
                <w:sz w:val="24"/>
              </w:rPr>
              <w:t>4</w:t>
            </w:r>
            <w:r>
              <w:rPr>
                <w:rFonts w:hint="eastAsia" w:ascii="宋体" w:hAnsi="宋体" w:cs="宋体"/>
                <w:bCs/>
                <w:sz w:val="24"/>
              </w:rPr>
              <w:t>.</w:t>
            </w:r>
            <w:r>
              <w:rPr>
                <w:rFonts w:hint="eastAsia" w:ascii="宋体" w:hAnsi="宋体" w:cs="宋体"/>
                <w:sz w:val="24"/>
              </w:rPr>
              <w:t>投标人财务状况</w:t>
            </w:r>
            <w:r>
              <w:rPr>
                <w:rFonts w:hint="eastAsia" w:ascii="宋体" w:hAnsi="宋体" w:cs="宋体"/>
                <w:sz w:val="24"/>
                <w:highlight w:val="none"/>
              </w:rPr>
              <w:t>报告（提供2025年财务状况报告复印件，</w:t>
            </w:r>
            <w:r>
              <w:rPr>
                <w:rFonts w:hint="eastAsia" w:ascii="宋体" w:hAnsi="宋体" w:cs="宋体"/>
                <w:sz w:val="24"/>
              </w:rPr>
              <w:t>或者银行出具的资信证明（资信证明应在有效期内，未注明有效期的，银行出具时间至投标截止之日不超过一年）；</w:t>
            </w:r>
            <w:r>
              <w:rPr>
                <w:rFonts w:hint="eastAsia" w:ascii="宋体" w:hAnsi="宋体"/>
                <w:sz w:val="24"/>
              </w:rPr>
              <w:t>供应商成立不满一年的应按投标文件提交</w:t>
            </w:r>
            <w:r>
              <w:rPr>
                <w:rFonts w:hint="eastAsia" w:ascii="宋体" w:hAnsi="宋体" w:cs="宋体"/>
                <w:sz w:val="24"/>
              </w:rPr>
              <w:t>截止之日</w:t>
            </w:r>
            <w:r>
              <w:rPr>
                <w:rFonts w:hint="eastAsia" w:ascii="宋体" w:hAnsi="宋体"/>
                <w:sz w:val="24"/>
              </w:rPr>
              <w:t>上一个月的财务状况报告复印件</w:t>
            </w:r>
            <w:r>
              <w:rPr>
                <w:rFonts w:hint="eastAsia" w:ascii="宋体" w:hAnsi="宋体" w:cs="宋体"/>
                <w:sz w:val="24"/>
              </w:rPr>
              <w:t>）；</w:t>
            </w:r>
            <w:r>
              <w:rPr>
                <w:rFonts w:hint="eastAsia" w:ascii="宋体" w:hAnsi="宋体" w:cs="宋体"/>
                <w:b/>
                <w:sz w:val="24"/>
              </w:rPr>
              <w:t>（必须提供，否则按无效投标处理）</w:t>
            </w:r>
          </w:p>
          <w:p w14:paraId="70BA439B">
            <w:pPr>
              <w:autoSpaceDE w:val="0"/>
              <w:autoSpaceDN w:val="0"/>
              <w:snapToGrid w:val="0"/>
              <w:spacing w:line="360" w:lineRule="auto"/>
              <w:textAlignment w:val="bottom"/>
              <w:rPr>
                <w:rFonts w:ascii="宋体" w:hAnsi="宋体" w:cs="宋体"/>
                <w:b/>
                <w:sz w:val="24"/>
              </w:rPr>
            </w:pPr>
            <w:r>
              <w:rPr>
                <w:rFonts w:hint="eastAsia" w:ascii="宋体" w:hAnsi="宋体" w:cs="宋体"/>
                <w:sz w:val="24"/>
              </w:rPr>
              <w:t>5</w:t>
            </w:r>
            <w:r>
              <w:rPr>
                <w:rFonts w:hint="eastAsia" w:ascii="宋体" w:hAnsi="宋体" w:cs="宋体"/>
                <w:bCs/>
                <w:sz w:val="24"/>
              </w:rPr>
              <w:t>.</w:t>
            </w:r>
            <w:r>
              <w:rPr>
                <w:rFonts w:hint="eastAsia" w:ascii="宋体" w:hAnsi="宋体" w:cs="宋体"/>
                <w:sz w:val="24"/>
              </w:rPr>
              <w:t>投标人直接控股、管理关系信息表（格式后附）；</w:t>
            </w:r>
            <w:r>
              <w:rPr>
                <w:rFonts w:hint="eastAsia" w:ascii="宋体" w:hAnsi="宋体" w:cs="宋体"/>
                <w:b/>
                <w:sz w:val="24"/>
              </w:rPr>
              <w:t>（必须提供，否则按无效投标处理）</w:t>
            </w:r>
          </w:p>
          <w:p w14:paraId="469BE814">
            <w:pPr>
              <w:autoSpaceDE w:val="0"/>
              <w:autoSpaceDN w:val="0"/>
              <w:snapToGrid w:val="0"/>
              <w:spacing w:line="360" w:lineRule="auto"/>
              <w:textAlignment w:val="bottom"/>
              <w:rPr>
                <w:rFonts w:ascii="宋体" w:hAnsi="宋体" w:cs="宋体"/>
                <w:b/>
                <w:sz w:val="24"/>
              </w:rPr>
            </w:pPr>
            <w:r>
              <w:rPr>
                <w:rFonts w:hint="eastAsia" w:ascii="宋体" w:hAnsi="宋体" w:cs="宋体"/>
                <w:sz w:val="24"/>
              </w:rPr>
              <w:t>6</w:t>
            </w:r>
            <w:r>
              <w:rPr>
                <w:rFonts w:hint="eastAsia" w:ascii="宋体" w:hAnsi="宋体" w:cs="宋体"/>
                <w:bCs/>
                <w:sz w:val="24"/>
              </w:rPr>
              <w:t>.</w:t>
            </w:r>
            <w:r>
              <w:rPr>
                <w:rFonts w:hint="eastAsia" w:ascii="宋体" w:hAnsi="宋体" w:cs="宋体"/>
                <w:sz w:val="24"/>
              </w:rPr>
              <w:t>投标声明（格式后附）；</w:t>
            </w:r>
            <w:r>
              <w:rPr>
                <w:rFonts w:hint="eastAsia" w:ascii="宋体" w:hAnsi="宋体" w:cs="宋体"/>
                <w:b/>
                <w:sz w:val="24"/>
              </w:rPr>
              <w:t>（必须提供，否则按无效投标处理）</w:t>
            </w:r>
          </w:p>
          <w:p w14:paraId="21EE4063">
            <w:pPr>
              <w:autoSpaceDE w:val="0"/>
              <w:autoSpaceDN w:val="0"/>
              <w:snapToGrid w:val="0"/>
              <w:spacing w:line="360" w:lineRule="auto"/>
              <w:textAlignment w:val="bottom"/>
              <w:rPr>
                <w:rFonts w:ascii="宋体" w:hAnsi="宋体" w:cs="宋体"/>
                <w:b/>
                <w:sz w:val="24"/>
              </w:rPr>
            </w:pPr>
            <w:r>
              <w:rPr>
                <w:rFonts w:hint="eastAsia" w:ascii="宋体" w:hAnsi="宋体" w:cs="宋体"/>
                <w:sz w:val="24"/>
              </w:rPr>
              <w:t>7</w:t>
            </w:r>
            <w:r>
              <w:rPr>
                <w:rFonts w:hint="eastAsia" w:ascii="宋体" w:hAnsi="宋体" w:cs="宋体"/>
                <w:bCs/>
                <w:sz w:val="24"/>
              </w:rPr>
              <w:t>.</w:t>
            </w:r>
            <w:r>
              <w:rPr>
                <w:rFonts w:hint="eastAsia" w:ascii="宋体" w:hAnsi="宋体" w:cs="宋体"/>
                <w:sz w:val="24"/>
              </w:rPr>
              <w:t>联合体协议书（格式后附）；</w:t>
            </w:r>
            <w:r>
              <w:rPr>
                <w:rFonts w:hint="eastAsia" w:ascii="宋体" w:hAnsi="宋体" w:cs="宋体"/>
                <w:b/>
                <w:sz w:val="24"/>
              </w:rPr>
              <w:t>（联合体投标时必须提供，否则按无效投标处理）</w:t>
            </w:r>
          </w:p>
          <w:p w14:paraId="0A116D4F">
            <w:pPr>
              <w:autoSpaceDE w:val="0"/>
              <w:autoSpaceDN w:val="0"/>
              <w:snapToGrid w:val="0"/>
              <w:spacing w:line="360" w:lineRule="auto"/>
              <w:textAlignment w:val="bottom"/>
              <w:rPr>
                <w:rFonts w:ascii="宋体" w:hAnsi="宋体" w:cs="宋体"/>
                <w:b/>
                <w:sz w:val="24"/>
              </w:rPr>
            </w:pPr>
            <w:r>
              <w:rPr>
                <w:rFonts w:hint="eastAsia" w:ascii="宋体" w:hAnsi="宋体" w:cs="宋体"/>
                <w:sz w:val="24"/>
              </w:rPr>
              <w:t>8</w:t>
            </w:r>
            <w:r>
              <w:rPr>
                <w:rFonts w:hint="eastAsia" w:ascii="宋体" w:hAnsi="宋体" w:cs="宋体"/>
                <w:bCs/>
                <w:sz w:val="24"/>
              </w:rPr>
              <w:t>.</w:t>
            </w:r>
            <w:r>
              <w:rPr>
                <w:rFonts w:hint="eastAsia" w:ascii="宋体" w:hAnsi="宋体" w:cs="宋体"/>
                <w:sz w:val="24"/>
              </w:rPr>
              <w:t>公告中的特定资格要求及特定条件的资格证明材料；</w:t>
            </w:r>
            <w:r>
              <w:rPr>
                <w:rFonts w:hint="eastAsia" w:ascii="宋体" w:hAnsi="宋体" w:cs="宋体"/>
                <w:b/>
                <w:sz w:val="24"/>
              </w:rPr>
              <w:t>（公告中如有则必须提供，否则按无效投标处理）</w:t>
            </w:r>
          </w:p>
          <w:p w14:paraId="2FE9E6E2">
            <w:pPr>
              <w:autoSpaceDE w:val="0"/>
              <w:autoSpaceDN w:val="0"/>
              <w:snapToGrid w:val="0"/>
              <w:spacing w:line="360" w:lineRule="auto"/>
              <w:textAlignment w:val="bottom"/>
              <w:rPr>
                <w:rFonts w:ascii="宋体" w:hAnsi="宋体" w:cs="宋体"/>
                <w:sz w:val="24"/>
              </w:rPr>
            </w:pPr>
            <w:r>
              <w:rPr>
                <w:rFonts w:hint="eastAsia" w:ascii="宋体" w:hAnsi="宋体" w:cs="宋体"/>
                <w:sz w:val="24"/>
              </w:rPr>
              <w:t>9</w:t>
            </w:r>
            <w:r>
              <w:rPr>
                <w:rFonts w:hint="eastAsia" w:ascii="宋体" w:hAnsi="宋体" w:cs="宋体"/>
                <w:bCs/>
                <w:sz w:val="24"/>
              </w:rPr>
              <w:t>.</w:t>
            </w:r>
            <w:r>
              <w:rPr>
                <w:rFonts w:hint="eastAsia" w:ascii="宋体" w:hAnsi="宋体" w:cs="宋体"/>
                <w:sz w:val="24"/>
              </w:rPr>
              <w:t>除招标文件规定必须提供以外，投标人认为需要提供的其他证明材料。</w:t>
            </w:r>
          </w:p>
          <w:p w14:paraId="4D87E918">
            <w:pPr>
              <w:snapToGrid w:val="0"/>
              <w:spacing w:line="360" w:lineRule="auto"/>
              <w:jc w:val="left"/>
              <w:rPr>
                <w:rFonts w:ascii="楷体" w:hAnsi="楷体" w:eastAsia="楷体" w:cs="宋体"/>
                <w:sz w:val="24"/>
              </w:rPr>
            </w:pPr>
            <w:r>
              <w:rPr>
                <w:rFonts w:hint="eastAsia" w:ascii="楷体" w:hAnsi="楷体" w:eastAsia="楷体" w:cs="宋体"/>
                <w:b/>
                <w:sz w:val="24"/>
              </w:rPr>
              <w:t>【注】</w:t>
            </w:r>
            <w:r>
              <w:rPr>
                <w:rFonts w:ascii="楷体" w:hAnsi="楷体" w:eastAsia="楷体" w:cs="宋体"/>
                <w:sz w:val="24"/>
              </w:rPr>
              <w:t>1</w:t>
            </w:r>
            <w:r>
              <w:rPr>
                <w:rFonts w:ascii="楷体" w:hAnsi="楷体" w:eastAsia="楷体" w:cs="宋体"/>
                <w:bCs/>
                <w:sz w:val="24"/>
              </w:rPr>
              <w:t>.</w:t>
            </w:r>
            <w:r>
              <w:rPr>
                <w:rFonts w:hint="eastAsia" w:ascii="楷体" w:hAnsi="楷体" w:eastAsia="楷体" w:cs="宋体"/>
                <w:sz w:val="24"/>
              </w:rPr>
              <w:t>以上标明“必须提供”的材料属于复印件的，必须加盖投标人公章，否则按无效投标处理。</w:t>
            </w:r>
          </w:p>
          <w:p w14:paraId="204146A8">
            <w:pPr>
              <w:snapToGrid w:val="0"/>
              <w:spacing w:line="360" w:lineRule="auto"/>
              <w:jc w:val="left"/>
              <w:rPr>
                <w:rFonts w:ascii="楷体" w:hAnsi="楷体" w:eastAsia="楷体" w:cs="宋体"/>
                <w:sz w:val="24"/>
              </w:rPr>
            </w:pPr>
            <w:r>
              <w:rPr>
                <w:rFonts w:ascii="楷体" w:hAnsi="楷体" w:eastAsia="楷体" w:cs="宋体"/>
                <w:sz w:val="24"/>
              </w:rPr>
              <w:t>2</w:t>
            </w:r>
            <w:r>
              <w:rPr>
                <w:rFonts w:ascii="楷体" w:hAnsi="楷体" w:eastAsia="楷体" w:cs="宋体"/>
                <w:bCs/>
                <w:sz w:val="24"/>
              </w:rPr>
              <w:t>.</w:t>
            </w:r>
            <w:r>
              <w:rPr>
                <w:rFonts w:hint="eastAsia" w:ascii="楷体" w:hAnsi="楷体" w:eastAsia="楷体" w:cs="宋体"/>
                <w:sz w:val="24"/>
              </w:rPr>
              <w:t>投标声明必须由法定代表人在规定签章处签字并加盖投标人公章，否则按无效投标处理。</w:t>
            </w:r>
          </w:p>
          <w:p w14:paraId="6980F89F">
            <w:pPr>
              <w:snapToGrid w:val="0"/>
              <w:spacing w:line="360" w:lineRule="auto"/>
              <w:jc w:val="left"/>
              <w:rPr>
                <w:rFonts w:ascii="楷体" w:hAnsi="楷体" w:eastAsia="楷体" w:cs="宋体"/>
                <w:sz w:val="24"/>
              </w:rPr>
            </w:pPr>
            <w:r>
              <w:rPr>
                <w:rFonts w:ascii="楷体" w:hAnsi="楷体" w:eastAsia="楷体" w:cs="宋体"/>
                <w:sz w:val="24"/>
              </w:rPr>
              <w:t>3</w:t>
            </w:r>
            <w:r>
              <w:rPr>
                <w:rFonts w:ascii="楷体" w:hAnsi="楷体" w:eastAsia="楷体" w:cs="宋体"/>
                <w:bCs/>
                <w:sz w:val="24"/>
              </w:rPr>
              <w:t>.</w:t>
            </w:r>
            <w:r>
              <w:rPr>
                <w:rFonts w:hint="eastAsia" w:ascii="楷体" w:hAnsi="楷体" w:eastAsia="楷体" w:cs="宋体"/>
                <w:sz w:val="24"/>
              </w:rPr>
              <w:t>投标人直接控股、管理关系信息表必须由法定代表人或者委托代理人在规定签章处签字并加盖投标人公章，否则按无效投标处理。</w:t>
            </w:r>
          </w:p>
          <w:p w14:paraId="0C27CAC1">
            <w:pPr>
              <w:snapToGrid w:val="0"/>
              <w:spacing w:line="360" w:lineRule="auto"/>
              <w:jc w:val="left"/>
              <w:rPr>
                <w:rFonts w:ascii="楷体" w:hAnsi="楷体" w:eastAsia="楷体" w:cs="宋体"/>
                <w:sz w:val="24"/>
              </w:rPr>
            </w:pPr>
            <w:r>
              <w:rPr>
                <w:rFonts w:ascii="楷体" w:hAnsi="楷体" w:eastAsia="楷体" w:cs="宋体"/>
                <w:sz w:val="24"/>
              </w:rPr>
              <w:t>4</w:t>
            </w:r>
            <w:r>
              <w:rPr>
                <w:rFonts w:ascii="楷体" w:hAnsi="楷体" w:eastAsia="楷体" w:cs="宋体"/>
                <w:bCs/>
                <w:sz w:val="24"/>
              </w:rPr>
              <w:t>.</w:t>
            </w:r>
            <w:r>
              <w:rPr>
                <w:rFonts w:hint="eastAsia" w:ascii="楷体" w:hAnsi="楷体" w:eastAsia="楷体" w:cs="宋体"/>
                <w:sz w:val="24"/>
              </w:rPr>
              <w:t>联合体投标时，以上第</w:t>
            </w:r>
            <w:r>
              <w:rPr>
                <w:rFonts w:ascii="楷体" w:hAnsi="楷体" w:eastAsia="楷体" w:cs="宋体"/>
                <w:sz w:val="24"/>
              </w:rPr>
              <w:t>1-5项资格证明文件联合体各方均必须分别提供，联合体各方分别盖章，否则按无效投标处理。</w:t>
            </w:r>
          </w:p>
          <w:p w14:paraId="0DBF8C3B">
            <w:pPr>
              <w:snapToGrid w:val="0"/>
              <w:spacing w:line="360" w:lineRule="auto"/>
              <w:jc w:val="left"/>
              <w:rPr>
                <w:rFonts w:ascii="宋体" w:hAnsi="宋体" w:cs="宋体"/>
                <w:b/>
                <w:bCs/>
                <w:sz w:val="24"/>
              </w:rPr>
            </w:pPr>
            <w:r>
              <w:rPr>
                <w:rFonts w:ascii="楷体" w:hAnsi="楷体" w:eastAsia="楷体" w:cs="宋体"/>
                <w:sz w:val="24"/>
              </w:rPr>
              <w:t>5</w:t>
            </w:r>
            <w:r>
              <w:rPr>
                <w:rFonts w:ascii="楷体" w:hAnsi="楷体" w:eastAsia="楷体" w:cs="宋体"/>
                <w:bCs/>
                <w:sz w:val="24"/>
              </w:rPr>
              <w:t>.</w:t>
            </w:r>
            <w:r>
              <w:rPr>
                <w:rFonts w:hint="eastAsia" w:ascii="楷体" w:hAnsi="楷体" w:eastAsia="楷体" w:cs="宋体"/>
                <w:sz w:val="24"/>
              </w:rPr>
              <w:t>分公司参加投标的，应当取得总公司授权，否则按无效投标处理。</w:t>
            </w:r>
          </w:p>
        </w:tc>
      </w:tr>
      <w:tr w14:paraId="5D0E2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vMerge w:val="continue"/>
            <w:tcBorders>
              <w:left w:val="single" w:color="auto" w:sz="4" w:space="0"/>
              <w:right w:val="single" w:color="auto" w:sz="4" w:space="0"/>
            </w:tcBorders>
            <w:vAlign w:val="center"/>
          </w:tcPr>
          <w:p w14:paraId="14207CEA">
            <w:pPr>
              <w:spacing w:line="360" w:lineRule="auto"/>
              <w:rPr>
                <w:rFonts w:ascii="宋体" w:hAnsi="宋体" w:cs="宋体"/>
                <w:sz w:val="24"/>
              </w:rPr>
            </w:pPr>
            <w:bookmarkStart w:id="60" w:name="_13.3"/>
            <w:bookmarkEnd w:id="60"/>
          </w:p>
        </w:tc>
        <w:tc>
          <w:tcPr>
            <w:tcW w:w="8708" w:type="dxa"/>
            <w:tcBorders>
              <w:top w:val="single" w:color="auto" w:sz="4" w:space="0"/>
              <w:left w:val="single" w:color="auto" w:sz="4" w:space="0"/>
              <w:bottom w:val="single" w:color="auto" w:sz="4" w:space="0"/>
              <w:right w:val="single" w:color="auto" w:sz="4" w:space="0"/>
            </w:tcBorders>
            <w:vAlign w:val="center"/>
          </w:tcPr>
          <w:p w14:paraId="4C74BAF4">
            <w:pPr>
              <w:snapToGrid w:val="0"/>
              <w:spacing w:line="360" w:lineRule="auto"/>
              <w:jc w:val="left"/>
              <w:rPr>
                <w:rFonts w:ascii="宋体" w:hAnsi="宋体" w:cs="宋体"/>
                <w:b/>
                <w:sz w:val="24"/>
              </w:rPr>
            </w:pPr>
            <w:r>
              <w:rPr>
                <w:rFonts w:hint="eastAsia" w:ascii="宋体" w:hAnsi="宋体" w:cs="宋体"/>
                <w:b/>
                <w:sz w:val="24"/>
              </w:rPr>
              <w:t>商务文件：</w:t>
            </w:r>
          </w:p>
          <w:p w14:paraId="5E368DAB">
            <w:pPr>
              <w:snapToGrid w:val="0"/>
              <w:spacing w:line="360" w:lineRule="auto"/>
              <w:jc w:val="left"/>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无串通投标行为的承诺函（格式后附）；（</w:t>
            </w:r>
            <w:r>
              <w:rPr>
                <w:rFonts w:hint="eastAsia" w:ascii="宋体" w:hAnsi="宋体" w:cs="宋体"/>
                <w:b/>
                <w:sz w:val="24"/>
              </w:rPr>
              <w:t>必须提供，否则按无效投标处理</w:t>
            </w:r>
            <w:r>
              <w:rPr>
                <w:rFonts w:hint="eastAsia" w:ascii="宋体" w:hAnsi="宋体" w:cs="宋体"/>
                <w:sz w:val="24"/>
              </w:rPr>
              <w:t>）</w:t>
            </w:r>
          </w:p>
          <w:p w14:paraId="310513CB">
            <w:pPr>
              <w:snapToGrid w:val="0"/>
              <w:spacing w:line="360" w:lineRule="auto"/>
              <w:jc w:val="left"/>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投标保证金提交凭证；（</w:t>
            </w:r>
            <w:r>
              <w:rPr>
                <w:rFonts w:hint="eastAsia" w:ascii="宋体" w:hAnsi="宋体" w:cs="宋体"/>
                <w:b/>
                <w:sz w:val="24"/>
              </w:rPr>
              <w:t>如要求提交保证金则必须提供，否则按无效投标处理</w:t>
            </w:r>
            <w:r>
              <w:rPr>
                <w:rFonts w:hint="eastAsia" w:ascii="宋体" w:hAnsi="宋体" w:cs="宋体"/>
                <w:sz w:val="24"/>
              </w:rPr>
              <w:t>）</w:t>
            </w:r>
          </w:p>
          <w:p w14:paraId="56372E3F">
            <w:pPr>
              <w:snapToGrid w:val="0"/>
              <w:spacing w:line="360" w:lineRule="auto"/>
              <w:jc w:val="left"/>
              <w:rPr>
                <w:rFonts w:ascii="宋体" w:hAnsi="宋体" w:cs="宋体"/>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法定代表人身份证明及法定代表人有效身份证正反面复印件（格式后附）；（</w:t>
            </w:r>
            <w:r>
              <w:rPr>
                <w:rFonts w:hint="eastAsia" w:ascii="宋体" w:hAnsi="宋体" w:cs="宋体"/>
                <w:b/>
                <w:bCs/>
                <w:sz w:val="24"/>
              </w:rPr>
              <w:t>除自然人投标外</w:t>
            </w:r>
            <w:r>
              <w:rPr>
                <w:rFonts w:hint="eastAsia" w:ascii="宋体" w:hAnsi="宋体" w:cs="宋体"/>
                <w:b/>
                <w:sz w:val="24"/>
              </w:rPr>
              <w:t>必须提供，否则按无效投标处理</w:t>
            </w:r>
            <w:r>
              <w:rPr>
                <w:rFonts w:hint="eastAsia" w:ascii="宋体" w:hAnsi="宋体" w:cs="宋体"/>
                <w:sz w:val="24"/>
              </w:rPr>
              <w:t>）</w:t>
            </w:r>
          </w:p>
          <w:p w14:paraId="0FA283DF">
            <w:pPr>
              <w:snapToGrid w:val="0"/>
              <w:spacing w:line="360" w:lineRule="auto"/>
              <w:jc w:val="left"/>
              <w:rPr>
                <w:rFonts w:ascii="宋体" w:hAnsi="宋体" w:cs="宋体"/>
                <w:sz w:val="24"/>
              </w:rPr>
            </w:pPr>
            <w:r>
              <w:rPr>
                <w:rFonts w:hint="eastAsia" w:ascii="宋体" w:hAnsi="宋体" w:cs="宋体"/>
                <w:sz w:val="24"/>
              </w:rPr>
              <w:t>4</w:t>
            </w:r>
            <w:r>
              <w:rPr>
                <w:rFonts w:hint="eastAsia" w:ascii="宋体" w:hAnsi="宋体" w:cs="宋体"/>
                <w:bCs/>
                <w:sz w:val="24"/>
              </w:rPr>
              <w:t>.</w:t>
            </w:r>
            <w:r>
              <w:rPr>
                <w:rFonts w:hint="eastAsia" w:ascii="宋体" w:hAnsi="宋体" w:cs="宋体"/>
                <w:sz w:val="24"/>
              </w:rPr>
              <w:t>授权委托书及委托代理人有效身份证正反面复印件（格式后附）；（</w:t>
            </w:r>
            <w:r>
              <w:rPr>
                <w:rFonts w:hint="eastAsia" w:ascii="宋体" w:hAnsi="宋体" w:cs="宋体"/>
                <w:b/>
                <w:sz w:val="24"/>
              </w:rPr>
              <w:t>委托时必须提供，否则按无效投标处理</w:t>
            </w:r>
            <w:r>
              <w:rPr>
                <w:rFonts w:hint="eastAsia" w:ascii="宋体" w:hAnsi="宋体" w:cs="宋体"/>
                <w:sz w:val="24"/>
              </w:rPr>
              <w:t>）</w:t>
            </w:r>
          </w:p>
          <w:p w14:paraId="371EF262">
            <w:pPr>
              <w:snapToGrid w:val="0"/>
              <w:spacing w:line="360" w:lineRule="auto"/>
              <w:jc w:val="left"/>
              <w:rPr>
                <w:rFonts w:ascii="宋体" w:hAnsi="宋体" w:cs="宋体"/>
                <w:sz w:val="24"/>
              </w:rPr>
            </w:pPr>
            <w:r>
              <w:rPr>
                <w:rFonts w:hint="eastAsia" w:ascii="宋体" w:hAnsi="宋体" w:cs="宋体"/>
                <w:sz w:val="24"/>
              </w:rPr>
              <w:t>5</w:t>
            </w:r>
            <w:r>
              <w:rPr>
                <w:rFonts w:hint="eastAsia" w:ascii="宋体" w:hAnsi="宋体" w:cs="宋体"/>
                <w:bCs/>
                <w:sz w:val="24"/>
              </w:rPr>
              <w:t>.</w:t>
            </w:r>
            <w:r>
              <w:rPr>
                <w:rFonts w:hint="eastAsia" w:ascii="宋体" w:hAnsi="宋体" w:cs="宋体"/>
                <w:sz w:val="24"/>
              </w:rPr>
              <w:t>商务要求偏离表（格式后附）；（</w:t>
            </w:r>
            <w:r>
              <w:rPr>
                <w:rFonts w:hint="eastAsia" w:ascii="宋体" w:hAnsi="宋体" w:cs="宋体"/>
                <w:b/>
                <w:sz w:val="24"/>
              </w:rPr>
              <w:t>必须提供，否则按无效投标处理</w:t>
            </w:r>
            <w:r>
              <w:rPr>
                <w:rFonts w:hint="eastAsia" w:ascii="宋体" w:hAnsi="宋体" w:cs="宋体"/>
                <w:sz w:val="24"/>
              </w:rPr>
              <w:t>）</w:t>
            </w:r>
          </w:p>
          <w:p w14:paraId="36F1F696">
            <w:pPr>
              <w:snapToGrid w:val="0"/>
              <w:spacing w:line="360" w:lineRule="auto"/>
              <w:jc w:val="left"/>
              <w:rPr>
                <w:rFonts w:ascii="宋体" w:hAnsi="宋体" w:cs="宋体"/>
                <w:sz w:val="24"/>
              </w:rPr>
            </w:pPr>
            <w:r>
              <w:rPr>
                <w:rFonts w:hint="eastAsia" w:ascii="宋体" w:hAnsi="宋体" w:cs="宋体"/>
                <w:sz w:val="24"/>
              </w:rPr>
              <w:t>6</w:t>
            </w:r>
            <w:r>
              <w:rPr>
                <w:rFonts w:hint="eastAsia" w:ascii="宋体" w:hAnsi="宋体" w:cs="宋体"/>
                <w:bCs/>
                <w:sz w:val="24"/>
              </w:rPr>
              <w:t>.</w:t>
            </w:r>
            <w:r>
              <w:rPr>
                <w:rFonts w:hint="eastAsia" w:ascii="宋体" w:hAnsi="宋体" w:cs="宋体"/>
                <w:sz w:val="24"/>
              </w:rPr>
              <w:t>售后服务承诺（格式自拟）；（</w:t>
            </w:r>
            <w:r>
              <w:rPr>
                <w:rFonts w:hint="eastAsia" w:ascii="宋体" w:hAnsi="宋体" w:cs="宋体"/>
                <w:b/>
                <w:sz w:val="24"/>
              </w:rPr>
              <w:t>必须提供，否则按无效投标处理</w:t>
            </w:r>
            <w:r>
              <w:rPr>
                <w:rFonts w:hint="eastAsia" w:ascii="宋体" w:hAnsi="宋体" w:cs="宋体"/>
                <w:sz w:val="24"/>
              </w:rPr>
              <w:t>）</w:t>
            </w:r>
          </w:p>
          <w:p w14:paraId="7A5D5A9C">
            <w:pPr>
              <w:snapToGrid w:val="0"/>
              <w:spacing w:line="360" w:lineRule="auto"/>
              <w:jc w:val="left"/>
              <w:rPr>
                <w:rFonts w:ascii="宋体" w:hAnsi="宋体" w:cs="宋体"/>
                <w:sz w:val="24"/>
              </w:rPr>
            </w:pPr>
            <w:r>
              <w:rPr>
                <w:rFonts w:hint="eastAsia" w:ascii="宋体" w:hAnsi="宋体" w:cs="宋体"/>
                <w:sz w:val="24"/>
              </w:rPr>
              <w:t>7</w:t>
            </w:r>
            <w:r>
              <w:rPr>
                <w:rFonts w:hint="eastAsia" w:ascii="宋体" w:hAnsi="宋体" w:cs="宋体"/>
                <w:bCs/>
                <w:sz w:val="24"/>
              </w:rPr>
              <w:t>.</w:t>
            </w:r>
            <w:r>
              <w:rPr>
                <w:rFonts w:hint="eastAsia" w:ascii="宋体" w:hAnsi="宋体" w:cs="宋体"/>
                <w:sz w:val="24"/>
              </w:rPr>
              <w:t>投标人情况介绍（格式自拟）；</w:t>
            </w:r>
          </w:p>
          <w:p w14:paraId="2869382A">
            <w:pPr>
              <w:snapToGrid w:val="0"/>
              <w:spacing w:line="360" w:lineRule="auto"/>
              <w:jc w:val="left"/>
              <w:rPr>
                <w:rFonts w:ascii="宋体" w:hAnsi="宋体" w:cs="宋体"/>
                <w:sz w:val="24"/>
              </w:rPr>
            </w:pPr>
            <w:r>
              <w:rPr>
                <w:rFonts w:hint="eastAsia" w:ascii="宋体" w:hAnsi="宋体" w:cs="宋体"/>
                <w:sz w:val="24"/>
              </w:rPr>
              <w:t>8</w:t>
            </w:r>
            <w:r>
              <w:rPr>
                <w:rFonts w:hint="eastAsia" w:ascii="宋体" w:hAnsi="宋体" w:cs="宋体"/>
                <w:bCs/>
                <w:sz w:val="24"/>
              </w:rPr>
              <w:t>.</w:t>
            </w:r>
            <w:r>
              <w:rPr>
                <w:rFonts w:hint="eastAsia" w:ascii="宋体" w:hAnsi="宋体" w:cs="宋体"/>
                <w:sz w:val="24"/>
              </w:rPr>
              <w:t>联合体协议书（格式后附）；（</w:t>
            </w:r>
            <w:r>
              <w:rPr>
                <w:rFonts w:hint="eastAsia" w:ascii="宋体" w:hAnsi="宋体" w:cs="宋体"/>
                <w:b/>
                <w:sz w:val="24"/>
              </w:rPr>
              <w:t>联合体投标时必须提供，否则按无效投标处理</w:t>
            </w:r>
            <w:r>
              <w:rPr>
                <w:rFonts w:hint="eastAsia" w:ascii="宋体" w:hAnsi="宋体" w:cs="宋体"/>
                <w:sz w:val="24"/>
              </w:rPr>
              <w:t>）</w:t>
            </w:r>
          </w:p>
          <w:p w14:paraId="53D4A38A">
            <w:pPr>
              <w:snapToGrid w:val="0"/>
              <w:spacing w:line="360" w:lineRule="auto"/>
              <w:jc w:val="left"/>
              <w:rPr>
                <w:rFonts w:ascii="宋体" w:hAnsi="宋体" w:cs="宋体"/>
                <w:b/>
                <w:bCs/>
                <w:sz w:val="24"/>
              </w:rPr>
            </w:pPr>
            <w:r>
              <w:rPr>
                <w:rFonts w:hint="eastAsia" w:ascii="宋体" w:hAnsi="宋体" w:cs="宋体"/>
                <w:sz w:val="24"/>
              </w:rPr>
              <w:t>9</w:t>
            </w:r>
            <w:r>
              <w:rPr>
                <w:rFonts w:hint="eastAsia" w:ascii="宋体" w:hAnsi="宋体" w:cs="宋体"/>
                <w:bCs/>
                <w:sz w:val="24"/>
              </w:rPr>
              <w:t>.</w:t>
            </w:r>
            <w:r>
              <w:rPr>
                <w:rFonts w:hint="eastAsia" w:ascii="宋体" w:hAnsi="宋体" w:cs="宋体"/>
                <w:sz w:val="24"/>
              </w:rPr>
              <w:t>除招标文件规定必须提供以外，投标人认为需要提供的其他证明材料（格式自拟）。（投标人根据“第二章 采购需求”及“第四章 评标方法及评标标准”提供有关证明材料）</w:t>
            </w:r>
          </w:p>
          <w:p w14:paraId="69E0501C">
            <w:pPr>
              <w:snapToGrid w:val="0"/>
              <w:spacing w:line="360" w:lineRule="auto"/>
              <w:jc w:val="left"/>
              <w:rPr>
                <w:rFonts w:ascii="仿宋" w:hAnsi="仿宋" w:eastAsia="仿宋" w:cs="宋体"/>
                <w:b/>
                <w:sz w:val="24"/>
              </w:rPr>
            </w:pPr>
            <w:r>
              <w:rPr>
                <w:rFonts w:hint="eastAsia" w:ascii="仿宋" w:hAnsi="仿宋" w:eastAsia="仿宋" w:cs="宋体"/>
                <w:b/>
                <w:sz w:val="24"/>
              </w:rPr>
              <w:t>【注】</w:t>
            </w:r>
          </w:p>
          <w:p w14:paraId="43755B27">
            <w:pPr>
              <w:snapToGrid w:val="0"/>
              <w:spacing w:line="360" w:lineRule="auto"/>
              <w:jc w:val="left"/>
              <w:rPr>
                <w:rFonts w:ascii="楷体" w:hAnsi="楷体" w:eastAsia="楷体" w:cs="宋体"/>
                <w:sz w:val="24"/>
              </w:rPr>
            </w:pPr>
            <w:r>
              <w:rPr>
                <w:rFonts w:ascii="楷体" w:hAnsi="楷体" w:eastAsia="楷体" w:cs="宋体"/>
                <w:sz w:val="24"/>
              </w:rPr>
              <w:t>1</w:t>
            </w:r>
            <w:r>
              <w:rPr>
                <w:rFonts w:ascii="楷体" w:hAnsi="楷体" w:eastAsia="楷体" w:cs="宋体"/>
                <w:bCs/>
                <w:sz w:val="24"/>
              </w:rPr>
              <w:t>.</w:t>
            </w:r>
            <w:r>
              <w:rPr>
                <w:rFonts w:hint="eastAsia" w:ascii="楷体" w:hAnsi="楷体" w:eastAsia="楷体" w:cs="宋体"/>
                <w:sz w:val="24"/>
              </w:rPr>
              <w:t>法定代表人授权委托书必须由法定代表人及委托代理人签字，并加盖投标人公章，否则做无效投标处理。</w:t>
            </w:r>
          </w:p>
          <w:p w14:paraId="7AEA39CD">
            <w:pPr>
              <w:snapToGrid w:val="0"/>
              <w:spacing w:line="360" w:lineRule="auto"/>
              <w:jc w:val="left"/>
              <w:rPr>
                <w:rFonts w:ascii="宋体" w:hAnsi="宋体" w:cs="宋体"/>
                <w:sz w:val="24"/>
              </w:rPr>
            </w:pPr>
            <w:r>
              <w:rPr>
                <w:rFonts w:ascii="楷体" w:hAnsi="楷体" w:eastAsia="楷体" w:cs="宋体"/>
                <w:sz w:val="24"/>
              </w:rPr>
              <w:t>2</w:t>
            </w:r>
            <w:r>
              <w:rPr>
                <w:rFonts w:ascii="楷体" w:hAnsi="楷体" w:eastAsia="楷体" w:cs="宋体"/>
                <w:bCs/>
                <w:sz w:val="24"/>
              </w:rPr>
              <w:t>.</w:t>
            </w:r>
            <w:r>
              <w:rPr>
                <w:rFonts w:hint="eastAsia" w:ascii="楷体" w:hAnsi="楷体" w:eastAsia="楷体" w:cs="宋体"/>
                <w:sz w:val="24"/>
              </w:rPr>
              <w:t>以上标明“必须提供”的材料属于复印件的，必须加盖投标人公章，否则按无效投标处理。</w:t>
            </w:r>
          </w:p>
        </w:tc>
      </w:tr>
      <w:tr w14:paraId="572E6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vMerge w:val="continue"/>
            <w:tcBorders>
              <w:left w:val="single" w:color="auto" w:sz="4" w:space="0"/>
              <w:bottom w:val="single" w:color="auto" w:sz="4" w:space="0"/>
              <w:right w:val="single" w:color="auto" w:sz="4" w:space="0"/>
            </w:tcBorders>
            <w:vAlign w:val="center"/>
          </w:tcPr>
          <w:p w14:paraId="2645A0D4">
            <w:pPr>
              <w:spacing w:line="360" w:lineRule="auto"/>
              <w:rPr>
                <w:rFonts w:ascii="宋体" w:hAnsi="宋体" w:cs="宋体"/>
                <w:sz w:val="24"/>
              </w:rPr>
            </w:pPr>
            <w:bookmarkStart w:id="61" w:name="_13.4"/>
            <w:bookmarkEnd w:id="61"/>
          </w:p>
        </w:tc>
        <w:tc>
          <w:tcPr>
            <w:tcW w:w="8708" w:type="dxa"/>
            <w:tcBorders>
              <w:top w:val="single" w:color="auto" w:sz="4" w:space="0"/>
              <w:left w:val="single" w:color="auto" w:sz="4" w:space="0"/>
              <w:bottom w:val="single" w:color="auto" w:sz="4" w:space="0"/>
              <w:right w:val="single" w:color="auto" w:sz="4" w:space="0"/>
            </w:tcBorders>
            <w:vAlign w:val="center"/>
          </w:tcPr>
          <w:p w14:paraId="638B9260">
            <w:pPr>
              <w:snapToGrid w:val="0"/>
              <w:spacing w:line="360" w:lineRule="auto"/>
              <w:jc w:val="left"/>
              <w:rPr>
                <w:rFonts w:ascii="宋体" w:hAnsi="宋体" w:cs="宋体"/>
                <w:b/>
                <w:sz w:val="24"/>
              </w:rPr>
            </w:pPr>
            <w:r>
              <w:rPr>
                <w:rFonts w:hint="eastAsia" w:ascii="宋体" w:hAnsi="宋体" w:cs="宋体"/>
                <w:b/>
                <w:sz w:val="24"/>
              </w:rPr>
              <w:t>技术文件：</w:t>
            </w:r>
          </w:p>
          <w:p w14:paraId="5C53A7BD">
            <w:pPr>
              <w:snapToGrid w:val="0"/>
              <w:spacing w:line="360" w:lineRule="auto"/>
              <w:jc w:val="left"/>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设备性能配置清单（格式后附）；（</w:t>
            </w:r>
            <w:r>
              <w:rPr>
                <w:rFonts w:hint="eastAsia" w:ascii="宋体" w:hAnsi="宋体" w:cs="宋体"/>
                <w:b/>
                <w:sz w:val="24"/>
              </w:rPr>
              <w:t>必须提供，否则按无效投标处理</w:t>
            </w:r>
            <w:r>
              <w:rPr>
                <w:rFonts w:hint="eastAsia" w:ascii="宋体" w:hAnsi="宋体" w:cs="宋体"/>
                <w:sz w:val="24"/>
              </w:rPr>
              <w:t>）</w:t>
            </w:r>
          </w:p>
          <w:p w14:paraId="7697C06E">
            <w:pPr>
              <w:snapToGrid w:val="0"/>
              <w:spacing w:line="360" w:lineRule="auto"/>
              <w:jc w:val="left"/>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技术要求偏离表（格式后附）；（</w:t>
            </w:r>
            <w:r>
              <w:rPr>
                <w:rFonts w:hint="eastAsia" w:ascii="宋体" w:hAnsi="宋体" w:cs="宋体"/>
                <w:b/>
                <w:sz w:val="24"/>
              </w:rPr>
              <w:t>必须提供，否则按无效投标处理</w:t>
            </w:r>
            <w:r>
              <w:rPr>
                <w:rFonts w:hint="eastAsia" w:ascii="宋体" w:hAnsi="宋体" w:cs="宋体"/>
                <w:sz w:val="24"/>
              </w:rPr>
              <w:t>）</w:t>
            </w:r>
          </w:p>
          <w:p w14:paraId="66338D1B">
            <w:pPr>
              <w:snapToGrid w:val="0"/>
              <w:spacing w:line="360" w:lineRule="auto"/>
              <w:jc w:val="left"/>
              <w:rPr>
                <w:rFonts w:ascii="宋体" w:hAnsi="宋体" w:cs="宋体"/>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项目实施方案（格式自拟）[项目前期准备、项目实施计划（项目实施人员一览表（格式后附）、技术服务、技术培训的内容和措施）]；（</w:t>
            </w:r>
            <w:r>
              <w:rPr>
                <w:rFonts w:hint="eastAsia" w:ascii="宋体" w:hAnsi="宋体" w:cs="宋体"/>
                <w:b/>
                <w:sz w:val="24"/>
              </w:rPr>
              <w:t>必须提供，否则按无效投标处理</w:t>
            </w:r>
            <w:r>
              <w:rPr>
                <w:rFonts w:hint="eastAsia" w:ascii="宋体" w:hAnsi="宋体" w:cs="宋体"/>
                <w:sz w:val="24"/>
              </w:rPr>
              <w:t>）</w:t>
            </w:r>
          </w:p>
          <w:p w14:paraId="3244C4BB">
            <w:pPr>
              <w:snapToGrid w:val="0"/>
              <w:spacing w:line="360" w:lineRule="auto"/>
              <w:jc w:val="left"/>
              <w:rPr>
                <w:rFonts w:ascii="宋体" w:hAnsi="宋体" w:cs="宋体"/>
                <w:sz w:val="24"/>
              </w:rPr>
            </w:pPr>
            <w:r>
              <w:rPr>
                <w:rFonts w:hint="eastAsia" w:ascii="宋体" w:hAnsi="宋体" w:cs="宋体"/>
                <w:sz w:val="24"/>
              </w:rPr>
              <w:t>4</w:t>
            </w:r>
            <w:r>
              <w:rPr>
                <w:rFonts w:hint="eastAsia" w:ascii="宋体" w:hAnsi="宋体" w:cs="宋体"/>
                <w:bCs/>
                <w:sz w:val="24"/>
              </w:rPr>
              <w:t>.</w:t>
            </w:r>
            <w:r>
              <w:rPr>
                <w:rFonts w:hint="eastAsia" w:ascii="宋体" w:hAnsi="宋体" w:cs="宋体"/>
                <w:sz w:val="24"/>
              </w:rPr>
              <w:t>对本项目系统总体要求的理解。包括：功能说明、性能指标及设备选型说明（质量、性能、价格、外观、体积等方面进行比较和选择的理由及过程，格式自拟）；</w:t>
            </w:r>
          </w:p>
          <w:p w14:paraId="4D72A562">
            <w:pPr>
              <w:snapToGrid w:val="0"/>
              <w:spacing w:line="360" w:lineRule="auto"/>
              <w:jc w:val="left"/>
              <w:rPr>
                <w:rFonts w:ascii="宋体" w:hAnsi="宋体" w:cs="宋体"/>
                <w:sz w:val="24"/>
              </w:rPr>
            </w:pPr>
            <w:r>
              <w:rPr>
                <w:rFonts w:hint="eastAsia" w:ascii="宋体" w:hAnsi="宋体" w:cs="宋体"/>
                <w:sz w:val="24"/>
              </w:rPr>
              <w:t>5</w:t>
            </w:r>
            <w:r>
              <w:rPr>
                <w:rFonts w:hint="eastAsia" w:ascii="宋体" w:hAnsi="宋体" w:cs="宋体"/>
                <w:bCs/>
                <w:sz w:val="24"/>
              </w:rPr>
              <w:t>.</w:t>
            </w:r>
            <w:r>
              <w:rPr>
                <w:rFonts w:hint="eastAsia" w:ascii="宋体" w:hAnsi="宋体" w:cs="宋体"/>
                <w:sz w:val="24"/>
              </w:rPr>
              <w:t>产品出厂标准、质量检测报告[其中有精度要求的仪器设备类政府采购项目，应当要求投标人提供精度数据（国家认可的有资质的第三方检测机构出具的检测报告复印件或者由采购人在投标前组织的实测获得）]；（</w:t>
            </w:r>
            <w:r>
              <w:rPr>
                <w:rFonts w:hint="eastAsia" w:ascii="宋体" w:hAnsi="宋体" w:cs="宋体"/>
                <w:b/>
                <w:sz w:val="24"/>
              </w:rPr>
              <w:t>采购需求中要求必须提供时必须提供，否则按无效投标处理</w:t>
            </w:r>
            <w:r>
              <w:rPr>
                <w:rFonts w:hint="eastAsia" w:ascii="宋体" w:hAnsi="宋体" w:cs="宋体"/>
                <w:sz w:val="24"/>
              </w:rPr>
              <w:t>）</w:t>
            </w:r>
          </w:p>
          <w:p w14:paraId="7DCEC627">
            <w:pPr>
              <w:snapToGrid w:val="0"/>
              <w:spacing w:line="360" w:lineRule="auto"/>
              <w:jc w:val="left"/>
              <w:rPr>
                <w:rFonts w:ascii="宋体" w:hAnsi="宋体" w:cs="宋体"/>
                <w:sz w:val="24"/>
              </w:rPr>
            </w:pPr>
            <w:r>
              <w:rPr>
                <w:rFonts w:hint="eastAsia" w:ascii="宋体" w:hAnsi="宋体" w:cs="宋体"/>
                <w:sz w:val="24"/>
              </w:rPr>
              <w:t>6</w:t>
            </w:r>
            <w:r>
              <w:rPr>
                <w:rFonts w:hint="eastAsia" w:ascii="宋体" w:hAnsi="宋体" w:cs="宋体"/>
                <w:bCs/>
                <w:sz w:val="24"/>
              </w:rPr>
              <w:t>.</w:t>
            </w:r>
            <w:r>
              <w:rPr>
                <w:rFonts w:hint="eastAsia" w:ascii="宋体" w:hAnsi="宋体" w:cs="宋体"/>
                <w:sz w:val="24"/>
              </w:rPr>
              <w:t>优惠条件：投标人承诺给予招标人的各种优惠条件，包括售后服务、备品备件、专用耗材等方面的优惠；投标人不得给予赠品或者与采购无关的其他商品、服务；</w:t>
            </w:r>
          </w:p>
          <w:p w14:paraId="3721E14D">
            <w:pPr>
              <w:snapToGrid w:val="0"/>
              <w:spacing w:line="360" w:lineRule="auto"/>
              <w:jc w:val="left"/>
              <w:rPr>
                <w:rFonts w:ascii="宋体" w:hAnsi="宋体" w:cs="宋体"/>
                <w:sz w:val="24"/>
              </w:rPr>
            </w:pPr>
            <w:r>
              <w:rPr>
                <w:rFonts w:hint="eastAsia" w:ascii="宋体" w:hAnsi="宋体" w:cs="宋体"/>
                <w:sz w:val="24"/>
              </w:rPr>
              <w:t>7</w:t>
            </w:r>
            <w:r>
              <w:rPr>
                <w:rFonts w:hint="eastAsia" w:ascii="宋体" w:hAnsi="宋体" w:cs="宋体"/>
                <w:bCs/>
                <w:sz w:val="24"/>
              </w:rPr>
              <w:t>.</w:t>
            </w:r>
            <w:r>
              <w:rPr>
                <w:rFonts w:hint="eastAsia" w:ascii="宋体" w:hAnsi="宋体" w:cs="宋体"/>
                <w:sz w:val="24"/>
              </w:rPr>
              <w:t>投标人对本项目的合理化建议和改进措施（格式自拟）；</w:t>
            </w:r>
          </w:p>
          <w:p w14:paraId="676DF517">
            <w:pPr>
              <w:snapToGrid w:val="0"/>
              <w:spacing w:line="360" w:lineRule="auto"/>
              <w:jc w:val="left"/>
              <w:rPr>
                <w:rFonts w:ascii="宋体" w:hAnsi="宋体" w:cs="宋体"/>
                <w:bCs/>
                <w:sz w:val="24"/>
              </w:rPr>
            </w:pPr>
            <w:r>
              <w:rPr>
                <w:rFonts w:hint="eastAsia" w:ascii="宋体" w:hAnsi="宋体" w:cs="宋体"/>
                <w:sz w:val="24"/>
              </w:rPr>
              <w:t>8</w:t>
            </w:r>
            <w:r>
              <w:rPr>
                <w:rFonts w:hint="eastAsia" w:ascii="宋体" w:hAnsi="宋体" w:cs="宋体"/>
                <w:bCs/>
                <w:sz w:val="24"/>
              </w:rPr>
              <w:t>.</w:t>
            </w:r>
            <w:r>
              <w:rPr>
                <w:rFonts w:hint="eastAsia" w:ascii="宋体" w:hAnsi="宋体" w:cs="宋体"/>
                <w:sz w:val="24"/>
              </w:rPr>
              <w:t>除招标文件规定必须提供以外，投标人需要说明的其他文件和说明（格式自拟）。</w:t>
            </w:r>
          </w:p>
          <w:p w14:paraId="1D264C02">
            <w:pPr>
              <w:snapToGrid w:val="0"/>
              <w:spacing w:line="360" w:lineRule="auto"/>
              <w:jc w:val="left"/>
              <w:rPr>
                <w:rFonts w:ascii="楷体" w:hAnsi="楷体" w:eastAsia="楷体" w:cs="宋体"/>
                <w:bCs/>
                <w:sz w:val="24"/>
              </w:rPr>
            </w:pPr>
            <w:r>
              <w:rPr>
                <w:rFonts w:hint="eastAsia" w:ascii="楷体" w:hAnsi="楷体" w:eastAsia="楷体" w:cs="宋体"/>
                <w:b/>
                <w:bCs/>
                <w:sz w:val="24"/>
              </w:rPr>
              <w:t>注</w:t>
            </w:r>
            <w:r>
              <w:rPr>
                <w:rFonts w:hint="eastAsia" w:ascii="楷体" w:hAnsi="楷体" w:eastAsia="楷体" w:cs="宋体"/>
                <w:bCs/>
                <w:sz w:val="24"/>
              </w:rPr>
              <w:t>：以上标明“必须提供”的材料属于复印件的，必须加盖投标人公章，否则按无效投标</w:t>
            </w:r>
            <w:r>
              <w:rPr>
                <w:rFonts w:hint="eastAsia" w:ascii="楷体" w:hAnsi="楷体" w:eastAsia="楷体" w:cs="宋体"/>
                <w:sz w:val="24"/>
              </w:rPr>
              <w:t>处理</w:t>
            </w:r>
            <w:r>
              <w:rPr>
                <w:rFonts w:hint="eastAsia" w:ascii="楷体" w:hAnsi="楷体" w:eastAsia="楷体" w:cs="宋体"/>
                <w:bCs/>
                <w:sz w:val="24"/>
              </w:rPr>
              <w:t>。</w:t>
            </w:r>
          </w:p>
        </w:tc>
      </w:tr>
      <w:tr w14:paraId="74160D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4C9A8AAC">
            <w:pPr>
              <w:spacing w:line="360" w:lineRule="auto"/>
              <w:jc w:val="center"/>
              <w:rPr>
                <w:rFonts w:ascii="宋体" w:hAnsi="宋体" w:cs="宋体"/>
                <w:sz w:val="24"/>
              </w:rPr>
            </w:pPr>
            <w:bookmarkStart w:id="62" w:name="_16.2"/>
            <w:bookmarkEnd w:id="62"/>
            <w:bookmarkStart w:id="63" w:name="_13.5"/>
            <w:bookmarkEnd w:id="63"/>
            <w:r>
              <w:rPr>
                <w:rFonts w:hint="eastAsia" w:ascii="宋体" w:hAnsi="宋体" w:cs="宋体"/>
                <w:sz w:val="24"/>
              </w:rPr>
              <w:t>16</w:t>
            </w:r>
            <w:bookmarkStart w:id="64" w:name="_Hlt19693758"/>
            <w:bookmarkStart w:id="65" w:name="_Hlt19194067"/>
            <w:bookmarkStart w:id="66" w:name="_Hlt19194066"/>
            <w:bookmarkStart w:id="67" w:name="_Hlt19693759"/>
            <w:r>
              <w:rPr>
                <w:rFonts w:hint="eastAsia" w:ascii="宋体" w:hAnsi="宋体" w:cs="宋体"/>
                <w:sz w:val="24"/>
              </w:rPr>
              <w:t>.</w:t>
            </w:r>
            <w:bookmarkEnd w:id="64"/>
            <w:bookmarkEnd w:id="65"/>
            <w:bookmarkEnd w:id="66"/>
            <w:bookmarkEnd w:id="67"/>
            <w:r>
              <w:rPr>
                <w:rFonts w:hint="eastAsia" w:ascii="宋体" w:hAnsi="宋体" w:cs="宋体"/>
                <w:sz w:val="24"/>
              </w:rPr>
              <w:t>2</w:t>
            </w:r>
          </w:p>
        </w:tc>
        <w:tc>
          <w:tcPr>
            <w:tcW w:w="8708" w:type="dxa"/>
            <w:tcBorders>
              <w:top w:val="single" w:color="auto" w:sz="4" w:space="0"/>
              <w:left w:val="single" w:color="auto" w:sz="4" w:space="0"/>
              <w:bottom w:val="single" w:color="auto" w:sz="4" w:space="0"/>
              <w:right w:val="single" w:color="auto" w:sz="4" w:space="0"/>
            </w:tcBorders>
            <w:vAlign w:val="center"/>
          </w:tcPr>
          <w:p w14:paraId="795C6FB5">
            <w:pPr>
              <w:snapToGrid w:val="0"/>
              <w:spacing w:line="360" w:lineRule="auto"/>
              <w:rPr>
                <w:rFonts w:ascii="宋体" w:hAnsi="宋体" w:cs="宋体"/>
                <w:b/>
                <w:sz w:val="24"/>
              </w:rPr>
            </w:pPr>
            <w:r>
              <w:rPr>
                <w:rFonts w:hint="eastAsia" w:ascii="宋体" w:hAnsi="宋体" w:cs="宋体"/>
                <w:sz w:val="24"/>
              </w:rPr>
              <w:t>投标报价是履行合同的最终价格，包括货物价款、配套软件、标准附件、随配附件、备品备件、辅助材料、专用工具、包装、运抵指定交货地点、运输、装卸、完工清场清洁、货到就位、安装、调试、检验、技术培训、技术资料、售后服务、保险、投标费用、预验收及履约验收及售后服务、人工费、一切税费等全部费用。税费因政策等原因发生变化的，由中标人承担。合同履行过程中，采购人不再支付合同以外的其他费用。（采购需求另有约定的，按其约定）</w:t>
            </w:r>
          </w:p>
        </w:tc>
      </w:tr>
      <w:tr w14:paraId="7A2227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3D0FDEE8">
            <w:pPr>
              <w:spacing w:line="360" w:lineRule="auto"/>
              <w:jc w:val="center"/>
              <w:rPr>
                <w:rFonts w:ascii="宋体" w:hAnsi="宋体" w:cs="宋体"/>
                <w:sz w:val="24"/>
              </w:rPr>
            </w:pPr>
            <w:bookmarkStart w:id="68" w:name="_17.1"/>
            <w:bookmarkEnd w:id="68"/>
            <w:r>
              <w:rPr>
                <w:rFonts w:hint="eastAsia" w:ascii="宋体" w:hAnsi="宋体" w:cs="宋体"/>
                <w:sz w:val="24"/>
              </w:rPr>
              <w:t>17.2</w:t>
            </w:r>
          </w:p>
        </w:tc>
        <w:tc>
          <w:tcPr>
            <w:tcW w:w="8708" w:type="dxa"/>
            <w:tcBorders>
              <w:top w:val="single" w:color="auto" w:sz="4" w:space="0"/>
              <w:left w:val="single" w:color="auto" w:sz="4" w:space="0"/>
              <w:bottom w:val="single" w:color="auto" w:sz="4" w:space="0"/>
              <w:right w:val="single" w:color="auto" w:sz="4" w:space="0"/>
            </w:tcBorders>
            <w:vAlign w:val="center"/>
          </w:tcPr>
          <w:p w14:paraId="138A22AC">
            <w:pPr>
              <w:snapToGrid w:val="0"/>
              <w:spacing w:line="360" w:lineRule="auto"/>
              <w:rPr>
                <w:rFonts w:ascii="宋体" w:hAnsi="宋体" w:cs="宋体"/>
                <w:sz w:val="24"/>
              </w:rPr>
            </w:pPr>
            <w:r>
              <w:rPr>
                <w:rFonts w:hint="eastAsia" w:ascii="宋体" w:hAnsi="宋体" w:cs="宋体"/>
                <w:sz w:val="24"/>
              </w:rPr>
              <w:t>投标有效期：投标截止之日起</w:t>
            </w:r>
            <w:r>
              <w:rPr>
                <w:rFonts w:ascii="宋体" w:hAnsi="宋体" w:cs="宋体"/>
                <w:sz w:val="24"/>
              </w:rPr>
              <w:t>60</w:t>
            </w:r>
            <w:r>
              <w:rPr>
                <w:rFonts w:hint="eastAsia" w:ascii="宋体" w:hAnsi="宋体" w:cs="宋体"/>
                <w:sz w:val="24"/>
              </w:rPr>
              <w:t>天内。</w:t>
            </w:r>
          </w:p>
        </w:tc>
      </w:tr>
      <w:tr w14:paraId="63950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41686885">
            <w:pPr>
              <w:spacing w:line="360" w:lineRule="auto"/>
              <w:jc w:val="center"/>
              <w:rPr>
                <w:rFonts w:ascii="宋体" w:hAnsi="宋体" w:cs="宋体"/>
                <w:sz w:val="24"/>
              </w:rPr>
            </w:pPr>
            <w:bookmarkStart w:id="69" w:name="_18"/>
            <w:bookmarkEnd w:id="69"/>
            <w:r>
              <w:rPr>
                <w:rFonts w:hint="eastAsia" w:ascii="宋体" w:hAnsi="宋体" w:cs="宋体"/>
                <w:sz w:val="24"/>
              </w:rPr>
              <w:t>18.1</w:t>
            </w:r>
          </w:p>
        </w:tc>
        <w:tc>
          <w:tcPr>
            <w:tcW w:w="8708" w:type="dxa"/>
            <w:tcBorders>
              <w:top w:val="single" w:color="auto" w:sz="4" w:space="0"/>
              <w:left w:val="single" w:color="auto" w:sz="4" w:space="0"/>
              <w:bottom w:val="single" w:color="auto" w:sz="4" w:space="0"/>
              <w:right w:val="single" w:color="auto" w:sz="4" w:space="0"/>
            </w:tcBorders>
            <w:vAlign w:val="center"/>
          </w:tcPr>
          <w:p w14:paraId="02E9A750">
            <w:pPr>
              <w:autoSpaceDE w:val="0"/>
              <w:autoSpaceDN w:val="0"/>
              <w:snapToGrid w:val="0"/>
              <w:spacing w:line="360" w:lineRule="auto"/>
              <w:textAlignment w:val="bottom"/>
              <w:rPr>
                <w:rFonts w:ascii="宋体" w:hAnsi="宋体" w:cs="宋体"/>
                <w:sz w:val="24"/>
              </w:rPr>
            </w:pPr>
            <w:r>
              <w:rPr>
                <w:rFonts w:hint="eastAsia" w:ascii="宋体" w:hAnsi="宋体" w:cs="宋体"/>
                <w:sz w:val="24"/>
              </w:rPr>
              <w:sym w:font="Wingdings" w:char="00A8"/>
            </w:r>
            <w:r>
              <w:rPr>
                <w:rFonts w:hint="eastAsia" w:ascii="宋体" w:hAnsi="宋体" w:cs="宋体"/>
                <w:sz w:val="24"/>
              </w:rPr>
              <w:t>本项目不收取投标保证金。</w:t>
            </w:r>
          </w:p>
          <w:p w14:paraId="738EF190">
            <w:pPr>
              <w:snapToGrid w:val="0"/>
              <w:spacing w:line="360" w:lineRule="auto"/>
              <w:rPr>
                <w:rFonts w:ascii="宋体" w:hAnsi="宋体" w:cs="宋体"/>
                <w:kern w:val="0"/>
                <w:sz w:val="24"/>
              </w:rPr>
            </w:pPr>
            <w:r>
              <w:rPr>
                <w:rFonts w:hint="eastAsia" w:ascii="宋体" w:hAnsi="宋体" w:cs="宋体"/>
                <w:sz w:val="24"/>
              </w:rPr>
              <w:sym w:font="Wingdings" w:char="00FE"/>
            </w:r>
            <w:r>
              <w:rPr>
                <w:rFonts w:hint="eastAsia" w:ascii="宋体" w:hAnsi="宋体" w:cs="宋体"/>
                <w:sz w:val="24"/>
              </w:rPr>
              <w:t>本项目收取投标保证金。</w:t>
            </w:r>
          </w:p>
          <w:p w14:paraId="11BA961B">
            <w:pPr>
              <w:pStyle w:val="2"/>
              <w:jc w:val="left"/>
              <w:rPr>
                <w:rFonts w:ascii="宋体" w:hAnsi="宋体" w:eastAsia="宋体" w:cs="宋体"/>
                <w:b w:val="0"/>
                <w:kern w:val="0"/>
                <w:sz w:val="24"/>
              </w:rPr>
            </w:pPr>
            <w:bookmarkStart w:id="70" w:name="_Toc17455"/>
            <w:bookmarkStart w:id="71" w:name="_Toc17647"/>
            <w:r>
              <w:rPr>
                <w:rFonts w:hint="eastAsia" w:ascii="宋体" w:hAnsi="宋体" w:eastAsia="宋体" w:cs="宋体"/>
                <w:b w:val="0"/>
                <w:kern w:val="0"/>
                <w:sz w:val="24"/>
              </w:rPr>
              <w:t>投标保证金：40000.00元</w:t>
            </w:r>
            <w:bookmarkEnd w:id="70"/>
            <w:bookmarkEnd w:id="71"/>
          </w:p>
          <w:p w14:paraId="6C3F0BF3">
            <w:pPr>
              <w:snapToGrid w:val="0"/>
              <w:spacing w:line="360" w:lineRule="auto"/>
              <w:rPr>
                <w:rFonts w:ascii="宋体" w:hAnsi="宋体" w:cs="宋体"/>
                <w:sz w:val="24"/>
              </w:rPr>
            </w:pPr>
            <w:r>
              <w:rPr>
                <w:rFonts w:hint="eastAsia" w:ascii="宋体" w:hAnsi="宋体" w:cs="宋体"/>
                <w:sz w:val="24"/>
              </w:rPr>
              <w:t>保证金专用银行账号：</w:t>
            </w:r>
          </w:p>
          <w:p w14:paraId="118C4997">
            <w:pPr>
              <w:snapToGrid w:val="0"/>
              <w:spacing w:line="360" w:lineRule="auto"/>
              <w:rPr>
                <w:rFonts w:ascii="宋体" w:hAnsi="宋体" w:cs="宋体"/>
                <w:sz w:val="24"/>
              </w:rPr>
            </w:pPr>
            <w:r>
              <w:rPr>
                <w:rFonts w:hint="eastAsia" w:ascii="宋体" w:hAnsi="宋体" w:cs="宋体"/>
                <w:sz w:val="24"/>
              </w:rPr>
              <w:t xml:space="preserve">开户名称：广西阳嘉招标代理有限公司 </w:t>
            </w:r>
          </w:p>
          <w:p w14:paraId="526D0A13">
            <w:pPr>
              <w:snapToGrid w:val="0"/>
              <w:spacing w:line="360" w:lineRule="auto"/>
              <w:rPr>
                <w:rFonts w:ascii="宋体" w:hAnsi="宋体" w:cs="宋体"/>
                <w:sz w:val="24"/>
              </w:rPr>
            </w:pPr>
            <w:r>
              <w:rPr>
                <w:rFonts w:hint="eastAsia" w:ascii="宋体" w:hAnsi="宋体" w:cs="宋体"/>
                <w:sz w:val="24"/>
              </w:rPr>
              <w:t>开户银行：招商银行股份有限公司南宁东葛路支行</w:t>
            </w:r>
          </w:p>
          <w:p w14:paraId="16280ADD">
            <w:pPr>
              <w:snapToGrid w:val="0"/>
              <w:spacing w:line="360" w:lineRule="auto"/>
              <w:rPr>
                <w:rFonts w:ascii="宋体" w:hAnsi="宋体" w:cs="宋体"/>
                <w:sz w:val="24"/>
              </w:rPr>
            </w:pPr>
            <w:r>
              <w:rPr>
                <w:rFonts w:hint="eastAsia" w:ascii="宋体" w:hAnsi="宋体" w:cs="宋体"/>
                <w:sz w:val="24"/>
              </w:rPr>
              <w:t>帐    号：7719 0180 8710 112</w:t>
            </w:r>
          </w:p>
          <w:p w14:paraId="2AF97C12">
            <w:pPr>
              <w:snapToGrid w:val="0"/>
              <w:spacing w:line="360" w:lineRule="auto"/>
              <w:rPr>
                <w:rFonts w:ascii="宋体" w:hAnsi="宋体" w:cs="宋体"/>
                <w:sz w:val="24"/>
              </w:rPr>
            </w:pPr>
            <w:r>
              <w:rPr>
                <w:rFonts w:hint="eastAsia" w:ascii="宋体" w:hAnsi="宋体" w:cs="宋体"/>
                <w:kern w:val="0"/>
                <w:sz w:val="24"/>
              </w:rPr>
              <w:t>投标保证金的交纳方式：银行转账、</w:t>
            </w:r>
            <w:r>
              <w:rPr>
                <w:rFonts w:hint="eastAsia" w:ascii="宋体" w:hAnsi="宋体" w:cs="宋体"/>
                <w:sz w:val="24"/>
              </w:rPr>
              <w:t>保函等非现金方式</w:t>
            </w:r>
            <w:r>
              <w:rPr>
                <w:rFonts w:hint="eastAsia" w:ascii="宋体" w:hAnsi="宋体" w:cs="宋体"/>
                <w:kern w:val="0"/>
                <w:sz w:val="24"/>
              </w:rPr>
              <w:t>，禁止采用现钞方式。采用银行转账方式的，在投标截止时间前交至指定账户并且到账；采用支票、汇票、本票或者保函等方式的，在投标截止时间前，投标人必须递交支票、汇票、本票或者保函原件。否则视为无效投标保证金。</w:t>
            </w:r>
          </w:p>
          <w:p w14:paraId="17CA66F4">
            <w:pPr>
              <w:snapToGrid w:val="0"/>
              <w:spacing w:line="360" w:lineRule="auto"/>
              <w:rPr>
                <w:rFonts w:ascii="宋体" w:hAnsi="宋体" w:cs="宋体"/>
                <w:sz w:val="24"/>
              </w:rPr>
            </w:pPr>
            <w:r>
              <w:rPr>
                <w:rFonts w:hint="eastAsia" w:ascii="宋体" w:hAnsi="宋体" w:cs="宋体"/>
                <w:sz w:val="24"/>
              </w:rPr>
              <w:t>相关要求：</w:t>
            </w:r>
          </w:p>
          <w:p w14:paraId="230E92CD">
            <w:pPr>
              <w:pStyle w:val="17"/>
              <w:spacing w:line="360" w:lineRule="auto"/>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投标保证金采用银行转账交纳方式的，在投标截止时间前交至指定账户并且到账，投标人应将银行转账底单的复印件作为投标保证金提交凭证，放置于商务文件中，否则投标无效。</w:t>
            </w:r>
          </w:p>
          <w:p w14:paraId="3D2C0189">
            <w:pPr>
              <w:pStyle w:val="17"/>
              <w:spacing w:line="360" w:lineRule="auto"/>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投标保证金采用支票、汇票、本票或者金融、担保机构出具的保函交纳方式的，投标人应将支票、汇票、本票或者金融、担保机构出具的保函的复印件作为投标保证金提交凭证，放置于商务文件中，否则投标无效。投标人必须在投标截止时间前将支票、汇票、本票或者金融、担保机构出具的保函原件提交给采购代理机构，由采购代理机构向投标人出具回执，并妥善保管。</w:t>
            </w:r>
          </w:p>
          <w:p w14:paraId="5F1CD89A">
            <w:pPr>
              <w:snapToGrid w:val="0"/>
              <w:spacing w:line="360" w:lineRule="auto"/>
              <w:rPr>
                <w:rFonts w:ascii="宋体" w:hAnsi="宋体" w:cs="宋体"/>
                <w:sz w:val="24"/>
              </w:rPr>
            </w:pPr>
            <w:r>
              <w:rPr>
                <w:rFonts w:hint="eastAsia" w:ascii="宋体" w:hAnsi="宋体" w:cs="宋体"/>
                <w:sz w:val="24"/>
              </w:rPr>
              <w:t>3</w:t>
            </w:r>
            <w:r>
              <w:rPr>
                <w:rFonts w:hint="eastAsia" w:ascii="宋体" w:hAnsi="宋体" w:cs="宋体"/>
                <w:bCs/>
                <w:sz w:val="24"/>
              </w:rPr>
              <w:t>.</w:t>
            </w:r>
            <w:r>
              <w:rPr>
                <w:rFonts w:hint="eastAsia" w:ascii="宋体" w:hAnsi="宋体" w:cs="宋体"/>
                <w:sz w:val="24"/>
              </w:rPr>
              <w:t>投标人为联合体的，可以由联合体中的一方或者多方共同交纳投标保证金，其交纳的保证金对联合体各方均具有约束力。</w:t>
            </w:r>
          </w:p>
          <w:p w14:paraId="5DF6BE4A">
            <w:pPr>
              <w:snapToGrid w:val="0"/>
              <w:spacing w:line="360" w:lineRule="auto"/>
              <w:rPr>
                <w:rFonts w:ascii="宋体" w:hAnsi="宋体" w:cs="宋体"/>
                <w:bCs/>
                <w:sz w:val="24"/>
              </w:rPr>
            </w:pPr>
            <w:r>
              <w:rPr>
                <w:rFonts w:hint="eastAsia" w:ascii="仿宋" w:hAnsi="仿宋" w:eastAsia="仿宋" w:cs="宋体"/>
                <w:b/>
                <w:bCs/>
                <w:sz w:val="24"/>
              </w:rPr>
              <w:t>【备注】</w:t>
            </w:r>
            <w:r>
              <w:rPr>
                <w:rFonts w:hint="eastAsia" w:ascii="宋体" w:hAnsi="宋体" w:cs="宋体"/>
                <w:bCs/>
                <w:sz w:val="24"/>
              </w:rPr>
              <w:t xml:space="preserve"> </w:t>
            </w:r>
          </w:p>
          <w:p w14:paraId="20D3C43D">
            <w:pPr>
              <w:snapToGrid w:val="0"/>
              <w:spacing w:line="360" w:lineRule="auto"/>
              <w:rPr>
                <w:rFonts w:ascii="楷体" w:hAnsi="楷体" w:eastAsia="楷体" w:cs="宋体"/>
                <w:bCs/>
                <w:sz w:val="24"/>
              </w:rPr>
            </w:pPr>
            <w:r>
              <w:rPr>
                <w:rFonts w:ascii="楷体" w:hAnsi="楷体" w:eastAsia="楷体" w:cs="宋体"/>
                <w:bCs/>
                <w:sz w:val="24"/>
              </w:rPr>
              <w:t>1.</w:t>
            </w:r>
            <w:r>
              <w:rPr>
                <w:rFonts w:hint="eastAsia" w:ascii="楷体" w:hAnsi="楷体" w:eastAsia="楷体" w:cs="宋体"/>
                <w:bCs/>
                <w:sz w:val="24"/>
              </w:rPr>
              <w:t>投标保证金在投标截止时间后提交的，或者不按规定交纳方式交纳的，或者未足额交纳的（包含保函额度不足的），视为无效投标保证金。</w:t>
            </w:r>
          </w:p>
          <w:p w14:paraId="79926A12">
            <w:pPr>
              <w:snapToGrid w:val="0"/>
              <w:spacing w:line="360" w:lineRule="auto"/>
              <w:rPr>
                <w:rFonts w:ascii="楷体" w:hAnsi="楷体" w:eastAsia="楷体" w:cs="宋体"/>
                <w:bCs/>
                <w:sz w:val="24"/>
              </w:rPr>
            </w:pPr>
            <w:r>
              <w:rPr>
                <w:rFonts w:ascii="楷体" w:hAnsi="楷体" w:eastAsia="楷体" w:cs="宋体"/>
                <w:bCs/>
                <w:sz w:val="24"/>
              </w:rPr>
              <w:t>2.</w:t>
            </w:r>
            <w:r>
              <w:rPr>
                <w:rFonts w:hint="eastAsia" w:ascii="楷体" w:hAnsi="楷体" w:eastAsia="楷体" w:cs="宋体"/>
                <w:bCs/>
                <w:sz w:val="24"/>
              </w:rPr>
              <w:t>投标人采用现钞方式或者从个人账户（自然人投标除外）转出的投标保证金，视为无效投标保证金。</w:t>
            </w:r>
          </w:p>
          <w:p w14:paraId="7D33C377">
            <w:pPr>
              <w:snapToGrid w:val="0"/>
              <w:spacing w:line="360" w:lineRule="auto"/>
              <w:rPr>
                <w:rFonts w:ascii="楷体" w:hAnsi="楷体" w:eastAsia="楷体" w:cs="宋体"/>
                <w:bCs/>
                <w:sz w:val="24"/>
              </w:rPr>
            </w:pPr>
            <w:r>
              <w:rPr>
                <w:rFonts w:ascii="楷体" w:hAnsi="楷体" w:eastAsia="楷体" w:cs="宋体"/>
                <w:bCs/>
                <w:sz w:val="24"/>
              </w:rPr>
              <w:t>3.</w:t>
            </w:r>
            <w:r>
              <w:rPr>
                <w:rFonts w:hint="eastAsia" w:ascii="楷体" w:hAnsi="楷体" w:eastAsia="楷体" w:cs="宋体"/>
                <w:bCs/>
                <w:sz w:val="24"/>
              </w:rPr>
              <w:t>支票、汇票或者本票出现无效或者背书情形的，视为无效投标保证金。</w:t>
            </w:r>
          </w:p>
          <w:p w14:paraId="27A16B1C">
            <w:pPr>
              <w:snapToGrid w:val="0"/>
              <w:spacing w:line="360" w:lineRule="auto"/>
              <w:rPr>
                <w:rFonts w:ascii="楷体" w:hAnsi="楷体" w:eastAsia="楷体" w:cs="宋体"/>
                <w:bCs/>
                <w:sz w:val="24"/>
              </w:rPr>
            </w:pPr>
            <w:r>
              <w:rPr>
                <w:rFonts w:ascii="楷体" w:hAnsi="楷体" w:eastAsia="楷体" w:cs="宋体"/>
                <w:bCs/>
                <w:sz w:val="24"/>
              </w:rPr>
              <w:t>4.</w:t>
            </w:r>
            <w:r>
              <w:rPr>
                <w:rFonts w:hint="eastAsia" w:ascii="楷体" w:hAnsi="楷体" w:eastAsia="楷体" w:cs="宋体"/>
                <w:bCs/>
                <w:sz w:val="24"/>
              </w:rPr>
              <w:t>保函有效期低于投标有效期的，视为无效投标保证金。</w:t>
            </w:r>
          </w:p>
          <w:p w14:paraId="67FB26B7">
            <w:pPr>
              <w:snapToGrid w:val="0"/>
              <w:spacing w:line="360" w:lineRule="auto"/>
            </w:pPr>
            <w:r>
              <w:rPr>
                <w:rFonts w:ascii="楷体" w:hAnsi="楷体" w:eastAsia="楷体" w:cs="宋体"/>
                <w:bCs/>
                <w:sz w:val="24"/>
              </w:rPr>
              <w:t>5.</w:t>
            </w:r>
            <w:r>
              <w:rPr>
                <w:rFonts w:hint="eastAsia" w:ascii="楷体" w:hAnsi="楷体" w:eastAsia="楷体" w:cs="宋体"/>
                <w:bCs/>
                <w:sz w:val="24"/>
              </w:rPr>
              <w:t>采用银行、保险机构出具保函的，必须为无条件保函，否则视为无效投标保证金。</w:t>
            </w:r>
          </w:p>
        </w:tc>
      </w:tr>
      <w:tr w14:paraId="1C945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68F8A43F">
            <w:pPr>
              <w:spacing w:line="360" w:lineRule="auto"/>
              <w:jc w:val="center"/>
              <w:rPr>
                <w:rFonts w:ascii="宋体" w:hAnsi="宋体" w:cs="宋体"/>
                <w:sz w:val="24"/>
              </w:rPr>
            </w:pPr>
            <w:bookmarkStart w:id="72" w:name="_19.2"/>
            <w:bookmarkEnd w:id="72"/>
            <w:r>
              <w:rPr>
                <w:rFonts w:hint="eastAsia" w:ascii="宋体" w:hAnsi="宋体" w:cs="宋体"/>
                <w:sz w:val="24"/>
              </w:rPr>
              <w:t>19.2</w:t>
            </w:r>
          </w:p>
        </w:tc>
        <w:tc>
          <w:tcPr>
            <w:tcW w:w="8708" w:type="dxa"/>
            <w:tcBorders>
              <w:top w:val="single" w:color="auto" w:sz="4" w:space="0"/>
              <w:left w:val="single" w:color="auto" w:sz="4" w:space="0"/>
              <w:bottom w:val="single" w:color="auto" w:sz="4" w:space="0"/>
              <w:right w:val="single" w:color="auto" w:sz="4" w:space="0"/>
            </w:tcBorders>
            <w:vAlign w:val="center"/>
          </w:tcPr>
          <w:p w14:paraId="2317CACA">
            <w:pPr>
              <w:autoSpaceDE w:val="0"/>
              <w:autoSpaceDN w:val="0"/>
              <w:snapToGrid w:val="0"/>
              <w:spacing w:line="360" w:lineRule="auto"/>
              <w:textAlignment w:val="bottom"/>
              <w:rPr>
                <w:rFonts w:ascii="宋体" w:hAnsi="宋体" w:cs="宋体"/>
                <w:sz w:val="24"/>
              </w:rPr>
            </w:pPr>
            <w:r>
              <w:rPr>
                <w:rFonts w:hint="eastAsia" w:ascii="宋体" w:hAnsi="宋体" w:cs="宋体"/>
                <w:sz w:val="24"/>
              </w:rPr>
              <w:t>投标文件应按报价文件、资格证明文件、商务文件、技术文件分别编制，</w:t>
            </w:r>
            <w:r>
              <w:rPr>
                <w:rFonts w:hint="eastAsia" w:ascii="宋体" w:hAnsi="宋体" w:cs="宋体"/>
                <w:sz w:val="24"/>
                <w:lang w:bidi="ar"/>
              </w:rPr>
              <w:t>并按广西政府采购云平台的要求编制、加密、上传。（注：按照本招标文件“第六章 投标文件格式”编写，第六章未附格式的，由投标人自行拟定。）</w:t>
            </w:r>
          </w:p>
        </w:tc>
      </w:tr>
      <w:tr w14:paraId="5BED2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117E3377">
            <w:pPr>
              <w:spacing w:line="360" w:lineRule="auto"/>
              <w:jc w:val="center"/>
              <w:rPr>
                <w:rFonts w:ascii="宋体" w:hAnsi="宋体" w:cs="宋体"/>
                <w:sz w:val="24"/>
              </w:rPr>
            </w:pPr>
            <w:r>
              <w:rPr>
                <w:rFonts w:hint="eastAsia" w:ascii="宋体" w:hAnsi="宋体" w:cs="宋体"/>
                <w:sz w:val="24"/>
              </w:rPr>
              <w:t>20.1</w:t>
            </w:r>
          </w:p>
        </w:tc>
        <w:tc>
          <w:tcPr>
            <w:tcW w:w="8708" w:type="dxa"/>
            <w:tcBorders>
              <w:top w:val="single" w:color="auto" w:sz="4" w:space="0"/>
              <w:left w:val="single" w:color="auto" w:sz="4" w:space="0"/>
              <w:bottom w:val="single" w:color="auto" w:sz="4" w:space="0"/>
              <w:right w:val="single" w:color="auto" w:sz="4" w:space="0"/>
            </w:tcBorders>
            <w:vAlign w:val="center"/>
          </w:tcPr>
          <w:p w14:paraId="3126D794">
            <w:pPr>
              <w:autoSpaceDE w:val="0"/>
              <w:autoSpaceDN w:val="0"/>
              <w:snapToGrid w:val="0"/>
              <w:spacing w:line="360" w:lineRule="auto"/>
              <w:textAlignment w:val="bottom"/>
              <w:rPr>
                <w:rFonts w:ascii="宋体" w:hAnsi="宋体" w:cs="宋体"/>
                <w:sz w:val="24"/>
              </w:rPr>
            </w:pPr>
            <w:r>
              <w:rPr>
                <w:rFonts w:hint="eastAsia" w:ascii="宋体" w:hAnsi="宋体" w:cs="宋体"/>
                <w:sz w:val="24"/>
              </w:rPr>
              <w:t>电子投标文件制作完成后，投标人应按广西政府采购云平台的要求进行加密，并在规定时间内解密，否则，由此产生的后果由投标人自行负责。</w:t>
            </w:r>
          </w:p>
        </w:tc>
      </w:tr>
      <w:tr w14:paraId="575BB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0B9B8605">
            <w:pPr>
              <w:spacing w:line="360" w:lineRule="auto"/>
              <w:jc w:val="center"/>
              <w:rPr>
                <w:rFonts w:ascii="宋体" w:hAnsi="宋体" w:cs="宋体"/>
                <w:sz w:val="24"/>
              </w:rPr>
            </w:pPr>
            <w:r>
              <w:rPr>
                <w:rFonts w:hint="eastAsia" w:ascii="宋体" w:hAnsi="宋体" w:cs="宋体"/>
                <w:sz w:val="24"/>
              </w:rPr>
              <w:t>2</w:t>
            </w:r>
            <w:r>
              <w:rPr>
                <w:rFonts w:ascii="宋体" w:hAnsi="宋体" w:cs="宋体"/>
                <w:sz w:val="24"/>
              </w:rPr>
              <w:t>0.2</w:t>
            </w:r>
          </w:p>
        </w:tc>
        <w:tc>
          <w:tcPr>
            <w:tcW w:w="8708" w:type="dxa"/>
            <w:tcBorders>
              <w:top w:val="single" w:color="auto" w:sz="4" w:space="0"/>
              <w:left w:val="single" w:color="auto" w:sz="4" w:space="0"/>
              <w:bottom w:val="single" w:color="auto" w:sz="4" w:space="0"/>
              <w:right w:val="single" w:color="auto" w:sz="4" w:space="0"/>
            </w:tcBorders>
            <w:vAlign w:val="center"/>
          </w:tcPr>
          <w:p w14:paraId="0E1DEBDA">
            <w:pPr>
              <w:snapToGrid w:val="0"/>
              <w:spacing w:line="360" w:lineRule="auto"/>
              <w:rPr>
                <w:rFonts w:ascii="宋体" w:hAnsi="宋体" w:cs="宋体"/>
                <w:sz w:val="24"/>
              </w:rPr>
            </w:pPr>
            <w:r>
              <w:rPr>
                <w:rFonts w:hint="eastAsia" w:ascii="宋体" w:hAnsi="宋体" w:cs="宋体"/>
                <w:sz w:val="24"/>
              </w:rPr>
              <w:t>本项目不接受电子备份投标文件</w:t>
            </w:r>
          </w:p>
        </w:tc>
      </w:tr>
      <w:tr w14:paraId="04825A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24705FEA">
            <w:pPr>
              <w:spacing w:line="360" w:lineRule="auto"/>
              <w:jc w:val="center"/>
              <w:rPr>
                <w:rFonts w:ascii="宋体" w:hAnsi="宋体" w:cs="宋体"/>
                <w:sz w:val="24"/>
              </w:rPr>
            </w:pPr>
            <w:bookmarkStart w:id="73" w:name="_21.1"/>
            <w:bookmarkEnd w:id="73"/>
            <w:r>
              <w:rPr>
                <w:rFonts w:hint="eastAsia" w:ascii="宋体" w:hAnsi="宋体" w:cs="宋体"/>
                <w:sz w:val="24"/>
              </w:rPr>
              <w:t>21.1</w:t>
            </w:r>
          </w:p>
        </w:tc>
        <w:tc>
          <w:tcPr>
            <w:tcW w:w="8708" w:type="dxa"/>
            <w:tcBorders>
              <w:top w:val="single" w:color="auto" w:sz="4" w:space="0"/>
              <w:left w:val="single" w:color="auto" w:sz="4" w:space="0"/>
              <w:bottom w:val="single" w:color="auto" w:sz="4" w:space="0"/>
              <w:right w:val="single" w:color="auto" w:sz="4" w:space="0"/>
            </w:tcBorders>
            <w:vAlign w:val="center"/>
          </w:tcPr>
          <w:p w14:paraId="0C66766E">
            <w:pPr>
              <w:snapToGrid w:val="0"/>
              <w:spacing w:line="360" w:lineRule="auto"/>
              <w:rPr>
                <w:rFonts w:ascii="宋体" w:hAnsi="宋体" w:cs="宋体"/>
                <w:sz w:val="24"/>
                <w:u w:val="single"/>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投标截止时间：详见招标公告</w:t>
            </w:r>
          </w:p>
          <w:p w14:paraId="2A31D25C">
            <w:pPr>
              <w:snapToGrid w:val="0"/>
              <w:spacing w:line="360" w:lineRule="auto"/>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投标地点：详见招标公告</w:t>
            </w:r>
          </w:p>
        </w:tc>
      </w:tr>
      <w:tr w14:paraId="113E8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1AA826F9">
            <w:pPr>
              <w:spacing w:line="360" w:lineRule="auto"/>
              <w:jc w:val="center"/>
              <w:rPr>
                <w:rFonts w:ascii="宋体" w:hAnsi="宋体" w:cs="宋体"/>
                <w:sz w:val="24"/>
              </w:rPr>
            </w:pPr>
            <w:bookmarkStart w:id="74" w:name="_23"/>
            <w:bookmarkEnd w:id="74"/>
            <w:r>
              <w:rPr>
                <w:rFonts w:hint="eastAsia" w:ascii="宋体" w:hAnsi="宋体" w:cs="宋体"/>
                <w:sz w:val="24"/>
              </w:rPr>
              <w:t>23</w:t>
            </w:r>
          </w:p>
        </w:tc>
        <w:tc>
          <w:tcPr>
            <w:tcW w:w="8708" w:type="dxa"/>
            <w:tcBorders>
              <w:top w:val="single" w:color="auto" w:sz="4" w:space="0"/>
              <w:left w:val="single" w:color="auto" w:sz="4" w:space="0"/>
              <w:bottom w:val="single" w:color="auto" w:sz="4" w:space="0"/>
              <w:right w:val="single" w:color="auto" w:sz="4" w:space="0"/>
            </w:tcBorders>
            <w:vAlign w:val="center"/>
          </w:tcPr>
          <w:p w14:paraId="7FEECA77">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开标时间：详见招标公告</w:t>
            </w:r>
          </w:p>
          <w:p w14:paraId="07234104">
            <w:pPr>
              <w:snapToGrid w:val="0"/>
              <w:spacing w:line="360" w:lineRule="auto"/>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开标地点：详见招标公告</w:t>
            </w:r>
          </w:p>
        </w:tc>
      </w:tr>
      <w:tr w14:paraId="4E05C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194E4F58">
            <w:pPr>
              <w:spacing w:line="360" w:lineRule="auto"/>
              <w:jc w:val="center"/>
              <w:rPr>
                <w:rFonts w:ascii="宋体" w:hAnsi="宋体" w:cs="宋体"/>
                <w:sz w:val="24"/>
              </w:rPr>
            </w:pPr>
            <w:r>
              <w:rPr>
                <w:rFonts w:hint="eastAsia" w:ascii="宋体" w:hAnsi="宋体" w:cs="宋体"/>
                <w:bCs/>
                <w:sz w:val="24"/>
              </w:rPr>
              <w:t>24.2</w:t>
            </w:r>
          </w:p>
        </w:tc>
        <w:tc>
          <w:tcPr>
            <w:tcW w:w="8708" w:type="dxa"/>
            <w:tcBorders>
              <w:top w:val="single" w:color="auto" w:sz="4" w:space="0"/>
              <w:left w:val="single" w:color="auto" w:sz="4" w:space="0"/>
              <w:bottom w:val="single" w:color="auto" w:sz="4" w:space="0"/>
              <w:right w:val="single" w:color="auto" w:sz="4" w:space="0"/>
            </w:tcBorders>
            <w:vAlign w:val="center"/>
          </w:tcPr>
          <w:p w14:paraId="50FA7CD1">
            <w:pPr>
              <w:autoSpaceDE w:val="0"/>
              <w:autoSpaceDN w:val="0"/>
              <w:adjustRightInd w:val="0"/>
              <w:spacing w:line="360" w:lineRule="auto"/>
              <w:rPr>
                <w:rFonts w:ascii="宋体" w:hAnsi="宋体" w:cs="宋体"/>
                <w:sz w:val="24"/>
              </w:rPr>
            </w:pPr>
            <w:r>
              <w:rPr>
                <w:rFonts w:hint="eastAsia" w:ascii="宋体" w:hAnsi="宋体" w:cs="宋体"/>
                <w:bCs/>
                <w:sz w:val="24"/>
              </w:rPr>
              <w:t>广西政府采购云平台按开标时间自动提取所有投标文件。采购代理机构依托广西政府采购云平台向各投标人发出电子加密投标文件【开始解密】通知，由投标人进行投标文件解密。</w:t>
            </w:r>
            <w:r>
              <w:rPr>
                <w:rFonts w:hint="eastAsia" w:ascii="宋体" w:hAnsi="宋体" w:cs="宋体"/>
                <w:b/>
                <w:bCs/>
                <w:sz w:val="24"/>
              </w:rPr>
              <w:t>投标人的法定代表人或其委托代理人须携带加密时所用的CA锁准时登录到广西政府采购云平台电子开标大厅签到</w:t>
            </w:r>
            <w:r>
              <w:rPr>
                <w:rFonts w:hint="eastAsia" w:ascii="宋体" w:hAnsi="宋体" w:cs="宋体"/>
                <w:b/>
                <w:sz w:val="24"/>
              </w:rPr>
              <w:t>并在发起解密</w:t>
            </w:r>
            <w:r>
              <w:rPr>
                <w:rFonts w:hint="eastAsia" w:ascii="宋体" w:hAnsi="宋体" w:cs="宋体"/>
                <w:b/>
                <w:bCs/>
                <w:sz w:val="24"/>
              </w:rPr>
              <w:t>通知</w:t>
            </w:r>
            <w:r>
              <w:rPr>
                <w:rFonts w:hint="eastAsia" w:ascii="宋体" w:hAnsi="宋体" w:cs="宋体"/>
                <w:b/>
                <w:sz w:val="24"/>
              </w:rPr>
              <w:t>之时起30分钟内完成</w:t>
            </w:r>
            <w:r>
              <w:rPr>
                <w:rFonts w:hint="eastAsia" w:ascii="宋体" w:hAnsi="宋体" w:cs="宋体"/>
                <w:b/>
                <w:bCs/>
                <w:sz w:val="24"/>
              </w:rPr>
              <w:t>对电子投标文件解密。投标文件未按时解密的，视为无效投标。</w:t>
            </w:r>
          </w:p>
        </w:tc>
      </w:tr>
      <w:tr w14:paraId="334174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25586491">
            <w:pPr>
              <w:spacing w:line="360" w:lineRule="auto"/>
              <w:jc w:val="center"/>
              <w:rPr>
                <w:rFonts w:ascii="宋体" w:hAnsi="宋体" w:cs="宋体"/>
                <w:sz w:val="24"/>
              </w:rPr>
            </w:pPr>
            <w:bookmarkStart w:id="75" w:name="_25.3"/>
            <w:bookmarkEnd w:id="75"/>
            <w:r>
              <w:rPr>
                <w:rFonts w:hint="eastAsia" w:ascii="宋体" w:hAnsi="宋体" w:cs="宋体"/>
                <w:sz w:val="24"/>
              </w:rPr>
              <w:t>25.3（3）</w:t>
            </w:r>
          </w:p>
        </w:tc>
        <w:tc>
          <w:tcPr>
            <w:tcW w:w="8708" w:type="dxa"/>
            <w:tcBorders>
              <w:top w:val="single" w:color="auto" w:sz="4" w:space="0"/>
              <w:left w:val="single" w:color="auto" w:sz="4" w:space="0"/>
              <w:bottom w:val="single" w:color="auto" w:sz="4" w:space="0"/>
              <w:right w:val="single" w:color="auto" w:sz="4" w:space="0"/>
            </w:tcBorders>
            <w:vAlign w:val="center"/>
          </w:tcPr>
          <w:p w14:paraId="6837E5FF">
            <w:pPr>
              <w:snapToGrid w:val="0"/>
              <w:spacing w:line="360" w:lineRule="auto"/>
              <w:rPr>
                <w:rFonts w:ascii="宋体" w:hAnsi="宋体" w:cs="宋体"/>
                <w:sz w:val="24"/>
              </w:rPr>
            </w:pPr>
            <w:r>
              <w:rPr>
                <w:rFonts w:hint="eastAsia" w:ascii="宋体" w:hAnsi="宋体" w:cs="宋体"/>
                <w:sz w:val="24"/>
              </w:rPr>
              <w:t>采购人或者采购代理机构在资格审查结束前，对投标人进行信用查询。</w:t>
            </w:r>
          </w:p>
          <w:p w14:paraId="36493B66">
            <w:pPr>
              <w:snapToGrid w:val="0"/>
              <w:spacing w:line="360" w:lineRule="auto"/>
              <w:rPr>
                <w:rFonts w:ascii="宋体" w:hAnsi="宋体" w:cs="宋体"/>
                <w:sz w:val="24"/>
              </w:rPr>
            </w:pPr>
            <w:r>
              <w:rPr>
                <w:rFonts w:hint="eastAsia" w:ascii="宋体" w:hAnsi="宋体" w:cs="宋体"/>
                <w:sz w:val="24"/>
              </w:rPr>
              <w:t>查询渠道：“信用中国”网站（www.creditchina.gov.cn）、中国政府采购网（</w:t>
            </w:r>
            <w:r>
              <w:fldChar w:fldCharType="begin"/>
            </w:r>
            <w:r>
              <w:instrText xml:space="preserve"> HYPERLINK "http://www.ccgp.gov.cn" </w:instrText>
            </w:r>
            <w:r>
              <w:fldChar w:fldCharType="separate"/>
            </w:r>
            <w:r>
              <w:rPr>
                <w:rStyle w:val="55"/>
                <w:rFonts w:hint="eastAsia" w:ascii="宋体" w:hAnsi="宋体" w:cs="宋体"/>
                <w:color w:val="auto"/>
                <w:sz w:val="24"/>
              </w:rPr>
              <w:t>www.ccgp.gov.cn</w:t>
            </w:r>
            <w:r>
              <w:rPr>
                <w:rStyle w:val="55"/>
                <w:rFonts w:hint="eastAsia" w:ascii="宋体" w:hAnsi="宋体" w:cs="宋体"/>
                <w:color w:val="auto"/>
                <w:sz w:val="24"/>
              </w:rPr>
              <w:fldChar w:fldCharType="end"/>
            </w:r>
            <w:r>
              <w:rPr>
                <w:rFonts w:hint="eastAsia" w:ascii="宋体" w:hAnsi="宋体" w:cs="宋体"/>
                <w:sz w:val="24"/>
              </w:rPr>
              <w:t>）。</w:t>
            </w:r>
          </w:p>
          <w:p w14:paraId="2F84A455">
            <w:pPr>
              <w:snapToGrid w:val="0"/>
              <w:spacing w:line="360" w:lineRule="auto"/>
              <w:rPr>
                <w:rFonts w:ascii="宋体" w:hAnsi="宋体" w:cs="宋体"/>
                <w:sz w:val="24"/>
              </w:rPr>
            </w:pPr>
            <w:r>
              <w:rPr>
                <w:rFonts w:hint="eastAsia" w:ascii="宋体" w:hAnsi="宋体" w:cs="宋体"/>
                <w:sz w:val="24"/>
              </w:rPr>
              <w:t>信用查询截止时点：资格审查结束前。</w:t>
            </w:r>
          </w:p>
          <w:p w14:paraId="267AE937">
            <w:pPr>
              <w:snapToGrid w:val="0"/>
              <w:spacing w:line="360" w:lineRule="auto"/>
              <w:rPr>
                <w:rFonts w:ascii="宋体" w:hAnsi="宋体" w:cs="宋体"/>
                <w:sz w:val="24"/>
              </w:rPr>
            </w:pPr>
            <w:r>
              <w:rPr>
                <w:rFonts w:hint="eastAsia" w:ascii="宋体" w:hAnsi="宋体" w:cs="宋体"/>
                <w:sz w:val="24"/>
              </w:rPr>
              <w:t>查询记录和证据留存方式：将查询网站中的查询记录截图并作为评审资料保存。</w:t>
            </w:r>
          </w:p>
          <w:p w14:paraId="2D63BEAE">
            <w:pPr>
              <w:snapToGrid w:val="0"/>
              <w:spacing w:line="360" w:lineRule="auto"/>
              <w:rPr>
                <w:rFonts w:ascii="宋体" w:hAnsi="宋体" w:cs="宋体"/>
                <w:b/>
                <w:sz w:val="24"/>
              </w:rPr>
            </w:pPr>
            <w:r>
              <w:rPr>
                <w:rFonts w:hint="eastAsia" w:ascii="宋体" w:hAnsi="宋体" w:cs="宋体"/>
                <w:sz w:val="24"/>
              </w:rPr>
              <w:t>信用信息使用规则：根据财政部《关于在政府采购活动中查询及使用信用记录有关问题的通知》（财库〔2016〕125号）的规定，</w:t>
            </w:r>
            <w:r>
              <w:rPr>
                <w:rFonts w:hint="eastAsia" w:ascii="宋体" w:hAnsi="宋体" w:cs="宋体"/>
                <w:sz w:val="24"/>
                <w:lang w:bidi="ar"/>
              </w:rPr>
              <w:t>对在“信用中国”网站(www.creditchina.gov.cn) 、中国政府采购网(www.ccgp.gov.cn)被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0A93CD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4C69111E">
            <w:pPr>
              <w:spacing w:line="360" w:lineRule="auto"/>
              <w:jc w:val="center"/>
              <w:rPr>
                <w:rFonts w:ascii="宋体" w:hAnsi="宋体" w:cs="宋体"/>
                <w:sz w:val="24"/>
              </w:rPr>
            </w:pPr>
            <w:bookmarkStart w:id="76" w:name="_26"/>
            <w:bookmarkEnd w:id="76"/>
            <w:r>
              <w:rPr>
                <w:rFonts w:hint="eastAsia" w:ascii="宋体" w:hAnsi="宋体" w:cs="宋体"/>
                <w:sz w:val="24"/>
              </w:rPr>
              <w:t>26</w:t>
            </w:r>
          </w:p>
        </w:tc>
        <w:tc>
          <w:tcPr>
            <w:tcW w:w="8708" w:type="dxa"/>
            <w:tcBorders>
              <w:top w:val="single" w:color="auto" w:sz="4" w:space="0"/>
              <w:left w:val="single" w:color="auto" w:sz="4" w:space="0"/>
              <w:bottom w:val="single" w:color="auto" w:sz="4" w:space="0"/>
              <w:right w:val="single" w:color="auto" w:sz="4" w:space="0"/>
            </w:tcBorders>
            <w:vAlign w:val="center"/>
          </w:tcPr>
          <w:p w14:paraId="7124B6BC">
            <w:pPr>
              <w:autoSpaceDE w:val="0"/>
              <w:autoSpaceDN w:val="0"/>
              <w:snapToGrid w:val="0"/>
              <w:spacing w:line="360" w:lineRule="auto"/>
              <w:textAlignment w:val="bottom"/>
              <w:rPr>
                <w:rFonts w:ascii="宋体" w:hAnsi="宋体" w:cs="宋体"/>
                <w:sz w:val="24"/>
              </w:rPr>
            </w:pPr>
            <w:r>
              <w:rPr>
                <w:rFonts w:hint="eastAsia" w:ascii="宋体" w:hAnsi="宋体" w:cs="宋体"/>
                <w:sz w:val="24"/>
              </w:rPr>
              <w:t>评标委员会的人数：5人或以上单数。（采购项目符合下列情形之一的，评标委员会成员人数应当为7人以上单数：1.采购预算金额在1000万元以上；2.技术复杂；3.社会影响较大。）</w:t>
            </w:r>
          </w:p>
        </w:tc>
      </w:tr>
      <w:tr w14:paraId="71406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62FB6203">
            <w:pPr>
              <w:spacing w:line="360" w:lineRule="auto"/>
              <w:jc w:val="center"/>
              <w:rPr>
                <w:rFonts w:ascii="宋体" w:hAnsi="宋体" w:cs="宋体"/>
                <w:sz w:val="24"/>
              </w:rPr>
            </w:pPr>
            <w:bookmarkStart w:id="77" w:name="_28.3"/>
            <w:bookmarkEnd w:id="77"/>
            <w:r>
              <w:rPr>
                <w:rFonts w:hint="eastAsia" w:ascii="宋体" w:hAnsi="宋体" w:cs="宋体"/>
                <w:sz w:val="24"/>
              </w:rPr>
              <w:t>29.1</w:t>
            </w:r>
          </w:p>
        </w:tc>
        <w:tc>
          <w:tcPr>
            <w:tcW w:w="8708" w:type="dxa"/>
            <w:tcBorders>
              <w:top w:val="single" w:color="auto" w:sz="4" w:space="0"/>
              <w:left w:val="single" w:color="auto" w:sz="4" w:space="0"/>
              <w:bottom w:val="single" w:color="auto" w:sz="4" w:space="0"/>
              <w:right w:val="single" w:color="auto" w:sz="4" w:space="0"/>
            </w:tcBorders>
            <w:vAlign w:val="center"/>
          </w:tcPr>
          <w:p w14:paraId="3E073453">
            <w:pPr>
              <w:autoSpaceDE w:val="0"/>
              <w:autoSpaceDN w:val="0"/>
              <w:snapToGrid w:val="0"/>
              <w:spacing w:line="360" w:lineRule="auto"/>
              <w:textAlignment w:val="bottom"/>
              <w:rPr>
                <w:rFonts w:ascii="宋体" w:hAnsi="宋体" w:cs="宋体"/>
                <w:sz w:val="24"/>
              </w:rPr>
            </w:pPr>
            <w:r>
              <w:rPr>
                <w:rFonts w:hint="eastAsia" w:ascii="宋体" w:hAnsi="宋体" w:cs="宋体"/>
                <w:sz w:val="24"/>
              </w:rPr>
              <w:t>评标方法：</w:t>
            </w:r>
          </w:p>
          <w:p w14:paraId="613089FA">
            <w:pPr>
              <w:autoSpaceDE w:val="0"/>
              <w:autoSpaceDN w:val="0"/>
              <w:snapToGrid w:val="0"/>
              <w:spacing w:line="360" w:lineRule="auto"/>
              <w:textAlignment w:val="bottom"/>
              <w:rPr>
                <w:rFonts w:ascii="宋体" w:hAnsi="宋体" w:cs="宋体"/>
                <w:sz w:val="24"/>
              </w:rPr>
            </w:pPr>
            <w:r>
              <w:rPr>
                <w:rFonts w:hint="eastAsia" w:ascii="宋体" w:hAnsi="宋体" w:cs="宋体"/>
                <w:sz w:val="24"/>
              </w:rPr>
              <w:t>☑综合评分法</w:t>
            </w:r>
          </w:p>
          <w:p w14:paraId="1DD8192C">
            <w:pPr>
              <w:autoSpaceDE w:val="0"/>
              <w:autoSpaceDN w:val="0"/>
              <w:snapToGrid w:val="0"/>
              <w:spacing w:line="360" w:lineRule="auto"/>
              <w:textAlignment w:val="bottom"/>
            </w:pPr>
            <w:r>
              <w:rPr>
                <w:rFonts w:hint="eastAsia" w:ascii="宋体" w:hAnsi="宋体" w:cs="宋体"/>
                <w:sz w:val="24"/>
              </w:rPr>
              <w:t>□最低评标价法</w:t>
            </w:r>
          </w:p>
        </w:tc>
      </w:tr>
      <w:tr w14:paraId="14A238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895" w:type="dxa"/>
            <w:vMerge w:val="restart"/>
            <w:tcBorders>
              <w:top w:val="single" w:color="auto" w:sz="4" w:space="0"/>
              <w:left w:val="single" w:color="auto" w:sz="4" w:space="0"/>
              <w:right w:val="single" w:color="auto" w:sz="4" w:space="0"/>
            </w:tcBorders>
            <w:vAlign w:val="center"/>
          </w:tcPr>
          <w:p w14:paraId="50BDE744">
            <w:pPr>
              <w:spacing w:line="360" w:lineRule="auto"/>
              <w:jc w:val="center"/>
              <w:rPr>
                <w:rFonts w:ascii="宋体" w:hAnsi="宋体" w:cs="宋体"/>
                <w:sz w:val="24"/>
              </w:rPr>
            </w:pPr>
            <w:bookmarkStart w:id="78" w:name="_29.2.2（2）"/>
            <w:bookmarkEnd w:id="78"/>
            <w:r>
              <w:rPr>
                <w:rFonts w:hint="eastAsia" w:ascii="宋体" w:hAnsi="宋体" w:cs="宋体"/>
                <w:sz w:val="24"/>
              </w:rPr>
              <w:t>29.2</w:t>
            </w:r>
          </w:p>
        </w:tc>
        <w:tc>
          <w:tcPr>
            <w:tcW w:w="8708" w:type="dxa"/>
            <w:tcBorders>
              <w:top w:val="single" w:color="auto" w:sz="4" w:space="0"/>
              <w:left w:val="single" w:color="auto" w:sz="4" w:space="0"/>
              <w:right w:val="single" w:color="auto" w:sz="4" w:space="0"/>
            </w:tcBorders>
            <w:vAlign w:val="center"/>
          </w:tcPr>
          <w:p w14:paraId="18BB9326">
            <w:pPr>
              <w:snapToGrid w:val="0"/>
              <w:spacing w:line="360" w:lineRule="auto"/>
              <w:rPr>
                <w:rFonts w:ascii="宋体" w:hAnsi="宋体" w:cs="宋体"/>
                <w:sz w:val="24"/>
              </w:rPr>
            </w:pPr>
            <w:r>
              <w:rPr>
                <w:rFonts w:hint="eastAsia" w:ascii="宋体" w:hAnsi="宋体" w:cs="宋体"/>
                <w:sz w:val="24"/>
              </w:rPr>
              <w:t>商务要求评审中允许负偏离的条款数为</w:t>
            </w:r>
            <w:r>
              <w:rPr>
                <w:rFonts w:ascii="宋体" w:hAnsi="宋体" w:cs="宋体"/>
                <w:sz w:val="24"/>
                <w:u w:val="single"/>
              </w:rPr>
              <w:t>0</w:t>
            </w:r>
            <w:r>
              <w:rPr>
                <w:rFonts w:hint="eastAsia" w:ascii="宋体" w:hAnsi="宋体" w:cs="宋体"/>
                <w:sz w:val="24"/>
              </w:rPr>
              <w:t>项。</w:t>
            </w:r>
          </w:p>
          <w:p w14:paraId="0DD10C58">
            <w:pPr>
              <w:snapToGrid w:val="0"/>
              <w:spacing w:line="360" w:lineRule="auto"/>
              <w:rPr>
                <w:rFonts w:ascii="宋体" w:hAnsi="宋体" w:cs="宋体"/>
                <w:sz w:val="24"/>
              </w:rPr>
            </w:pPr>
            <w:r>
              <w:rPr>
                <w:rFonts w:hint="eastAsia" w:ascii="宋体" w:hAnsi="宋体" w:cs="宋体"/>
                <w:sz w:val="24"/>
              </w:rPr>
              <w:t>技术要求评审中允许负偏离的非实质性条款数为</w:t>
            </w:r>
            <w:r>
              <w:rPr>
                <w:rFonts w:hint="eastAsia" w:ascii="宋体" w:hAnsi="宋体" w:cs="宋体"/>
                <w:sz w:val="24"/>
                <w:u w:val="single"/>
              </w:rPr>
              <w:t>9</w:t>
            </w:r>
            <w:r>
              <w:rPr>
                <w:rFonts w:hint="eastAsia" w:ascii="宋体" w:hAnsi="宋体" w:cs="宋体"/>
                <w:sz w:val="24"/>
              </w:rPr>
              <w:t>项。</w:t>
            </w:r>
          </w:p>
        </w:tc>
      </w:tr>
      <w:tr w14:paraId="36743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895" w:type="dxa"/>
            <w:vMerge w:val="continue"/>
            <w:tcBorders>
              <w:left w:val="single" w:color="auto" w:sz="4" w:space="0"/>
              <w:right w:val="single" w:color="auto" w:sz="4" w:space="0"/>
            </w:tcBorders>
            <w:vAlign w:val="center"/>
          </w:tcPr>
          <w:p w14:paraId="19F1A719">
            <w:pPr>
              <w:spacing w:line="360" w:lineRule="auto"/>
              <w:jc w:val="center"/>
              <w:rPr>
                <w:rFonts w:ascii="宋体" w:hAnsi="宋体" w:cs="宋体"/>
                <w:sz w:val="24"/>
              </w:rPr>
            </w:pPr>
          </w:p>
        </w:tc>
        <w:tc>
          <w:tcPr>
            <w:tcW w:w="8708" w:type="dxa"/>
            <w:tcBorders>
              <w:top w:val="single" w:color="auto" w:sz="4" w:space="0"/>
              <w:left w:val="single" w:color="auto" w:sz="4" w:space="0"/>
              <w:right w:val="single" w:color="auto" w:sz="4" w:space="0"/>
            </w:tcBorders>
            <w:vAlign w:val="center"/>
          </w:tcPr>
          <w:p w14:paraId="19950652">
            <w:pPr>
              <w:snapToGrid w:val="0"/>
              <w:spacing w:line="360" w:lineRule="auto"/>
              <w:rPr>
                <w:rFonts w:ascii="宋体" w:hAnsi="宋体" w:cs="宋体"/>
                <w:sz w:val="24"/>
                <w:u w:val="single"/>
              </w:rPr>
            </w:pPr>
            <w:r>
              <w:rPr>
                <w:rFonts w:hint="eastAsia" w:ascii="宋体" w:hAnsi="宋体" w:cs="宋体"/>
                <w:sz w:val="24"/>
              </w:rPr>
              <w:t>中标候选人推荐数量：3家</w:t>
            </w:r>
          </w:p>
        </w:tc>
      </w:tr>
      <w:tr w14:paraId="77EBD0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70350A08">
            <w:pPr>
              <w:spacing w:line="360" w:lineRule="auto"/>
              <w:jc w:val="center"/>
              <w:rPr>
                <w:rFonts w:ascii="宋体" w:hAnsi="宋体" w:cs="宋体"/>
                <w:sz w:val="24"/>
              </w:rPr>
            </w:pPr>
            <w:r>
              <w:rPr>
                <w:rFonts w:hint="eastAsia" w:ascii="宋体" w:hAnsi="宋体" w:cs="宋体"/>
                <w:sz w:val="24"/>
              </w:rPr>
              <w:t>30.1</w:t>
            </w:r>
          </w:p>
        </w:tc>
        <w:tc>
          <w:tcPr>
            <w:tcW w:w="8708" w:type="dxa"/>
            <w:tcBorders>
              <w:top w:val="single" w:color="auto" w:sz="4" w:space="0"/>
              <w:left w:val="single" w:color="auto" w:sz="4" w:space="0"/>
              <w:bottom w:val="single" w:color="auto" w:sz="4" w:space="0"/>
              <w:right w:val="single" w:color="auto" w:sz="4" w:space="0"/>
            </w:tcBorders>
            <w:vAlign w:val="center"/>
          </w:tcPr>
          <w:p w14:paraId="2BA70157">
            <w:pPr>
              <w:autoSpaceDE w:val="0"/>
              <w:autoSpaceDN w:val="0"/>
              <w:snapToGrid w:val="0"/>
              <w:spacing w:line="360" w:lineRule="auto"/>
              <w:textAlignment w:val="bottom"/>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采用综合评分法的采购项目，采购人确定中标人时，出现中标候选人并列的情形，采购人按以下的方式确定中标人：</w:t>
            </w:r>
          </w:p>
          <w:p w14:paraId="0DD17E0F">
            <w:pPr>
              <w:spacing w:line="360" w:lineRule="auto"/>
              <w:jc w:val="left"/>
              <w:rPr>
                <w:rFonts w:ascii="宋体" w:hAnsi="宋体" w:cs="宋体"/>
                <w:sz w:val="24"/>
              </w:rPr>
            </w:pPr>
            <w:r>
              <w:rPr>
                <w:rFonts w:hint="eastAsia" w:ascii="宋体" w:hAnsi="宋体" w:cs="宋体"/>
                <w:sz w:val="24"/>
              </w:rPr>
              <w:t>依次按投标报价低的优先、政策分得分高的优先、技术评分高的优先、商务评分高的优先、质量保证期长优先、交货期短优先、故障响应时间短优先的顺序确定。</w:t>
            </w:r>
          </w:p>
          <w:p w14:paraId="5C2DD09A">
            <w:pPr>
              <w:spacing w:line="500" w:lineRule="exact"/>
              <w:contextualSpacing/>
              <w:rPr>
                <w:rFonts w:ascii="宋体" w:hAnsi="宋体" w:cs="宋体"/>
                <w:sz w:val="24"/>
              </w:rPr>
            </w:pPr>
            <w:r>
              <w:rPr>
                <w:rFonts w:hint="eastAsia" w:ascii="宋体" w:hAnsi="宋体"/>
                <w:iCs/>
                <w:sz w:val="24"/>
              </w:rPr>
              <w:t>2</w:t>
            </w:r>
            <w:r>
              <w:rPr>
                <w:rFonts w:ascii="宋体" w:hAnsi="宋体"/>
                <w:iCs/>
                <w:sz w:val="24"/>
              </w:rPr>
              <w:t>.</w:t>
            </w:r>
            <w:r>
              <w:rPr>
                <w:rFonts w:hint="eastAsia" w:ascii="宋体" w:hAnsi="宋体"/>
                <w:iCs/>
                <w:sz w:val="24"/>
              </w:rPr>
              <w:t>采用最低评标价法的采购项目，</w:t>
            </w:r>
            <w:r>
              <w:rPr>
                <w:rFonts w:hint="eastAsia" w:ascii="宋体" w:hAnsi="宋体" w:cs="宋体"/>
                <w:sz w:val="24"/>
              </w:rPr>
              <w:t>评标价相同时，按以下原则确定成交候选人的顺序：</w:t>
            </w:r>
          </w:p>
          <w:p w14:paraId="3496021A">
            <w:pPr>
              <w:autoSpaceDE w:val="0"/>
              <w:autoSpaceDN w:val="0"/>
              <w:snapToGrid w:val="0"/>
              <w:spacing w:line="360" w:lineRule="auto"/>
              <w:textAlignment w:val="bottom"/>
            </w:pPr>
            <w:r>
              <w:rPr>
                <w:rFonts w:hint="eastAsia" w:ascii="宋体" w:hAnsi="宋体" w:cs="宋体"/>
                <w:sz w:val="24"/>
              </w:rPr>
              <w:t>依次按带“▲”的实质性要求正偏离项数多的优先、均无正偏离或者正偏离项数一致时负偏离项数少的优先、质量保证期长优先、交货期短优先、故障响应时间短优先、节能环保产品累计金额多的优先的顺序排列。</w:t>
            </w:r>
          </w:p>
        </w:tc>
      </w:tr>
      <w:tr w14:paraId="3FA8B7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52F3E1D0">
            <w:pPr>
              <w:spacing w:line="360" w:lineRule="auto"/>
              <w:jc w:val="center"/>
              <w:rPr>
                <w:rFonts w:ascii="宋体" w:hAnsi="宋体" w:cs="宋体"/>
                <w:sz w:val="24"/>
              </w:rPr>
            </w:pPr>
            <w:bookmarkStart w:id="79" w:name="_39.1"/>
            <w:bookmarkEnd w:id="79"/>
            <w:r>
              <w:rPr>
                <w:rFonts w:hint="eastAsia" w:ascii="宋体" w:hAnsi="宋体" w:cs="宋体"/>
                <w:sz w:val="24"/>
              </w:rPr>
              <w:t>35.1</w:t>
            </w:r>
          </w:p>
        </w:tc>
        <w:tc>
          <w:tcPr>
            <w:tcW w:w="8708" w:type="dxa"/>
            <w:tcBorders>
              <w:top w:val="single" w:color="auto" w:sz="4" w:space="0"/>
              <w:left w:val="single" w:color="auto" w:sz="4" w:space="0"/>
              <w:bottom w:val="single" w:color="auto" w:sz="4" w:space="0"/>
              <w:right w:val="single" w:color="auto" w:sz="4" w:space="0"/>
            </w:tcBorders>
            <w:vAlign w:val="center"/>
          </w:tcPr>
          <w:p w14:paraId="5BC17CFC">
            <w:pPr>
              <w:autoSpaceDE w:val="0"/>
              <w:autoSpaceDN w:val="0"/>
              <w:snapToGrid w:val="0"/>
              <w:spacing w:line="360" w:lineRule="auto"/>
              <w:textAlignment w:val="bottom"/>
              <w:rPr>
                <w:rFonts w:ascii="宋体" w:hAnsi="宋体" w:cs="宋体"/>
                <w:sz w:val="24"/>
              </w:rPr>
            </w:pPr>
            <w:r>
              <w:rPr>
                <w:rFonts w:hint="eastAsia" w:ascii="宋体" w:hAnsi="宋体" w:cs="宋体"/>
                <w:sz w:val="24"/>
              </w:rPr>
              <w:sym w:font="Wingdings" w:char="00A8"/>
            </w:r>
            <w:r>
              <w:rPr>
                <w:rFonts w:hint="eastAsia" w:ascii="宋体" w:hAnsi="宋体" w:cs="宋体"/>
                <w:sz w:val="24"/>
              </w:rPr>
              <w:t>本项目不收取履约保证金。</w:t>
            </w:r>
          </w:p>
          <w:p w14:paraId="25AACB54">
            <w:pPr>
              <w:pStyle w:val="17"/>
              <w:spacing w:line="360" w:lineRule="auto"/>
              <w:rPr>
                <w:rFonts w:ascii="宋体" w:hAnsi="宋体" w:cs="宋体"/>
                <w:sz w:val="24"/>
              </w:rPr>
            </w:pPr>
            <w:r>
              <w:rPr>
                <w:rFonts w:hint="eastAsia" w:ascii="宋体" w:hAnsi="宋体" w:cs="宋体"/>
                <w:sz w:val="24"/>
              </w:rPr>
              <w:sym w:font="Wingdings" w:char="00FE"/>
            </w:r>
            <w:r>
              <w:rPr>
                <w:rFonts w:hint="eastAsia" w:ascii="宋体" w:hAnsi="宋体" w:cs="宋体"/>
                <w:sz w:val="24"/>
              </w:rPr>
              <w:t>本项目收取履约保证金：详见商务条款。</w:t>
            </w:r>
          </w:p>
          <w:p w14:paraId="0E153EA4">
            <w:pPr>
              <w:autoSpaceDE w:val="0"/>
              <w:autoSpaceDN w:val="0"/>
              <w:snapToGrid w:val="0"/>
              <w:spacing w:line="360" w:lineRule="auto"/>
              <w:textAlignment w:val="bottom"/>
              <w:rPr>
                <w:rFonts w:ascii="宋体" w:hAnsi="宋体" w:cs="宋体"/>
                <w:sz w:val="24"/>
              </w:rPr>
            </w:pPr>
            <w:r>
              <w:rPr>
                <w:rFonts w:hint="eastAsia" w:ascii="宋体" w:hAnsi="宋体" w:cs="宋体"/>
                <w:sz w:val="24"/>
              </w:rPr>
              <w:t>履约保证金递交方式：详见商务条款。</w:t>
            </w:r>
          </w:p>
          <w:p w14:paraId="4F79DCB9">
            <w:pPr>
              <w:autoSpaceDE w:val="0"/>
              <w:autoSpaceDN w:val="0"/>
              <w:snapToGrid w:val="0"/>
              <w:spacing w:line="360" w:lineRule="auto"/>
              <w:textAlignment w:val="bottom"/>
              <w:rPr>
                <w:rFonts w:ascii="宋体" w:hAnsi="宋体" w:cs="宋体"/>
                <w:sz w:val="24"/>
                <w:u w:val="single"/>
              </w:rPr>
            </w:pPr>
            <w:r>
              <w:rPr>
                <w:rFonts w:hint="eastAsia" w:ascii="宋体" w:hAnsi="宋体" w:cs="宋体"/>
                <w:sz w:val="24"/>
              </w:rPr>
              <w:t>履约保证金退付方式、时间及条件详见商务条款。</w:t>
            </w:r>
          </w:p>
          <w:p w14:paraId="071DF16F">
            <w:pPr>
              <w:spacing w:line="360" w:lineRule="auto"/>
              <w:jc w:val="left"/>
              <w:rPr>
                <w:rFonts w:ascii="仿宋" w:hAnsi="仿宋" w:eastAsia="仿宋" w:cs="宋体"/>
                <w:b/>
                <w:bCs/>
                <w:sz w:val="24"/>
              </w:rPr>
            </w:pPr>
            <w:r>
              <w:rPr>
                <w:rFonts w:hint="eastAsia" w:ascii="楷体" w:hAnsi="楷体" w:eastAsia="楷体" w:cs="宋体"/>
                <w:b/>
                <w:sz w:val="24"/>
              </w:rPr>
              <w:t>【备注】</w:t>
            </w:r>
          </w:p>
          <w:p w14:paraId="71C25F3D">
            <w:pPr>
              <w:spacing w:line="360" w:lineRule="auto"/>
              <w:jc w:val="left"/>
              <w:rPr>
                <w:rFonts w:ascii="楷体" w:hAnsi="楷体" w:eastAsia="楷体" w:cs="宋体"/>
                <w:b/>
                <w:sz w:val="24"/>
              </w:rPr>
            </w:pPr>
            <w:r>
              <w:rPr>
                <w:rFonts w:ascii="楷体" w:hAnsi="楷体" w:eastAsia="楷体" w:cs="宋体"/>
                <w:sz w:val="24"/>
              </w:rPr>
              <w:t>1</w:t>
            </w:r>
            <w:bookmarkStart w:id="80" w:name="_Hlk54170335"/>
            <w:r>
              <w:rPr>
                <w:rFonts w:ascii="楷体" w:hAnsi="楷体" w:eastAsia="楷体" w:cs="宋体"/>
                <w:bCs/>
                <w:sz w:val="24"/>
              </w:rPr>
              <w:t>.</w:t>
            </w:r>
            <w:r>
              <w:rPr>
                <w:rFonts w:hint="eastAsia" w:ascii="楷体" w:hAnsi="楷体" w:eastAsia="楷体" w:cs="宋体"/>
                <w:b/>
                <w:sz w:val="24"/>
              </w:rPr>
              <w:t>根据《广西壮族自治区财政厅关于持续优化政府采购营商环境推动高质量发展的通知》（桂财采〔2024〕55号），采购文件要求中标人提交履约保证金的，履约保证金数额不得超过政府采购合同金额的5%，对中小企业收取的履约保证金数额不得超过政府采购合同金额的2%。</w:t>
            </w:r>
          </w:p>
          <w:bookmarkEnd w:id="80"/>
          <w:p w14:paraId="1759E9D2">
            <w:pPr>
              <w:spacing w:line="360" w:lineRule="auto"/>
              <w:jc w:val="left"/>
              <w:rPr>
                <w:rFonts w:ascii="楷体" w:hAnsi="楷体" w:eastAsia="楷体" w:cs="宋体"/>
                <w:b/>
                <w:sz w:val="24"/>
              </w:rPr>
            </w:pPr>
            <w:r>
              <w:rPr>
                <w:rFonts w:ascii="楷体" w:hAnsi="楷体" w:eastAsia="楷体" w:cs="宋体"/>
                <w:b/>
                <w:sz w:val="24"/>
              </w:rPr>
              <w:t>2.</w:t>
            </w:r>
            <w:r>
              <w:rPr>
                <w:rFonts w:hint="eastAsia" w:ascii="楷体" w:hAnsi="楷体" w:eastAsia="楷体" w:cs="宋体"/>
                <w:b/>
                <w:sz w:val="24"/>
              </w:rPr>
              <w:t>履约保证金必须足额缴纳，或出具的保函额度必须足额且保函有效期不能低于合同履行期限（即签订采购合同之日起至履行完合同约定的权利及义务之日止），否则视为无效履约保证金。</w:t>
            </w:r>
          </w:p>
          <w:p w14:paraId="4D65503A">
            <w:pPr>
              <w:spacing w:line="360" w:lineRule="auto"/>
              <w:jc w:val="left"/>
              <w:rPr>
                <w:rFonts w:ascii="楷体" w:hAnsi="楷体" w:eastAsia="楷体" w:cs="宋体"/>
                <w:b/>
                <w:sz w:val="24"/>
              </w:rPr>
            </w:pPr>
            <w:r>
              <w:rPr>
                <w:rFonts w:ascii="楷体" w:hAnsi="楷体" w:eastAsia="楷体" w:cs="宋体"/>
                <w:b/>
                <w:sz w:val="24"/>
              </w:rPr>
              <w:t>3.</w:t>
            </w:r>
            <w:r>
              <w:rPr>
                <w:rFonts w:ascii="楷体" w:hAnsi="楷体" w:eastAsia="楷体"/>
                <w:b/>
                <w:sz w:val="24"/>
              </w:rPr>
              <w:t>采用</w:t>
            </w:r>
            <w:r>
              <w:rPr>
                <w:rFonts w:hint="eastAsia" w:ascii="楷体" w:hAnsi="楷体" w:eastAsia="楷体"/>
                <w:b/>
                <w:sz w:val="24"/>
              </w:rPr>
              <w:t>保函的</w:t>
            </w:r>
            <w:r>
              <w:rPr>
                <w:rFonts w:ascii="楷体" w:hAnsi="楷体" w:eastAsia="楷体"/>
                <w:b/>
                <w:sz w:val="24"/>
              </w:rPr>
              <w:t>，</w:t>
            </w:r>
            <w:r>
              <w:rPr>
                <w:rFonts w:hint="eastAsia" w:ascii="楷体" w:hAnsi="楷体" w:eastAsia="楷体" w:cs="宋体"/>
                <w:b/>
                <w:sz w:val="24"/>
              </w:rPr>
              <w:t>必须为无条件保函，否则视为无效履约保证金。</w:t>
            </w:r>
          </w:p>
          <w:p w14:paraId="0802429D">
            <w:pPr>
              <w:spacing w:line="360" w:lineRule="auto"/>
              <w:jc w:val="left"/>
              <w:rPr>
                <w:rFonts w:ascii="宋体" w:hAnsi="宋体" w:cs="宋体"/>
                <w:kern w:val="0"/>
                <w:sz w:val="24"/>
              </w:rPr>
            </w:pPr>
            <w:r>
              <w:rPr>
                <w:rFonts w:ascii="楷体" w:hAnsi="楷体" w:eastAsia="楷体" w:cs="宋体"/>
                <w:b/>
                <w:sz w:val="24"/>
              </w:rPr>
              <w:t>4.</w:t>
            </w:r>
            <w:r>
              <w:rPr>
                <w:rFonts w:hint="eastAsia" w:ascii="楷体" w:hAnsi="楷体" w:eastAsia="楷体" w:cs="宋体"/>
                <w:b/>
                <w:sz w:val="24"/>
              </w:rPr>
              <w:t>投标人为联合体的，由联合体其中一方按规定提交的履约保证金，视为有效履约保证金。</w:t>
            </w:r>
          </w:p>
        </w:tc>
      </w:tr>
      <w:tr w14:paraId="1C2A4B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672CC9FB">
            <w:pPr>
              <w:spacing w:line="360" w:lineRule="auto"/>
              <w:jc w:val="center"/>
              <w:rPr>
                <w:rFonts w:ascii="宋体" w:hAnsi="宋体" w:cs="宋体"/>
                <w:sz w:val="24"/>
              </w:rPr>
            </w:pPr>
            <w:bookmarkStart w:id="81" w:name="_40.1"/>
            <w:bookmarkEnd w:id="81"/>
            <w:r>
              <w:rPr>
                <w:rFonts w:hint="eastAsia" w:ascii="宋体" w:hAnsi="宋体" w:cs="宋体"/>
                <w:sz w:val="24"/>
              </w:rPr>
              <w:t>36.1</w:t>
            </w:r>
          </w:p>
        </w:tc>
        <w:tc>
          <w:tcPr>
            <w:tcW w:w="8708" w:type="dxa"/>
            <w:tcBorders>
              <w:top w:val="single" w:color="auto" w:sz="4" w:space="0"/>
              <w:left w:val="single" w:color="auto" w:sz="4" w:space="0"/>
              <w:bottom w:val="single" w:color="auto" w:sz="4" w:space="0"/>
              <w:right w:val="single" w:color="auto" w:sz="4" w:space="0"/>
            </w:tcBorders>
            <w:vAlign w:val="center"/>
          </w:tcPr>
          <w:p w14:paraId="6A23A912">
            <w:pPr>
              <w:autoSpaceDE w:val="0"/>
              <w:autoSpaceDN w:val="0"/>
              <w:snapToGrid w:val="0"/>
              <w:spacing w:line="360" w:lineRule="auto"/>
              <w:textAlignment w:val="bottom"/>
              <w:rPr>
                <w:rFonts w:ascii="宋体" w:hAnsi="宋体" w:cs="宋体"/>
                <w:sz w:val="24"/>
              </w:rPr>
            </w:pPr>
            <w:r>
              <w:rPr>
                <w:rFonts w:hint="eastAsia" w:ascii="宋体" w:hAnsi="宋体" w:cs="宋体"/>
                <w:sz w:val="24"/>
              </w:rPr>
              <w:t xml:space="preserve">签订合同携带的证明材料： </w:t>
            </w:r>
          </w:p>
          <w:p w14:paraId="2E5C3AC4">
            <w:pPr>
              <w:autoSpaceDE w:val="0"/>
              <w:autoSpaceDN w:val="0"/>
              <w:snapToGrid w:val="0"/>
              <w:spacing w:line="360" w:lineRule="auto"/>
              <w:textAlignment w:val="bottom"/>
              <w:rPr>
                <w:rFonts w:ascii="宋体" w:hAnsi="宋体" w:cs="宋体"/>
                <w:sz w:val="24"/>
              </w:rPr>
            </w:pPr>
            <w:r>
              <w:rPr>
                <w:rFonts w:hint="eastAsia" w:ascii="宋体" w:hAnsi="宋体" w:cs="宋体"/>
                <w:sz w:val="24"/>
              </w:rPr>
              <w:t>1</w:t>
            </w:r>
            <w:r>
              <w:rPr>
                <w:rFonts w:hint="eastAsia" w:ascii="宋体" w:hAnsi="宋体" w:cs="宋体"/>
                <w:bCs/>
                <w:sz w:val="24"/>
              </w:rPr>
              <w:t>.</w:t>
            </w:r>
            <w:r>
              <w:rPr>
                <w:rFonts w:hint="eastAsia" w:ascii="宋体" w:hAnsi="宋体" w:cs="宋体"/>
                <w:sz w:val="24"/>
              </w:rPr>
              <w:t>委托代理人负责签订合同的，须携带授权委托书及委托代理人身份证原件等其他资格证件。</w:t>
            </w:r>
          </w:p>
          <w:p w14:paraId="2F23B59A">
            <w:pPr>
              <w:autoSpaceDE w:val="0"/>
              <w:autoSpaceDN w:val="0"/>
              <w:snapToGrid w:val="0"/>
              <w:spacing w:line="360" w:lineRule="auto"/>
              <w:textAlignment w:val="bottom"/>
              <w:rPr>
                <w:rFonts w:ascii="宋体" w:hAnsi="宋体" w:cs="宋体"/>
                <w:sz w:val="24"/>
              </w:rPr>
            </w:pPr>
            <w:r>
              <w:rPr>
                <w:rFonts w:hint="eastAsia" w:ascii="宋体" w:hAnsi="宋体" w:cs="宋体"/>
                <w:sz w:val="24"/>
              </w:rPr>
              <w:t>2</w:t>
            </w:r>
            <w:r>
              <w:rPr>
                <w:rFonts w:hint="eastAsia" w:ascii="宋体" w:hAnsi="宋体" w:cs="宋体"/>
                <w:bCs/>
                <w:sz w:val="24"/>
              </w:rPr>
              <w:t>.</w:t>
            </w:r>
            <w:r>
              <w:rPr>
                <w:rFonts w:hint="eastAsia" w:ascii="宋体" w:hAnsi="宋体" w:cs="宋体"/>
                <w:sz w:val="24"/>
              </w:rPr>
              <w:t>法定代表人负责签订合同的，须携带法定代表人身份证明原件及身份证原件等其他证明材料。</w:t>
            </w:r>
          </w:p>
        </w:tc>
      </w:tr>
      <w:tr w14:paraId="015030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0A273F94">
            <w:pPr>
              <w:spacing w:line="360" w:lineRule="auto"/>
              <w:jc w:val="center"/>
              <w:rPr>
                <w:rFonts w:ascii="宋体" w:hAnsi="宋体" w:cs="宋体"/>
                <w:sz w:val="24"/>
              </w:rPr>
            </w:pPr>
            <w:r>
              <w:rPr>
                <w:rFonts w:hint="eastAsia" w:ascii="宋体" w:hAnsi="宋体" w:cs="宋体"/>
                <w:sz w:val="24"/>
              </w:rPr>
              <w:t>38.2</w:t>
            </w:r>
          </w:p>
        </w:tc>
        <w:tc>
          <w:tcPr>
            <w:tcW w:w="8708" w:type="dxa"/>
            <w:tcBorders>
              <w:top w:val="single" w:color="auto" w:sz="4" w:space="0"/>
              <w:left w:val="single" w:color="auto" w:sz="4" w:space="0"/>
              <w:bottom w:val="single" w:color="auto" w:sz="4" w:space="0"/>
              <w:right w:val="single" w:color="auto" w:sz="4" w:space="0"/>
            </w:tcBorders>
            <w:vAlign w:val="center"/>
          </w:tcPr>
          <w:p w14:paraId="2F347853">
            <w:pPr>
              <w:snapToGrid w:val="0"/>
              <w:spacing w:line="360" w:lineRule="auto"/>
              <w:rPr>
                <w:rFonts w:ascii="宋体" w:hAnsi="宋体" w:cs="宋体"/>
                <w:sz w:val="24"/>
              </w:rPr>
            </w:pPr>
            <w:r>
              <w:rPr>
                <w:rFonts w:hint="eastAsia" w:ascii="宋体" w:hAnsi="宋体" w:cs="宋体"/>
                <w:sz w:val="24"/>
              </w:rPr>
              <w:t>接收质疑函方式：以纸质书面形式</w:t>
            </w:r>
          </w:p>
          <w:p w14:paraId="28F85D4A">
            <w:pPr>
              <w:autoSpaceDE w:val="0"/>
              <w:autoSpaceDN w:val="0"/>
              <w:snapToGrid w:val="0"/>
              <w:spacing w:line="360" w:lineRule="auto"/>
              <w:textAlignment w:val="bottom"/>
              <w:rPr>
                <w:rFonts w:ascii="宋体" w:hAnsi="宋体" w:cs="宋体"/>
                <w:sz w:val="24"/>
              </w:rPr>
            </w:pPr>
            <w:r>
              <w:rPr>
                <w:rFonts w:hint="eastAsia" w:ascii="宋体" w:hAnsi="宋体" w:cs="宋体"/>
                <w:sz w:val="24"/>
              </w:rPr>
              <w:t>质疑联系部门及联系方式：广西阳嘉招标代理有限公司 ，</w:t>
            </w:r>
          </w:p>
          <w:p w14:paraId="0A8FBBF9">
            <w:pPr>
              <w:autoSpaceDE w:val="0"/>
              <w:autoSpaceDN w:val="0"/>
              <w:snapToGrid w:val="0"/>
              <w:spacing w:line="360" w:lineRule="auto"/>
              <w:textAlignment w:val="bottom"/>
              <w:rPr>
                <w:rFonts w:ascii="宋体" w:hAnsi="宋体" w:cs="宋体"/>
                <w:sz w:val="24"/>
              </w:rPr>
            </w:pPr>
            <w:r>
              <w:rPr>
                <w:rFonts w:hint="eastAsia" w:ascii="宋体" w:hAnsi="宋体" w:cs="宋体"/>
                <w:sz w:val="24"/>
              </w:rPr>
              <w:t>质疑联系人：苏秀露、邓永辉、杜涛 ；联系电话：0771-5383100</w:t>
            </w:r>
          </w:p>
          <w:p w14:paraId="07CEE574">
            <w:pPr>
              <w:autoSpaceDE w:val="0"/>
              <w:autoSpaceDN w:val="0"/>
              <w:snapToGrid w:val="0"/>
              <w:spacing w:line="360" w:lineRule="auto"/>
              <w:textAlignment w:val="bottom"/>
              <w:rPr>
                <w:rFonts w:ascii="宋体" w:hAnsi="宋体" w:cs="宋体"/>
                <w:sz w:val="24"/>
              </w:rPr>
            </w:pPr>
            <w:r>
              <w:rPr>
                <w:rFonts w:hint="eastAsia" w:ascii="宋体" w:hAnsi="宋体" w:cs="宋体"/>
                <w:sz w:val="24"/>
              </w:rPr>
              <w:t>通讯地址：南宁市青秀区双拥路36-1号绿城画卷A座31楼3108室</w:t>
            </w:r>
            <w:r>
              <w:rPr>
                <w:rFonts w:ascii="宋体" w:hAnsi="宋体" w:cs="宋体"/>
                <w:sz w:val="24"/>
              </w:rPr>
              <w:t xml:space="preserve">     </w:t>
            </w:r>
          </w:p>
          <w:p w14:paraId="686828D2">
            <w:pPr>
              <w:autoSpaceDE w:val="0"/>
              <w:autoSpaceDN w:val="0"/>
              <w:snapToGrid w:val="0"/>
              <w:spacing w:line="360" w:lineRule="auto"/>
              <w:textAlignment w:val="bottom"/>
              <w:rPr>
                <w:rFonts w:ascii="宋体" w:hAnsi="宋体" w:cs="宋体"/>
                <w:sz w:val="24"/>
              </w:rPr>
            </w:pPr>
            <w:r>
              <w:rPr>
                <w:rFonts w:hint="eastAsia" w:ascii="宋体" w:hAnsi="宋体" w:cs="宋体"/>
                <w:sz w:val="24"/>
              </w:rPr>
              <w:t>现场提交质疑办理业务时间：工作日，上午8:00-12:00；下午15:00-18：00（北京时间）</w:t>
            </w:r>
          </w:p>
        </w:tc>
      </w:tr>
      <w:tr w14:paraId="582C4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65603DEF">
            <w:pPr>
              <w:spacing w:line="360" w:lineRule="auto"/>
              <w:jc w:val="center"/>
              <w:rPr>
                <w:rFonts w:ascii="宋体" w:hAnsi="宋体" w:cs="宋体"/>
                <w:sz w:val="24"/>
              </w:rPr>
            </w:pPr>
            <w:bookmarkStart w:id="82" w:name="_42"/>
            <w:bookmarkEnd w:id="82"/>
            <w:bookmarkStart w:id="83" w:name="_41"/>
            <w:bookmarkEnd w:id="83"/>
            <w:bookmarkStart w:id="84" w:name="_Hlt17709148"/>
            <w:r>
              <w:rPr>
                <w:rFonts w:hint="eastAsia" w:ascii="宋体" w:hAnsi="宋体" w:cs="宋体"/>
                <w:sz w:val="24"/>
              </w:rPr>
              <w:t>3</w:t>
            </w:r>
            <w:bookmarkEnd w:id="84"/>
            <w:r>
              <w:rPr>
                <w:rFonts w:hint="eastAsia" w:ascii="宋体" w:hAnsi="宋体" w:cs="宋体"/>
                <w:sz w:val="24"/>
              </w:rPr>
              <w:t>9.1</w:t>
            </w:r>
          </w:p>
        </w:tc>
        <w:tc>
          <w:tcPr>
            <w:tcW w:w="8708" w:type="dxa"/>
            <w:tcBorders>
              <w:top w:val="single" w:color="auto" w:sz="4" w:space="0"/>
              <w:left w:val="single" w:color="auto" w:sz="4" w:space="0"/>
              <w:bottom w:val="single" w:color="auto" w:sz="4" w:space="0"/>
              <w:right w:val="single" w:color="auto" w:sz="4" w:space="0"/>
            </w:tcBorders>
            <w:vAlign w:val="center"/>
          </w:tcPr>
          <w:p w14:paraId="2EF1E4EE">
            <w:pPr>
              <w:pStyle w:val="26"/>
              <w:snapToGrid w:val="0"/>
              <w:spacing w:line="360" w:lineRule="auto"/>
              <w:rPr>
                <w:rFonts w:hAnsi="宋体" w:cs="宋体"/>
                <w:sz w:val="24"/>
                <w:szCs w:val="24"/>
              </w:rPr>
            </w:pPr>
            <w:r>
              <w:rPr>
                <w:rFonts w:hint="eastAsia" w:hAnsi="宋体" w:cs="宋体"/>
                <w:sz w:val="24"/>
                <w:szCs w:val="24"/>
              </w:rPr>
              <w:t>1</w:t>
            </w:r>
            <w:r>
              <w:rPr>
                <w:rFonts w:hint="eastAsia" w:hAnsi="宋体" w:cs="宋体"/>
                <w:bCs/>
                <w:sz w:val="24"/>
                <w:szCs w:val="24"/>
              </w:rPr>
              <w:t>.</w:t>
            </w:r>
            <w:r>
              <w:rPr>
                <w:rFonts w:hint="eastAsia" w:hAnsi="宋体" w:cs="宋体"/>
                <w:sz w:val="24"/>
                <w:szCs w:val="24"/>
              </w:rPr>
              <w:t>采购代理服务费支付方式：本项目的招标代理服务费按以下收费标准向中标人收取。</w:t>
            </w:r>
          </w:p>
          <w:p w14:paraId="5F936679">
            <w:pPr>
              <w:pStyle w:val="26"/>
              <w:snapToGrid w:val="0"/>
              <w:spacing w:line="360" w:lineRule="auto"/>
              <w:rPr>
                <w:rFonts w:hAnsi="宋体" w:cs="宋体"/>
                <w:sz w:val="24"/>
                <w:szCs w:val="24"/>
              </w:rPr>
            </w:pPr>
            <w:r>
              <w:rPr>
                <w:rFonts w:hint="eastAsia" w:hAnsi="宋体" w:cs="宋体"/>
                <w:sz w:val="24"/>
                <w:szCs w:val="24"/>
              </w:rPr>
              <w:t>2</w:t>
            </w:r>
            <w:r>
              <w:rPr>
                <w:rFonts w:hint="eastAsia" w:hAnsi="宋体" w:cs="宋体"/>
                <w:bCs/>
                <w:sz w:val="24"/>
                <w:szCs w:val="24"/>
              </w:rPr>
              <w:t>.</w:t>
            </w:r>
            <w:r>
              <w:rPr>
                <w:rFonts w:hint="eastAsia" w:hAnsi="宋体" w:cs="宋体"/>
                <w:sz w:val="24"/>
                <w:szCs w:val="24"/>
              </w:rPr>
              <w:t>采购代理服务费收取标准：</w:t>
            </w:r>
          </w:p>
          <w:p w14:paraId="09F417C0">
            <w:pPr>
              <w:pStyle w:val="26"/>
              <w:snapToGrid w:val="0"/>
              <w:spacing w:line="360" w:lineRule="auto"/>
              <w:rPr>
                <w:rFonts w:hAnsi="宋体" w:cs="宋体"/>
                <w:sz w:val="24"/>
                <w:szCs w:val="24"/>
              </w:rPr>
            </w:pPr>
            <w:r>
              <w:rPr>
                <w:rFonts w:hint="eastAsia" w:hAnsi="宋体" w:cs="宋体"/>
                <w:sz w:val="24"/>
                <w:szCs w:val="24"/>
              </w:rPr>
              <w:t>以中标金额为计费额，按本招标文件之投标人须知正文第39.2条规定的收费计算标准货物招标采用差额定率累进法计算出收费基准价格，采购代理服务费收费以收费基准价格收取。</w:t>
            </w:r>
          </w:p>
          <w:p w14:paraId="683B7930">
            <w:pPr>
              <w:pStyle w:val="26"/>
              <w:snapToGrid w:val="0"/>
              <w:spacing w:line="360" w:lineRule="auto"/>
              <w:rPr>
                <w:rFonts w:hAnsi="宋体" w:cs="宋体"/>
                <w:kern w:val="2"/>
                <w:sz w:val="24"/>
                <w:szCs w:val="24"/>
              </w:rPr>
            </w:pPr>
            <w:r>
              <w:rPr>
                <w:rFonts w:hint="eastAsia" w:hAnsi="宋体" w:cs="宋体"/>
                <w:kern w:val="2"/>
                <w:sz w:val="24"/>
                <w:szCs w:val="24"/>
              </w:rPr>
              <w:t>3</w:t>
            </w:r>
            <w:r>
              <w:rPr>
                <w:rFonts w:hint="eastAsia" w:hAnsi="宋体" w:cs="宋体"/>
                <w:bCs/>
                <w:sz w:val="24"/>
                <w:szCs w:val="24"/>
              </w:rPr>
              <w:t>.</w:t>
            </w:r>
            <w:r>
              <w:rPr>
                <w:rFonts w:hint="eastAsia" w:hAnsi="宋体" w:cs="宋体"/>
                <w:kern w:val="2"/>
                <w:sz w:val="24"/>
                <w:szCs w:val="24"/>
              </w:rPr>
              <w:t>代理服务费收费专用银行账户信息：</w:t>
            </w:r>
          </w:p>
          <w:p w14:paraId="6E212B5D">
            <w:pPr>
              <w:spacing w:line="360" w:lineRule="auto"/>
              <w:rPr>
                <w:rFonts w:hAnsi="宋体" w:cs="宋体"/>
                <w:sz w:val="24"/>
              </w:rPr>
            </w:pPr>
            <w:r>
              <w:rPr>
                <w:rFonts w:hint="eastAsia" w:ascii="宋体" w:hAnsi="宋体" w:cs="宋体"/>
                <w:sz w:val="24"/>
              </w:rPr>
              <w:t>开</w:t>
            </w:r>
            <w:r>
              <w:rPr>
                <w:rFonts w:hint="eastAsia" w:hAnsi="宋体" w:cs="宋体"/>
                <w:sz w:val="24"/>
              </w:rPr>
              <w:t xml:space="preserve">户名称：广西阳嘉招标代理有限公司 </w:t>
            </w:r>
          </w:p>
          <w:p w14:paraId="392DB256">
            <w:pPr>
              <w:spacing w:line="360" w:lineRule="auto"/>
              <w:rPr>
                <w:rFonts w:hAnsi="宋体" w:cs="宋体"/>
                <w:sz w:val="24"/>
              </w:rPr>
            </w:pPr>
            <w:r>
              <w:rPr>
                <w:rFonts w:hint="eastAsia" w:hAnsi="宋体" w:cs="宋体"/>
                <w:sz w:val="24"/>
              </w:rPr>
              <w:t>开户银行：招商银行股份有限公司南宁东葛路支行</w:t>
            </w:r>
          </w:p>
          <w:p w14:paraId="5E9235F6">
            <w:pPr>
              <w:spacing w:line="360" w:lineRule="auto"/>
              <w:rPr>
                <w:rFonts w:hAnsi="宋体" w:cs="宋体"/>
                <w:sz w:val="24"/>
              </w:rPr>
            </w:pPr>
            <w:r>
              <w:rPr>
                <w:rFonts w:hint="eastAsia" w:hAnsi="宋体" w:cs="宋体"/>
                <w:sz w:val="24"/>
              </w:rPr>
              <w:t>帐    号：7719 0180 8710 112</w:t>
            </w:r>
          </w:p>
        </w:tc>
      </w:tr>
      <w:tr w14:paraId="50BBF7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29656F15">
            <w:pPr>
              <w:snapToGrid w:val="0"/>
              <w:spacing w:line="360" w:lineRule="auto"/>
              <w:jc w:val="center"/>
              <w:rPr>
                <w:rFonts w:ascii="宋体" w:hAnsi="宋体" w:cs="宋体"/>
                <w:sz w:val="24"/>
              </w:rPr>
            </w:pPr>
            <w:r>
              <w:rPr>
                <w:rFonts w:hint="eastAsia" w:ascii="宋体" w:hAnsi="宋体" w:cs="宋体"/>
                <w:sz w:val="24"/>
              </w:rPr>
              <w:t>40.1</w:t>
            </w:r>
          </w:p>
        </w:tc>
        <w:tc>
          <w:tcPr>
            <w:tcW w:w="8708" w:type="dxa"/>
            <w:tcBorders>
              <w:top w:val="single" w:color="auto" w:sz="4" w:space="0"/>
              <w:left w:val="single" w:color="auto" w:sz="4" w:space="0"/>
              <w:bottom w:val="single" w:color="auto" w:sz="4" w:space="0"/>
              <w:right w:val="single" w:color="auto" w:sz="4" w:space="0"/>
            </w:tcBorders>
            <w:vAlign w:val="center"/>
          </w:tcPr>
          <w:p w14:paraId="46B43C0F">
            <w:pPr>
              <w:snapToGrid w:val="0"/>
              <w:spacing w:line="360" w:lineRule="auto"/>
              <w:rPr>
                <w:rFonts w:ascii="宋体" w:hAnsi="宋体" w:cs="宋体"/>
                <w:sz w:val="24"/>
              </w:rPr>
            </w:pPr>
            <w:r>
              <w:rPr>
                <w:rFonts w:hint="eastAsia" w:ascii="宋体" w:hAnsi="宋体" w:cs="宋体"/>
                <w:sz w:val="24"/>
              </w:rPr>
              <w:t>解释：构成本招标文件的各个组成文件应互为解释，互为说明；除招标文件中有特别规定外，仅适用于招标投标阶段的规定，按更正公告（澄清公告）、招标公告、采购需求、投标人须知、评标方法及评标标准、拟签订的合同文本、投标文件格式的先后顺序解释；同一组成文件中就同一事项的规定或者约定不一致的，以编排顺序在后者为准；同一组成文件不同版本之间有不一致的，以形成时间在后者为准；更正公告（澄清公告）与同步更新的招标文件不一致时以更正公告（澄清公告）为准。按本款前述规定仍不能形成结论的，由采购人或者采购代理机构负责解释。</w:t>
            </w:r>
          </w:p>
        </w:tc>
      </w:tr>
      <w:tr w14:paraId="2AA8F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895" w:type="dxa"/>
            <w:tcBorders>
              <w:top w:val="single" w:color="auto" w:sz="4" w:space="0"/>
              <w:left w:val="single" w:color="auto" w:sz="4" w:space="0"/>
              <w:bottom w:val="single" w:color="auto" w:sz="4" w:space="0"/>
              <w:right w:val="single" w:color="auto" w:sz="4" w:space="0"/>
            </w:tcBorders>
            <w:vAlign w:val="center"/>
          </w:tcPr>
          <w:p w14:paraId="5F73C6C8">
            <w:pPr>
              <w:snapToGrid w:val="0"/>
              <w:spacing w:line="360" w:lineRule="auto"/>
              <w:jc w:val="center"/>
              <w:rPr>
                <w:rFonts w:ascii="宋体" w:hAnsi="宋体" w:cs="宋体"/>
                <w:sz w:val="24"/>
              </w:rPr>
            </w:pPr>
            <w:r>
              <w:rPr>
                <w:rFonts w:hint="eastAsia" w:ascii="宋体" w:hAnsi="宋体" w:cs="宋体"/>
                <w:sz w:val="24"/>
              </w:rPr>
              <w:t>40.2</w:t>
            </w:r>
          </w:p>
        </w:tc>
        <w:tc>
          <w:tcPr>
            <w:tcW w:w="8708" w:type="dxa"/>
            <w:tcBorders>
              <w:top w:val="single" w:color="auto" w:sz="4" w:space="0"/>
              <w:left w:val="single" w:color="auto" w:sz="4" w:space="0"/>
              <w:bottom w:val="single" w:color="auto" w:sz="4" w:space="0"/>
              <w:right w:val="single" w:color="auto" w:sz="4" w:space="0"/>
            </w:tcBorders>
            <w:vAlign w:val="center"/>
          </w:tcPr>
          <w:p w14:paraId="457657E1">
            <w:pPr>
              <w:pStyle w:val="26"/>
              <w:snapToGrid w:val="0"/>
              <w:spacing w:line="360" w:lineRule="auto"/>
              <w:rPr>
                <w:rFonts w:hAnsi="宋体" w:cs="宋体"/>
                <w:bCs/>
                <w:sz w:val="24"/>
                <w:szCs w:val="24"/>
              </w:rPr>
            </w:pPr>
            <w:r>
              <w:rPr>
                <w:rFonts w:hint="eastAsia" w:hAnsi="宋体" w:cs="宋体"/>
                <w:bCs/>
                <w:sz w:val="24"/>
                <w:szCs w:val="24"/>
              </w:rPr>
              <w:t>1.本招标文件中描述投标人的“公章”是指根据我国对公章的管理规定，用投标人法定主体名称制作的印章</w:t>
            </w:r>
            <w:r>
              <w:rPr>
                <w:rFonts w:hint="eastAsia" w:hAnsi="宋体" w:cs="宋体"/>
                <w:sz w:val="24"/>
                <w:szCs w:val="24"/>
              </w:rPr>
              <w:t>或投标人通过指定电子化政府采购平台办理数字证书（CA认证）获得的以法定主体名称制作的电子印章。</w:t>
            </w:r>
            <w:r>
              <w:rPr>
                <w:rFonts w:hint="eastAsia" w:hAnsi="宋体" w:cs="宋体"/>
                <w:bCs/>
                <w:sz w:val="24"/>
                <w:szCs w:val="24"/>
              </w:rPr>
              <w:t>除本招标文件有特殊规定外，投标人的财务章、部门章、分公司章、工会章、合同章、投标专用章、业务专用章及银行的转账章、现金收讫章、现金付讫章等其他形式印章均不能代替公章。</w:t>
            </w:r>
          </w:p>
          <w:p w14:paraId="146ADAD0">
            <w:pPr>
              <w:pStyle w:val="26"/>
              <w:snapToGrid w:val="0"/>
              <w:spacing w:line="360" w:lineRule="auto"/>
              <w:rPr>
                <w:rFonts w:hAnsi="宋体" w:cs="宋体"/>
                <w:bCs/>
                <w:sz w:val="24"/>
                <w:szCs w:val="24"/>
              </w:rPr>
            </w:pPr>
            <w:r>
              <w:rPr>
                <w:rFonts w:hint="eastAsia" w:hAnsi="宋体" w:cs="宋体"/>
                <w:bCs/>
                <w:sz w:val="24"/>
                <w:szCs w:val="24"/>
              </w:rPr>
              <w:t>2.投标人为其他组织或者自然人时，本招标文件规定的法定代表人指负责人或者自然人。本招标文件所称负责人是指参加投标的其他组织营业执照或者执业许可证等证照上的负责人，本招标文件所称自然人指参与投标的自然人本人，且应具备独立承担民事责任能力，自然人应当为年满18岁以上成年人（十六周岁以上的未成年人，以自己的劳动收入为主要生活来源的，视为完全民事行为能力人）。</w:t>
            </w:r>
          </w:p>
          <w:p w14:paraId="794776F7">
            <w:pPr>
              <w:pStyle w:val="26"/>
              <w:snapToGrid w:val="0"/>
              <w:spacing w:line="360" w:lineRule="auto"/>
              <w:rPr>
                <w:rFonts w:hAnsi="宋体" w:cs="宋体"/>
                <w:bCs/>
                <w:sz w:val="24"/>
                <w:szCs w:val="24"/>
              </w:rPr>
            </w:pPr>
            <w:r>
              <w:rPr>
                <w:rFonts w:hint="eastAsia" w:hAnsi="宋体" w:cs="宋体"/>
                <w:bCs/>
                <w:sz w:val="24"/>
                <w:szCs w:val="24"/>
              </w:rPr>
              <w:t>3.本招标文件中描述投标人的“签字”是指投标人的法定代表人或者委托代理人</w:t>
            </w:r>
            <w:r>
              <w:rPr>
                <w:rFonts w:hint="eastAsia" w:hAnsi="宋体" w:cs="宋体"/>
                <w:sz w:val="24"/>
                <w:szCs w:val="24"/>
              </w:rPr>
              <w:t>在文件规定签署处签名或者指投标人通过指定电子化政府采购平台办理数字证书（CA认证）获得的以投标人法定代表人或者委托代理人姓名制作的电子印章签名的行为，私章、印鉴等其他形式均不能代替签字</w:t>
            </w:r>
            <w:r>
              <w:rPr>
                <w:rFonts w:hint="eastAsia" w:hAnsi="宋体" w:cs="宋体"/>
                <w:bCs/>
                <w:sz w:val="24"/>
                <w:szCs w:val="24"/>
              </w:rPr>
              <w:t>。</w:t>
            </w:r>
          </w:p>
          <w:p w14:paraId="49C12A1A">
            <w:pPr>
              <w:pStyle w:val="26"/>
              <w:snapToGrid w:val="0"/>
              <w:spacing w:line="360" w:lineRule="auto"/>
              <w:rPr>
                <w:rFonts w:hAnsi="宋体" w:cs="宋体"/>
                <w:bCs/>
                <w:sz w:val="24"/>
                <w:szCs w:val="24"/>
              </w:rPr>
            </w:pPr>
            <w:r>
              <w:rPr>
                <w:rFonts w:hint="eastAsia" w:hAnsi="宋体" w:cs="宋体"/>
                <w:bCs/>
                <w:sz w:val="24"/>
                <w:szCs w:val="24"/>
              </w:rPr>
              <w:t>4.本招标文件所称的“电子签章”“电子签名”，是指经广西政府采购云平台认可的CA认证的电子签名数据为表现形式的印章，可用于签署电子响应文件，电子印章与实物印章具有同等法律效力，不因其采用电子化表现形式而否定其法律效力。</w:t>
            </w:r>
          </w:p>
          <w:p w14:paraId="35FBE77F">
            <w:pPr>
              <w:pStyle w:val="26"/>
              <w:snapToGrid w:val="0"/>
              <w:spacing w:line="360" w:lineRule="auto"/>
              <w:rPr>
                <w:rFonts w:hAnsi="宋体" w:cs="宋体"/>
                <w:bCs/>
                <w:sz w:val="24"/>
                <w:szCs w:val="24"/>
              </w:rPr>
            </w:pPr>
            <w:r>
              <w:rPr>
                <w:rFonts w:hAnsi="宋体" w:cs="宋体"/>
                <w:bCs/>
                <w:sz w:val="24"/>
                <w:szCs w:val="24"/>
              </w:rPr>
              <w:t>5</w:t>
            </w:r>
            <w:r>
              <w:rPr>
                <w:rFonts w:hint="eastAsia" w:hAnsi="宋体" w:cs="宋体"/>
                <w:bCs/>
                <w:sz w:val="24"/>
                <w:szCs w:val="24"/>
              </w:rPr>
              <w:t>.自然人投标的，招标文件规定盖公章处由自然人摁手指指印。</w:t>
            </w:r>
          </w:p>
          <w:p w14:paraId="0CB40AE4">
            <w:pPr>
              <w:spacing w:line="360" w:lineRule="auto"/>
              <w:jc w:val="left"/>
              <w:rPr>
                <w:rFonts w:ascii="宋体" w:hAnsi="宋体" w:cs="宋体"/>
                <w:sz w:val="24"/>
              </w:rPr>
            </w:pPr>
            <w:r>
              <w:rPr>
                <w:rFonts w:ascii="宋体" w:hAnsi="宋体" w:cs="宋体"/>
                <w:bCs/>
                <w:sz w:val="24"/>
              </w:rPr>
              <w:t>6</w:t>
            </w:r>
            <w:r>
              <w:rPr>
                <w:rFonts w:hint="eastAsia" w:ascii="宋体" w:hAnsi="宋体" w:cs="宋体"/>
                <w:bCs/>
                <w:sz w:val="24"/>
              </w:rPr>
              <w:t>.本招标文件所称的“以上”“以下”“以内”“届满”，包括本数；所称的“不满”“超过”“以外”，不包括本数。</w:t>
            </w:r>
          </w:p>
        </w:tc>
      </w:tr>
    </w:tbl>
    <w:p w14:paraId="46473900">
      <w:pPr>
        <w:snapToGrid w:val="0"/>
        <w:rPr>
          <w:rFonts w:ascii="宋体" w:hAnsi="宋体" w:cs="宋体"/>
          <w:sz w:val="24"/>
          <w:szCs w:val="20"/>
        </w:rPr>
      </w:pPr>
    </w:p>
    <w:p w14:paraId="02FB6A35">
      <w:pPr>
        <w:rPr>
          <w:rFonts w:ascii="宋体" w:hAnsi="宋体" w:cs="宋体"/>
        </w:rPr>
      </w:pPr>
      <w:r>
        <w:rPr>
          <w:rFonts w:hint="eastAsia" w:ascii="宋体" w:hAnsi="宋体" w:cs="宋体"/>
        </w:rPr>
        <w:br w:type="page"/>
      </w:r>
    </w:p>
    <w:p w14:paraId="378D85CF">
      <w:pPr>
        <w:pStyle w:val="5"/>
        <w:keepNext w:val="0"/>
        <w:keepLines w:val="0"/>
        <w:jc w:val="center"/>
        <w:rPr>
          <w:rFonts w:ascii="宋体" w:hAnsi="宋体" w:cs="宋体"/>
        </w:rPr>
      </w:pPr>
      <w:r>
        <w:rPr>
          <w:rFonts w:hint="eastAsia" w:ascii="宋体" w:hAnsi="宋体" w:cs="宋体"/>
        </w:rPr>
        <w:t>投标人须知正文</w:t>
      </w:r>
    </w:p>
    <w:p w14:paraId="7585C29C">
      <w:pPr>
        <w:pStyle w:val="5"/>
        <w:keepNext w:val="0"/>
        <w:keepLines w:val="0"/>
        <w:jc w:val="center"/>
        <w:rPr>
          <w:rFonts w:ascii="宋体" w:hAnsi="宋体" w:cs="宋体"/>
        </w:rPr>
      </w:pPr>
      <w:r>
        <w:rPr>
          <w:rFonts w:hint="eastAsia" w:ascii="宋体" w:hAnsi="宋体" w:cs="宋体"/>
        </w:rPr>
        <w:t>一、总  则</w:t>
      </w:r>
    </w:p>
    <w:p w14:paraId="74248BA2">
      <w:pPr>
        <w:pStyle w:val="7"/>
        <w:keepNext w:val="0"/>
        <w:keepLines w:val="0"/>
        <w:spacing w:before="0" w:after="0" w:line="360" w:lineRule="auto"/>
        <w:ind w:left="420" w:leftChars="200"/>
        <w:rPr>
          <w:rFonts w:ascii="宋体" w:hAnsi="宋体" w:cs="宋体"/>
          <w:sz w:val="24"/>
        </w:rPr>
      </w:pPr>
      <w:bookmarkStart w:id="85" w:name="_Toc254970527"/>
      <w:bookmarkStart w:id="86" w:name="_Toc254970668"/>
      <w:r>
        <w:rPr>
          <w:rFonts w:hint="eastAsia" w:ascii="宋体" w:hAnsi="宋体" w:cs="宋体"/>
          <w:sz w:val="24"/>
        </w:rPr>
        <w:t>1.适用范围</w:t>
      </w:r>
      <w:bookmarkEnd w:id="85"/>
      <w:bookmarkEnd w:id="86"/>
    </w:p>
    <w:p w14:paraId="0FDF4096">
      <w:pPr>
        <w:snapToGrid w:val="0"/>
        <w:spacing w:line="360" w:lineRule="auto"/>
        <w:ind w:firstLine="480" w:firstLineChars="200"/>
        <w:jc w:val="left"/>
        <w:rPr>
          <w:rFonts w:ascii="宋体" w:hAnsi="宋体" w:cs="宋体"/>
          <w:sz w:val="24"/>
        </w:rPr>
      </w:pPr>
      <w:r>
        <w:rPr>
          <w:rFonts w:hint="eastAsia" w:ascii="宋体" w:hAnsi="宋体" w:cs="宋体"/>
          <w:sz w:val="24"/>
        </w:rPr>
        <w:t>1.1适用法律：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14:paraId="3DBF592C">
      <w:pPr>
        <w:snapToGrid w:val="0"/>
        <w:spacing w:line="360" w:lineRule="auto"/>
        <w:ind w:firstLine="480" w:firstLineChars="200"/>
        <w:jc w:val="left"/>
        <w:rPr>
          <w:rFonts w:ascii="宋体" w:hAnsi="宋体" w:cs="宋体"/>
          <w:sz w:val="24"/>
        </w:rPr>
      </w:pPr>
      <w:r>
        <w:rPr>
          <w:rFonts w:hint="eastAsia" w:ascii="宋体" w:hAnsi="宋体" w:cs="宋体"/>
          <w:sz w:val="24"/>
        </w:rPr>
        <w:t>1.2本招标文件</w:t>
      </w:r>
      <w:r>
        <w:rPr>
          <w:rFonts w:hint="eastAsia" w:ascii="宋体" w:hAnsi="宋体" w:cs="宋体"/>
          <w:spacing w:val="-6"/>
          <w:sz w:val="24"/>
        </w:rPr>
        <w:t>适用于本项目的所有采购程序和环节（法律、法规另有规定的，从其规定）。</w:t>
      </w:r>
    </w:p>
    <w:p w14:paraId="23A66289">
      <w:pPr>
        <w:pStyle w:val="7"/>
        <w:keepNext w:val="0"/>
        <w:keepLines w:val="0"/>
        <w:numPr>
          <w:ilvl w:val="0"/>
          <w:numId w:val="0"/>
        </w:numPr>
        <w:spacing w:before="0" w:after="0" w:line="360" w:lineRule="auto"/>
        <w:ind w:left="420" w:leftChars="200"/>
        <w:rPr>
          <w:rFonts w:ascii="宋体" w:hAnsi="宋体" w:cs="宋体"/>
          <w:sz w:val="24"/>
        </w:rPr>
      </w:pPr>
      <w:bookmarkStart w:id="87" w:name="_Toc254970669"/>
      <w:bookmarkStart w:id="88" w:name="_Toc254970528"/>
      <w:r>
        <w:rPr>
          <w:rFonts w:hint="eastAsia" w:ascii="宋体" w:hAnsi="宋体" w:cs="宋体"/>
          <w:sz w:val="24"/>
        </w:rPr>
        <w:t>2.定义</w:t>
      </w:r>
      <w:bookmarkEnd w:id="87"/>
      <w:bookmarkEnd w:id="88"/>
    </w:p>
    <w:p w14:paraId="57D29573">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2.1“采购人”是指依法进行政府采购的国家机关、事业单位、团体组织。</w:t>
      </w:r>
    </w:p>
    <w:p w14:paraId="3EAD698C">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2.2“采购代理机构”是指政府采购集中采购机构和集中采购机构以外的采购代理机构。2.3“供应商”是指向采购人提供货物、工程或者服务的法人、其他组织或者自然人。</w:t>
      </w:r>
    </w:p>
    <w:p w14:paraId="2AFB2718">
      <w:pPr>
        <w:pStyle w:val="8"/>
        <w:spacing w:line="360" w:lineRule="auto"/>
        <w:ind w:firstLine="480" w:firstLineChars="200"/>
        <w:rPr>
          <w:rFonts w:ascii="宋体" w:hAnsi="宋体" w:cs="宋体"/>
          <w:sz w:val="24"/>
          <w:szCs w:val="24"/>
        </w:rPr>
      </w:pPr>
      <w:r>
        <w:rPr>
          <w:rFonts w:hint="eastAsia" w:ascii="宋体" w:hAnsi="宋体" w:cs="宋体"/>
          <w:sz w:val="24"/>
          <w:szCs w:val="24"/>
        </w:rPr>
        <w:t>2.4“投标人”是指响应招标、参加投标竞争的法人、其他组织或者自然人。</w:t>
      </w:r>
    </w:p>
    <w:p w14:paraId="36FF08D5">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2.5“货物”是指各种形态和种类的物品，包括原材料、燃料、设备、产品等。</w:t>
      </w:r>
    </w:p>
    <w:p w14:paraId="67C0AF16">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2.6“售后服务” 是指商品出售以后所提供的各种服务，包含但不限于投标人须承担的备品备件、包装、运输、装卸、保险、货到就位以及安装、调试、培训、保修以及其他各种服务。</w:t>
      </w:r>
    </w:p>
    <w:p w14:paraId="72AD1929">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2.7“书面形式”是指合同书、信件和数据电文（包括电报、电传、传真、电子数据交换和电子邮件）等可以有形地表现所载内容的形式。</w:t>
      </w:r>
    </w:p>
    <w:p w14:paraId="47AFB3D5">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2.8“实质性要求”是指招标文件中已经指明不满足则投标无效的条款，或者不容许负偏离的条款，或者采购需求中带“▲”的条款。</w:t>
      </w:r>
    </w:p>
    <w:p w14:paraId="5A4F6E33">
      <w:pPr>
        <w:snapToGrid w:val="0"/>
        <w:spacing w:line="360" w:lineRule="auto"/>
        <w:ind w:firstLine="480" w:firstLineChars="200"/>
        <w:jc w:val="left"/>
        <w:rPr>
          <w:rFonts w:ascii="宋体" w:hAnsi="宋体" w:cs="宋体"/>
          <w:sz w:val="24"/>
        </w:rPr>
      </w:pPr>
      <w:r>
        <w:rPr>
          <w:rFonts w:hint="eastAsia" w:ascii="宋体" w:hAnsi="宋体" w:cs="宋体"/>
          <w:sz w:val="24"/>
        </w:rPr>
        <w:t>2.9 “正偏离”，是指投标文件对招标文件“采购需求”中有关条款作出的响应优于条款要求并有利于采购人的情形。</w:t>
      </w:r>
    </w:p>
    <w:p w14:paraId="0272C749">
      <w:pPr>
        <w:snapToGrid w:val="0"/>
        <w:spacing w:line="360" w:lineRule="auto"/>
        <w:ind w:firstLine="480" w:firstLineChars="200"/>
        <w:jc w:val="left"/>
        <w:rPr>
          <w:rFonts w:ascii="宋体" w:hAnsi="宋体" w:cs="宋体"/>
          <w:sz w:val="24"/>
        </w:rPr>
      </w:pPr>
      <w:r>
        <w:rPr>
          <w:rFonts w:hint="eastAsia" w:ascii="宋体" w:hAnsi="宋体" w:cs="宋体"/>
          <w:sz w:val="24"/>
        </w:rPr>
        <w:t>2.10“负偏离”，是指投标文件对招标文件“采购需求”中有关条款作出的响应不满足条款要求，导致采购人要求不能得到满足的情形。</w:t>
      </w:r>
    </w:p>
    <w:p w14:paraId="708DFDB0">
      <w:pPr>
        <w:snapToGrid w:val="0"/>
        <w:spacing w:line="360" w:lineRule="auto"/>
        <w:ind w:firstLine="480" w:firstLineChars="200"/>
        <w:jc w:val="left"/>
        <w:rPr>
          <w:rFonts w:ascii="宋体" w:hAnsi="宋体" w:cs="宋体"/>
          <w:sz w:val="24"/>
        </w:rPr>
      </w:pPr>
      <w:r>
        <w:rPr>
          <w:rFonts w:hint="eastAsia" w:ascii="宋体" w:hAnsi="宋体" w:cs="宋体"/>
          <w:sz w:val="24"/>
        </w:rPr>
        <w:t>2.11“允许负偏离的条款”是指采购需求中的不属于“实质性要求”的条款。</w:t>
      </w:r>
      <w:bookmarkStart w:id="89" w:name="_Toc254970529"/>
      <w:bookmarkStart w:id="90" w:name="_Toc254970670"/>
    </w:p>
    <w:p w14:paraId="741590AF">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w:t>
      </w:r>
      <w:bookmarkEnd w:id="89"/>
      <w:bookmarkEnd w:id="90"/>
      <w:r>
        <w:rPr>
          <w:rFonts w:hint="eastAsia" w:ascii="宋体" w:hAnsi="宋体" w:cs="宋体"/>
          <w:sz w:val="24"/>
        </w:rPr>
        <w:t>投标人的资格要求</w:t>
      </w:r>
    </w:p>
    <w:p w14:paraId="17AB4B6A">
      <w:pPr>
        <w:snapToGrid w:val="0"/>
        <w:spacing w:line="360" w:lineRule="auto"/>
        <w:ind w:firstLine="420" w:firstLineChars="175"/>
        <w:jc w:val="left"/>
        <w:rPr>
          <w:rFonts w:ascii="宋体" w:hAnsi="宋体" w:cs="宋体"/>
          <w:sz w:val="24"/>
        </w:rPr>
      </w:pPr>
      <w:r>
        <w:rPr>
          <w:rFonts w:hint="eastAsia" w:ascii="宋体" w:hAnsi="宋体" w:cs="宋体"/>
          <w:sz w:val="24"/>
        </w:rPr>
        <w:t>投标人的资格要求详见“投标人须知前附表”。</w:t>
      </w:r>
    </w:p>
    <w:p w14:paraId="26E1DB39">
      <w:pPr>
        <w:pStyle w:val="7"/>
        <w:keepNext w:val="0"/>
        <w:keepLines w:val="0"/>
        <w:spacing w:before="0" w:after="0" w:line="360" w:lineRule="auto"/>
        <w:ind w:left="420" w:leftChars="200"/>
        <w:rPr>
          <w:rFonts w:ascii="宋体" w:hAnsi="宋体" w:cs="宋体"/>
          <w:sz w:val="24"/>
        </w:rPr>
      </w:pPr>
      <w:bookmarkStart w:id="91" w:name="_Toc254970671"/>
      <w:bookmarkStart w:id="92" w:name="_Toc254970530"/>
      <w:r>
        <w:rPr>
          <w:rFonts w:hint="eastAsia" w:ascii="宋体" w:hAnsi="宋体" w:cs="宋体"/>
          <w:sz w:val="24"/>
        </w:rPr>
        <w:t>4.投标委托</w:t>
      </w:r>
      <w:bookmarkEnd w:id="91"/>
      <w:bookmarkEnd w:id="92"/>
    </w:p>
    <w:p w14:paraId="3EABDB2C">
      <w:pPr>
        <w:snapToGrid w:val="0"/>
        <w:spacing w:line="360" w:lineRule="auto"/>
        <w:ind w:firstLine="420" w:firstLineChars="175"/>
        <w:jc w:val="left"/>
        <w:rPr>
          <w:rFonts w:ascii="宋体" w:hAnsi="宋体" w:cs="宋体"/>
          <w:sz w:val="24"/>
        </w:rPr>
      </w:pPr>
      <w:r>
        <w:rPr>
          <w:rFonts w:hint="eastAsia" w:ascii="宋体" w:hAnsi="宋体" w:cs="宋体"/>
          <w:sz w:val="24"/>
        </w:rPr>
        <w:t>投标人代表参加投标活动过程中必须提供个人有效身份证件。如投标人代表不是法定代表人，须持有授权委托书（按第六章要求格式填写）。</w:t>
      </w:r>
    </w:p>
    <w:p w14:paraId="5231C94D">
      <w:pPr>
        <w:pStyle w:val="7"/>
        <w:keepNext w:val="0"/>
        <w:keepLines w:val="0"/>
        <w:spacing w:before="0" w:after="0" w:line="360" w:lineRule="auto"/>
        <w:ind w:left="420" w:leftChars="200"/>
        <w:rPr>
          <w:rFonts w:ascii="宋体" w:hAnsi="宋体" w:cs="宋体"/>
          <w:sz w:val="24"/>
        </w:rPr>
      </w:pPr>
      <w:bookmarkStart w:id="93" w:name="_5.投标费用"/>
      <w:bookmarkEnd w:id="93"/>
      <w:bookmarkStart w:id="94" w:name="_Toc254970672"/>
      <w:bookmarkStart w:id="95" w:name="_Toc254970531"/>
      <w:r>
        <w:rPr>
          <w:rFonts w:hint="eastAsia" w:ascii="宋体" w:hAnsi="宋体" w:cs="宋体"/>
          <w:sz w:val="24"/>
        </w:rPr>
        <w:t>5.投标费用</w:t>
      </w:r>
      <w:bookmarkEnd w:id="94"/>
      <w:bookmarkEnd w:id="95"/>
    </w:p>
    <w:p w14:paraId="26D996EA">
      <w:pPr>
        <w:snapToGrid w:val="0"/>
        <w:spacing w:line="360" w:lineRule="auto"/>
        <w:ind w:firstLine="480" w:firstLineChars="200"/>
        <w:jc w:val="left"/>
        <w:rPr>
          <w:rFonts w:ascii="宋体" w:hAnsi="宋体" w:cs="宋体"/>
          <w:sz w:val="24"/>
        </w:rPr>
      </w:pPr>
      <w:r>
        <w:rPr>
          <w:rFonts w:hint="eastAsia" w:ascii="宋体" w:hAnsi="宋体" w:cs="宋体"/>
          <w:sz w:val="24"/>
        </w:rPr>
        <w:t>投标费用：投标人应承担参与本次采购活动有关的所有费用，包括但不限于获取招标文件、勘查现场、编制和提交投标文件、参加澄清说明、签订合同等，不论投标结果如何，均应自行承担。</w:t>
      </w:r>
    </w:p>
    <w:p w14:paraId="5482DE77">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6.联合体投标</w:t>
      </w:r>
    </w:p>
    <w:p w14:paraId="6D60EBBA">
      <w:pPr>
        <w:snapToGrid w:val="0"/>
        <w:spacing w:line="360" w:lineRule="auto"/>
        <w:ind w:firstLine="480" w:firstLineChars="200"/>
        <w:jc w:val="left"/>
        <w:rPr>
          <w:rFonts w:ascii="宋体" w:hAnsi="宋体" w:cs="宋体"/>
          <w:sz w:val="24"/>
        </w:rPr>
      </w:pPr>
      <w:r>
        <w:rPr>
          <w:rFonts w:hint="eastAsia" w:ascii="宋体" w:hAnsi="宋体" w:cs="宋体"/>
          <w:sz w:val="24"/>
        </w:rPr>
        <w:t>6.1本项目是否接受联合体投标，详见“投标人须知前附表”。</w:t>
      </w:r>
    </w:p>
    <w:p w14:paraId="25575EE7">
      <w:pPr>
        <w:snapToGrid w:val="0"/>
        <w:spacing w:line="360" w:lineRule="auto"/>
        <w:ind w:firstLine="480" w:firstLineChars="200"/>
        <w:jc w:val="left"/>
        <w:rPr>
          <w:rFonts w:ascii="宋体" w:hAnsi="宋体" w:cs="宋体"/>
          <w:bCs/>
          <w:sz w:val="24"/>
        </w:rPr>
      </w:pPr>
      <w:r>
        <w:rPr>
          <w:rFonts w:hint="eastAsia" w:ascii="宋体" w:hAnsi="宋体" w:cs="宋体"/>
          <w:bCs/>
          <w:sz w:val="24"/>
        </w:rPr>
        <w:t>6.2如接受联合体投标，联合体投标要求详见“投标人须知前附表”。</w:t>
      </w:r>
    </w:p>
    <w:p w14:paraId="08D4BCC7">
      <w:pPr>
        <w:pStyle w:val="7"/>
        <w:keepNext w:val="0"/>
        <w:keepLines w:val="0"/>
        <w:spacing w:before="0" w:after="0" w:line="360" w:lineRule="auto"/>
        <w:ind w:firstLine="484" w:firstLineChars="202"/>
        <w:rPr>
          <w:rFonts w:ascii="宋体" w:hAnsi="宋体" w:cs="宋体"/>
          <w:sz w:val="24"/>
        </w:rPr>
      </w:pPr>
      <w:r>
        <w:rPr>
          <w:rFonts w:hint="eastAsia" w:ascii="宋体" w:hAnsi="宋体" w:cs="宋体"/>
          <w:b w:val="0"/>
          <w:bCs/>
          <w:sz w:val="24"/>
        </w:rPr>
        <w:t xml:space="preserve">6.3 </w:t>
      </w:r>
      <w:bookmarkStart w:id="96" w:name="_Hlk65857072"/>
      <w:r>
        <w:rPr>
          <w:rFonts w:hint="eastAsia" w:ascii="宋体" w:hAnsi="宋体" w:cs="宋体"/>
          <w:b w:val="0"/>
          <w:bCs/>
          <w:sz w:val="24"/>
        </w:rPr>
        <w:t>根据《政府采购促进中小企业发展管理办法》（财库〔2020〕46号）及《广西壮族自治区财政厅关于持续优化政府采购营商环境推动高质量发展的通知》（桂财采〔2024〕55号）的规定，大中型企业与小微企业组成联合体或者大中型企业向小微企业分包的，评审优惠6%。政府采购工程的价格评审优惠按照财库〔2020〕46号文件的规定执行，用扣除后的价格参加评审。</w:t>
      </w:r>
      <w:bookmarkEnd w:id="96"/>
    </w:p>
    <w:p w14:paraId="5BCAFC0D">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 xml:space="preserve">7.转包与分包             </w:t>
      </w:r>
    </w:p>
    <w:p w14:paraId="1FCBDDA6">
      <w:pPr>
        <w:pStyle w:val="7"/>
        <w:keepNext w:val="0"/>
        <w:keepLines w:val="0"/>
        <w:numPr>
          <w:ilvl w:val="0"/>
          <w:numId w:val="0"/>
        </w:numPr>
        <w:spacing w:before="0" w:after="0" w:line="360" w:lineRule="auto"/>
        <w:ind w:firstLine="420" w:firstLineChars="175"/>
        <w:rPr>
          <w:rFonts w:ascii="宋体" w:hAnsi="宋体" w:cs="宋体"/>
          <w:b w:val="0"/>
          <w:sz w:val="24"/>
        </w:rPr>
      </w:pPr>
      <w:r>
        <w:rPr>
          <w:rFonts w:hint="eastAsia" w:ascii="宋体" w:hAnsi="宋体" w:cs="宋体"/>
          <w:b w:val="0"/>
          <w:sz w:val="24"/>
        </w:rPr>
        <w:t>7.1本项目不允许转包。</w:t>
      </w:r>
    </w:p>
    <w:p w14:paraId="61284ACD">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7.2本项目是否允许分包详见“投标人须知前附表”，本项目不允许违法分包。允许分包的非主体、非关键性工作，根据法律法规规定承担该工作需要行政许可的，如该工作由投标人自行承担，投标人应具备相应的行政许可，如投标人不具备相应的行政许可必须采用分包的方式，但分包投标人应具备相应行政许可。</w:t>
      </w:r>
    </w:p>
    <w:p w14:paraId="1A79793A">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7.3投标人根据招标文件的规定和采购项目的实际情况，拟在中标后将中标项目的非主体、非关键性工作分包的，应当在投标文件中载明分包承担主体，分包承担主体应当具备相应资质条件且不得再次分包。</w:t>
      </w:r>
    </w:p>
    <w:p w14:paraId="05B6E015">
      <w:pPr>
        <w:pStyle w:val="7"/>
        <w:keepNext w:val="0"/>
        <w:keepLines w:val="0"/>
        <w:spacing w:before="0" w:after="0" w:line="360" w:lineRule="auto"/>
        <w:ind w:left="420" w:leftChars="200"/>
        <w:rPr>
          <w:rFonts w:ascii="宋体" w:hAnsi="宋体" w:cs="宋体"/>
          <w:sz w:val="24"/>
        </w:rPr>
      </w:pPr>
      <w:bookmarkStart w:id="97" w:name="_Toc254970532"/>
      <w:bookmarkStart w:id="98" w:name="_Toc254970673"/>
      <w:r>
        <w:rPr>
          <w:rFonts w:hint="eastAsia" w:ascii="宋体" w:hAnsi="宋体" w:cs="宋体"/>
          <w:sz w:val="24"/>
        </w:rPr>
        <w:t>8.特别说明</w:t>
      </w:r>
      <w:bookmarkEnd w:id="97"/>
      <w:bookmarkEnd w:id="98"/>
    </w:p>
    <w:p w14:paraId="014886EC">
      <w:pPr>
        <w:pStyle w:val="7"/>
        <w:keepNext w:val="0"/>
        <w:keepLines w:val="0"/>
        <w:spacing w:before="0" w:after="0" w:line="360" w:lineRule="auto"/>
        <w:ind w:firstLine="480" w:firstLineChars="200"/>
        <w:rPr>
          <w:rFonts w:ascii="宋体" w:hAnsi="宋体" w:cs="宋体"/>
          <w:b w:val="0"/>
          <w:sz w:val="24"/>
        </w:rPr>
      </w:pPr>
      <w:bookmarkStart w:id="99" w:name="_8.1提供相同品牌产品且通过资格审查、符合性审查的不同投标人参加同一合"/>
      <w:bookmarkEnd w:id="99"/>
      <w:r>
        <w:rPr>
          <w:rFonts w:hint="eastAsia" w:ascii="宋体" w:hAnsi="宋体" w:cs="宋体"/>
          <w:b w:val="0"/>
          <w:sz w:val="24"/>
        </w:rPr>
        <w:fldChar w:fldCharType="begin"/>
      </w:r>
      <w:r>
        <w:rPr>
          <w:rFonts w:hint="eastAsia" w:ascii="宋体" w:hAnsi="宋体" w:cs="宋体"/>
          <w:b w:val="0"/>
          <w:sz w:val="24"/>
        </w:rPr>
        <w:instrText xml:space="preserve"> HYPERLINK  \l "_8.1" </w:instrText>
      </w:r>
      <w:r>
        <w:rPr>
          <w:rFonts w:hint="eastAsia" w:ascii="宋体" w:hAnsi="宋体" w:cs="宋体"/>
          <w:b w:val="0"/>
          <w:sz w:val="24"/>
        </w:rPr>
        <w:fldChar w:fldCharType="separate"/>
      </w:r>
      <w:r>
        <w:rPr>
          <w:rFonts w:hint="eastAsia" w:ascii="宋体" w:hAnsi="宋体" w:cs="宋体"/>
          <w:b w:val="0"/>
          <w:sz w:val="24"/>
        </w:rPr>
        <w:t>8.1</w:t>
      </w:r>
      <w:r>
        <w:rPr>
          <w:rFonts w:hint="eastAsia" w:ascii="宋体" w:hAnsi="宋体" w:cs="宋体"/>
          <w:b w:val="0"/>
          <w:sz w:val="24"/>
        </w:rPr>
        <w:fldChar w:fldCharType="end"/>
      </w:r>
      <w:r>
        <w:rPr>
          <w:rFonts w:hint="eastAsia" w:ascii="宋体" w:hAnsi="宋体" w:cs="宋体"/>
          <w:b w:val="0"/>
          <w:sz w:val="24"/>
        </w:rPr>
        <w:t>采用最低评标价法的采购项目，提供相同品牌产品的不同投标人参加同一合同项下投标的，以其中通过资格审查、符合性审查且报价最低的参加评标；报价相同的，由采购人或者采购人委托评标委员会按照“投标人须知前附表”规定的方式确定一个参加评标的投标人，</w:t>
      </w:r>
      <w:r>
        <w:rPr>
          <w:rFonts w:hint="eastAsia" w:ascii="宋体" w:hAnsi="宋体" w:cs="宋体"/>
          <w:sz w:val="24"/>
        </w:rPr>
        <w:t>其他投标无效。</w:t>
      </w:r>
    </w:p>
    <w:p w14:paraId="126FAB22">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作为中标候选人。</w:t>
      </w:r>
    </w:p>
    <w:p w14:paraId="4D1F491C">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非单一产品采购项目，多家投标人提供的核心产品品牌相同的，</w:t>
      </w:r>
      <w:r>
        <w:rPr>
          <w:rFonts w:hint="eastAsia" w:hAnsi="宋体" w:cs="宋体"/>
          <w:sz w:val="24"/>
          <w:szCs w:val="24"/>
        </w:rPr>
        <w:t>按前两款规定处理</w:t>
      </w:r>
      <w:r>
        <w:rPr>
          <w:rFonts w:hint="eastAsia" w:hAnsi="宋体" w:cs="宋体"/>
          <w:kern w:val="2"/>
          <w:sz w:val="24"/>
          <w:szCs w:val="24"/>
        </w:rPr>
        <w:t>。</w:t>
      </w:r>
    </w:p>
    <w:p w14:paraId="325E928D">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 xml:space="preserve"> 8.2如果本招标文件要求提供投标人或制造商的资格、信誉、荣誉、业绩与企业认证等材料的，资格、信誉、荣誉、业绩与企业认证等必须为投标人或者制造商所拥有或自身获得 。</w:t>
      </w:r>
    </w:p>
    <w:p w14:paraId="10E2EEB9">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 xml:space="preserve"> 8.3投标人应仔细阅读招标文件的所有内容，按照招标文件的要求提交投标文件，并对所提供的全部资料的真实性承担法律责任。</w:t>
      </w:r>
    </w:p>
    <w:p w14:paraId="0393FE8C">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 xml:space="preserve"> 8.4投标人在投标活动中提供任何虚假材料，将报监管部门查处；中标后发现的，中标人须依法赔偿采购人，且民事赔偿并不免除违法投标人的行政与刑事责任。</w:t>
      </w:r>
    </w:p>
    <w:p w14:paraId="7F7E4C58">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8.5根据《国务院办公厅关于在政府采购中实施本国产品标准及相关政策的通知》（国办发〔2025〕34 号）的规定，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E042427">
      <w:pPr>
        <w:pStyle w:val="8"/>
        <w:spacing w:line="360" w:lineRule="auto"/>
        <w:jc w:val="left"/>
        <w:rPr>
          <w:rFonts w:ascii="宋体" w:hAnsi="宋体" w:cs="宋体"/>
          <w:sz w:val="24"/>
          <w:szCs w:val="24"/>
        </w:rPr>
      </w:pPr>
      <w:r>
        <w:rPr>
          <w:rFonts w:hint="eastAsia" w:ascii="宋体" w:hAnsi="宋体" w:cs="宋体"/>
          <w:sz w:val="24"/>
          <w:szCs w:val="24"/>
        </w:rPr>
        <w:t>产品在中国境内生产的组件成本占比应当达到规定比例，计算公式为：</w:t>
      </w:r>
      <w:r>
        <w:rPr>
          <w:rFonts w:ascii="微软雅黑" w:hAnsi="微软雅黑" w:eastAsia="微软雅黑" w:cs="宋体"/>
          <w:kern w:val="0"/>
          <w:sz w:val="24"/>
          <w:szCs w:val="24"/>
        </w:rPr>
        <w:drawing>
          <wp:inline distT="0" distB="0" distL="114300" distR="114300">
            <wp:extent cx="4829175" cy="762000"/>
            <wp:effectExtent l="0" t="0" r="9525" b="0"/>
            <wp:docPr id="1" name="图片 1" descr="https://hainan.chinatax.gov.cn/u/cms/www/202510/090841112j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s://hainan.chinatax.gov.cn/u/cms/www/202510/090841112j4q.jpg"/>
                    <pic:cNvPicPr>
                      <a:picLocks noChangeAspect="1"/>
                    </pic:cNvPicPr>
                  </pic:nvPicPr>
                  <pic:blipFill>
                    <a:blip r:embed="rId15"/>
                    <a:stretch>
                      <a:fillRect/>
                    </a:stretch>
                  </pic:blipFill>
                  <pic:spPr>
                    <a:xfrm>
                      <a:off x="0" y="0"/>
                      <a:ext cx="4829175" cy="762000"/>
                    </a:xfrm>
                    <a:prstGeom prst="rect">
                      <a:avLst/>
                    </a:prstGeom>
                    <a:noFill/>
                    <a:ln>
                      <a:noFill/>
                    </a:ln>
                  </pic:spPr>
                </pic:pic>
              </a:graphicData>
            </a:graphic>
          </wp:inline>
        </w:drawing>
      </w:r>
    </w:p>
    <w:p w14:paraId="183514CA">
      <w:pPr>
        <w:pStyle w:val="8"/>
        <w:spacing w:line="360" w:lineRule="auto"/>
        <w:rPr>
          <w:rFonts w:ascii="宋体" w:hAnsi="宋体" w:cs="宋体"/>
          <w:sz w:val="24"/>
          <w:szCs w:val="24"/>
        </w:rPr>
      </w:pPr>
      <w:r>
        <w:rPr>
          <w:rFonts w:hint="eastAsia" w:ascii="宋体" w:hAnsi="宋体" w:cs="宋体"/>
          <w:sz w:val="24"/>
          <w:szCs w:val="24"/>
        </w:rPr>
        <w:t>财政部会同有关行业主管部门，分产品确定在中国境内生产的组件成本占比应当达到的规定比例。在分产品的中国境内生产的组件成本占比相关要求实施前，符合《国务院办公厅关于在政府采购中实施本国产品标准及相关政策的通知》第一条第（一）项条件的产品在政府采购活动中视同本国产品。</w:t>
      </w:r>
    </w:p>
    <w:p w14:paraId="5101B0C0">
      <w:pPr>
        <w:pStyle w:val="8"/>
        <w:spacing w:line="360" w:lineRule="auto"/>
        <w:rPr>
          <w:rFonts w:ascii="宋体" w:hAnsi="宋体" w:cs="宋体"/>
          <w:sz w:val="24"/>
          <w:szCs w:val="24"/>
        </w:rPr>
      </w:pPr>
      <w:r>
        <w:rPr>
          <w:rFonts w:hint="eastAsia" w:ascii="宋体" w:hAnsi="宋体" w:cs="宋体"/>
          <w:sz w:val="24"/>
          <w:szCs w:val="24"/>
        </w:rPr>
        <w:t>政府采购活动中既有本国产品又有非本国产品参与竞争的，依法对本国产品给予价格评审优惠，对本国产品的报价给予 20%的价格扣除，用扣除后的价格参与评审。</w:t>
      </w:r>
    </w:p>
    <w:p w14:paraId="0BC988ED">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w:t>
      </w:r>
    </w:p>
    <w:p w14:paraId="77DD5090">
      <w:pPr>
        <w:pStyle w:val="26"/>
        <w:snapToGrid w:val="0"/>
        <w:spacing w:line="360" w:lineRule="auto"/>
        <w:ind w:left="2" w:leftChars="1" w:firstLine="482" w:firstLineChars="200"/>
        <w:rPr>
          <w:rFonts w:hAnsi="宋体" w:cs="宋体"/>
          <w:b/>
          <w:bCs/>
          <w:kern w:val="2"/>
          <w:sz w:val="24"/>
          <w:szCs w:val="24"/>
        </w:rPr>
      </w:pPr>
      <w:r>
        <w:rPr>
          <w:rFonts w:hint="eastAsia" w:hAnsi="宋体" w:cs="宋体"/>
          <w:b/>
          <w:bCs/>
          <w:kern w:val="2"/>
          <w:sz w:val="24"/>
          <w:szCs w:val="24"/>
        </w:rPr>
        <w:t>9.回避与串通投标</w:t>
      </w:r>
    </w:p>
    <w:p w14:paraId="08093811">
      <w:pPr>
        <w:pStyle w:val="7"/>
        <w:keepNext w:val="0"/>
        <w:keepLines w:val="0"/>
        <w:spacing w:before="0" w:after="0" w:line="360" w:lineRule="auto"/>
        <w:ind w:firstLine="420" w:firstLineChars="175"/>
        <w:rPr>
          <w:rFonts w:ascii="宋体" w:hAnsi="宋体" w:cs="宋体"/>
          <w:b w:val="0"/>
          <w:sz w:val="24"/>
        </w:rPr>
      </w:pPr>
      <w:r>
        <w:rPr>
          <w:rFonts w:hint="eastAsia" w:ascii="宋体" w:hAnsi="宋体" w:cs="宋体"/>
          <w:b w:val="0"/>
          <w:sz w:val="24"/>
        </w:rPr>
        <w:t>9.1在政府采购活动中，采购人员及相关人员与供应商有下列利害关系之一的，应当回避：</w:t>
      </w:r>
    </w:p>
    <w:p w14:paraId="5069C816">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（1）参加采购活动前3年内与供应商存在劳动关系；</w:t>
      </w:r>
    </w:p>
    <w:p w14:paraId="313F8CF0">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（2）参加采购活动前3年内担任供应商的董事、监事；</w:t>
      </w:r>
    </w:p>
    <w:p w14:paraId="1FD029FE">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（3）参加采购活动前3年内是供应商的控股股东或者实际控制人；</w:t>
      </w:r>
    </w:p>
    <w:p w14:paraId="01CDE014">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（4）与供应商的法定代表人或者负责人有夫妻、直系血亲、三代以内旁系血亲或者近姻亲关系；</w:t>
      </w:r>
    </w:p>
    <w:p w14:paraId="77A06D0B">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（5）与供应商有其他可能影响政府采购活动公平、公正进行的关系。</w:t>
      </w:r>
    </w:p>
    <w:p w14:paraId="275528F2">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9BB0579">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9.2有下列情形之一的视为投标人相互串通投标，投标文件将被视为无效：</w:t>
      </w:r>
    </w:p>
    <w:p w14:paraId="2F85C7FA">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 xml:space="preserve">（1）不同投标人的投标文件由同一单位或者个人编制； </w:t>
      </w:r>
    </w:p>
    <w:p w14:paraId="49676957">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（2）不同投标人委托同一单位或者个人办理投标事宜；</w:t>
      </w:r>
    </w:p>
    <w:p w14:paraId="419F4CC2">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（3）不同的投标人的投标文件载明的项目管理员为同一个人；</w:t>
      </w:r>
    </w:p>
    <w:p w14:paraId="0F9EDA68">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（4）不同投标人的投标文件异常一致或者投标报价呈规律性差异；</w:t>
      </w:r>
    </w:p>
    <w:p w14:paraId="4FBF3AD8">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（5）不同投标人的投标文件相互混装；</w:t>
      </w:r>
    </w:p>
    <w:p w14:paraId="1438E62C">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（6）不同投标人的投标保证金从同一单位或者个人账户转出。</w:t>
      </w:r>
    </w:p>
    <w:p w14:paraId="2F09B850">
      <w:pPr>
        <w:pStyle w:val="26"/>
        <w:snapToGrid w:val="0"/>
        <w:spacing w:line="360" w:lineRule="auto"/>
        <w:ind w:firstLine="482" w:firstLineChars="200"/>
        <w:rPr>
          <w:rFonts w:hAnsi="宋体" w:cs="宋体"/>
          <w:sz w:val="24"/>
        </w:rPr>
      </w:pPr>
      <w:r>
        <w:rPr>
          <w:rFonts w:hint="eastAsia" w:hAnsi="宋体" w:cs="宋体"/>
          <w:b/>
          <w:kern w:val="2"/>
          <w:sz w:val="24"/>
          <w:szCs w:val="24"/>
        </w:rPr>
        <w:t>（</w:t>
      </w:r>
      <w:r>
        <w:rPr>
          <w:rFonts w:hAnsi="宋体" w:cs="宋体"/>
          <w:b/>
          <w:kern w:val="2"/>
          <w:sz w:val="24"/>
          <w:szCs w:val="24"/>
        </w:rPr>
        <w:t>7</w:t>
      </w:r>
      <w:r>
        <w:rPr>
          <w:rFonts w:hint="eastAsia" w:hAnsi="宋体" w:cs="宋体"/>
          <w:b/>
          <w:kern w:val="2"/>
          <w:sz w:val="24"/>
          <w:szCs w:val="24"/>
        </w:rPr>
        <w:t>）投标人之间协商投标报价等投标文件的实质性内容；</w:t>
      </w:r>
    </w:p>
    <w:p w14:paraId="786444F3">
      <w:pPr>
        <w:pStyle w:val="26"/>
        <w:snapToGrid w:val="0"/>
        <w:spacing w:line="360" w:lineRule="auto"/>
        <w:ind w:firstLine="482" w:firstLineChars="200"/>
        <w:rPr>
          <w:rFonts w:hAnsi="宋体" w:cs="宋体"/>
          <w:sz w:val="24"/>
        </w:rPr>
      </w:pPr>
      <w:r>
        <w:rPr>
          <w:rFonts w:hint="eastAsia" w:hAnsi="宋体" w:cs="宋体"/>
          <w:b/>
          <w:kern w:val="2"/>
          <w:sz w:val="24"/>
          <w:szCs w:val="24"/>
        </w:rPr>
        <w:t>（</w:t>
      </w:r>
      <w:r>
        <w:rPr>
          <w:rFonts w:hAnsi="宋体" w:cs="宋体"/>
          <w:b/>
          <w:kern w:val="2"/>
          <w:sz w:val="24"/>
          <w:szCs w:val="24"/>
        </w:rPr>
        <w:t>8</w:t>
      </w:r>
      <w:r>
        <w:rPr>
          <w:rFonts w:hint="eastAsia" w:hAnsi="宋体" w:cs="宋体"/>
          <w:b/>
          <w:kern w:val="2"/>
          <w:sz w:val="24"/>
          <w:szCs w:val="24"/>
        </w:rPr>
        <w:t>）投标人之间约定中标人；</w:t>
      </w:r>
    </w:p>
    <w:p w14:paraId="278048B8">
      <w:pPr>
        <w:pStyle w:val="26"/>
        <w:snapToGrid w:val="0"/>
        <w:spacing w:line="360" w:lineRule="auto"/>
        <w:ind w:firstLine="482" w:firstLineChars="200"/>
        <w:rPr>
          <w:rFonts w:hAnsi="宋体" w:cs="宋体"/>
          <w:sz w:val="24"/>
        </w:rPr>
      </w:pPr>
      <w:r>
        <w:rPr>
          <w:rFonts w:hint="eastAsia" w:hAnsi="宋体" w:cs="宋体"/>
          <w:b/>
          <w:kern w:val="2"/>
          <w:sz w:val="24"/>
          <w:szCs w:val="24"/>
        </w:rPr>
        <w:t>（</w:t>
      </w:r>
      <w:r>
        <w:rPr>
          <w:rFonts w:hAnsi="宋体" w:cs="宋体"/>
          <w:b/>
          <w:kern w:val="2"/>
          <w:sz w:val="24"/>
          <w:szCs w:val="24"/>
        </w:rPr>
        <w:t>9</w:t>
      </w:r>
      <w:r>
        <w:rPr>
          <w:rFonts w:hint="eastAsia" w:hAnsi="宋体" w:cs="宋体"/>
          <w:b/>
          <w:kern w:val="2"/>
          <w:sz w:val="24"/>
          <w:szCs w:val="24"/>
        </w:rPr>
        <w:t>）投标人之间约定部分投标人放弃投标或者中标；</w:t>
      </w:r>
    </w:p>
    <w:p w14:paraId="3F603819">
      <w:pPr>
        <w:pStyle w:val="26"/>
        <w:snapToGrid w:val="0"/>
        <w:spacing w:line="360" w:lineRule="auto"/>
        <w:ind w:left="2" w:leftChars="1" w:firstLine="482" w:firstLineChars="200"/>
        <w:rPr>
          <w:rFonts w:hAnsi="宋体" w:cs="宋体"/>
          <w:sz w:val="24"/>
        </w:rPr>
      </w:pPr>
      <w:r>
        <w:rPr>
          <w:rFonts w:hint="eastAsia" w:hAnsi="宋体" w:cs="宋体"/>
          <w:b/>
          <w:kern w:val="2"/>
          <w:sz w:val="24"/>
          <w:szCs w:val="24"/>
        </w:rPr>
        <w:t>（</w:t>
      </w:r>
      <w:r>
        <w:rPr>
          <w:rFonts w:hAnsi="宋体" w:cs="宋体"/>
          <w:b/>
          <w:kern w:val="2"/>
          <w:sz w:val="24"/>
          <w:szCs w:val="24"/>
        </w:rPr>
        <w:t>10</w:t>
      </w:r>
      <w:r>
        <w:rPr>
          <w:rFonts w:hint="eastAsia" w:hAnsi="宋体" w:cs="宋体"/>
          <w:b/>
          <w:kern w:val="2"/>
          <w:sz w:val="24"/>
          <w:szCs w:val="24"/>
        </w:rPr>
        <w:t>）属于同一集团、协会、商会等组织成员的投标人按照该组织要求协同投标；</w:t>
      </w:r>
    </w:p>
    <w:p w14:paraId="676715EF">
      <w:pPr>
        <w:pStyle w:val="26"/>
        <w:snapToGrid w:val="0"/>
        <w:spacing w:line="360" w:lineRule="auto"/>
        <w:ind w:left="2" w:leftChars="1" w:firstLine="482" w:firstLineChars="200"/>
        <w:rPr>
          <w:rFonts w:hAnsi="宋体" w:cs="宋体"/>
          <w:b/>
          <w:kern w:val="2"/>
          <w:sz w:val="24"/>
          <w:szCs w:val="24"/>
        </w:rPr>
      </w:pPr>
      <w:r>
        <w:rPr>
          <w:rFonts w:hint="eastAsia" w:hAnsi="宋体" w:cs="宋体"/>
          <w:b/>
          <w:kern w:val="2"/>
          <w:sz w:val="24"/>
          <w:szCs w:val="24"/>
        </w:rPr>
        <w:t>（</w:t>
      </w:r>
      <w:r>
        <w:rPr>
          <w:rFonts w:hAnsi="宋体" w:cs="宋体"/>
          <w:b/>
          <w:kern w:val="2"/>
          <w:sz w:val="24"/>
          <w:szCs w:val="24"/>
        </w:rPr>
        <w:t>11</w:t>
      </w:r>
      <w:r>
        <w:rPr>
          <w:rFonts w:hint="eastAsia" w:hAnsi="宋体" w:cs="宋体"/>
          <w:b/>
          <w:kern w:val="2"/>
          <w:sz w:val="24"/>
          <w:szCs w:val="24"/>
        </w:rPr>
        <w:t>）投标人之间为谋取中标或者排斥特定投标人而采取的其他联合行动。</w:t>
      </w:r>
    </w:p>
    <w:p w14:paraId="2A481717">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9.3供应商有下列情形之一的，属于恶意串通行为，将报同级监督管理部门：</w:t>
      </w:r>
    </w:p>
    <w:p w14:paraId="3B146EBC">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（1）供应商直接或者间接从采购人或者采购代理机构处获得其他供应商的相关信息并修改其投标文件或者响应文件；</w:t>
      </w:r>
    </w:p>
    <w:p w14:paraId="44DE26DB">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（2）供应商按照采购人或者采购代理机构的授意撤换、修改投标文件或者响应文件；</w:t>
      </w:r>
    </w:p>
    <w:p w14:paraId="70C27F8A">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（3）供应商之间协商报价、技术方案等投标文件或者响应文件的实质性内容；</w:t>
      </w:r>
    </w:p>
    <w:p w14:paraId="0CFC861A">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（4）属于同一集团、协会、商会等组织成员的供应商按照该组织要求协同参加政府采购活动；</w:t>
      </w:r>
    </w:p>
    <w:p w14:paraId="19282F44">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（5）供应商之间事先约定一致抬高或者压低投标报价，或者在招标项目中事先约定轮流以高价位或者低价位中标，或者事先约定由某一特定供应商中标，然后再参加投标；</w:t>
      </w:r>
    </w:p>
    <w:p w14:paraId="2CE63650">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（6）供应商之间商定部分供应商放弃参加政府采购活动或者放弃中标；</w:t>
      </w:r>
    </w:p>
    <w:p w14:paraId="0F30BC6F">
      <w:pPr>
        <w:pStyle w:val="26"/>
        <w:snapToGrid w:val="0"/>
        <w:spacing w:line="360" w:lineRule="auto"/>
        <w:ind w:left="2" w:leftChars="1" w:firstLine="480" w:firstLineChars="200"/>
        <w:rPr>
          <w:rFonts w:hAnsi="宋体" w:cs="宋体"/>
          <w:kern w:val="2"/>
          <w:sz w:val="24"/>
          <w:szCs w:val="24"/>
        </w:rPr>
      </w:pPr>
      <w:r>
        <w:rPr>
          <w:rFonts w:hint="eastAsia" w:hAnsi="宋体" w:cs="宋体"/>
          <w:kern w:val="2"/>
          <w:sz w:val="24"/>
          <w:szCs w:val="24"/>
        </w:rPr>
        <w:t>（7）供应商与采购人或者采购代理机构之间、供应商相互之间，为谋求特定供应商中标或者排斥其他供应商的其他串通行为。</w:t>
      </w:r>
    </w:p>
    <w:p w14:paraId="3FDC7FF6">
      <w:pPr>
        <w:pStyle w:val="26"/>
        <w:snapToGrid w:val="0"/>
        <w:spacing w:line="360" w:lineRule="auto"/>
        <w:ind w:left="2" w:leftChars="1" w:firstLine="422" w:firstLineChars="200"/>
        <w:rPr>
          <w:rFonts w:hAnsi="宋体" w:cs="宋体"/>
          <w:b/>
          <w:kern w:val="2"/>
          <w:sz w:val="21"/>
        </w:rPr>
      </w:pPr>
    </w:p>
    <w:p w14:paraId="3591938F">
      <w:pPr>
        <w:pStyle w:val="5"/>
        <w:keepNext w:val="0"/>
        <w:keepLines w:val="0"/>
        <w:jc w:val="center"/>
        <w:rPr>
          <w:rFonts w:ascii="宋体" w:hAnsi="宋体" w:cs="宋体"/>
        </w:rPr>
      </w:pPr>
      <w:bookmarkStart w:id="100" w:name="_Toc254970534"/>
      <w:bookmarkStart w:id="101" w:name="_Toc254970675"/>
      <w:r>
        <w:rPr>
          <w:rFonts w:hint="eastAsia" w:ascii="宋体" w:hAnsi="宋体" w:cs="宋体"/>
        </w:rPr>
        <w:t>二、招标文件</w:t>
      </w:r>
      <w:bookmarkEnd w:id="100"/>
      <w:bookmarkEnd w:id="101"/>
    </w:p>
    <w:p w14:paraId="7E88E795">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10.招标文件的组成</w:t>
      </w:r>
    </w:p>
    <w:p w14:paraId="428F5CB4">
      <w:pPr>
        <w:snapToGrid w:val="0"/>
        <w:spacing w:line="360" w:lineRule="auto"/>
        <w:ind w:firstLine="420"/>
        <w:jc w:val="left"/>
        <w:rPr>
          <w:rFonts w:ascii="宋体" w:hAnsi="宋体" w:cs="宋体"/>
          <w:sz w:val="24"/>
        </w:rPr>
      </w:pPr>
      <w:r>
        <w:rPr>
          <w:rFonts w:hint="eastAsia" w:ascii="宋体" w:hAnsi="宋体" w:cs="宋体"/>
          <w:sz w:val="24"/>
        </w:rPr>
        <w:t>（1）招标公告；</w:t>
      </w:r>
    </w:p>
    <w:p w14:paraId="04E5B161">
      <w:pPr>
        <w:snapToGrid w:val="0"/>
        <w:spacing w:line="360" w:lineRule="auto"/>
        <w:ind w:firstLine="420"/>
        <w:jc w:val="left"/>
        <w:rPr>
          <w:rFonts w:ascii="宋体" w:hAnsi="宋体" w:cs="宋体"/>
          <w:sz w:val="24"/>
        </w:rPr>
      </w:pPr>
      <w:r>
        <w:rPr>
          <w:rFonts w:hint="eastAsia" w:ascii="宋体" w:hAnsi="宋体" w:cs="宋体"/>
          <w:sz w:val="24"/>
        </w:rPr>
        <w:t xml:space="preserve">（2）采购需求； </w:t>
      </w:r>
    </w:p>
    <w:p w14:paraId="48AE702F">
      <w:pPr>
        <w:snapToGrid w:val="0"/>
        <w:spacing w:line="360" w:lineRule="auto"/>
        <w:ind w:firstLine="420"/>
        <w:jc w:val="left"/>
        <w:rPr>
          <w:rFonts w:ascii="宋体" w:hAnsi="宋体" w:cs="宋体"/>
          <w:sz w:val="24"/>
        </w:rPr>
      </w:pPr>
      <w:r>
        <w:rPr>
          <w:rFonts w:hint="eastAsia" w:ascii="宋体" w:hAnsi="宋体" w:cs="宋体"/>
          <w:sz w:val="24"/>
        </w:rPr>
        <w:t>（3）投标人须知；</w:t>
      </w:r>
    </w:p>
    <w:p w14:paraId="2892AC8C">
      <w:pPr>
        <w:snapToGrid w:val="0"/>
        <w:spacing w:line="360" w:lineRule="auto"/>
        <w:ind w:firstLine="420"/>
        <w:jc w:val="left"/>
        <w:rPr>
          <w:rFonts w:ascii="宋体" w:hAnsi="宋体" w:cs="宋体"/>
          <w:sz w:val="24"/>
        </w:rPr>
      </w:pPr>
      <w:r>
        <w:rPr>
          <w:rFonts w:hint="eastAsia" w:ascii="宋体" w:hAnsi="宋体" w:cs="宋体"/>
          <w:sz w:val="24"/>
        </w:rPr>
        <w:t>（4）评标方法及评标标准；</w:t>
      </w:r>
    </w:p>
    <w:p w14:paraId="7D91A691">
      <w:pPr>
        <w:snapToGrid w:val="0"/>
        <w:spacing w:line="360" w:lineRule="auto"/>
        <w:ind w:firstLine="420"/>
        <w:jc w:val="left"/>
        <w:rPr>
          <w:rFonts w:ascii="宋体" w:hAnsi="宋体" w:cs="宋体"/>
          <w:sz w:val="24"/>
        </w:rPr>
      </w:pPr>
      <w:r>
        <w:rPr>
          <w:rFonts w:hint="eastAsia" w:ascii="宋体" w:hAnsi="宋体" w:cs="宋体"/>
          <w:sz w:val="24"/>
        </w:rPr>
        <w:t>（5）拟签订的合同文本；</w:t>
      </w:r>
    </w:p>
    <w:p w14:paraId="2CCD1D52">
      <w:pPr>
        <w:snapToGrid w:val="0"/>
        <w:spacing w:line="360" w:lineRule="auto"/>
        <w:ind w:firstLine="420"/>
        <w:jc w:val="left"/>
        <w:rPr>
          <w:rFonts w:ascii="宋体" w:hAnsi="宋体" w:cs="宋体"/>
          <w:sz w:val="24"/>
        </w:rPr>
      </w:pPr>
      <w:r>
        <w:rPr>
          <w:rFonts w:hint="eastAsia" w:ascii="宋体" w:hAnsi="宋体" w:cs="宋体"/>
          <w:sz w:val="24"/>
        </w:rPr>
        <w:t>（6）投标文件格式。</w:t>
      </w:r>
    </w:p>
    <w:p w14:paraId="051BA5F2">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11.招标文件的澄清、修改 、现场考察和答疑会</w:t>
      </w:r>
    </w:p>
    <w:p w14:paraId="6CDFC7C1">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11.1投标人应认真审阅本招标文件，如有疑问，或发现其中有误或有要求不合理的，应在招标公告期限届满之日起7个工作日内以纸质书面形式要求采购人或采购代理机构对招标文件予以澄清；否则，由此产生的后果由投标人自行负责。</w:t>
      </w:r>
    </w:p>
    <w:p w14:paraId="759E9DB9">
      <w:pPr>
        <w:pStyle w:val="7"/>
        <w:keepNext w:val="0"/>
        <w:keepLines w:val="0"/>
        <w:numPr>
          <w:ilvl w:val="0"/>
          <w:numId w:val="0"/>
        </w:numPr>
        <w:spacing w:before="0" w:after="0" w:line="360" w:lineRule="auto"/>
        <w:ind w:firstLine="480" w:firstLineChars="200"/>
        <w:rPr>
          <w:rFonts w:ascii="宋体" w:hAnsi="宋体" w:cs="宋体"/>
          <w:sz w:val="24"/>
        </w:rPr>
      </w:pPr>
      <w:r>
        <w:rPr>
          <w:rFonts w:hint="eastAsia" w:ascii="宋体" w:hAnsi="宋体" w:cs="宋体"/>
          <w:b w:val="0"/>
          <w:sz w:val="24"/>
        </w:rPr>
        <w:t>11.2采购人或者采购代理机构可以对已发出的招标文件进行必要的澄清或者修改，但不得改变采购标的和资格条件。澄清或者修改将在原公告发布媒体上发布更正公告。澄清或者修改的内容为招标文件的组成部分。澄清或者修改的内容可能影响投标文件编制的，采购人或者采购代理机构应当在投标截止时间至少15日前，在原公告发布媒体上发布更正公告；不足15日的，采购人或者采购代理机构应当顺延提交投标文件的截止时间。发出的澄清或者修改不影响投标文件编制的也应在截标前3日发出。澄清或者更正公告在招标公告发布媒体上发布，一经发布，视作已以书面形式通知所有获取招标文件的潜在投标人，不再另行通知，所有潜在投标人应密切关注招标公告发布媒体，因未能及时获知，由此产生的后果均应自行承担。</w:t>
      </w:r>
    </w:p>
    <w:p w14:paraId="0A829441">
      <w:pPr>
        <w:spacing w:line="360" w:lineRule="auto"/>
        <w:ind w:firstLine="480" w:firstLineChars="200"/>
        <w:rPr>
          <w:rFonts w:ascii="宋体" w:hAnsi="宋体" w:cs="宋体"/>
          <w:sz w:val="24"/>
        </w:rPr>
      </w:pPr>
      <w:r>
        <w:rPr>
          <w:rFonts w:hint="eastAsia" w:ascii="宋体" w:hAnsi="宋体" w:cs="宋体"/>
          <w:sz w:val="24"/>
        </w:rPr>
        <w:t>11.3采购人和采购代理机构可以视采购具体情况，变更投标截止时间和开标时间，并在原公告发布媒体上发布更正公告。</w:t>
      </w:r>
    </w:p>
    <w:p w14:paraId="3CDBB7DD">
      <w:pPr>
        <w:spacing w:line="360" w:lineRule="auto"/>
        <w:ind w:firstLine="480" w:firstLineChars="200"/>
        <w:rPr>
          <w:rFonts w:ascii="宋体" w:hAnsi="宋体" w:cs="宋体"/>
          <w:sz w:val="24"/>
        </w:rPr>
      </w:pPr>
      <w:r>
        <w:rPr>
          <w:rFonts w:hint="eastAsia" w:ascii="宋体" w:hAnsi="宋体" w:cs="宋体"/>
          <w:sz w:val="24"/>
        </w:rPr>
        <w:t>11.4招标文件澄清、答复、修改、补充的内容为招标文件的组成部分。</w:t>
      </w:r>
      <w:r>
        <w:rPr>
          <w:rFonts w:hint="eastAsia" w:ascii="宋体" w:hAnsi="宋体" w:cs="宋体"/>
          <w:b/>
          <w:sz w:val="24"/>
        </w:rPr>
        <w:t>当招标文件与招标文件的澄清、答复、修改、补充通知就同一内容的表述不一致时，以最后发出的文件为准。</w:t>
      </w:r>
    </w:p>
    <w:p w14:paraId="3D806F8B">
      <w:pPr>
        <w:pStyle w:val="26"/>
        <w:snapToGrid w:val="0"/>
        <w:spacing w:line="360" w:lineRule="auto"/>
        <w:ind w:firstLine="480" w:firstLineChars="200"/>
        <w:rPr>
          <w:rFonts w:hAnsi="宋体" w:cs="宋体"/>
          <w:sz w:val="21"/>
        </w:rPr>
      </w:pPr>
      <w:r>
        <w:rPr>
          <w:rFonts w:hint="eastAsia" w:hAnsi="宋体" w:cs="宋体"/>
          <w:sz w:val="24"/>
          <w:szCs w:val="24"/>
        </w:rPr>
        <w:t>11.</w:t>
      </w:r>
      <w:bookmarkStart w:id="102" w:name="_Hlk53134511"/>
      <w:r>
        <w:rPr>
          <w:rFonts w:hint="eastAsia" w:hAnsi="宋体" w:cs="宋体"/>
          <w:sz w:val="24"/>
          <w:szCs w:val="24"/>
        </w:rPr>
        <w:t>5采购人或者采购代理机构可以在招标文件提供期限截止后，组织已获取招标文件的潜在投标人现场考察或者召开开标前答疑会，具体详见“投标人须知前附表”。</w:t>
      </w:r>
    </w:p>
    <w:bookmarkEnd w:id="102"/>
    <w:p w14:paraId="3FDE99F6">
      <w:pPr>
        <w:pStyle w:val="26"/>
        <w:snapToGrid w:val="0"/>
        <w:spacing w:line="360" w:lineRule="auto"/>
        <w:ind w:firstLine="420" w:firstLineChars="200"/>
        <w:rPr>
          <w:rFonts w:hAnsi="宋体" w:cs="宋体"/>
          <w:sz w:val="21"/>
        </w:rPr>
      </w:pPr>
    </w:p>
    <w:p w14:paraId="6FFA130F">
      <w:pPr>
        <w:pStyle w:val="5"/>
        <w:keepNext w:val="0"/>
        <w:keepLines w:val="0"/>
        <w:jc w:val="center"/>
        <w:rPr>
          <w:rFonts w:ascii="宋体" w:hAnsi="宋体" w:cs="宋体"/>
        </w:rPr>
      </w:pPr>
      <w:bookmarkStart w:id="103" w:name="_Toc254970535"/>
      <w:bookmarkStart w:id="104" w:name="_Toc254970676"/>
      <w:r>
        <w:rPr>
          <w:rFonts w:hint="eastAsia" w:ascii="宋体" w:hAnsi="宋体" w:cs="宋体"/>
        </w:rPr>
        <w:t>三、投标文件的编制</w:t>
      </w:r>
      <w:bookmarkEnd w:id="103"/>
      <w:bookmarkEnd w:id="104"/>
    </w:p>
    <w:p w14:paraId="041924E7">
      <w:pPr>
        <w:pStyle w:val="7"/>
        <w:keepNext w:val="0"/>
        <w:keepLines w:val="0"/>
        <w:spacing w:before="0" w:after="0" w:line="360" w:lineRule="auto"/>
        <w:ind w:left="420" w:leftChars="200"/>
        <w:rPr>
          <w:rFonts w:ascii="宋体" w:hAnsi="宋体" w:cs="宋体"/>
          <w:sz w:val="24"/>
        </w:rPr>
      </w:pPr>
      <w:bookmarkStart w:id="105" w:name="_Toc254970677"/>
      <w:bookmarkStart w:id="106" w:name="_Toc254970536"/>
      <w:r>
        <w:rPr>
          <w:rFonts w:hint="eastAsia" w:ascii="宋体" w:hAnsi="宋体" w:cs="宋体"/>
          <w:sz w:val="24"/>
        </w:rPr>
        <w:t>12.投标文件的编制原则</w:t>
      </w:r>
    </w:p>
    <w:p w14:paraId="331C1172">
      <w:pPr>
        <w:snapToGrid w:val="0"/>
        <w:spacing w:line="360" w:lineRule="auto"/>
        <w:ind w:firstLine="420"/>
        <w:jc w:val="left"/>
        <w:rPr>
          <w:rFonts w:ascii="宋体" w:hAnsi="宋体" w:cs="宋体"/>
          <w:sz w:val="24"/>
        </w:rPr>
      </w:pPr>
      <w:r>
        <w:rPr>
          <w:rFonts w:hint="eastAsia" w:ascii="宋体" w:hAnsi="宋体" w:cs="宋体"/>
          <w:sz w:val="24"/>
        </w:rPr>
        <w:t>投标人必须按照招标文件的要求编制投标文件。投标文件必须对招标文件提出的要求和条件作出明确响应。</w:t>
      </w:r>
    </w:p>
    <w:p w14:paraId="5E057D69">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13.投标文件的组成</w:t>
      </w:r>
      <w:bookmarkEnd w:id="105"/>
      <w:bookmarkEnd w:id="106"/>
    </w:p>
    <w:p w14:paraId="59295643">
      <w:pPr>
        <w:snapToGrid w:val="0"/>
        <w:spacing w:line="360" w:lineRule="auto"/>
        <w:ind w:firstLine="480" w:firstLineChars="200"/>
        <w:jc w:val="left"/>
        <w:rPr>
          <w:rFonts w:ascii="宋体" w:hAnsi="宋体" w:cs="宋体"/>
          <w:sz w:val="24"/>
        </w:rPr>
      </w:pPr>
      <w:r>
        <w:rPr>
          <w:rFonts w:hint="eastAsia" w:ascii="宋体" w:hAnsi="宋体" w:cs="宋体"/>
          <w:sz w:val="24"/>
        </w:rPr>
        <w:t>13.1投标文件由报价文件、资格证明文件、商务文件、技术文件四部分组成。</w:t>
      </w:r>
    </w:p>
    <w:p w14:paraId="2EC50ADB">
      <w:pPr>
        <w:pStyle w:val="7"/>
        <w:keepNext w:val="0"/>
        <w:keepLines w:val="0"/>
        <w:spacing w:before="0" w:after="0" w:line="360" w:lineRule="auto"/>
        <w:ind w:left="420" w:leftChars="200"/>
        <w:rPr>
          <w:rFonts w:ascii="宋体" w:hAnsi="宋体" w:cs="宋体"/>
          <w:b w:val="0"/>
          <w:sz w:val="24"/>
        </w:rPr>
      </w:pPr>
      <w:bookmarkStart w:id="107" w:name="_13.1报价文件:_具体材料见“投标人须知前附表”。"/>
      <w:bookmarkEnd w:id="107"/>
      <w:r>
        <w:rPr>
          <w:rFonts w:hint="eastAsia" w:ascii="宋体" w:hAnsi="宋体" w:cs="宋体"/>
          <w:b w:val="0"/>
          <w:sz w:val="24"/>
        </w:rPr>
        <w:t>（1）报价文件： 具体材料见“投标人须知前附表”。</w:t>
      </w:r>
    </w:p>
    <w:p w14:paraId="557F611B">
      <w:pPr>
        <w:pStyle w:val="7"/>
        <w:keepNext w:val="0"/>
        <w:keepLines w:val="0"/>
        <w:spacing w:before="0" w:after="0" w:line="360" w:lineRule="auto"/>
        <w:ind w:left="420" w:leftChars="200"/>
        <w:rPr>
          <w:rFonts w:ascii="宋体" w:hAnsi="宋体" w:cs="宋体"/>
          <w:b w:val="0"/>
          <w:sz w:val="24"/>
        </w:rPr>
      </w:pPr>
      <w:bookmarkStart w:id="108" w:name="_13.2资格证明文件：具体材料见“投标人须知前附表”。"/>
      <w:bookmarkEnd w:id="108"/>
      <w:r>
        <w:rPr>
          <w:rFonts w:hint="eastAsia" w:ascii="宋体" w:hAnsi="宋体" w:cs="宋体"/>
          <w:b w:val="0"/>
          <w:sz w:val="24"/>
        </w:rPr>
        <w:t>（2）资格证明文件：具体材料见“投标人须知前附表”。</w:t>
      </w:r>
    </w:p>
    <w:p w14:paraId="175683B6">
      <w:pPr>
        <w:pStyle w:val="7"/>
        <w:keepNext w:val="0"/>
        <w:keepLines w:val="0"/>
        <w:spacing w:before="0" w:after="0" w:line="360" w:lineRule="auto"/>
        <w:ind w:left="420" w:leftChars="200"/>
        <w:rPr>
          <w:rFonts w:ascii="宋体" w:hAnsi="宋体" w:cs="宋体"/>
          <w:b w:val="0"/>
          <w:sz w:val="24"/>
        </w:rPr>
      </w:pPr>
      <w:bookmarkStart w:id="109" w:name="_13.3商务文件:_具体材料见“投标人须知前附表”。"/>
      <w:bookmarkEnd w:id="109"/>
      <w:r>
        <w:rPr>
          <w:rFonts w:hint="eastAsia" w:ascii="宋体" w:hAnsi="宋体" w:cs="宋体"/>
          <w:b w:val="0"/>
          <w:sz w:val="24"/>
        </w:rPr>
        <w:t>（3）商务文件：具体材料见“投标人须知前附表”。</w:t>
      </w:r>
    </w:p>
    <w:p w14:paraId="593C6217">
      <w:pPr>
        <w:pStyle w:val="7"/>
        <w:keepNext w:val="0"/>
        <w:keepLines w:val="0"/>
        <w:spacing w:before="0" w:after="0" w:line="360" w:lineRule="auto"/>
        <w:ind w:left="420" w:leftChars="200"/>
        <w:rPr>
          <w:rFonts w:ascii="宋体" w:hAnsi="宋体" w:cs="宋体"/>
          <w:b w:val="0"/>
          <w:sz w:val="24"/>
        </w:rPr>
      </w:pPr>
      <w:bookmarkStart w:id="110" w:name="_13.4技术文件：具体材料见“投标人须知前附表”。"/>
      <w:bookmarkEnd w:id="110"/>
      <w:r>
        <w:rPr>
          <w:rFonts w:hint="eastAsia" w:ascii="宋体" w:hAnsi="宋体" w:cs="宋体"/>
          <w:b w:val="0"/>
          <w:sz w:val="24"/>
        </w:rPr>
        <w:t>（4）技术文件：具体材料见“投标人须知前附表”。</w:t>
      </w:r>
      <w:bookmarkStart w:id="111" w:name="_13.5投标文件电子版：具体材料见“投标人须知前附表”。"/>
      <w:bookmarkEnd w:id="111"/>
    </w:p>
    <w:p w14:paraId="2679F5E5">
      <w:pPr>
        <w:pStyle w:val="7"/>
        <w:keepNext w:val="0"/>
        <w:keepLines w:val="0"/>
        <w:spacing w:before="0" w:after="0" w:line="360" w:lineRule="auto"/>
        <w:ind w:left="420" w:leftChars="200"/>
        <w:rPr>
          <w:rFonts w:ascii="宋体" w:hAnsi="宋体" w:cs="宋体"/>
          <w:sz w:val="24"/>
        </w:rPr>
      </w:pPr>
      <w:bookmarkStart w:id="112" w:name="_Toc254970537"/>
      <w:bookmarkStart w:id="113" w:name="_Toc254970678"/>
      <w:r>
        <w:rPr>
          <w:rFonts w:hint="eastAsia" w:ascii="宋体" w:hAnsi="宋体" w:cs="宋体"/>
          <w:sz w:val="24"/>
        </w:rPr>
        <w:t>14.投标文件的语言及计量</w:t>
      </w:r>
      <w:bookmarkEnd w:id="112"/>
      <w:bookmarkEnd w:id="113"/>
    </w:p>
    <w:p w14:paraId="4376F2FA">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14.1语言文字</w:t>
      </w:r>
    </w:p>
    <w:p w14:paraId="57EDEBF2">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投标文件以及投标人与采购人就有关投标事宜的所有来往函电，均应以中文书写（除专用术语外，与招标投标有关的语言均使用中文。必要时专用术语应附有中文注释）。投标人提交的支持文件和印刷的文献可以使用别的语言，但其相应内容应同时附中文翻译文本，在解释投标文件时以中文翻译文本为主。对不同文字文本投标文件的解释发生异议的，以中文文本为准。</w:t>
      </w:r>
    </w:p>
    <w:p w14:paraId="585021D9">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14.2投标计量单位</w:t>
      </w:r>
    </w:p>
    <w:p w14:paraId="3DE6EC6A">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招标文件已有明确规定的，使用招标文件规定的计量单位；招标文件没有规定的，应采用中华人民共和国法定计量单位，货币种类为人民币，否则视同未响应。</w:t>
      </w:r>
    </w:p>
    <w:p w14:paraId="03AA7B2D">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15.投标的风险</w:t>
      </w:r>
    </w:p>
    <w:p w14:paraId="0C74F6C9">
      <w:pPr>
        <w:pStyle w:val="26"/>
        <w:snapToGrid w:val="0"/>
        <w:spacing w:line="360" w:lineRule="auto"/>
        <w:ind w:firstLine="480" w:firstLineChars="200"/>
        <w:jc w:val="left"/>
        <w:rPr>
          <w:rFonts w:hAnsi="宋体" w:cs="宋体"/>
          <w:sz w:val="24"/>
          <w:szCs w:val="24"/>
        </w:rPr>
      </w:pPr>
      <w:r>
        <w:rPr>
          <w:rFonts w:hint="eastAsia" w:hAnsi="宋体" w:cs="宋体"/>
          <w:sz w:val="24"/>
          <w:szCs w:val="24"/>
        </w:rPr>
        <w:t>投标人没有按照招标文件要求提供全部资料，或者投标人没有对招标文件作出实质性响应是投标人的风险，并可能导致其投标被拒绝。</w:t>
      </w:r>
    </w:p>
    <w:p w14:paraId="703BB089">
      <w:pPr>
        <w:pStyle w:val="7"/>
        <w:keepNext w:val="0"/>
        <w:keepLines w:val="0"/>
        <w:spacing w:before="0" w:after="0" w:line="360" w:lineRule="auto"/>
        <w:ind w:left="420" w:leftChars="200"/>
        <w:rPr>
          <w:rFonts w:ascii="宋体" w:hAnsi="宋体" w:cs="宋体"/>
          <w:sz w:val="24"/>
        </w:rPr>
      </w:pPr>
      <w:bookmarkStart w:id="114" w:name="_Toc254970538"/>
      <w:bookmarkStart w:id="115" w:name="_Toc254970679"/>
      <w:r>
        <w:rPr>
          <w:rFonts w:hint="eastAsia" w:ascii="宋体" w:hAnsi="宋体" w:cs="宋体"/>
          <w:sz w:val="24"/>
        </w:rPr>
        <w:t>16.投标报价</w:t>
      </w:r>
      <w:bookmarkEnd w:id="114"/>
      <w:bookmarkEnd w:id="115"/>
    </w:p>
    <w:p w14:paraId="6B8CF443">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16.1投标报价应按“第六章　投标文件格式”中“开标一览表”格式填写。</w:t>
      </w:r>
    </w:p>
    <w:p w14:paraId="5D28FD07">
      <w:pPr>
        <w:pStyle w:val="7"/>
        <w:keepNext w:val="0"/>
        <w:keepLines w:val="0"/>
        <w:spacing w:before="0" w:after="0" w:line="360" w:lineRule="auto"/>
        <w:ind w:left="420" w:leftChars="200"/>
        <w:rPr>
          <w:rFonts w:ascii="宋体" w:hAnsi="宋体" w:cs="宋体"/>
          <w:b w:val="0"/>
          <w:sz w:val="24"/>
        </w:rPr>
      </w:pPr>
      <w:bookmarkStart w:id="116" w:name="_16.2投标报价具体定义见投标人须知前附表。"/>
      <w:bookmarkEnd w:id="116"/>
      <w:r>
        <w:rPr>
          <w:rFonts w:hint="eastAsia" w:ascii="宋体" w:hAnsi="宋体" w:cs="宋体"/>
          <w:b w:val="0"/>
          <w:sz w:val="24"/>
        </w:rPr>
        <w:t>16.2投标报价具体包括内容详见“投标人须知前附表”。</w:t>
      </w:r>
    </w:p>
    <w:p w14:paraId="7FCA51CD">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16.3投标人必须就所投每个分标的全部内容分别作完整唯一总价报价，不得存在漏项报价；投标人必须就所投分标的单项内容作唯一报价。</w:t>
      </w:r>
    </w:p>
    <w:p w14:paraId="4BEED7F5">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17.投标有效期</w:t>
      </w:r>
    </w:p>
    <w:p w14:paraId="51DEA0BD">
      <w:pPr>
        <w:pStyle w:val="7"/>
        <w:keepNext w:val="0"/>
        <w:keepLines w:val="0"/>
        <w:spacing w:before="0" w:after="0" w:line="360" w:lineRule="auto"/>
        <w:ind w:firstLine="480" w:firstLineChars="200"/>
        <w:rPr>
          <w:rFonts w:ascii="宋体" w:hAnsi="宋体" w:cs="宋体"/>
          <w:b w:val="0"/>
          <w:sz w:val="24"/>
        </w:rPr>
      </w:pPr>
      <w:bookmarkStart w:id="117" w:name="_17.1投标有效期应按“投标人须知中的前附表”规定的期限。"/>
      <w:bookmarkEnd w:id="117"/>
      <w:r>
        <w:rPr>
          <w:rFonts w:hint="eastAsia" w:ascii="宋体" w:hAnsi="宋体" w:cs="宋体"/>
          <w:b w:val="0"/>
          <w:sz w:val="24"/>
        </w:rPr>
        <w:t>17.1投标有效期是指为保证采购人有足够的时间在开标后完成评标、定标、合同签订等工作而要求投标人提交的投标文件在一定时间内保持有效的期限。</w:t>
      </w:r>
    </w:p>
    <w:p w14:paraId="6BC37A7E">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17.2</w:t>
      </w:r>
      <w:bookmarkStart w:id="118" w:name="_Toc254970681"/>
      <w:bookmarkStart w:id="119" w:name="_Toc254970540"/>
      <w:r>
        <w:rPr>
          <w:rFonts w:hint="eastAsia" w:ascii="宋体" w:hAnsi="宋体" w:cs="宋体"/>
          <w:b w:val="0"/>
          <w:sz w:val="24"/>
        </w:rPr>
        <w:t xml:space="preserve"> 投标有效期应按规定的期限作出承诺，具体详见“投标人须知前附表”。</w:t>
      </w:r>
    </w:p>
    <w:p w14:paraId="29A418D0">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17.3投标人的投标文件在投标有效期内均保持有效。</w:t>
      </w:r>
      <w:bookmarkEnd w:id="118"/>
      <w:bookmarkEnd w:id="119"/>
    </w:p>
    <w:p w14:paraId="54945960">
      <w:pPr>
        <w:pStyle w:val="7"/>
        <w:keepNext w:val="0"/>
        <w:keepLines w:val="0"/>
        <w:spacing w:before="0" w:after="0" w:line="360" w:lineRule="auto"/>
        <w:ind w:left="420" w:leftChars="200"/>
        <w:rPr>
          <w:rFonts w:ascii="宋体" w:hAnsi="宋体" w:cs="宋体"/>
          <w:sz w:val="24"/>
        </w:rPr>
      </w:pPr>
      <w:bookmarkStart w:id="120" w:name="_18.投标保证金"/>
      <w:bookmarkEnd w:id="120"/>
      <w:bookmarkStart w:id="121" w:name="_Toc254970682"/>
      <w:bookmarkStart w:id="122" w:name="_Toc254970541"/>
      <w:r>
        <w:rPr>
          <w:rFonts w:hint="eastAsia" w:ascii="宋体" w:hAnsi="宋体" w:cs="宋体"/>
          <w:sz w:val="24"/>
        </w:rPr>
        <w:t>18.投标保证金</w:t>
      </w:r>
      <w:bookmarkEnd w:id="121"/>
      <w:bookmarkEnd w:id="122"/>
    </w:p>
    <w:p w14:paraId="66EDEB3F">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18.1投标人须按“投标人须知前附表” 的规定提交投标保证金。</w:t>
      </w:r>
    </w:p>
    <w:p w14:paraId="5C43D6D6">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18.2投标保证金的退还</w:t>
      </w:r>
    </w:p>
    <w:p w14:paraId="14AC84AF">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未中标人的投标保证金自中标通知书发出之日起</w:t>
      </w:r>
      <w:r>
        <w:rPr>
          <w:rFonts w:ascii="宋体" w:hAnsi="宋体" w:cs="宋体"/>
          <w:b w:val="0"/>
          <w:sz w:val="24"/>
        </w:rPr>
        <w:t>5</w:t>
      </w:r>
      <w:r>
        <w:rPr>
          <w:rFonts w:hint="eastAsia" w:ascii="宋体" w:hAnsi="宋体" w:cs="宋体"/>
          <w:b w:val="0"/>
          <w:sz w:val="24"/>
        </w:rPr>
        <w:t>个工作日内退还；中标人的投标保证金自政府采购合同签订之日起</w:t>
      </w:r>
      <w:r>
        <w:rPr>
          <w:rFonts w:ascii="宋体" w:hAnsi="宋体" w:cs="宋体"/>
          <w:b w:val="0"/>
          <w:sz w:val="24"/>
        </w:rPr>
        <w:t>5</w:t>
      </w:r>
      <w:r>
        <w:rPr>
          <w:rFonts w:hint="eastAsia" w:ascii="宋体" w:hAnsi="宋体" w:cs="宋体"/>
          <w:b w:val="0"/>
          <w:sz w:val="24"/>
        </w:rPr>
        <w:t xml:space="preserve">个工作日内退还。 </w:t>
      </w:r>
    </w:p>
    <w:p w14:paraId="1B1EEBF4">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18.3除逾期退还投标保证金和终止招标的情形以外，投标保证金不计息。</w:t>
      </w:r>
    </w:p>
    <w:p w14:paraId="37A2125A">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 xml:space="preserve">18.4投标人有下列情形之一的，投标保证金将不予退还： </w:t>
      </w:r>
    </w:p>
    <w:p w14:paraId="467947BA">
      <w:pPr>
        <w:snapToGrid w:val="0"/>
        <w:spacing w:line="360" w:lineRule="auto"/>
        <w:ind w:firstLine="470" w:firstLineChars="196"/>
        <w:jc w:val="left"/>
        <w:rPr>
          <w:rFonts w:ascii="宋体" w:hAnsi="宋体" w:cs="宋体"/>
          <w:sz w:val="24"/>
        </w:rPr>
      </w:pPr>
      <w:r>
        <w:rPr>
          <w:rFonts w:hint="eastAsia" w:ascii="宋体" w:hAnsi="宋体" w:cs="宋体"/>
          <w:sz w:val="24"/>
        </w:rPr>
        <w:t>（1）投标人在投标截止时间后至有效期内撤回投标文件的；</w:t>
      </w:r>
    </w:p>
    <w:p w14:paraId="4F30A5C8">
      <w:pPr>
        <w:snapToGrid w:val="0"/>
        <w:spacing w:line="360" w:lineRule="auto"/>
        <w:ind w:firstLine="470" w:firstLineChars="196"/>
        <w:jc w:val="left"/>
        <w:rPr>
          <w:rFonts w:ascii="宋体" w:hAnsi="宋体" w:cs="宋体"/>
          <w:sz w:val="24"/>
        </w:rPr>
      </w:pPr>
      <w:r>
        <w:rPr>
          <w:rFonts w:hint="eastAsia" w:ascii="宋体" w:hAnsi="宋体" w:cs="宋体"/>
          <w:sz w:val="24"/>
        </w:rPr>
        <w:t>（2）中标后未按规定提交履约保证金的；</w:t>
      </w:r>
    </w:p>
    <w:p w14:paraId="25C06424">
      <w:pPr>
        <w:snapToGrid w:val="0"/>
        <w:spacing w:line="360" w:lineRule="auto"/>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57EAD2A3">
      <w:pPr>
        <w:snapToGrid w:val="0"/>
        <w:spacing w:line="360" w:lineRule="auto"/>
        <w:ind w:firstLine="470" w:firstLineChars="196"/>
        <w:rPr>
          <w:rFonts w:ascii="宋体" w:hAnsi="宋体" w:cs="宋体"/>
          <w:sz w:val="24"/>
        </w:rPr>
      </w:pPr>
      <w:r>
        <w:rPr>
          <w:rFonts w:hint="eastAsia" w:ascii="宋体" w:hAnsi="宋体" w:cs="宋体"/>
          <w:sz w:val="24"/>
        </w:rPr>
        <w:t>（4）中标人无正当理由不与采购人签订合同的；</w:t>
      </w:r>
    </w:p>
    <w:p w14:paraId="29B3F77C">
      <w:pPr>
        <w:snapToGrid w:val="0"/>
        <w:spacing w:line="360" w:lineRule="auto"/>
        <w:ind w:firstLine="480" w:firstLineChars="200"/>
        <w:rPr>
          <w:rFonts w:ascii="宋体" w:hAnsi="宋体" w:cs="宋体"/>
          <w:sz w:val="24"/>
        </w:rPr>
      </w:pPr>
      <w:r>
        <w:rPr>
          <w:rFonts w:hint="eastAsia" w:ascii="宋体" w:hAnsi="宋体" w:cs="宋体"/>
          <w:sz w:val="24"/>
        </w:rPr>
        <w:t>（5）投标人出现本章第9.2、9.3、3</w:t>
      </w:r>
      <w:r>
        <w:rPr>
          <w:rFonts w:ascii="宋体" w:hAnsi="宋体" w:cs="宋体"/>
          <w:sz w:val="24"/>
        </w:rPr>
        <w:t>0.4</w:t>
      </w:r>
      <w:r>
        <w:rPr>
          <w:rFonts w:hint="eastAsia" w:ascii="宋体" w:hAnsi="宋体" w:cs="宋体"/>
          <w:sz w:val="24"/>
        </w:rPr>
        <w:t>情形的；</w:t>
      </w:r>
    </w:p>
    <w:p w14:paraId="1434AFF9">
      <w:pPr>
        <w:snapToGrid w:val="0"/>
        <w:spacing w:line="360" w:lineRule="auto"/>
        <w:ind w:firstLine="480" w:firstLineChars="200"/>
        <w:rPr>
          <w:rFonts w:ascii="宋体" w:hAnsi="宋体" w:cs="宋体"/>
          <w:sz w:val="24"/>
        </w:rPr>
      </w:pPr>
      <w:r>
        <w:rPr>
          <w:rFonts w:hint="eastAsia" w:ascii="宋体" w:hAnsi="宋体" w:cs="宋体"/>
          <w:sz w:val="24"/>
        </w:rPr>
        <w:t>（6）法律法规规定的其他情形。</w:t>
      </w:r>
    </w:p>
    <w:p w14:paraId="0D7B3B9E">
      <w:pPr>
        <w:pStyle w:val="7"/>
        <w:keepNext w:val="0"/>
        <w:keepLines w:val="0"/>
        <w:spacing w:before="0" w:after="0" w:line="360" w:lineRule="auto"/>
        <w:ind w:left="420" w:leftChars="200"/>
        <w:rPr>
          <w:rFonts w:ascii="宋体" w:hAnsi="宋体" w:cs="宋体"/>
          <w:sz w:val="24"/>
        </w:rPr>
      </w:pPr>
      <w:bookmarkStart w:id="123" w:name="_Toc254970542"/>
      <w:bookmarkStart w:id="124" w:name="_Toc254970683"/>
      <w:r>
        <w:rPr>
          <w:rFonts w:hint="eastAsia" w:ascii="宋体" w:hAnsi="宋体" w:cs="宋体"/>
          <w:sz w:val="24"/>
        </w:rPr>
        <w:t>19.投标文件的</w:t>
      </w:r>
      <w:bookmarkEnd w:id="123"/>
      <w:bookmarkEnd w:id="124"/>
      <w:r>
        <w:rPr>
          <w:rFonts w:hint="eastAsia" w:ascii="宋体" w:hAnsi="宋体" w:cs="宋体"/>
          <w:sz w:val="24"/>
        </w:rPr>
        <w:t>编制</w:t>
      </w:r>
    </w:p>
    <w:p w14:paraId="42E42D58">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19.1投标人应按本招标文件规定的格式和顺序编制、装订投标文件并标注页码，投标文件内容不完整、编排混乱导致投标文件被误读、漏读或者查找不到相关内容的，由此引发的后果由投标人承担。</w:t>
      </w:r>
    </w:p>
    <w:p w14:paraId="235A6C52">
      <w:pPr>
        <w:pStyle w:val="7"/>
        <w:keepNext w:val="0"/>
        <w:keepLines w:val="0"/>
        <w:numPr>
          <w:ilvl w:val="0"/>
          <w:numId w:val="0"/>
        </w:numPr>
        <w:spacing w:before="0" w:after="0" w:line="360" w:lineRule="auto"/>
        <w:ind w:firstLine="480" w:firstLineChars="200"/>
        <w:rPr>
          <w:rFonts w:ascii="宋体" w:hAnsi="宋体" w:cs="宋体"/>
          <w:b w:val="0"/>
          <w:sz w:val="24"/>
        </w:rPr>
      </w:pPr>
      <w:bookmarkStart w:id="125" w:name="_19.2投标文件应按报价文件、资格证明文件、商务文件、技术文件分别编制"/>
      <w:bookmarkEnd w:id="125"/>
      <w:r>
        <w:rPr>
          <w:rFonts w:hint="eastAsia" w:ascii="宋体" w:hAnsi="宋体" w:cs="宋体"/>
          <w:b w:val="0"/>
          <w:sz w:val="24"/>
        </w:rPr>
        <w:t>19.2投标文件应按报价文件、资格证明文件、商务文件、技术文件分别编制电子文件，并按广西政府采购云平台的要求编制、加密、上传。</w:t>
      </w:r>
    </w:p>
    <w:p w14:paraId="5B11FA23">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19.</w:t>
      </w:r>
      <w:bookmarkStart w:id="126" w:name="_Hlk65832616"/>
      <w:r>
        <w:rPr>
          <w:rFonts w:hint="eastAsia" w:ascii="宋体" w:hAnsi="宋体" w:cs="宋体"/>
          <w:b w:val="0"/>
          <w:sz w:val="24"/>
        </w:rPr>
        <w:t>3投标文件须由投标人在规定位置盖公章并签字</w:t>
      </w:r>
      <w:bookmarkStart w:id="127" w:name="_Hlk65832569"/>
      <w:r>
        <w:rPr>
          <w:rFonts w:hint="eastAsia" w:ascii="宋体" w:hAnsi="宋体" w:cs="宋体"/>
          <w:b w:val="0"/>
          <w:sz w:val="24"/>
        </w:rPr>
        <w:t>（具体以投标人须知前附表或投标文件格式规定为准）</w:t>
      </w:r>
      <w:bookmarkEnd w:id="126"/>
      <w:bookmarkEnd w:id="127"/>
      <w:r>
        <w:rPr>
          <w:rFonts w:hint="eastAsia" w:ascii="宋体" w:hAnsi="宋体" w:cs="宋体"/>
          <w:b w:val="0"/>
          <w:sz w:val="24"/>
        </w:rPr>
        <w:t>，</w:t>
      </w:r>
      <w:r>
        <w:rPr>
          <w:rFonts w:hint="eastAsia" w:ascii="宋体" w:hAnsi="宋体" w:cs="宋体"/>
          <w:bCs/>
          <w:sz w:val="24"/>
        </w:rPr>
        <w:t>否则按无效投标处理</w:t>
      </w:r>
      <w:r>
        <w:rPr>
          <w:rFonts w:hint="eastAsia" w:ascii="宋体" w:hAnsi="宋体" w:cs="宋体"/>
          <w:b w:val="0"/>
          <w:sz w:val="24"/>
        </w:rPr>
        <w:t>。</w:t>
      </w:r>
    </w:p>
    <w:p w14:paraId="448A46ED">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19.4投标文件中标注的投标人名称应与主体资格证明（如营业执照、事业单位法人证书、执业许可证、自然人身份证等）及公章一致，</w:t>
      </w:r>
      <w:r>
        <w:rPr>
          <w:rFonts w:hint="eastAsia" w:ascii="宋体" w:hAnsi="宋体" w:cs="宋体"/>
          <w:sz w:val="24"/>
        </w:rPr>
        <w:t>否则按无效投标处理</w:t>
      </w:r>
      <w:r>
        <w:rPr>
          <w:rFonts w:hint="eastAsia" w:ascii="宋体" w:hAnsi="宋体" w:cs="宋体"/>
          <w:b w:val="0"/>
          <w:sz w:val="24"/>
        </w:rPr>
        <w:t>。</w:t>
      </w:r>
    </w:p>
    <w:p w14:paraId="085ED3D2">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19.5投标文件应尽量避免涂改、行间插字或者删除。如果出现上述情况，改动之处应由投标人的法定代表人或者其委托代理人签字或者加盖公章。投标文件因字迹潦草或者表达不清所引起的后果由投标人承担。</w:t>
      </w:r>
    </w:p>
    <w:p w14:paraId="537CC0A9">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20.投标文件的加密、解密</w:t>
      </w:r>
    </w:p>
    <w:p w14:paraId="1A0C1B6B">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20.1电子投标文件编制完成后，投标人应按广西政府采购云平台的要求进行加密，并在规定时间内解密，否则，由此产生的后果由投标人自行负责。</w:t>
      </w:r>
    </w:p>
    <w:p w14:paraId="6802CE9D">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20.2本项目不接受电子备份投标文件。</w:t>
      </w:r>
    </w:p>
    <w:p w14:paraId="1F575E66">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21.投标文件的提交</w:t>
      </w:r>
    </w:p>
    <w:p w14:paraId="7A60F90E">
      <w:pPr>
        <w:pStyle w:val="7"/>
        <w:keepNext w:val="0"/>
        <w:keepLines w:val="0"/>
        <w:numPr>
          <w:ilvl w:val="0"/>
          <w:numId w:val="0"/>
        </w:numPr>
        <w:spacing w:before="0" w:after="0" w:line="360" w:lineRule="auto"/>
        <w:ind w:firstLine="480" w:firstLineChars="200"/>
        <w:rPr>
          <w:rFonts w:ascii="宋体" w:hAnsi="宋体" w:cs="宋体"/>
          <w:b w:val="0"/>
          <w:sz w:val="24"/>
        </w:rPr>
      </w:pPr>
      <w:bookmarkStart w:id="128" w:name="_21.1投标人必须在“投标人须知中的前附表”规定的投标文件接收时间和投"/>
      <w:bookmarkEnd w:id="128"/>
      <w:r>
        <w:rPr>
          <w:rFonts w:hint="eastAsia" w:ascii="宋体" w:hAnsi="宋体" w:cs="宋体"/>
          <w:b w:val="0"/>
          <w:sz w:val="24"/>
        </w:rPr>
        <w:t>21.1投标人必须在“投标人须知前附表”规定的投标文件接收时间和投标地点提交投标文件。</w:t>
      </w:r>
    </w:p>
    <w:p w14:paraId="7C1843DE">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21.2本项目为全流程电子化政府采购项目，通过广西政府采购云平台（</w:t>
      </w:r>
      <w:r>
        <w:rPr>
          <w:rFonts w:ascii="宋体" w:hAnsi="宋体" w:cs="宋体"/>
          <w:b w:val="0"/>
          <w:sz w:val="24"/>
        </w:rPr>
        <w:t>https://www.gcy.zfcg.gxzf.gov.cn/</w:t>
      </w:r>
      <w:r>
        <w:rPr>
          <w:rFonts w:hint="eastAsia" w:ascii="宋体" w:hAnsi="宋体" w:cs="宋体"/>
          <w:b w:val="0"/>
          <w:sz w:val="24"/>
        </w:rPr>
        <w:t>）实行在线电子投标。投标人必须在“投标人须知前附表”规定的投标文件接收时间内通过网络将电子投标文件上传至广西政府采购云平台，供应商在广西政府采购云平台提交电子版投标文件时，请填写参加远程开标活动经办人联系方式。</w:t>
      </w:r>
    </w:p>
    <w:p w14:paraId="6ADB4B8A">
      <w:pPr>
        <w:pStyle w:val="7"/>
        <w:keepNext w:val="0"/>
        <w:keepLines w:val="0"/>
        <w:numPr>
          <w:ilvl w:val="0"/>
          <w:numId w:val="0"/>
        </w:numPr>
        <w:spacing w:before="0" w:after="0" w:line="360" w:lineRule="auto"/>
        <w:ind w:firstLine="480" w:firstLineChars="200"/>
        <w:jc w:val="left"/>
        <w:rPr>
          <w:rFonts w:ascii="宋体" w:hAnsi="宋体" w:cs="宋体"/>
          <w:b w:val="0"/>
          <w:sz w:val="24"/>
        </w:rPr>
      </w:pPr>
      <w:r>
        <w:rPr>
          <w:rFonts w:hint="eastAsia" w:ascii="宋体" w:hAnsi="宋体" w:cs="宋体"/>
          <w:b w:val="0"/>
          <w:sz w:val="24"/>
        </w:rPr>
        <w:t>21.3未在规定时间内上传或者未按广西政府采购云平台的要求编制、加密的电子投标文件，广西政府采购云平台将拒收。</w:t>
      </w:r>
    </w:p>
    <w:p w14:paraId="324005EC">
      <w:pPr>
        <w:pStyle w:val="8"/>
        <w:spacing w:line="360" w:lineRule="auto"/>
        <w:rPr>
          <w:rFonts w:ascii="宋体" w:hAnsi="宋体" w:cs="宋体"/>
          <w:sz w:val="24"/>
          <w:szCs w:val="24"/>
        </w:rPr>
      </w:pPr>
      <w:r>
        <w:rPr>
          <w:rFonts w:hint="eastAsia" w:ascii="宋体" w:hAnsi="宋体" w:cs="宋体"/>
          <w:sz w:val="24"/>
          <w:szCs w:val="24"/>
        </w:rPr>
        <w:t>21.4电子投标文件提交方式见“招标公告”中“四、提交投标文件截止时间、开标时间和地点”</w:t>
      </w:r>
    </w:p>
    <w:p w14:paraId="7CFB4C42">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22.投标文件的补充、修改、撤回与退回</w:t>
      </w:r>
    </w:p>
    <w:p w14:paraId="4283C59B">
      <w:pPr>
        <w:snapToGrid w:val="0"/>
        <w:spacing w:line="360" w:lineRule="auto"/>
        <w:ind w:firstLine="420"/>
        <w:jc w:val="left"/>
        <w:rPr>
          <w:rFonts w:ascii="宋体" w:hAnsi="宋体" w:cs="宋体"/>
          <w:sz w:val="24"/>
        </w:rPr>
      </w:pPr>
      <w:bookmarkStart w:id="129" w:name="_Toc254970684"/>
      <w:bookmarkStart w:id="130" w:name="_Toc254970543"/>
      <w:r>
        <w:rPr>
          <w:rFonts w:hint="eastAsia" w:ascii="宋体" w:hAnsi="宋体" w:cs="宋体"/>
          <w:sz w:val="24"/>
        </w:rPr>
        <w:t>22.1投标人应当在投标截止时间前完成电子投标文件的上传、递交，投标截止时间前可以补充、修改或者撤回投标文件。补充或者修改投标文件的，应当先行撤回原文件，补充、修改后重新上传、递交。投标截止时间前未完成上传、递交的，视为撤回投标文件。投标截止时间以后上传递交的投标文件，广西政府采购云平台将予以拒收。</w:t>
      </w:r>
      <w:bookmarkEnd w:id="129"/>
      <w:bookmarkEnd w:id="130"/>
      <w:r>
        <w:rPr>
          <w:rFonts w:hint="eastAsia" w:ascii="宋体" w:hAnsi="宋体" w:cs="宋体"/>
          <w:sz w:val="24"/>
        </w:rPr>
        <w:t>（补充、修改或者撤回方式可登陆广西政府采购云平台，依次进入“服务中心”中查看 “电子投标文件制作与投送教程”）。</w:t>
      </w:r>
    </w:p>
    <w:p w14:paraId="440A4C8D">
      <w:pPr>
        <w:snapToGrid w:val="0"/>
        <w:spacing w:line="360" w:lineRule="auto"/>
        <w:ind w:firstLine="420"/>
        <w:jc w:val="left"/>
        <w:rPr>
          <w:rFonts w:ascii="宋体" w:hAnsi="宋体" w:cs="宋体"/>
          <w:sz w:val="24"/>
        </w:rPr>
      </w:pPr>
      <w:r>
        <w:rPr>
          <w:rFonts w:hint="eastAsia" w:ascii="宋体" w:hAnsi="宋体" w:cs="宋体"/>
          <w:sz w:val="24"/>
        </w:rPr>
        <w:t>22.2在投标截止时间止提交投标文件的投标人不足3家时，不得开标，采购代理机构将根据广西政府采购云平台的操作将电子版投标文件退回，除此之外采购人和采购代理机构对已提交的投标文件概不退回。</w:t>
      </w:r>
    </w:p>
    <w:p w14:paraId="44E4D096">
      <w:pPr>
        <w:spacing w:line="360" w:lineRule="auto"/>
        <w:ind w:firstLine="480" w:firstLineChars="200"/>
        <w:rPr>
          <w:rFonts w:ascii="宋体" w:hAnsi="宋体" w:cs="宋体"/>
          <w:sz w:val="24"/>
        </w:rPr>
      </w:pPr>
      <w:r>
        <w:rPr>
          <w:rFonts w:hint="eastAsia" w:ascii="宋体" w:hAnsi="宋体" w:cs="宋体"/>
          <w:sz w:val="24"/>
        </w:rPr>
        <w:t>22.3 投标人在投标截止时间后书面通知采购人、采购代理机构撤回投标文件的，将根据本须知正文18.4的规定不予退还其投标保证金。</w:t>
      </w:r>
    </w:p>
    <w:p w14:paraId="2F4FD549">
      <w:pPr>
        <w:pStyle w:val="21"/>
        <w:snapToGrid w:val="0"/>
        <w:spacing w:line="360" w:lineRule="auto"/>
        <w:ind w:firstLine="845"/>
        <w:rPr>
          <w:rFonts w:ascii="宋体" w:hAnsi="宋体" w:eastAsia="宋体" w:cs="宋体"/>
          <w:snapToGrid w:val="0"/>
          <w:sz w:val="24"/>
          <w:szCs w:val="24"/>
        </w:rPr>
      </w:pPr>
    </w:p>
    <w:p w14:paraId="3FA5F831">
      <w:pPr>
        <w:pStyle w:val="5"/>
        <w:keepNext w:val="0"/>
        <w:keepLines w:val="0"/>
        <w:jc w:val="center"/>
        <w:rPr>
          <w:rFonts w:ascii="宋体" w:hAnsi="宋体" w:cs="宋体"/>
        </w:rPr>
      </w:pPr>
      <w:bookmarkStart w:id="131" w:name="_Toc254970685"/>
      <w:bookmarkStart w:id="132" w:name="_Toc254970544"/>
      <w:r>
        <w:rPr>
          <w:rFonts w:hint="eastAsia" w:ascii="宋体" w:hAnsi="宋体" w:cs="宋体"/>
        </w:rPr>
        <w:t>四、开    标</w:t>
      </w:r>
      <w:bookmarkEnd w:id="131"/>
      <w:bookmarkEnd w:id="132"/>
    </w:p>
    <w:p w14:paraId="752FEB32">
      <w:pPr>
        <w:pStyle w:val="7"/>
        <w:keepNext w:val="0"/>
        <w:keepLines w:val="0"/>
        <w:spacing w:before="0" w:after="0" w:line="360" w:lineRule="auto"/>
        <w:ind w:left="420" w:leftChars="200"/>
        <w:rPr>
          <w:rFonts w:ascii="宋体" w:hAnsi="宋体" w:cs="宋体"/>
          <w:sz w:val="24"/>
        </w:rPr>
      </w:pPr>
      <w:bookmarkStart w:id="133" w:name="_23.开标时间和地点"/>
      <w:bookmarkEnd w:id="133"/>
      <w:r>
        <w:rPr>
          <w:rFonts w:hint="eastAsia" w:ascii="宋体" w:hAnsi="宋体" w:cs="宋体"/>
          <w:sz w:val="24"/>
        </w:rPr>
        <w:t>23.开标时间和地点</w:t>
      </w:r>
    </w:p>
    <w:p w14:paraId="2BBEB200">
      <w:pPr>
        <w:snapToGrid w:val="0"/>
        <w:spacing w:line="360" w:lineRule="auto"/>
        <w:ind w:firstLine="420"/>
        <w:jc w:val="left"/>
        <w:rPr>
          <w:rFonts w:ascii="宋体" w:hAnsi="宋体" w:cs="宋体"/>
          <w:sz w:val="24"/>
        </w:rPr>
      </w:pPr>
      <w:r>
        <w:rPr>
          <w:rFonts w:hint="eastAsia" w:ascii="宋体" w:hAnsi="宋体" w:cs="宋体"/>
          <w:sz w:val="24"/>
        </w:rPr>
        <w:t>23.1开标时间及地点详见“投标人须知前附表”</w:t>
      </w:r>
    </w:p>
    <w:p w14:paraId="6F3160AF">
      <w:pPr>
        <w:snapToGrid w:val="0"/>
        <w:spacing w:line="360" w:lineRule="auto"/>
        <w:ind w:firstLine="420"/>
        <w:jc w:val="left"/>
        <w:rPr>
          <w:rFonts w:ascii="宋体" w:hAnsi="宋体" w:cs="宋体"/>
          <w:sz w:val="24"/>
        </w:rPr>
      </w:pPr>
      <w:r>
        <w:rPr>
          <w:rFonts w:hint="eastAsia" w:ascii="宋体" w:hAnsi="宋体" w:cs="宋体"/>
          <w:sz w:val="24"/>
        </w:rPr>
        <w:t>23.2如投标人成功解密投标文件，但未在“广西政府采购云平台”电子开标大厅参加开标的，视同认可开标过程和结果，由此产生的后果由投标人自行负责。成功解密投标文件的投标人不足3家的，不得开标。</w:t>
      </w:r>
    </w:p>
    <w:p w14:paraId="0678D0D5">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24.开标程序</w:t>
      </w:r>
    </w:p>
    <w:p w14:paraId="4E6A5294">
      <w:pPr>
        <w:autoSpaceDE w:val="0"/>
        <w:autoSpaceDN w:val="0"/>
        <w:adjustRightInd w:val="0"/>
        <w:spacing w:line="360" w:lineRule="auto"/>
        <w:ind w:firstLine="480" w:firstLineChars="200"/>
        <w:rPr>
          <w:rFonts w:ascii="宋体" w:hAnsi="宋体" w:cs="宋体"/>
          <w:kern w:val="0"/>
          <w:sz w:val="24"/>
        </w:rPr>
      </w:pPr>
      <w:r>
        <w:rPr>
          <w:rFonts w:hint="eastAsia" w:ascii="宋体" w:hAnsi="宋体" w:cs="宋体"/>
          <w:bCs/>
          <w:sz w:val="24"/>
        </w:rPr>
        <w:t>24.1</w:t>
      </w:r>
      <w:r>
        <w:rPr>
          <w:rFonts w:ascii="宋体" w:hAnsi="宋体" w:cs="宋体"/>
          <w:bCs/>
          <w:sz w:val="24"/>
        </w:rPr>
        <w:t xml:space="preserve"> </w:t>
      </w:r>
      <w:r>
        <w:rPr>
          <w:rFonts w:hint="eastAsia" w:ascii="宋体" w:hAnsi="宋体" w:cs="宋体"/>
          <w:kern w:val="0"/>
          <w:sz w:val="24"/>
        </w:rPr>
        <w:t>开标形式：</w:t>
      </w:r>
    </w:p>
    <w:p w14:paraId="5A6F2EEF">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采购代理机构将按照招标文件规定的时间通过广西政府采购云平台组织线上开标活动、开启投标文件，所有供应商均应当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1088A94C">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24.2</w:t>
      </w:r>
      <w:r>
        <w:rPr>
          <w:rFonts w:ascii="宋体" w:hAnsi="宋体" w:cs="宋体"/>
          <w:bCs/>
          <w:sz w:val="24"/>
        </w:rPr>
        <w:t xml:space="preserve"> </w:t>
      </w:r>
      <w:r>
        <w:rPr>
          <w:rFonts w:hint="eastAsia" w:ascii="宋体" w:hAnsi="宋体" w:cs="宋体"/>
          <w:bCs/>
          <w:sz w:val="24"/>
        </w:rPr>
        <w:t>开标程序：</w:t>
      </w:r>
    </w:p>
    <w:p w14:paraId="20A7BAC0">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（1）解密电子投标文件。广西政府采购云平台按开标时间自动提取所有投标文件。采购代理机构依托广西政府采购云平台向各投标人发出电子加密投标文件【开始解密】通知，由投标人进行投标文件解密。</w:t>
      </w:r>
      <w:r>
        <w:rPr>
          <w:rFonts w:hint="eastAsia" w:ascii="宋体" w:hAnsi="宋体" w:cs="宋体"/>
          <w:b/>
          <w:bCs/>
          <w:sz w:val="24"/>
        </w:rPr>
        <w:t>投标人的法定代表人或其委托代理人须携带加密时所用的CA锁准时登录到广西政府采购云平台电子开标大厅签到</w:t>
      </w:r>
      <w:r>
        <w:rPr>
          <w:rFonts w:hint="eastAsia" w:ascii="宋体" w:hAnsi="宋体" w:cs="宋体"/>
          <w:b/>
          <w:sz w:val="24"/>
        </w:rPr>
        <w:t>并在发起解密</w:t>
      </w:r>
      <w:r>
        <w:rPr>
          <w:rFonts w:hint="eastAsia" w:ascii="宋体" w:hAnsi="宋体" w:cs="宋体"/>
          <w:b/>
          <w:bCs/>
          <w:sz w:val="24"/>
        </w:rPr>
        <w:t>通知</w:t>
      </w:r>
      <w:r>
        <w:rPr>
          <w:rFonts w:hint="eastAsia" w:ascii="宋体" w:hAnsi="宋体" w:cs="宋体"/>
          <w:b/>
          <w:sz w:val="24"/>
        </w:rPr>
        <w:t>之时起30分钟内完成</w:t>
      </w:r>
      <w:r>
        <w:rPr>
          <w:rFonts w:hint="eastAsia" w:ascii="宋体" w:hAnsi="宋体" w:cs="宋体"/>
          <w:b/>
          <w:bCs/>
          <w:sz w:val="24"/>
        </w:rPr>
        <w:t>对电子投标文件解密。投标文件未按时解密的，视为无效投标。</w:t>
      </w:r>
      <w:r>
        <w:rPr>
          <w:rFonts w:hint="eastAsia" w:ascii="宋体" w:hAnsi="宋体" w:cs="宋体"/>
          <w:bCs/>
          <w:sz w:val="24"/>
        </w:rPr>
        <w:t>（解密异常情况处理：详见本章29.</w:t>
      </w:r>
      <w:r>
        <w:rPr>
          <w:rFonts w:ascii="宋体" w:hAnsi="宋体" w:cs="宋体"/>
          <w:bCs/>
          <w:sz w:val="24"/>
        </w:rPr>
        <w:t>5</w:t>
      </w:r>
      <w:r>
        <w:rPr>
          <w:rFonts w:hint="eastAsia" w:ascii="宋体" w:hAnsi="宋体" w:cs="宋体"/>
          <w:bCs/>
          <w:sz w:val="24"/>
        </w:rPr>
        <w:t>电子交易活动的中止。</w:t>
      </w:r>
    </w:p>
    <w:p w14:paraId="3712A5C0">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（2）电子唱标。投标文件解密结束，各投标供应商报价均在“广西政府采购云平台”平台远程不见面开标大厅展示；</w:t>
      </w:r>
    </w:p>
    <w:p w14:paraId="0D9910AC">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（3）签署电子《政府采购活动现场确认声明书》。通过邮件形式在远程不见面开标大厅发送各投标人签署电子《政府采购活动现场确认声明书》。</w:t>
      </w:r>
    </w:p>
    <w:p w14:paraId="2BE32CE5">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（4）开标过程由采购代理机构如实记录，并电子留痕，由参加电子开标的各投标人代表对电子开标记录在开标记录公布后15分钟内进行当场校核及勘误，并线上确认，未确认的视同认可开标结果。</w:t>
      </w:r>
    </w:p>
    <w:p w14:paraId="5D372B43">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5）投标人代表对开标过程和开标记录有疑义，以及认为采购人、采购代理机构相关工作人员有需要回避的情形的，应当场提出在线询问或者回避申请。采购人、采购代理机构对投标人代表提出的询问或者回避申请应当及时处理。</w:t>
      </w:r>
    </w:p>
    <w:p w14:paraId="2E16A4B1">
      <w:pPr>
        <w:autoSpaceDE w:val="0"/>
        <w:autoSpaceDN w:val="0"/>
        <w:adjustRightInd w:val="0"/>
        <w:spacing w:line="360" w:lineRule="auto"/>
        <w:ind w:firstLine="480" w:firstLineChars="200"/>
        <w:rPr>
          <w:rFonts w:ascii="宋体" w:hAnsi="宋体" w:cs="宋体"/>
          <w:bCs/>
          <w:sz w:val="24"/>
        </w:rPr>
      </w:pPr>
      <w:r>
        <w:rPr>
          <w:rFonts w:hint="eastAsia" w:ascii="宋体" w:hAnsi="宋体" w:cs="宋体"/>
          <w:bCs/>
          <w:sz w:val="24"/>
        </w:rPr>
        <w:t>（6）开标结束。</w:t>
      </w:r>
    </w:p>
    <w:p w14:paraId="26BCE1B2">
      <w:pPr>
        <w:autoSpaceDE w:val="0"/>
        <w:autoSpaceDN w:val="0"/>
        <w:adjustRightInd w:val="0"/>
        <w:spacing w:line="360" w:lineRule="auto"/>
        <w:ind w:firstLine="482" w:firstLineChars="200"/>
        <w:rPr>
          <w:rFonts w:ascii="宋体" w:hAnsi="宋体" w:cs="宋体"/>
          <w:b/>
          <w:bCs/>
          <w:sz w:val="24"/>
        </w:rPr>
      </w:pPr>
      <w:r>
        <w:rPr>
          <w:rFonts w:hint="eastAsia" w:ascii="宋体" w:hAnsi="宋体" w:cs="宋体"/>
          <w:b/>
          <w:bCs/>
          <w:sz w:val="24"/>
        </w:rPr>
        <w:t>特别说明：如遇广西政府采购云平台电子化开标或评审程序调整的，按调整后执行。</w:t>
      </w:r>
    </w:p>
    <w:p w14:paraId="5065B19F">
      <w:pPr>
        <w:pStyle w:val="26"/>
        <w:snapToGrid w:val="0"/>
        <w:spacing w:line="360" w:lineRule="auto"/>
        <w:ind w:left="689" w:leftChars="228" w:hanging="210" w:hangingChars="100"/>
        <w:rPr>
          <w:rFonts w:hAnsi="宋体" w:cs="宋体"/>
          <w:sz w:val="21"/>
        </w:rPr>
      </w:pPr>
    </w:p>
    <w:p w14:paraId="22239793">
      <w:pPr>
        <w:pStyle w:val="5"/>
        <w:keepNext w:val="0"/>
        <w:keepLines w:val="0"/>
        <w:jc w:val="center"/>
        <w:rPr>
          <w:rFonts w:ascii="宋体" w:hAnsi="宋体" w:cs="宋体"/>
        </w:rPr>
      </w:pPr>
      <w:r>
        <w:rPr>
          <w:rFonts w:hint="eastAsia" w:ascii="宋体" w:hAnsi="宋体" w:cs="宋体"/>
        </w:rPr>
        <w:t>五、资格审查</w:t>
      </w:r>
    </w:p>
    <w:p w14:paraId="37DBB1BB">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25.资格审查</w:t>
      </w:r>
    </w:p>
    <w:p w14:paraId="468F6699">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25.1开标结束后，采购人或者采购代理机构依法对投标人的资格进行审查。</w:t>
      </w:r>
    </w:p>
    <w:p w14:paraId="775A2F75">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25.2资格审查标准为本招标文件中载明对投标人资格要求的条件。本项目资格审查采用合格制，凡符合招标文件规定的投标人资格要求的投标人均通过资格审查。</w:t>
      </w:r>
    </w:p>
    <w:p w14:paraId="7C775390">
      <w:pPr>
        <w:pStyle w:val="7"/>
        <w:keepNext w:val="0"/>
        <w:keepLines w:val="0"/>
        <w:numPr>
          <w:ilvl w:val="0"/>
          <w:numId w:val="0"/>
        </w:numPr>
        <w:spacing w:before="0" w:after="0" w:line="360" w:lineRule="auto"/>
        <w:ind w:firstLine="482" w:firstLineChars="200"/>
        <w:rPr>
          <w:rFonts w:ascii="宋体" w:hAnsi="宋体" w:cs="宋体"/>
          <w:sz w:val="24"/>
        </w:rPr>
      </w:pPr>
      <w:bookmarkStart w:id="134" w:name="_25.3_投标人有下列情形之一的，资格审查不通过而导致其投标无效："/>
      <w:bookmarkEnd w:id="134"/>
      <w:r>
        <w:rPr>
          <w:rFonts w:hint="eastAsia" w:ascii="宋体" w:hAnsi="宋体" w:cs="宋体"/>
          <w:sz w:val="24"/>
        </w:rPr>
        <w:t>25.3 投标人有下列情形之一的，资格审查不通过，作无效投标处理：</w:t>
      </w:r>
    </w:p>
    <w:p w14:paraId="53820390">
      <w:pPr>
        <w:pStyle w:val="26"/>
        <w:snapToGrid w:val="0"/>
        <w:spacing w:line="360" w:lineRule="auto"/>
        <w:ind w:firstLine="482" w:firstLineChars="200"/>
        <w:rPr>
          <w:rFonts w:hAnsi="宋体" w:cs="宋体"/>
          <w:b/>
          <w:sz w:val="24"/>
          <w:szCs w:val="24"/>
        </w:rPr>
      </w:pPr>
      <w:r>
        <w:rPr>
          <w:rFonts w:hint="eastAsia" w:hAnsi="宋体" w:cs="宋体"/>
          <w:b/>
          <w:sz w:val="24"/>
          <w:szCs w:val="24"/>
        </w:rPr>
        <w:t>（1）未按招标文件规定的方式获取本招标文件的投标人；</w:t>
      </w:r>
    </w:p>
    <w:p w14:paraId="53C42BB2">
      <w:pPr>
        <w:pStyle w:val="26"/>
        <w:snapToGrid w:val="0"/>
        <w:spacing w:line="360" w:lineRule="auto"/>
        <w:ind w:firstLine="482" w:firstLineChars="200"/>
        <w:rPr>
          <w:rFonts w:hAnsi="宋体" w:cs="宋体"/>
          <w:b/>
          <w:sz w:val="24"/>
          <w:szCs w:val="24"/>
        </w:rPr>
      </w:pPr>
      <w:r>
        <w:rPr>
          <w:rFonts w:hint="eastAsia" w:hAnsi="宋体" w:cs="宋体"/>
          <w:b/>
          <w:sz w:val="24"/>
          <w:szCs w:val="24"/>
        </w:rPr>
        <w:t>（2）不具备招标文件中规定的资格要求的；</w:t>
      </w:r>
    </w:p>
    <w:p w14:paraId="525C0AF8">
      <w:pPr>
        <w:pStyle w:val="26"/>
        <w:snapToGrid w:val="0"/>
        <w:spacing w:line="360" w:lineRule="auto"/>
        <w:ind w:firstLine="482" w:firstLineChars="200"/>
        <w:rPr>
          <w:rFonts w:hAnsi="宋体" w:cs="宋体"/>
          <w:b/>
          <w:sz w:val="24"/>
          <w:szCs w:val="24"/>
        </w:rPr>
      </w:pPr>
      <w:r>
        <w:rPr>
          <w:rFonts w:hint="eastAsia" w:hAnsi="宋体" w:cs="宋体"/>
          <w:b/>
          <w:sz w:val="24"/>
          <w:szCs w:val="24"/>
        </w:rPr>
        <w:t>（3）在“信用中国”网站（www.creditchina.gov.cn） 、中国政府采购网（www.ccgp.gov.cn）被列入失信被执行人、重大税收违法失信主体、政府采购严重违法失信行为记录名单及其他不符合《中华人民共和国政府采购法》第二十二条规定条件的（注：其中信用查询规则见“投标人须知前附表”）；</w:t>
      </w:r>
      <w:r>
        <w:rPr>
          <w:rFonts w:hAnsi="宋体" w:cs="宋体"/>
          <w:b/>
          <w:sz w:val="24"/>
          <w:szCs w:val="24"/>
        </w:rPr>
        <w:t xml:space="preserve"> </w:t>
      </w:r>
    </w:p>
    <w:p w14:paraId="1CD64395">
      <w:pPr>
        <w:pStyle w:val="26"/>
        <w:snapToGrid w:val="0"/>
        <w:spacing w:line="360" w:lineRule="auto"/>
        <w:ind w:firstLine="482" w:firstLineChars="200"/>
        <w:rPr>
          <w:rFonts w:hAnsi="宋体" w:cs="宋体"/>
          <w:b/>
          <w:sz w:val="24"/>
          <w:szCs w:val="24"/>
        </w:rPr>
      </w:pPr>
      <w:r>
        <w:rPr>
          <w:rFonts w:hint="eastAsia" w:hAnsi="宋体" w:cs="宋体"/>
          <w:b/>
          <w:sz w:val="24"/>
          <w:szCs w:val="24"/>
        </w:rPr>
        <w:t>（4）同一合同项下的不同投标人，单位负责人为同一人或者存在直接控股、管理关系的；为本项目提供过整体设计、规范编制或者项目管理、监理、检测等服务的供应商，再参加该采购项目的其他采购活动的；</w:t>
      </w:r>
    </w:p>
    <w:p w14:paraId="01BBB81E">
      <w:pPr>
        <w:pStyle w:val="26"/>
        <w:snapToGrid w:val="0"/>
        <w:spacing w:line="360" w:lineRule="auto"/>
        <w:ind w:firstLine="482" w:firstLineChars="200"/>
        <w:rPr>
          <w:rFonts w:hAnsi="宋体" w:cs="宋体"/>
          <w:b/>
          <w:sz w:val="24"/>
          <w:szCs w:val="24"/>
        </w:rPr>
      </w:pPr>
      <w:r>
        <w:rPr>
          <w:rFonts w:hint="eastAsia" w:hAnsi="宋体" w:cs="宋体"/>
          <w:b/>
          <w:sz w:val="24"/>
          <w:szCs w:val="24"/>
        </w:rPr>
        <w:t>（5）投标文件中的资格证明文件缺少任一项“投标人须知前附表”资格证明文件规定“必须提供”的文件资料的；</w:t>
      </w:r>
    </w:p>
    <w:p w14:paraId="5890D45E">
      <w:pPr>
        <w:pStyle w:val="26"/>
        <w:snapToGrid w:val="0"/>
        <w:spacing w:line="360" w:lineRule="auto"/>
        <w:ind w:firstLine="482" w:firstLineChars="200"/>
        <w:rPr>
          <w:rFonts w:hAnsi="宋体" w:cs="宋体"/>
          <w:b/>
          <w:sz w:val="24"/>
          <w:szCs w:val="24"/>
        </w:rPr>
      </w:pPr>
      <w:r>
        <w:rPr>
          <w:rFonts w:hint="eastAsia" w:hAnsi="宋体" w:cs="宋体"/>
          <w:b/>
          <w:sz w:val="24"/>
          <w:szCs w:val="24"/>
        </w:rPr>
        <w:t>（6）投标文件中的资格证明文件出现任一项不符合“投标人须知前附表”资格证明文件规定“必须提供”的文件资料要求或者无效的。</w:t>
      </w:r>
    </w:p>
    <w:p w14:paraId="08B2161D">
      <w:pPr>
        <w:pStyle w:val="7"/>
        <w:keepNext w:val="0"/>
        <w:keepLines w:val="0"/>
        <w:spacing w:before="0" w:after="0" w:line="360" w:lineRule="auto"/>
        <w:ind w:left="420" w:leftChars="200"/>
        <w:rPr>
          <w:rFonts w:ascii="宋体" w:hAnsi="宋体" w:cs="宋体"/>
          <w:b w:val="0"/>
          <w:sz w:val="24"/>
        </w:rPr>
      </w:pPr>
      <w:r>
        <w:rPr>
          <w:rFonts w:hint="eastAsia" w:ascii="宋体" w:hAnsi="宋体" w:cs="宋体"/>
          <w:sz w:val="24"/>
        </w:rPr>
        <w:t>25.4合格投标人不足3家的，不得评标。</w:t>
      </w:r>
    </w:p>
    <w:p w14:paraId="66AEC925">
      <w:pPr>
        <w:pStyle w:val="26"/>
        <w:snapToGrid w:val="0"/>
        <w:spacing w:line="360" w:lineRule="auto"/>
        <w:ind w:left="719" w:leftChars="228" w:hanging="240" w:hangingChars="100"/>
        <w:rPr>
          <w:rFonts w:hAnsi="宋体" w:cs="宋体"/>
          <w:sz w:val="24"/>
          <w:szCs w:val="24"/>
        </w:rPr>
      </w:pPr>
    </w:p>
    <w:p w14:paraId="7FDC18F5">
      <w:pPr>
        <w:pStyle w:val="5"/>
        <w:keepNext w:val="0"/>
        <w:keepLines w:val="0"/>
        <w:jc w:val="center"/>
        <w:rPr>
          <w:rFonts w:ascii="宋体" w:hAnsi="宋体" w:cs="宋体"/>
        </w:rPr>
      </w:pPr>
      <w:r>
        <w:rPr>
          <w:rFonts w:hint="eastAsia" w:ascii="宋体" w:hAnsi="宋体" w:cs="宋体"/>
        </w:rPr>
        <w:t>六、评   标</w:t>
      </w:r>
    </w:p>
    <w:p w14:paraId="7CFC6CA3">
      <w:pPr>
        <w:pStyle w:val="7"/>
        <w:keepNext w:val="0"/>
        <w:keepLines w:val="0"/>
        <w:spacing w:before="0" w:after="0" w:line="360" w:lineRule="auto"/>
        <w:ind w:left="420" w:leftChars="200"/>
        <w:rPr>
          <w:rFonts w:ascii="宋体" w:hAnsi="宋体" w:cs="宋体"/>
          <w:sz w:val="24"/>
        </w:rPr>
      </w:pPr>
      <w:bookmarkStart w:id="135" w:name="_26.组建评标委员会"/>
      <w:bookmarkEnd w:id="135"/>
      <w:r>
        <w:rPr>
          <w:rFonts w:hint="eastAsia" w:ascii="宋体" w:hAnsi="宋体" w:cs="宋体"/>
          <w:sz w:val="24"/>
        </w:rPr>
        <w:t>26.组建评标委员会</w:t>
      </w:r>
    </w:p>
    <w:p w14:paraId="0232D2FA">
      <w:pPr>
        <w:pStyle w:val="26"/>
        <w:snapToGrid w:val="0"/>
        <w:spacing w:line="360" w:lineRule="auto"/>
        <w:ind w:firstLine="480" w:firstLineChars="200"/>
        <w:rPr>
          <w:rFonts w:hAnsi="宋体" w:cs="宋体"/>
          <w:sz w:val="24"/>
          <w:szCs w:val="24"/>
        </w:rPr>
      </w:pPr>
      <w:r>
        <w:rPr>
          <w:rFonts w:hint="eastAsia" w:hAnsi="宋体"/>
          <w:sz w:val="24"/>
          <w:szCs w:val="24"/>
        </w:rPr>
        <w:t>26.1</w:t>
      </w:r>
      <w:r>
        <w:rPr>
          <w:rFonts w:hint="eastAsia" w:hAnsi="宋体" w:cs="宋体"/>
          <w:sz w:val="24"/>
          <w:szCs w:val="24"/>
        </w:rPr>
        <w:t>评标委员会由采购人代表和评审专家组成，具体人数详见“投标人须知前附表”，其中评审专家不得少于成员总数的三分之二。</w:t>
      </w:r>
    </w:p>
    <w:p w14:paraId="67FD974B">
      <w:pPr>
        <w:pStyle w:val="26"/>
        <w:snapToGrid w:val="0"/>
        <w:spacing w:line="360" w:lineRule="auto"/>
        <w:ind w:left="2" w:leftChars="1" w:firstLine="480" w:firstLineChars="200"/>
      </w:pPr>
      <w:r>
        <w:rPr>
          <w:rFonts w:hint="eastAsia" w:hAnsi="宋体"/>
          <w:sz w:val="24"/>
          <w:szCs w:val="24"/>
        </w:rPr>
        <w:t>26.</w:t>
      </w:r>
      <w:r>
        <w:rPr>
          <w:rFonts w:hAnsi="宋体"/>
          <w:sz w:val="24"/>
          <w:szCs w:val="24"/>
        </w:rPr>
        <w:t>2</w:t>
      </w:r>
      <w:r>
        <w:rPr>
          <w:rFonts w:hint="eastAsia" w:hAnsi="宋体" w:cs="宋体"/>
          <w:sz w:val="24"/>
          <w:szCs w:val="24"/>
        </w:rPr>
        <w:t>参加过采购项目前期咨询论证的专家，不得参加该采购项目的评审活动。</w:t>
      </w:r>
    </w:p>
    <w:p w14:paraId="55939E62">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27.评标的依据</w:t>
      </w:r>
    </w:p>
    <w:p w14:paraId="477674F7">
      <w:pPr>
        <w:pStyle w:val="26"/>
        <w:snapToGrid w:val="0"/>
        <w:spacing w:line="360" w:lineRule="auto"/>
        <w:ind w:firstLine="480" w:firstLineChars="200"/>
        <w:rPr>
          <w:rFonts w:hAnsi="宋体" w:cs="宋体"/>
          <w:sz w:val="24"/>
          <w:szCs w:val="24"/>
        </w:rPr>
      </w:pPr>
      <w:r>
        <w:rPr>
          <w:rFonts w:hint="eastAsia" w:hAnsi="宋体" w:cs="宋体"/>
          <w:sz w:val="24"/>
          <w:szCs w:val="24"/>
        </w:rPr>
        <w:t>评标委员会以“第四章 评标方法和评标标准”为依据对投标文件进行评审，没有规定的方法、评审因素和标准，不作为评标依据。</w:t>
      </w:r>
    </w:p>
    <w:p w14:paraId="6119A86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28.评标原则</w:t>
      </w:r>
    </w:p>
    <w:p w14:paraId="4FB77373">
      <w:pPr>
        <w:pStyle w:val="26"/>
        <w:snapToGrid w:val="0"/>
        <w:spacing w:line="360" w:lineRule="auto"/>
        <w:ind w:firstLine="480" w:firstLineChars="200"/>
        <w:rPr>
          <w:rFonts w:hAnsi="宋体" w:cs="宋体"/>
          <w:sz w:val="24"/>
          <w:szCs w:val="24"/>
        </w:rPr>
      </w:pPr>
      <w:r>
        <w:rPr>
          <w:rFonts w:hint="eastAsia" w:hAnsi="宋体" w:cs="宋体"/>
          <w:sz w:val="24"/>
          <w:szCs w:val="24"/>
        </w:rPr>
        <w:t>28.1评标原则。评标委员会评标时必须公平、公正、客观，不带任何倾向性和启发性；不得向外界透露任何与评标有关的内容；任何单位和个人不得干扰、影响评标的正常进行；评标委员会及有关工作人员不得私下与投标人接触，不得收受利害关系人的财物或者其他好处。</w:t>
      </w:r>
    </w:p>
    <w:p w14:paraId="05231043">
      <w:pPr>
        <w:pStyle w:val="26"/>
        <w:snapToGrid w:val="0"/>
        <w:spacing w:line="360" w:lineRule="auto"/>
        <w:ind w:firstLine="480" w:firstLineChars="200"/>
        <w:rPr>
          <w:rFonts w:hAnsi="宋体" w:cs="宋体"/>
          <w:sz w:val="24"/>
          <w:szCs w:val="24"/>
        </w:rPr>
      </w:pPr>
      <w:r>
        <w:rPr>
          <w:rFonts w:hint="eastAsia" w:hAnsi="宋体" w:cs="宋体"/>
          <w:sz w:val="24"/>
          <w:szCs w:val="24"/>
        </w:rPr>
        <w:t>28.2</w:t>
      </w:r>
      <w:bookmarkStart w:id="136" w:name="_28.3评标方法。本项目将按须知前附表规定的评标办法进行评标，具体评标"/>
      <w:bookmarkEnd w:id="136"/>
      <w:r>
        <w:rPr>
          <w:rFonts w:hint="eastAsia" w:hAnsi="宋体" w:cs="宋体"/>
          <w:sz w:val="24"/>
          <w:szCs w:val="24"/>
        </w:rPr>
        <w:t>评委表决。评标委员会成员对需要共同认定的事项存在争议的，应当按照少数服从多数的原则作出结论。</w:t>
      </w:r>
    </w:p>
    <w:p w14:paraId="2D33935D">
      <w:pPr>
        <w:pStyle w:val="26"/>
        <w:snapToGrid w:val="0"/>
        <w:spacing w:line="360" w:lineRule="auto"/>
        <w:ind w:firstLine="480" w:firstLineChars="200"/>
        <w:rPr>
          <w:rFonts w:hAnsi="宋体" w:cs="宋体"/>
          <w:sz w:val="24"/>
          <w:szCs w:val="24"/>
        </w:rPr>
      </w:pPr>
      <w:r>
        <w:rPr>
          <w:rFonts w:hint="eastAsia" w:hAnsi="宋体" w:cs="宋体"/>
          <w:sz w:val="24"/>
          <w:szCs w:val="24"/>
        </w:rPr>
        <w:t>28.3评标的保密。采购人、采购代理机构应当采取必要措施，保证评标在严格保密（封闭式评标）的情况下进行。除采购人代表、评标现场组织人员外，采购人的其他工作人员以及与评标工作无关的人员不得进入评标现场。有关人员对评标情况以及在评标过程中获悉的国家秘密、商业秘密负有保密责任。</w:t>
      </w:r>
    </w:p>
    <w:p w14:paraId="173C8405">
      <w:pPr>
        <w:pStyle w:val="26"/>
        <w:snapToGrid w:val="0"/>
        <w:spacing w:line="360" w:lineRule="auto"/>
        <w:ind w:firstLine="480" w:firstLineChars="200"/>
        <w:rPr>
          <w:rFonts w:hAnsi="宋体" w:cs="宋体"/>
          <w:sz w:val="24"/>
          <w:szCs w:val="24"/>
        </w:rPr>
      </w:pPr>
      <w:r>
        <w:rPr>
          <w:rFonts w:hint="eastAsia" w:hAnsi="宋体" w:cs="宋体"/>
          <w:sz w:val="24"/>
          <w:szCs w:val="24"/>
        </w:rPr>
        <w:t>28.4评标过程的监控。本项目评标过程实行网上留痕、全程录音、录像监控，</w:t>
      </w:r>
      <w:r>
        <w:rPr>
          <w:rFonts w:hint="eastAsia" w:hAnsi="宋体" w:cs="宋体"/>
          <w:b/>
          <w:bCs/>
          <w:sz w:val="24"/>
          <w:szCs w:val="24"/>
        </w:rPr>
        <w:t>投标人在评标过程中所进行的试图影响评标结果的不公正活动，可能导致其投标无效</w:t>
      </w:r>
      <w:r>
        <w:rPr>
          <w:rFonts w:hint="eastAsia" w:hAnsi="宋体" w:cs="宋体"/>
          <w:sz w:val="24"/>
          <w:szCs w:val="24"/>
        </w:rPr>
        <w:t>。</w:t>
      </w:r>
    </w:p>
    <w:p w14:paraId="2ECD5C20">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29.评标方法及中标候选人推荐</w:t>
      </w:r>
    </w:p>
    <w:p w14:paraId="05BA1FD0">
      <w:pPr>
        <w:pStyle w:val="26"/>
        <w:snapToGrid w:val="0"/>
        <w:spacing w:line="360" w:lineRule="auto"/>
        <w:ind w:firstLine="480" w:firstLineChars="200"/>
        <w:rPr>
          <w:rFonts w:hAnsi="宋体" w:cs="宋体"/>
          <w:sz w:val="24"/>
          <w:szCs w:val="24"/>
        </w:rPr>
      </w:pPr>
      <w:r>
        <w:rPr>
          <w:rFonts w:hint="eastAsia" w:hAnsi="宋体" w:cs="宋体"/>
          <w:sz w:val="24"/>
          <w:szCs w:val="24"/>
        </w:rPr>
        <w:t>29.1本项目的评标方法详见“投标人须知前附表”。</w:t>
      </w:r>
    </w:p>
    <w:p w14:paraId="4540551D">
      <w:pPr>
        <w:pStyle w:val="26"/>
        <w:snapToGrid w:val="0"/>
        <w:spacing w:line="360" w:lineRule="auto"/>
        <w:ind w:firstLine="480" w:firstLineChars="200"/>
        <w:rPr>
          <w:rFonts w:hAnsi="宋体" w:cs="宋体"/>
          <w:sz w:val="24"/>
          <w:szCs w:val="24"/>
        </w:rPr>
      </w:pPr>
      <w:r>
        <w:rPr>
          <w:rFonts w:hint="eastAsia" w:hAnsi="宋体" w:cs="宋体"/>
          <w:sz w:val="24"/>
          <w:szCs w:val="24"/>
        </w:rPr>
        <w:t>29.2 采购需求允许负偏离的条款数量及中标候选人推荐数量详见“投标人须知前附表”。</w:t>
      </w:r>
    </w:p>
    <w:p w14:paraId="53684CA7">
      <w:pPr>
        <w:pStyle w:val="26"/>
        <w:snapToGrid w:val="0"/>
        <w:spacing w:line="360" w:lineRule="auto"/>
        <w:ind w:firstLine="480" w:firstLineChars="200"/>
        <w:rPr>
          <w:rFonts w:hAnsi="宋体" w:cs="宋体"/>
          <w:sz w:val="24"/>
          <w:szCs w:val="24"/>
        </w:rPr>
      </w:pPr>
      <w:r>
        <w:rPr>
          <w:rFonts w:hint="eastAsia" w:hAnsi="宋体" w:cs="宋体"/>
          <w:sz w:val="24"/>
          <w:szCs w:val="24"/>
        </w:rPr>
        <w:t>29.</w:t>
      </w:r>
      <w:r>
        <w:rPr>
          <w:rFonts w:hAnsi="宋体" w:cs="宋体"/>
          <w:sz w:val="24"/>
          <w:szCs w:val="24"/>
        </w:rPr>
        <w:t>3</w:t>
      </w:r>
      <w:r>
        <w:rPr>
          <w:rFonts w:hint="eastAsia" w:hAnsi="宋体" w:cs="宋体"/>
          <w:sz w:val="24"/>
          <w:szCs w:val="24"/>
        </w:rPr>
        <w:t>中标候选人推荐数量详见“投标人须知前附表”。</w:t>
      </w:r>
    </w:p>
    <w:p w14:paraId="1EC41034">
      <w:pPr>
        <w:pStyle w:val="26"/>
        <w:snapToGrid w:val="0"/>
        <w:spacing w:line="360" w:lineRule="auto"/>
        <w:ind w:firstLine="480" w:firstLineChars="200"/>
        <w:rPr>
          <w:rFonts w:hAnsi="宋体" w:cs="宋体"/>
          <w:sz w:val="24"/>
          <w:szCs w:val="24"/>
        </w:rPr>
      </w:pPr>
      <w:r>
        <w:rPr>
          <w:rFonts w:hint="eastAsia" w:hAnsi="宋体" w:cs="宋体"/>
          <w:sz w:val="24"/>
          <w:szCs w:val="24"/>
        </w:rPr>
        <w:t>29.</w:t>
      </w:r>
      <w:r>
        <w:rPr>
          <w:rFonts w:hAnsi="宋体" w:cs="宋体"/>
          <w:sz w:val="24"/>
          <w:szCs w:val="24"/>
        </w:rPr>
        <w:t>4</w:t>
      </w:r>
      <w:r>
        <w:rPr>
          <w:rFonts w:hint="eastAsia" w:hAnsi="宋体" w:cs="宋体"/>
          <w:sz w:val="24"/>
          <w:szCs w:val="24"/>
        </w:rPr>
        <w:t>评标委员会将按照“第四章 评标方法和评标标准”规定的方法、评审因素、标准和程序对投标文件进行评审。</w:t>
      </w:r>
    </w:p>
    <w:p w14:paraId="2A328048">
      <w:pPr>
        <w:pStyle w:val="26"/>
        <w:snapToGrid w:val="0"/>
        <w:spacing w:line="360" w:lineRule="auto"/>
        <w:ind w:firstLine="480" w:firstLineChars="200"/>
        <w:rPr>
          <w:rFonts w:hAnsi="宋体" w:cs="宋体"/>
          <w:sz w:val="24"/>
          <w:szCs w:val="24"/>
        </w:rPr>
      </w:pPr>
      <w:r>
        <w:rPr>
          <w:rFonts w:hint="eastAsia" w:hAnsi="宋体" w:cs="宋体"/>
          <w:sz w:val="24"/>
          <w:szCs w:val="24"/>
        </w:rPr>
        <w:t>29.</w:t>
      </w:r>
      <w:r>
        <w:rPr>
          <w:rFonts w:hAnsi="宋体" w:cs="宋体"/>
          <w:sz w:val="24"/>
          <w:szCs w:val="24"/>
        </w:rPr>
        <w:t>5</w:t>
      </w:r>
      <w:r>
        <w:rPr>
          <w:rFonts w:hint="eastAsia" w:hAnsi="宋体" w:cs="宋体"/>
          <w:sz w:val="24"/>
          <w:szCs w:val="24"/>
        </w:rPr>
        <w:t>电子交易活动的中止。采购过程中出现以下情形，导致电子交易平台无法正常运行，或者无法保证电子交易的公平、公正和安全时，采购代理机构可中止电子交易活动：</w:t>
      </w:r>
    </w:p>
    <w:p w14:paraId="6AB9EDAC">
      <w:pPr>
        <w:pStyle w:val="26"/>
        <w:snapToGrid w:val="0"/>
        <w:spacing w:line="360" w:lineRule="auto"/>
        <w:ind w:firstLine="480" w:firstLineChars="200"/>
        <w:rPr>
          <w:rFonts w:hAnsi="宋体" w:cs="宋体"/>
          <w:sz w:val="24"/>
          <w:szCs w:val="24"/>
        </w:rPr>
      </w:pPr>
      <w:r>
        <w:rPr>
          <w:rFonts w:hint="eastAsia" w:hAnsi="宋体" w:cs="宋体"/>
          <w:sz w:val="24"/>
          <w:szCs w:val="24"/>
        </w:rPr>
        <w:t xml:space="preserve">（1）电子交易平台发生故障而无法登录访问的； </w:t>
      </w:r>
    </w:p>
    <w:p w14:paraId="2F23323C">
      <w:pPr>
        <w:pStyle w:val="26"/>
        <w:snapToGrid w:val="0"/>
        <w:spacing w:line="360" w:lineRule="auto"/>
        <w:ind w:firstLine="480" w:firstLineChars="200"/>
        <w:rPr>
          <w:rFonts w:hAnsi="宋体" w:cs="宋体"/>
          <w:sz w:val="24"/>
          <w:szCs w:val="24"/>
        </w:rPr>
      </w:pPr>
      <w:r>
        <w:rPr>
          <w:rFonts w:hint="eastAsia" w:hAnsi="宋体" w:cs="宋体"/>
          <w:sz w:val="24"/>
          <w:szCs w:val="24"/>
        </w:rPr>
        <w:t>（2）电子交易平台应用或数据库出现错误，不能进行正常操作的；</w:t>
      </w:r>
    </w:p>
    <w:p w14:paraId="28A22E05">
      <w:pPr>
        <w:pStyle w:val="26"/>
        <w:snapToGrid w:val="0"/>
        <w:spacing w:line="360" w:lineRule="auto"/>
        <w:ind w:firstLine="480" w:firstLineChars="200"/>
        <w:rPr>
          <w:rFonts w:hAnsi="宋体" w:cs="宋体"/>
          <w:sz w:val="24"/>
          <w:szCs w:val="24"/>
        </w:rPr>
      </w:pPr>
      <w:r>
        <w:rPr>
          <w:rFonts w:hint="eastAsia" w:hAnsi="宋体" w:cs="宋体"/>
          <w:sz w:val="24"/>
          <w:szCs w:val="24"/>
        </w:rPr>
        <w:t>（3）电子交易平台发现严重安全漏洞，有潜在泄密危险的；</w:t>
      </w:r>
    </w:p>
    <w:p w14:paraId="111731E8">
      <w:pPr>
        <w:pStyle w:val="26"/>
        <w:snapToGrid w:val="0"/>
        <w:spacing w:line="360" w:lineRule="auto"/>
        <w:ind w:firstLine="480" w:firstLineChars="200"/>
        <w:rPr>
          <w:rFonts w:hAnsi="宋体" w:cs="宋体"/>
          <w:sz w:val="24"/>
          <w:szCs w:val="24"/>
        </w:rPr>
      </w:pPr>
      <w:r>
        <w:rPr>
          <w:rFonts w:hint="eastAsia" w:hAnsi="宋体" w:cs="宋体"/>
          <w:sz w:val="24"/>
          <w:szCs w:val="24"/>
        </w:rPr>
        <w:t xml:space="preserve">（4）病毒发作导致不能进行正常操作的； </w:t>
      </w:r>
    </w:p>
    <w:p w14:paraId="0F8BBEB7">
      <w:pPr>
        <w:pStyle w:val="26"/>
        <w:snapToGrid w:val="0"/>
        <w:spacing w:line="360" w:lineRule="auto"/>
        <w:ind w:firstLine="480" w:firstLineChars="200"/>
        <w:rPr>
          <w:rFonts w:hAnsi="宋体" w:cs="宋体"/>
          <w:sz w:val="24"/>
          <w:szCs w:val="24"/>
        </w:rPr>
      </w:pPr>
      <w:r>
        <w:rPr>
          <w:rFonts w:hint="eastAsia" w:hAnsi="宋体" w:cs="宋体"/>
          <w:sz w:val="24"/>
          <w:szCs w:val="24"/>
        </w:rPr>
        <w:t>（</w:t>
      </w:r>
      <w:r>
        <w:rPr>
          <w:rFonts w:hAnsi="宋体" w:cs="宋体"/>
          <w:sz w:val="24"/>
          <w:szCs w:val="24"/>
        </w:rPr>
        <w:t>5</w:t>
      </w:r>
      <w:r>
        <w:rPr>
          <w:rFonts w:hint="eastAsia" w:hAnsi="宋体" w:cs="宋体"/>
          <w:sz w:val="24"/>
          <w:szCs w:val="24"/>
        </w:rPr>
        <w:t>）其他无法保证电子交易的公平、公正和安全的情况。</w:t>
      </w:r>
    </w:p>
    <w:p w14:paraId="1D2910D8">
      <w:pPr>
        <w:pStyle w:val="26"/>
        <w:snapToGrid w:val="0"/>
        <w:spacing w:line="360" w:lineRule="auto"/>
        <w:ind w:firstLine="480" w:firstLineChars="200"/>
        <w:rPr>
          <w:rFonts w:hAnsi="宋体" w:cs="宋体"/>
          <w:sz w:val="24"/>
          <w:szCs w:val="24"/>
        </w:rPr>
      </w:pPr>
      <w:r>
        <w:rPr>
          <w:rFonts w:hint="eastAsia" w:hAnsi="宋体" w:cs="宋体"/>
          <w:sz w:val="24"/>
          <w:szCs w:val="24"/>
        </w:rPr>
        <w:t>29.</w:t>
      </w:r>
      <w:r>
        <w:rPr>
          <w:rFonts w:hAnsi="宋体" w:cs="宋体"/>
          <w:sz w:val="24"/>
          <w:szCs w:val="24"/>
        </w:rPr>
        <w:t>6</w:t>
      </w:r>
      <w:r>
        <w:rPr>
          <w:rFonts w:hint="eastAsia" w:hAnsi="宋体" w:cs="宋体"/>
          <w:sz w:val="24"/>
          <w:szCs w:val="24"/>
        </w:rPr>
        <w:t>出现以上情形，不影响采购公平、公正性的，采购代理机构可以待上述情形消除后继续组织电子交易活动；影响或可能影响采购公平、公正性的，经采购代理机构确认、报采购人同意后，终止电子采购活动，重新采购。采购代理机构必须对原有的资料及信息作出妥善保密处理，并报财政部门备案。</w:t>
      </w:r>
    </w:p>
    <w:p w14:paraId="316BF5B6">
      <w:pPr>
        <w:pStyle w:val="26"/>
        <w:snapToGrid w:val="0"/>
        <w:spacing w:line="360" w:lineRule="auto"/>
        <w:rPr>
          <w:rFonts w:hAnsi="宋体" w:cs="宋体"/>
          <w:sz w:val="24"/>
          <w:szCs w:val="24"/>
        </w:rPr>
      </w:pPr>
    </w:p>
    <w:p w14:paraId="2C9D250B">
      <w:pPr>
        <w:pStyle w:val="5"/>
        <w:keepNext w:val="0"/>
        <w:keepLines w:val="0"/>
        <w:jc w:val="center"/>
        <w:rPr>
          <w:rFonts w:ascii="宋体" w:hAnsi="宋体" w:cs="宋体"/>
        </w:rPr>
      </w:pPr>
      <w:bookmarkStart w:id="137" w:name="_Toc254970687"/>
      <w:bookmarkStart w:id="138" w:name="_Toc254970546"/>
      <w:r>
        <w:rPr>
          <w:rFonts w:hint="eastAsia" w:ascii="宋体" w:hAnsi="宋体" w:cs="宋体"/>
        </w:rPr>
        <w:t>七、</w:t>
      </w:r>
      <w:bookmarkEnd w:id="137"/>
      <w:bookmarkEnd w:id="138"/>
      <w:r>
        <w:rPr>
          <w:rFonts w:hint="eastAsia" w:ascii="宋体" w:hAnsi="宋体" w:cs="宋体"/>
        </w:rPr>
        <w:t>中标和合同</w:t>
      </w:r>
    </w:p>
    <w:p w14:paraId="0F16E8B8">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30.确定中标人</w:t>
      </w:r>
    </w:p>
    <w:p w14:paraId="4B318922">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30.1采购人在收到评标报告之日起5个工作日内，在评标报告确定的中标候选人名单中按顺序确定中标人。中标候选人并列的，按照“投标人须知前附表”规定的方式确定中标人。采购人也可以事先授权评标委员会直接确定中标人。</w:t>
      </w:r>
    </w:p>
    <w:p w14:paraId="16D4C63B">
      <w:pPr>
        <w:snapToGrid w:val="0"/>
        <w:spacing w:line="360" w:lineRule="auto"/>
        <w:ind w:firstLine="480" w:firstLineChars="200"/>
        <w:rPr>
          <w:rFonts w:ascii="宋体" w:hAnsi="宋体" w:cs="宋体"/>
          <w:sz w:val="24"/>
        </w:rPr>
      </w:pPr>
      <w:r>
        <w:rPr>
          <w:rFonts w:hint="eastAsia" w:ascii="宋体" w:hAnsi="宋体" w:cs="宋体"/>
          <w:sz w:val="24"/>
        </w:rPr>
        <w:t>30.2采购人在收到评标报告5个工作日内未按评标报告推荐的中标候选人顺序确定中标人，又不能说明合法理由的，视同按评标报告推荐的顺序确定排名第一的中标候选人为中标人。</w:t>
      </w:r>
    </w:p>
    <w:p w14:paraId="0A09818B">
      <w:pPr>
        <w:snapToGrid w:val="0"/>
        <w:spacing w:line="360" w:lineRule="auto"/>
        <w:ind w:firstLine="480" w:firstLineChars="200"/>
        <w:rPr>
          <w:rFonts w:ascii="宋体" w:hAnsi="宋体" w:cs="宋体"/>
          <w:sz w:val="24"/>
        </w:rPr>
      </w:pPr>
      <w:r>
        <w:rPr>
          <w:rFonts w:hint="eastAsia" w:ascii="宋体" w:hAnsi="宋体" w:cs="宋体"/>
          <w:sz w:val="24"/>
        </w:rPr>
        <w:t>30.3出现下列情形之一的，应予废标：</w:t>
      </w:r>
    </w:p>
    <w:p w14:paraId="016AE9B7">
      <w:pPr>
        <w:snapToGrid w:val="0"/>
        <w:spacing w:line="360" w:lineRule="auto"/>
        <w:ind w:firstLine="480" w:firstLineChars="200"/>
        <w:rPr>
          <w:rFonts w:ascii="宋体" w:hAnsi="宋体" w:cs="宋体"/>
          <w:sz w:val="24"/>
        </w:rPr>
      </w:pPr>
      <w:r>
        <w:rPr>
          <w:rFonts w:hint="eastAsia" w:ascii="宋体" w:hAnsi="宋体" w:cs="宋体"/>
          <w:sz w:val="24"/>
        </w:rPr>
        <w:t>（1）符合专业条件的供应商或者对招标文件作实质响应的供应商不足三家的；</w:t>
      </w:r>
    </w:p>
    <w:p w14:paraId="21E1D7E1">
      <w:pPr>
        <w:snapToGrid w:val="0"/>
        <w:spacing w:line="360" w:lineRule="auto"/>
        <w:ind w:firstLine="480" w:firstLineChars="200"/>
        <w:rPr>
          <w:rFonts w:ascii="宋体" w:hAnsi="宋体" w:cs="宋体"/>
          <w:sz w:val="24"/>
        </w:rPr>
      </w:pPr>
      <w:r>
        <w:rPr>
          <w:rFonts w:hint="eastAsia" w:ascii="宋体" w:hAnsi="宋体" w:cs="宋体"/>
          <w:sz w:val="24"/>
        </w:rPr>
        <w:t>（2）出现影响采购公正的违法、违规行为的；</w:t>
      </w:r>
    </w:p>
    <w:p w14:paraId="4079C08D">
      <w:pPr>
        <w:snapToGrid w:val="0"/>
        <w:spacing w:line="360" w:lineRule="auto"/>
        <w:ind w:firstLine="480" w:firstLineChars="200"/>
        <w:rPr>
          <w:rFonts w:ascii="宋体" w:hAnsi="宋体" w:cs="宋体"/>
          <w:sz w:val="24"/>
        </w:rPr>
      </w:pPr>
      <w:r>
        <w:rPr>
          <w:rFonts w:hint="eastAsia" w:ascii="宋体" w:hAnsi="宋体" w:cs="宋体"/>
          <w:sz w:val="24"/>
        </w:rPr>
        <w:t>（3）投标人的报价均超过了采购预算，采购人不能支付的；</w:t>
      </w:r>
    </w:p>
    <w:p w14:paraId="2B4BDE96">
      <w:pPr>
        <w:snapToGrid w:val="0"/>
        <w:spacing w:line="360" w:lineRule="auto"/>
        <w:ind w:firstLine="480" w:firstLineChars="200"/>
        <w:rPr>
          <w:rFonts w:ascii="宋体" w:hAnsi="宋体" w:cs="宋体"/>
          <w:sz w:val="24"/>
        </w:rPr>
      </w:pPr>
      <w:r>
        <w:rPr>
          <w:rFonts w:hint="eastAsia" w:ascii="宋体" w:hAnsi="宋体" w:cs="宋体"/>
          <w:sz w:val="24"/>
        </w:rPr>
        <w:t>（4）因重大变故，采购任务取消的。</w:t>
      </w:r>
    </w:p>
    <w:p w14:paraId="52308720">
      <w:pPr>
        <w:snapToGrid w:val="0"/>
        <w:spacing w:line="360" w:lineRule="auto"/>
        <w:ind w:firstLine="480" w:firstLineChars="200"/>
        <w:rPr>
          <w:rFonts w:ascii="宋体" w:hAnsi="宋体" w:cs="宋体"/>
          <w:sz w:val="24"/>
        </w:rPr>
      </w:pPr>
      <w:r>
        <w:rPr>
          <w:rFonts w:hint="eastAsia" w:ascii="宋体" w:hAnsi="宋体" w:cs="宋体"/>
          <w:sz w:val="24"/>
        </w:rPr>
        <w:t>废标后，采购人应当将废标理由通知所有投标人。</w:t>
      </w:r>
    </w:p>
    <w:p w14:paraId="18F4283A">
      <w:pPr>
        <w:snapToGrid w:val="0"/>
        <w:spacing w:line="360" w:lineRule="auto"/>
        <w:ind w:firstLine="480" w:firstLineChars="200"/>
        <w:rPr>
          <w:rFonts w:ascii="宋体" w:hAnsi="宋体" w:cs="宋体"/>
          <w:sz w:val="24"/>
        </w:rPr>
      </w:pPr>
      <w:r>
        <w:rPr>
          <w:rFonts w:hint="eastAsia" w:ascii="宋体" w:hAnsi="宋体" w:cs="宋体"/>
          <w:sz w:val="24"/>
        </w:rPr>
        <w:t>30.4 中标人拒绝签订政府采购合同（包括但不限于放弃中标、因不可抗力不能履行合同而放弃签订合同），采购人可以按照评审报告推荐的中标候选人名单排序，确定下一候选人为中标供应商，也可以重新开展政府采购活动。拒绝签订政府采购合同的中标人不得参加对该项目重新开展的采购活动。</w:t>
      </w:r>
    </w:p>
    <w:p w14:paraId="146DE323">
      <w:pPr>
        <w:pStyle w:val="17"/>
        <w:spacing w:after="120" w:line="360" w:lineRule="auto"/>
        <w:ind w:firstLine="482" w:firstLineChars="200"/>
        <w:rPr>
          <w:b/>
        </w:rPr>
      </w:pPr>
      <w:r>
        <w:rPr>
          <w:rFonts w:hint="eastAsia" w:ascii="宋体" w:hAnsi="宋体" w:cs="宋体"/>
          <w:b/>
          <w:sz w:val="24"/>
        </w:rPr>
        <w:t>中标人放弃中标项目，拒绝与采购人签订合同的，其投标保证金不予退还，并上缴国库。给采购人造成损失，或（并）因此延误采购人教学科研计划的，须依据《中华人民共和国民法典》第五百条、《招标投标法》第四十五条等规定承担赔偿损失等法律责任，采购人有权将中标人的失信行为报财政部门记入诚信档案，以示惩戒。</w:t>
      </w:r>
    </w:p>
    <w:p w14:paraId="1E4760CD">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31.结果公告</w:t>
      </w:r>
    </w:p>
    <w:p w14:paraId="289AF454">
      <w:pPr>
        <w:pStyle w:val="7"/>
        <w:keepNext w:val="0"/>
        <w:keepLines w:val="0"/>
        <w:spacing w:before="0" w:after="0" w:line="360" w:lineRule="auto"/>
        <w:ind w:firstLine="482" w:firstLineChars="200"/>
        <w:rPr>
          <w:rFonts w:ascii="宋体" w:hAnsi="宋体" w:cs="宋体"/>
          <w:sz w:val="24"/>
        </w:rPr>
      </w:pPr>
      <w:r>
        <w:rPr>
          <w:rFonts w:hint="eastAsia" w:ascii="宋体" w:hAnsi="宋体" w:cs="宋体"/>
          <w:sz w:val="24"/>
        </w:rPr>
        <w:t>31.1采购人或者采购代理机构应当自中标人确定之日起2个工作日内，在省级以上财政部门指定的媒体上公告中标结果，招标文件应当随中标结果同时公告。采购人或者采购代理发出中标通知书前，应当对中标人信用进行查询，对列入失信被执行人、重大税收违法失信主体、政府采购严重违法失信行为记录名单及其他不符合《中华人民共和国政府采购法》第二十二条规定条件的投标人，取消其中标资格，并确定排名第二的中标候选人为中标人。排名第二的中标候选人因前款规定的同样原因被取消中标资格的，采购人可以确定排名第三的中标候选人为中标人，以此类推。以上信息查询记录及相关证据与采购文件一并保存。</w:t>
      </w:r>
    </w:p>
    <w:p w14:paraId="689921C6">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31.2中标供应商享受《政府采购促进中小企业发展管理办法》（财库〔2020〕46号）规定的中小企业扶持政策的，采购人、采购代理机构应当随中标结果公开中标供应商的《中小企业声明函》。</w:t>
      </w:r>
    </w:p>
    <w:p w14:paraId="52F70786">
      <w:pPr>
        <w:pStyle w:val="7"/>
        <w:keepNext w:val="0"/>
        <w:keepLines w:val="0"/>
        <w:spacing w:before="0" w:after="0" w:line="360" w:lineRule="auto"/>
        <w:ind w:firstLine="480" w:firstLineChars="200"/>
      </w:pPr>
      <w:r>
        <w:rPr>
          <w:rFonts w:hint="eastAsia" w:ascii="宋体" w:hAnsi="宋体" w:cs="宋体"/>
          <w:b w:val="0"/>
          <w:sz w:val="24"/>
        </w:rPr>
        <w:t>31.3中标供应商享受国务院办公厅关于在政府采购中实施本国产品标准及相关政策的通知（国办发〔2025〕34号）政策的，采购人、采购代理机构应当随中标结果公开中标供应商的《关于符合本国产品标准的声明函》。</w:t>
      </w:r>
    </w:p>
    <w:p w14:paraId="69F63C1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32.发出中标通知书</w:t>
      </w:r>
    </w:p>
    <w:p w14:paraId="1C9273B5">
      <w:pPr>
        <w:pStyle w:val="7"/>
        <w:keepNext w:val="0"/>
        <w:keepLines w:val="0"/>
        <w:spacing w:before="0" w:after="0" w:line="360" w:lineRule="auto"/>
        <w:ind w:firstLine="480" w:firstLineChars="200"/>
        <w:rPr>
          <w:rFonts w:ascii="宋体" w:hAnsi="宋体" w:cs="宋体"/>
          <w:b w:val="0"/>
          <w:sz w:val="24"/>
        </w:rPr>
      </w:pPr>
      <w:r>
        <w:rPr>
          <w:rFonts w:hint="eastAsia" w:ascii="宋体" w:hAnsi="宋体" w:cs="宋体"/>
          <w:b w:val="0"/>
          <w:sz w:val="24"/>
        </w:rPr>
        <w:t>在公告中标结果的同时，采购代理机构向中标人发出中标通知书。对未通过资格审查的投标人，应当告知其未通过的原因；采用综合评分办法评审的，还应当告知未中标人本人的评审得分与排序。</w:t>
      </w:r>
    </w:p>
    <w:p w14:paraId="021818BF">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33.无义务解释未中标原因</w:t>
      </w:r>
    </w:p>
    <w:p w14:paraId="79461906">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采购代理机构无义务向未中标的投标人解释未中标原因和退还投标文件。</w:t>
      </w:r>
    </w:p>
    <w:p w14:paraId="60B270AD">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34.合同授予标准</w:t>
      </w:r>
    </w:p>
    <w:p w14:paraId="6E8AE1F9">
      <w:pPr>
        <w:snapToGrid w:val="0"/>
        <w:spacing w:line="360" w:lineRule="auto"/>
        <w:ind w:firstLine="480" w:firstLineChars="200"/>
        <w:rPr>
          <w:rFonts w:ascii="宋体" w:hAnsi="宋体" w:cs="宋体"/>
          <w:sz w:val="24"/>
        </w:rPr>
      </w:pPr>
      <w:r>
        <w:rPr>
          <w:rFonts w:hint="eastAsia" w:ascii="宋体" w:hAnsi="宋体" w:cs="宋体"/>
          <w:sz w:val="24"/>
        </w:rPr>
        <w:t>合同将授予被确定实质上响应招标文件要求，具备履行合同能力的中标人。</w:t>
      </w:r>
    </w:p>
    <w:p w14:paraId="7EC78FD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35.履约保证金</w:t>
      </w:r>
    </w:p>
    <w:p w14:paraId="5AAA2379">
      <w:pPr>
        <w:pStyle w:val="7"/>
        <w:keepNext w:val="0"/>
        <w:keepLines w:val="0"/>
        <w:spacing w:before="0" w:after="0" w:line="360" w:lineRule="auto"/>
        <w:ind w:firstLine="360" w:firstLineChars="150"/>
        <w:rPr>
          <w:rFonts w:ascii="宋体" w:hAnsi="宋体" w:cs="宋体"/>
          <w:b w:val="0"/>
          <w:sz w:val="24"/>
        </w:rPr>
      </w:pPr>
      <w:bookmarkStart w:id="139" w:name="_39.1中标人须于签订合同前按本须知前附表规定的金额转账或电汇到指定账"/>
      <w:bookmarkEnd w:id="139"/>
      <w:r>
        <w:rPr>
          <w:rFonts w:hint="eastAsia" w:ascii="宋体" w:hAnsi="宋体" w:cs="宋体"/>
          <w:b w:val="0"/>
          <w:sz w:val="24"/>
        </w:rPr>
        <w:t xml:space="preserve"> 35.1 履约保证金的金额、提交方式、退付的时间和条件详见 “投标人须知前附表”。</w:t>
      </w:r>
    </w:p>
    <w:p w14:paraId="4A2C0165">
      <w:pPr>
        <w:pStyle w:val="7"/>
        <w:keepNext w:val="0"/>
        <w:keepLines w:val="0"/>
        <w:spacing w:before="0" w:after="0" w:line="360" w:lineRule="auto"/>
        <w:ind w:firstLine="361" w:firstLineChars="150"/>
        <w:rPr>
          <w:rFonts w:ascii="宋体" w:hAnsi="宋体" w:cs="宋体"/>
          <w:b w:val="0"/>
          <w:bCs/>
          <w:sz w:val="24"/>
        </w:rPr>
      </w:pPr>
      <w:r>
        <w:rPr>
          <w:rFonts w:hint="eastAsia" w:ascii="宋体" w:hAnsi="宋体" w:cs="宋体"/>
          <w:sz w:val="24"/>
        </w:rPr>
        <w:t xml:space="preserve"> </w:t>
      </w:r>
      <w:r>
        <w:rPr>
          <w:rFonts w:hint="eastAsia" w:ascii="宋体" w:hAnsi="宋体" w:cs="宋体"/>
          <w:b w:val="0"/>
          <w:bCs/>
          <w:sz w:val="24"/>
        </w:rPr>
        <w:t>35.2在履约保证金退还日期前，若中标人的开户名称、开户银行、帐号有变动的，请以书面形式通知履约保证金收取单位，否则由此产生的后果由中标人自行承担。</w:t>
      </w:r>
    </w:p>
    <w:p w14:paraId="217ED2E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36.签订合同</w:t>
      </w:r>
    </w:p>
    <w:p w14:paraId="5A5B43F4">
      <w:pPr>
        <w:pStyle w:val="7"/>
        <w:keepNext w:val="0"/>
        <w:keepLines w:val="0"/>
        <w:spacing w:before="0" w:after="0" w:line="360" w:lineRule="auto"/>
        <w:ind w:firstLine="360" w:firstLineChars="150"/>
        <w:rPr>
          <w:rFonts w:ascii="宋体" w:hAnsi="宋体" w:cs="宋体"/>
          <w:b w:val="0"/>
          <w:bCs/>
          <w:sz w:val="24"/>
        </w:rPr>
      </w:pPr>
      <w:bookmarkStart w:id="140" w:name="_40.1投标人接到中标通知书后，按须知前附表规定向采购人出示相关资格证"/>
      <w:bookmarkEnd w:id="140"/>
      <w:r>
        <w:rPr>
          <w:rFonts w:hint="eastAsia" w:ascii="宋体" w:hAnsi="宋体" w:cs="宋体"/>
          <w:b w:val="0"/>
          <w:sz w:val="24"/>
        </w:rPr>
        <w:t xml:space="preserve"> 36.1中标人在</w:t>
      </w:r>
      <w:r>
        <w:rPr>
          <w:rFonts w:ascii="宋体" w:hAnsi="宋体" w:cs="宋体"/>
          <w:b w:val="0"/>
          <w:sz w:val="24"/>
        </w:rPr>
        <w:t>中标通知书发出之日起</w:t>
      </w:r>
      <w:r>
        <w:rPr>
          <w:rFonts w:hint="eastAsia" w:ascii="宋体" w:hAnsi="宋体" w:cs="宋体"/>
          <w:b w:val="0"/>
          <w:sz w:val="24"/>
        </w:rPr>
        <w:t>，按“投标人须知前附表”规定向采购人出示相关证明材料，经采购人核验合格后方可签订采购合同（书面或电子）。</w:t>
      </w:r>
      <w:r>
        <w:rPr>
          <w:rFonts w:hint="eastAsia" w:ascii="宋体" w:hAnsi="宋体" w:cs="宋体"/>
          <w:b w:val="0"/>
          <w:bCs/>
          <w:sz w:val="24"/>
        </w:rPr>
        <w:t>如中标人为联合体的，联合体各方应当共同与采购人签订采购合同，就采购合同约定的事项对采购人承担连带责任。</w:t>
      </w:r>
    </w:p>
    <w:p w14:paraId="4E19605C">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36.2签订合同时间：按中标通知书规定的时间与采购人签订合同（最长不能超过25日）。</w:t>
      </w:r>
    </w:p>
    <w:p w14:paraId="07D30093">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36.3中标人拒绝与采购人签订合同的，按照本文件之《投标人须知正文》第30.4条的规定执行。</w:t>
      </w:r>
    </w:p>
    <w:p w14:paraId="0C40FE40">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3</w:t>
      </w:r>
      <w:r>
        <w:rPr>
          <w:rFonts w:ascii="宋体" w:hAnsi="宋体" w:cs="宋体"/>
          <w:b w:val="0"/>
          <w:sz w:val="24"/>
        </w:rPr>
        <w:t>6.4</w:t>
      </w:r>
      <w:r>
        <w:rPr>
          <w:rFonts w:hint="eastAsia" w:ascii="宋体" w:hAnsi="宋体" w:cs="宋体"/>
          <w:b w:val="0"/>
          <w:sz w:val="24"/>
        </w:rPr>
        <w:t>政府采购合同是政府采购项目验收的依据，中标人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1A5C4FD4">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3</w:t>
      </w:r>
      <w:r>
        <w:rPr>
          <w:rFonts w:ascii="宋体" w:hAnsi="宋体" w:cs="宋体"/>
          <w:b w:val="0"/>
          <w:sz w:val="24"/>
        </w:rPr>
        <w:t xml:space="preserve">6.5 </w:t>
      </w:r>
      <w:r>
        <w:rPr>
          <w:rFonts w:hint="eastAsia" w:ascii="宋体" w:hAnsi="宋体" w:cs="宋体"/>
          <w:b w:val="0"/>
          <w:sz w:val="24"/>
        </w:rPr>
        <w:t>采购人或中标人不得单方面向合同另一方提出任何招标文件没有约定的条件或不合理的要求，作为签订合同的条件；也不得协商另行订立背离招标文件和合同实质性内容的协议。</w:t>
      </w:r>
    </w:p>
    <w:p w14:paraId="207E9EC4">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3</w:t>
      </w:r>
      <w:r>
        <w:rPr>
          <w:rFonts w:ascii="宋体" w:hAnsi="宋体" w:cs="宋体"/>
          <w:b w:val="0"/>
          <w:sz w:val="24"/>
        </w:rPr>
        <w:t xml:space="preserve">6.6 </w:t>
      </w:r>
      <w:r>
        <w:rPr>
          <w:rFonts w:hint="eastAsia" w:ascii="宋体" w:hAnsi="宋体" w:cs="宋体"/>
          <w:b w:val="0"/>
          <w:sz w:val="24"/>
        </w:rPr>
        <w:t>如签订合同并生效后，供应商无故拒绝或延期，除按照合同条款处理外，将承担相应的法律责任。</w:t>
      </w:r>
    </w:p>
    <w:p w14:paraId="396831F5">
      <w:pPr>
        <w:pStyle w:val="7"/>
        <w:keepNext w:val="0"/>
        <w:keepLines w:val="0"/>
        <w:numPr>
          <w:ilvl w:val="0"/>
          <w:numId w:val="0"/>
        </w:numPr>
        <w:spacing w:before="0" w:after="0" w:line="360" w:lineRule="auto"/>
        <w:ind w:firstLine="480" w:firstLineChars="200"/>
        <w:rPr>
          <w:rFonts w:ascii="宋体" w:hAnsi="宋体" w:cs="宋体"/>
          <w:b w:val="0"/>
          <w:sz w:val="24"/>
        </w:rPr>
      </w:pPr>
      <w:r>
        <w:rPr>
          <w:rFonts w:hint="eastAsia" w:ascii="宋体" w:hAnsi="宋体" w:cs="宋体"/>
          <w:b w:val="0"/>
          <w:sz w:val="24"/>
        </w:rPr>
        <w:t>3</w:t>
      </w:r>
      <w:r>
        <w:rPr>
          <w:rFonts w:ascii="宋体" w:hAnsi="宋体" w:cs="宋体"/>
          <w:b w:val="0"/>
          <w:sz w:val="24"/>
        </w:rPr>
        <w:t xml:space="preserve">6.7 </w:t>
      </w:r>
      <w:r>
        <w:rPr>
          <w:rFonts w:hint="eastAsia" w:ascii="宋体" w:hAnsi="宋体" w:cs="宋体"/>
          <w:b w:val="0"/>
          <w:sz w:val="24"/>
        </w:rPr>
        <w:t>政府采购合同履行中，采购人需追加与合同标的相同的货物、工程或者服务的，在不改变合同其他条款的前提下，可以与供应商签订补充合同，但所有补充合同的采购金额不得超过原合同采购金额的1</w:t>
      </w:r>
      <w:r>
        <w:rPr>
          <w:rFonts w:ascii="宋体" w:hAnsi="宋体" w:cs="宋体"/>
          <w:b w:val="0"/>
          <w:sz w:val="24"/>
        </w:rPr>
        <w:t>0</w:t>
      </w:r>
      <w:r>
        <w:rPr>
          <w:rFonts w:hint="eastAsia" w:ascii="宋体" w:hAnsi="宋体" w:cs="宋体"/>
          <w:b w:val="0"/>
          <w:sz w:val="24"/>
        </w:rPr>
        <w:t>%。</w:t>
      </w:r>
    </w:p>
    <w:p w14:paraId="5E50AAC4">
      <w:pPr>
        <w:pStyle w:val="7"/>
        <w:keepNext w:val="0"/>
        <w:keepLines w:val="0"/>
        <w:spacing w:before="0" w:after="0" w:line="360" w:lineRule="auto"/>
        <w:ind w:left="420" w:leftChars="200"/>
        <w:rPr>
          <w:rFonts w:ascii="宋体" w:hAnsi="宋体" w:cs="宋体"/>
          <w:sz w:val="24"/>
        </w:rPr>
      </w:pPr>
      <w:bookmarkStart w:id="141" w:name="_41.政府采购合同公告"/>
      <w:bookmarkEnd w:id="141"/>
      <w:r>
        <w:rPr>
          <w:rFonts w:hint="eastAsia" w:ascii="宋体" w:hAnsi="宋体" w:cs="宋体"/>
          <w:sz w:val="24"/>
        </w:rPr>
        <w:t>37.政府采购合同公告</w:t>
      </w:r>
    </w:p>
    <w:p w14:paraId="7A0A9DE3">
      <w:pPr>
        <w:pStyle w:val="26"/>
        <w:snapToGrid w:val="0"/>
        <w:spacing w:line="360" w:lineRule="auto"/>
        <w:ind w:firstLine="480" w:firstLineChars="200"/>
        <w:rPr>
          <w:rFonts w:hAnsi="宋体" w:cs="宋体"/>
          <w:sz w:val="24"/>
          <w:szCs w:val="24"/>
        </w:rPr>
      </w:pPr>
      <w:r>
        <w:rPr>
          <w:rFonts w:hint="eastAsia" w:hAnsi="宋体" w:cs="宋体"/>
          <w:sz w:val="24"/>
          <w:szCs w:val="24"/>
        </w:rPr>
        <w:t>采购人或者受托采购代理机构应当自政府采购合同签订之日起2个工作日内，将政府采购合同在省级以上人民政府财政部门指定的媒体上公告，但政府采购合同中涉及国家秘密、商业秘密的内容除外。</w:t>
      </w:r>
    </w:p>
    <w:p w14:paraId="4D73401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38.询问、质疑和投诉</w:t>
      </w:r>
    </w:p>
    <w:p w14:paraId="5DECE2A7">
      <w:pPr>
        <w:pStyle w:val="8"/>
        <w:spacing w:line="360" w:lineRule="auto"/>
        <w:rPr>
          <w:rFonts w:ascii="宋体" w:hAnsi="宋体" w:cs="宋体"/>
          <w:sz w:val="24"/>
          <w:szCs w:val="24"/>
        </w:rPr>
      </w:pPr>
      <w:r>
        <w:rPr>
          <w:rFonts w:hint="eastAsia" w:ascii="宋体" w:hAnsi="宋体" w:cs="宋体"/>
          <w:sz w:val="24"/>
          <w:szCs w:val="24"/>
        </w:rPr>
        <w:t>38.1供应商对政府采购活动事项有疑问的，可以向采购人提出询问，采购人或者采购代理机构应当在3个工作日内对供应商依法提出的询问作出答复，但答复的内容不得涉及商业秘密。</w:t>
      </w:r>
    </w:p>
    <w:p w14:paraId="37B0388D">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sz w:val="24"/>
        </w:rPr>
        <w:t xml:space="preserve"> 38.2供应商认为招标文件、采购过程或者中标结果使自己的合法权益受到损害的，必须在知道或者应知其权益受到损害之日起7个工作日内，以纸质书面形式向采购人、采购代理机构提出质疑。采购人、采购代理机构接收质疑函的方式、联系部门、联系电话和通讯地址等信息详见“投标人须知前附表”。具体质疑起算时间如下： </w:t>
      </w:r>
    </w:p>
    <w:p w14:paraId="00373BBA">
      <w:pPr>
        <w:pStyle w:val="26"/>
        <w:snapToGrid w:val="0"/>
        <w:spacing w:line="360" w:lineRule="auto"/>
        <w:ind w:firstLine="480" w:firstLineChars="200"/>
        <w:rPr>
          <w:rFonts w:hAnsi="宋体" w:cs="宋体"/>
          <w:sz w:val="24"/>
          <w:szCs w:val="24"/>
        </w:rPr>
      </w:pPr>
      <w:r>
        <w:rPr>
          <w:rFonts w:hint="eastAsia" w:hAnsi="宋体" w:cs="宋体"/>
          <w:sz w:val="24"/>
          <w:szCs w:val="24"/>
        </w:rPr>
        <w:t>（1）对可以质疑的招标文件提出质疑的，为收到招标文件之日或者招标文件公告期限届满之日；</w:t>
      </w:r>
    </w:p>
    <w:p w14:paraId="76702F0C">
      <w:pPr>
        <w:pStyle w:val="26"/>
        <w:snapToGrid w:val="0"/>
        <w:spacing w:line="360" w:lineRule="auto"/>
        <w:ind w:firstLine="480" w:firstLineChars="200"/>
        <w:rPr>
          <w:rFonts w:hAnsi="宋体" w:cs="宋体"/>
          <w:sz w:val="24"/>
          <w:szCs w:val="24"/>
        </w:rPr>
      </w:pPr>
      <w:r>
        <w:rPr>
          <w:rFonts w:hint="eastAsia" w:hAnsi="宋体" w:cs="宋体"/>
          <w:sz w:val="24"/>
          <w:szCs w:val="24"/>
        </w:rPr>
        <w:t>（2）对采购过程提出质疑的，为各采购程序环节结束之日；</w:t>
      </w:r>
    </w:p>
    <w:p w14:paraId="232E46B1">
      <w:pPr>
        <w:pStyle w:val="26"/>
        <w:snapToGrid w:val="0"/>
        <w:spacing w:line="360" w:lineRule="auto"/>
        <w:ind w:firstLine="480" w:firstLineChars="200"/>
        <w:rPr>
          <w:rFonts w:hAnsi="宋体" w:cs="宋体"/>
          <w:bCs/>
          <w:sz w:val="24"/>
          <w:szCs w:val="24"/>
        </w:rPr>
      </w:pPr>
      <w:r>
        <w:rPr>
          <w:rFonts w:hint="eastAsia" w:hAnsi="宋体" w:cs="宋体"/>
          <w:sz w:val="24"/>
          <w:szCs w:val="24"/>
        </w:rPr>
        <w:t>（3）对中标结果提出质疑的，为中标结果公告期限届满之日。</w:t>
      </w:r>
    </w:p>
    <w:p w14:paraId="19749E5A">
      <w:pPr>
        <w:pStyle w:val="7"/>
        <w:keepNext w:val="0"/>
        <w:keepLines w:val="0"/>
        <w:spacing w:before="0" w:after="0" w:line="360" w:lineRule="auto"/>
        <w:ind w:firstLine="360" w:firstLineChars="150"/>
        <w:rPr>
          <w:rFonts w:ascii="宋体" w:hAnsi="宋体" w:cs="宋体"/>
          <w:bCs/>
          <w:sz w:val="24"/>
        </w:rPr>
      </w:pPr>
      <w:r>
        <w:rPr>
          <w:rFonts w:hint="eastAsia" w:ascii="宋体" w:hAnsi="宋体" w:cs="宋体"/>
          <w:b w:val="0"/>
          <w:sz w:val="24"/>
        </w:rPr>
        <w:t xml:space="preserve">38.3 </w:t>
      </w:r>
      <w:r>
        <w:rPr>
          <w:rFonts w:hint="eastAsia" w:ascii="宋体" w:hAnsi="宋体" w:cs="宋体"/>
          <w:bCs/>
          <w:sz w:val="24"/>
        </w:rPr>
        <w:t>供应商提出质疑应当提交质疑函和必要的证明材料，针对同一采购程序环节的质疑必须在法定质疑期内一次性提出。</w:t>
      </w:r>
    </w:p>
    <w:p w14:paraId="4293ED8A">
      <w:pPr>
        <w:pStyle w:val="26"/>
        <w:snapToGrid w:val="0"/>
        <w:spacing w:line="360" w:lineRule="auto"/>
        <w:ind w:firstLine="480" w:firstLineChars="200"/>
        <w:rPr>
          <w:rFonts w:hAnsi="宋体" w:cs="宋体"/>
          <w:sz w:val="24"/>
          <w:szCs w:val="24"/>
        </w:rPr>
      </w:pPr>
      <w:r>
        <w:rPr>
          <w:rFonts w:hint="eastAsia" w:hAnsi="宋体" w:cs="宋体"/>
          <w:sz w:val="24"/>
          <w:szCs w:val="24"/>
        </w:rPr>
        <w:t>38.3.1 质疑供应商提起质疑应当符合下列条件：</w:t>
      </w:r>
    </w:p>
    <w:p w14:paraId="19C9F136">
      <w:pPr>
        <w:pStyle w:val="26"/>
        <w:snapToGrid w:val="0"/>
        <w:spacing w:line="360" w:lineRule="auto"/>
        <w:ind w:firstLine="480" w:firstLineChars="200"/>
        <w:rPr>
          <w:rFonts w:hAnsi="宋体" w:cs="宋体"/>
          <w:sz w:val="24"/>
          <w:szCs w:val="24"/>
        </w:rPr>
      </w:pPr>
      <w:r>
        <w:rPr>
          <w:rFonts w:hint="eastAsia" w:hAnsi="宋体" w:cs="宋体"/>
          <w:sz w:val="24"/>
          <w:szCs w:val="24"/>
        </w:rPr>
        <w:t>（1）质疑供应商是参与所质疑项目采购活动的供应商（潜在供应商已依法获取可质疑的采购文件的，可以对该采购文件质疑）；</w:t>
      </w:r>
    </w:p>
    <w:p w14:paraId="20CA654A">
      <w:pPr>
        <w:pStyle w:val="26"/>
        <w:snapToGrid w:val="0"/>
        <w:spacing w:line="360" w:lineRule="auto"/>
        <w:ind w:firstLine="480" w:firstLineChars="200"/>
        <w:rPr>
          <w:rFonts w:hAnsi="宋体" w:cs="宋体"/>
          <w:sz w:val="24"/>
          <w:szCs w:val="24"/>
        </w:rPr>
      </w:pPr>
      <w:r>
        <w:rPr>
          <w:rFonts w:hint="eastAsia" w:hAnsi="宋体" w:cs="宋体"/>
          <w:sz w:val="24"/>
          <w:szCs w:val="24"/>
        </w:rPr>
        <w:t>（2）质疑函内容符合本章第38.3.2项的规定；</w:t>
      </w:r>
    </w:p>
    <w:p w14:paraId="5FC6F7DA">
      <w:pPr>
        <w:pStyle w:val="26"/>
        <w:snapToGrid w:val="0"/>
        <w:spacing w:line="360" w:lineRule="auto"/>
        <w:ind w:firstLine="480" w:firstLineChars="200"/>
        <w:rPr>
          <w:rFonts w:hAnsi="宋体" w:cs="宋体"/>
          <w:sz w:val="24"/>
          <w:szCs w:val="24"/>
        </w:rPr>
      </w:pPr>
      <w:r>
        <w:rPr>
          <w:rFonts w:hint="eastAsia" w:hAnsi="宋体" w:cs="宋体"/>
          <w:sz w:val="24"/>
          <w:szCs w:val="24"/>
        </w:rPr>
        <w:t>（3）在质疑有效期限内提起质疑；</w:t>
      </w:r>
    </w:p>
    <w:p w14:paraId="3D2ECE2A">
      <w:pPr>
        <w:pStyle w:val="26"/>
        <w:snapToGrid w:val="0"/>
        <w:spacing w:line="360" w:lineRule="auto"/>
        <w:ind w:firstLine="480" w:firstLineChars="200"/>
        <w:rPr>
          <w:rFonts w:hAnsi="宋体" w:cs="宋体"/>
          <w:sz w:val="24"/>
          <w:szCs w:val="24"/>
        </w:rPr>
      </w:pPr>
      <w:r>
        <w:rPr>
          <w:rFonts w:hint="eastAsia" w:hAnsi="宋体" w:cs="宋体"/>
          <w:sz w:val="24"/>
          <w:szCs w:val="24"/>
        </w:rPr>
        <w:t xml:space="preserve">（4）属于所质疑的采购人或采购人委托的采购代理机构组织的采购活动； </w:t>
      </w:r>
    </w:p>
    <w:p w14:paraId="197FB69B">
      <w:pPr>
        <w:pStyle w:val="26"/>
        <w:snapToGrid w:val="0"/>
        <w:spacing w:line="360" w:lineRule="auto"/>
        <w:ind w:firstLine="480" w:firstLineChars="200"/>
        <w:rPr>
          <w:rFonts w:hAnsi="宋体" w:cs="宋体"/>
          <w:sz w:val="24"/>
          <w:szCs w:val="24"/>
        </w:rPr>
      </w:pPr>
      <w:r>
        <w:rPr>
          <w:rFonts w:hint="eastAsia" w:hAnsi="宋体" w:cs="宋体"/>
          <w:sz w:val="24"/>
          <w:szCs w:val="24"/>
        </w:rPr>
        <w:t>（5）供应商对同一采购程序环节的质疑应当在质疑有效期内一次性提出；</w:t>
      </w:r>
    </w:p>
    <w:p w14:paraId="64769978">
      <w:pPr>
        <w:pStyle w:val="26"/>
        <w:snapToGrid w:val="0"/>
        <w:spacing w:line="360" w:lineRule="auto"/>
        <w:ind w:firstLine="480" w:firstLineChars="200"/>
        <w:rPr>
          <w:rFonts w:hAnsi="宋体" w:cs="宋体"/>
          <w:sz w:val="24"/>
          <w:szCs w:val="24"/>
        </w:rPr>
      </w:pPr>
      <w:r>
        <w:rPr>
          <w:rFonts w:hint="eastAsia" w:hAnsi="宋体" w:cs="宋体"/>
          <w:sz w:val="24"/>
          <w:szCs w:val="24"/>
        </w:rPr>
        <w:t>（6）供应商提交质疑应当提交必要的证明材料，证明材料应以合法手段取得；</w:t>
      </w:r>
    </w:p>
    <w:p w14:paraId="477ED6CC">
      <w:pPr>
        <w:pStyle w:val="26"/>
        <w:snapToGrid w:val="0"/>
        <w:spacing w:line="360" w:lineRule="auto"/>
        <w:ind w:firstLine="480" w:firstLineChars="200"/>
        <w:rPr>
          <w:rFonts w:hAnsi="宋体" w:cs="宋体"/>
          <w:sz w:val="24"/>
          <w:szCs w:val="24"/>
        </w:rPr>
      </w:pPr>
      <w:r>
        <w:rPr>
          <w:rFonts w:hint="eastAsia" w:hAnsi="宋体" w:cs="宋体"/>
          <w:sz w:val="24"/>
          <w:szCs w:val="24"/>
        </w:rPr>
        <w:t>（7）财政部门规定的其他条件。</w:t>
      </w:r>
    </w:p>
    <w:p w14:paraId="5CE00E21">
      <w:pPr>
        <w:pStyle w:val="7"/>
        <w:keepNext w:val="0"/>
        <w:keepLines w:val="0"/>
        <w:spacing w:before="0" w:after="0" w:line="360" w:lineRule="auto"/>
        <w:ind w:firstLine="360" w:firstLineChars="150"/>
        <w:rPr>
          <w:rFonts w:ascii="宋体" w:hAnsi="宋体" w:cs="宋体"/>
          <w:b w:val="0"/>
          <w:sz w:val="24"/>
        </w:rPr>
      </w:pPr>
      <w:r>
        <w:rPr>
          <w:rFonts w:hint="eastAsia" w:ascii="宋体" w:hAnsi="宋体" w:cs="宋体"/>
          <w:b w:val="0"/>
          <w:kern w:val="0"/>
          <w:sz w:val="24"/>
        </w:rPr>
        <w:t>38.3.2</w:t>
      </w:r>
      <w:r>
        <w:rPr>
          <w:rFonts w:hint="eastAsia" w:ascii="宋体" w:hAnsi="宋体" w:cs="宋体"/>
          <w:kern w:val="0"/>
          <w:sz w:val="24"/>
        </w:rPr>
        <w:t>质</w:t>
      </w:r>
      <w:r>
        <w:rPr>
          <w:rFonts w:hint="eastAsia" w:ascii="宋体" w:hAnsi="宋体" w:cs="宋体"/>
          <w:bCs/>
          <w:sz w:val="24"/>
        </w:rPr>
        <w:t>疑函应当包括下列内容（质疑函格式后附）：</w:t>
      </w:r>
    </w:p>
    <w:p w14:paraId="6C64CA3B">
      <w:pPr>
        <w:pStyle w:val="26"/>
        <w:snapToGrid w:val="0"/>
        <w:spacing w:line="360" w:lineRule="auto"/>
        <w:ind w:firstLine="480" w:firstLineChars="200"/>
        <w:rPr>
          <w:rFonts w:hAnsi="宋体" w:cs="宋体"/>
          <w:bCs/>
          <w:sz w:val="24"/>
          <w:szCs w:val="24"/>
        </w:rPr>
      </w:pPr>
      <w:r>
        <w:rPr>
          <w:rFonts w:hint="eastAsia" w:hAnsi="宋体" w:cs="宋体"/>
          <w:bCs/>
          <w:sz w:val="24"/>
          <w:szCs w:val="24"/>
        </w:rPr>
        <w:t>（1）供应商的姓名或者名称、地址、邮编、联系人及联系电话；</w:t>
      </w:r>
    </w:p>
    <w:p w14:paraId="55B803E3">
      <w:pPr>
        <w:pStyle w:val="26"/>
        <w:snapToGrid w:val="0"/>
        <w:spacing w:line="360" w:lineRule="auto"/>
        <w:ind w:firstLine="480" w:firstLineChars="200"/>
        <w:rPr>
          <w:rFonts w:hAnsi="宋体" w:cs="宋体"/>
          <w:bCs/>
          <w:sz w:val="24"/>
          <w:szCs w:val="24"/>
        </w:rPr>
      </w:pPr>
      <w:r>
        <w:rPr>
          <w:rFonts w:hint="eastAsia" w:hAnsi="宋体" w:cs="宋体"/>
          <w:bCs/>
          <w:sz w:val="24"/>
          <w:szCs w:val="24"/>
        </w:rPr>
        <w:t>（2）质疑项目的名称、编号；</w:t>
      </w:r>
    </w:p>
    <w:p w14:paraId="1C98710E">
      <w:pPr>
        <w:pStyle w:val="26"/>
        <w:snapToGrid w:val="0"/>
        <w:spacing w:line="360" w:lineRule="auto"/>
        <w:ind w:firstLine="480" w:firstLineChars="200"/>
        <w:rPr>
          <w:rFonts w:hAnsi="宋体" w:cs="宋体"/>
          <w:bCs/>
          <w:sz w:val="24"/>
          <w:szCs w:val="24"/>
        </w:rPr>
      </w:pPr>
      <w:r>
        <w:rPr>
          <w:rFonts w:hint="eastAsia" w:hAnsi="宋体" w:cs="宋体"/>
          <w:bCs/>
          <w:sz w:val="24"/>
          <w:szCs w:val="24"/>
        </w:rPr>
        <w:t>（3）具体、明确的质疑事项和与质疑事项相关的请求；</w:t>
      </w:r>
    </w:p>
    <w:p w14:paraId="33E14E5C">
      <w:pPr>
        <w:pStyle w:val="26"/>
        <w:snapToGrid w:val="0"/>
        <w:spacing w:line="360" w:lineRule="auto"/>
        <w:ind w:firstLine="480" w:firstLineChars="200"/>
        <w:rPr>
          <w:rFonts w:hAnsi="宋体" w:cs="宋体"/>
          <w:bCs/>
          <w:sz w:val="24"/>
          <w:szCs w:val="24"/>
        </w:rPr>
      </w:pPr>
      <w:r>
        <w:rPr>
          <w:rFonts w:hint="eastAsia" w:hAnsi="宋体" w:cs="宋体"/>
          <w:bCs/>
          <w:sz w:val="24"/>
          <w:szCs w:val="24"/>
        </w:rPr>
        <w:t>（4）事实依据；</w:t>
      </w:r>
    </w:p>
    <w:p w14:paraId="1C135E28">
      <w:pPr>
        <w:pStyle w:val="26"/>
        <w:snapToGrid w:val="0"/>
        <w:spacing w:line="360" w:lineRule="auto"/>
        <w:ind w:firstLine="480" w:firstLineChars="200"/>
        <w:rPr>
          <w:rFonts w:hAnsi="宋体" w:cs="宋体"/>
          <w:bCs/>
          <w:sz w:val="24"/>
          <w:szCs w:val="24"/>
        </w:rPr>
      </w:pPr>
      <w:r>
        <w:rPr>
          <w:rFonts w:hint="eastAsia" w:hAnsi="宋体" w:cs="宋体"/>
          <w:bCs/>
          <w:sz w:val="24"/>
          <w:szCs w:val="24"/>
        </w:rPr>
        <w:t>（5）必要的法律依据；</w:t>
      </w:r>
    </w:p>
    <w:p w14:paraId="3AC5A517">
      <w:pPr>
        <w:pStyle w:val="26"/>
        <w:snapToGrid w:val="0"/>
        <w:spacing w:line="360" w:lineRule="auto"/>
        <w:ind w:firstLine="480" w:firstLineChars="200"/>
        <w:rPr>
          <w:rFonts w:hAnsi="宋体" w:cs="宋体"/>
          <w:bCs/>
          <w:sz w:val="24"/>
          <w:szCs w:val="24"/>
        </w:rPr>
      </w:pPr>
      <w:r>
        <w:rPr>
          <w:rFonts w:hint="eastAsia" w:hAnsi="宋体" w:cs="宋体"/>
          <w:bCs/>
          <w:sz w:val="24"/>
          <w:szCs w:val="24"/>
        </w:rPr>
        <w:t>（6）提出质疑的日期。</w:t>
      </w:r>
    </w:p>
    <w:p w14:paraId="4702EA69">
      <w:pPr>
        <w:pStyle w:val="26"/>
        <w:snapToGrid w:val="0"/>
        <w:spacing w:line="360" w:lineRule="auto"/>
        <w:ind w:firstLine="480" w:firstLineChars="200"/>
        <w:rPr>
          <w:rFonts w:hAnsi="宋体" w:cs="宋体"/>
          <w:bCs/>
          <w:sz w:val="24"/>
          <w:szCs w:val="24"/>
        </w:rPr>
      </w:pPr>
      <w:r>
        <w:rPr>
          <w:rFonts w:hint="eastAsia" w:hAnsi="宋体" w:cs="宋体"/>
          <w:bCs/>
          <w:sz w:val="24"/>
          <w:szCs w:val="24"/>
        </w:rPr>
        <w:t>供应商为自然人的，应当由本人签字；供应商为法人或者其他组织的，应当由法定代表人、主要负责人，或者其委托代理人签字或者盖章，并加盖公章。</w:t>
      </w:r>
    </w:p>
    <w:p w14:paraId="4492AF82">
      <w:pPr>
        <w:pStyle w:val="7"/>
        <w:keepNext w:val="0"/>
        <w:keepLines w:val="0"/>
        <w:snapToGrid w:val="0"/>
        <w:spacing w:before="0" w:after="0" w:line="360" w:lineRule="auto"/>
        <w:ind w:firstLine="480" w:firstLineChars="200"/>
        <w:rPr>
          <w:rFonts w:ascii="宋体" w:hAnsi="宋体" w:cs="宋体"/>
          <w:b w:val="0"/>
          <w:bCs/>
          <w:sz w:val="24"/>
        </w:rPr>
      </w:pPr>
      <w:r>
        <w:rPr>
          <w:rFonts w:hint="eastAsia" w:ascii="宋体" w:hAnsi="宋体" w:cs="宋体"/>
          <w:b w:val="0"/>
          <w:sz w:val="24"/>
        </w:rPr>
        <w:t>3</w:t>
      </w:r>
      <w:r>
        <w:rPr>
          <w:rFonts w:hint="eastAsia" w:ascii="宋体" w:hAnsi="宋体" w:cs="宋体"/>
          <w:b w:val="0"/>
          <w:bCs/>
          <w:sz w:val="24"/>
        </w:rPr>
        <w:t>8.4采购人、采购代理机构认为供应商质疑不成立，或者成立但未对中标结果构成影响的，继续开展采购活动；认为供应商质疑成立且影响或者可能影响中标结果的，按照下列情况处理：</w:t>
      </w:r>
    </w:p>
    <w:p w14:paraId="07CAE52C">
      <w:pPr>
        <w:pStyle w:val="26"/>
        <w:snapToGrid w:val="0"/>
        <w:spacing w:line="360" w:lineRule="auto"/>
        <w:rPr>
          <w:rFonts w:hAnsi="宋体" w:cs="宋体"/>
          <w:bCs/>
          <w:sz w:val="24"/>
          <w:szCs w:val="24"/>
        </w:rPr>
      </w:pPr>
      <w:r>
        <w:rPr>
          <w:rFonts w:hint="eastAsia" w:hAnsi="宋体" w:cs="宋体"/>
          <w:bCs/>
          <w:sz w:val="24"/>
          <w:szCs w:val="24"/>
        </w:rPr>
        <w:t>　　（1）对招标文件提出的质疑，依法通过澄清或者修改可以继续开展采购活动的，澄清或者修改招标文件后继续开展采购活动；否则应当修改招标文件后重新开展采购活动。</w:t>
      </w:r>
    </w:p>
    <w:p w14:paraId="0BEFCD8F">
      <w:pPr>
        <w:pStyle w:val="26"/>
        <w:snapToGrid w:val="0"/>
        <w:spacing w:line="360" w:lineRule="auto"/>
        <w:rPr>
          <w:rFonts w:hAnsi="宋体" w:cs="宋体"/>
          <w:bCs/>
          <w:sz w:val="24"/>
          <w:szCs w:val="24"/>
        </w:rPr>
      </w:pPr>
      <w:r>
        <w:rPr>
          <w:rFonts w:hint="eastAsia" w:hAnsi="宋体" w:cs="宋体"/>
          <w:bCs/>
          <w:sz w:val="24"/>
          <w:szCs w:val="24"/>
        </w:rPr>
        <w:t>　　（2）对采购过程、中标结果提出的质疑，合格供应商符合法定数量时，可以从合格的中标候选人中另行确定中标供应商的，应当依法另行确定中标供应商；否则应当重新开展采购活动。</w:t>
      </w:r>
    </w:p>
    <w:p w14:paraId="2D5BED64">
      <w:pPr>
        <w:pStyle w:val="26"/>
        <w:snapToGrid w:val="0"/>
        <w:spacing w:line="360" w:lineRule="auto"/>
        <w:ind w:firstLine="420"/>
        <w:rPr>
          <w:rFonts w:hAnsi="宋体" w:cs="宋体"/>
          <w:bCs/>
          <w:sz w:val="24"/>
          <w:szCs w:val="24"/>
        </w:rPr>
      </w:pPr>
      <w:r>
        <w:rPr>
          <w:rFonts w:hint="eastAsia" w:hAnsi="宋体" w:cs="宋体"/>
          <w:bCs/>
          <w:sz w:val="24"/>
          <w:szCs w:val="24"/>
        </w:rPr>
        <w:t>质疑答复导致中标结果改变的，采购人或者采购代理机构应当将有关情况书面报告本级财政部门。</w:t>
      </w:r>
    </w:p>
    <w:p w14:paraId="59466350">
      <w:pPr>
        <w:pStyle w:val="26"/>
        <w:snapToGrid w:val="0"/>
        <w:spacing w:line="360" w:lineRule="auto"/>
        <w:ind w:firstLine="480" w:firstLineChars="200"/>
        <w:rPr>
          <w:rFonts w:hAnsi="宋体" w:cs="宋体"/>
          <w:sz w:val="24"/>
          <w:szCs w:val="24"/>
        </w:rPr>
      </w:pPr>
      <w:r>
        <w:rPr>
          <w:rFonts w:hint="eastAsia" w:hAnsi="宋体" w:cs="宋体"/>
          <w:sz w:val="24"/>
          <w:szCs w:val="24"/>
        </w:rPr>
        <w:t>38.5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bookmarkStart w:id="142" w:name="_八、其他事项"/>
      <w:bookmarkEnd w:id="142"/>
    </w:p>
    <w:p w14:paraId="20453512">
      <w:pPr>
        <w:pStyle w:val="26"/>
        <w:snapToGrid w:val="0"/>
        <w:spacing w:line="360" w:lineRule="auto"/>
        <w:ind w:firstLine="480" w:firstLineChars="200"/>
        <w:rPr>
          <w:rFonts w:hAnsi="宋体" w:cs="宋体"/>
          <w:sz w:val="24"/>
          <w:szCs w:val="24"/>
        </w:rPr>
      </w:pPr>
    </w:p>
    <w:p w14:paraId="456CB389">
      <w:pPr>
        <w:rPr>
          <w:rFonts w:ascii="宋体" w:hAnsi="宋体" w:cs="宋体"/>
        </w:rPr>
      </w:pPr>
      <w:r>
        <w:rPr>
          <w:rFonts w:hint="eastAsia" w:ascii="宋体" w:hAnsi="宋体" w:cs="宋体"/>
        </w:rPr>
        <w:br w:type="page"/>
      </w:r>
    </w:p>
    <w:p w14:paraId="0495E47E">
      <w:pPr>
        <w:pStyle w:val="5"/>
        <w:keepNext w:val="0"/>
        <w:keepLines w:val="0"/>
        <w:jc w:val="center"/>
        <w:rPr>
          <w:rFonts w:ascii="宋体" w:hAnsi="宋体" w:cs="宋体"/>
        </w:rPr>
      </w:pPr>
      <w:r>
        <w:rPr>
          <w:rFonts w:hint="eastAsia" w:ascii="宋体" w:hAnsi="宋体" w:cs="宋体"/>
        </w:rPr>
        <w:t>八、其他事项</w:t>
      </w:r>
    </w:p>
    <w:p w14:paraId="76F95E99">
      <w:pPr>
        <w:pStyle w:val="7"/>
        <w:keepNext w:val="0"/>
        <w:keepLines w:val="0"/>
        <w:spacing w:before="0" w:after="0" w:line="360" w:lineRule="auto"/>
        <w:ind w:left="420" w:leftChars="200"/>
        <w:rPr>
          <w:rFonts w:ascii="宋体" w:hAnsi="宋体" w:cs="宋体"/>
          <w:sz w:val="24"/>
        </w:rPr>
      </w:pPr>
      <w:bookmarkStart w:id="143" w:name="_42.代理服务费"/>
      <w:bookmarkEnd w:id="143"/>
      <w:r>
        <w:rPr>
          <w:rFonts w:hint="eastAsia" w:ascii="宋体" w:hAnsi="宋体" w:cs="宋体"/>
          <w:sz w:val="24"/>
        </w:rPr>
        <w:t>39.代理服务费</w:t>
      </w:r>
    </w:p>
    <w:p w14:paraId="7EE0D007">
      <w:pPr>
        <w:pStyle w:val="26"/>
        <w:snapToGrid w:val="0"/>
        <w:spacing w:line="360" w:lineRule="auto"/>
        <w:ind w:firstLine="480" w:firstLineChars="200"/>
        <w:rPr>
          <w:rFonts w:hAnsi="宋体" w:cs="宋体"/>
          <w:sz w:val="24"/>
          <w:szCs w:val="24"/>
        </w:rPr>
      </w:pPr>
      <w:r>
        <w:rPr>
          <w:rFonts w:hint="eastAsia" w:hAnsi="宋体" w:cs="宋体"/>
          <w:sz w:val="24"/>
          <w:szCs w:val="24"/>
        </w:rPr>
        <w:t>39.1代理服务收取标准及缴费账户详见“投标人须知前附表”，投标人为联合体的，可以由联合体中的一方或者多方共同交纳代理服务费。</w:t>
      </w:r>
    </w:p>
    <w:p w14:paraId="409747B6">
      <w:pPr>
        <w:pStyle w:val="26"/>
        <w:snapToGrid w:val="0"/>
        <w:spacing w:line="360" w:lineRule="auto"/>
        <w:ind w:firstLine="480" w:firstLineChars="200"/>
        <w:rPr>
          <w:rFonts w:hAnsi="宋体" w:cs="宋体"/>
          <w:sz w:val="24"/>
          <w:szCs w:val="24"/>
        </w:rPr>
      </w:pPr>
      <w:r>
        <w:rPr>
          <w:rFonts w:hint="eastAsia" w:hAnsi="宋体" w:cs="宋体"/>
          <w:sz w:val="24"/>
          <w:szCs w:val="24"/>
        </w:rPr>
        <w:t>39.2代理服务收费标准：</w:t>
      </w:r>
    </w:p>
    <w:tbl>
      <w:tblPr>
        <w:tblStyle w:val="48"/>
        <w:tblW w:w="847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687"/>
        <w:gridCol w:w="1659"/>
      </w:tblGrid>
      <w:tr w14:paraId="10E1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Borders>
              <w:tl2br w:val="single" w:color="auto" w:sz="4" w:space="0"/>
            </w:tcBorders>
          </w:tcPr>
          <w:p w14:paraId="6594FF53">
            <w:pPr>
              <w:spacing w:line="360" w:lineRule="auto"/>
              <w:rPr>
                <w:rFonts w:ascii="宋体" w:hAnsi="宋体" w:cs="宋体"/>
                <w:sz w:val="24"/>
              </w:rPr>
            </w:pPr>
            <w:r>
              <w:rPr>
                <w:rFonts w:hint="eastAsia" w:ascii="宋体" w:hAnsi="宋体" w:cs="宋体"/>
                <w:sz w:val="24"/>
              </w:rPr>
              <w:t xml:space="preserve">               费率</w:t>
            </w:r>
          </w:p>
          <w:p w14:paraId="2DDFAC03">
            <w:pPr>
              <w:spacing w:line="360" w:lineRule="auto"/>
              <w:rPr>
                <w:rFonts w:ascii="宋体" w:hAnsi="宋体" w:cs="宋体"/>
                <w:sz w:val="24"/>
              </w:rPr>
            </w:pPr>
            <w:r>
              <w:rPr>
                <w:rFonts w:hint="eastAsia" w:ascii="宋体" w:hAnsi="宋体" w:cs="宋体"/>
                <w:sz w:val="24"/>
              </w:rPr>
              <w:t>中标金额（人民币）</w:t>
            </w:r>
          </w:p>
        </w:tc>
        <w:tc>
          <w:tcPr>
            <w:tcW w:w="1659" w:type="dxa"/>
            <w:vAlign w:val="center"/>
          </w:tcPr>
          <w:p w14:paraId="63A0B9F7">
            <w:pPr>
              <w:spacing w:line="360" w:lineRule="auto"/>
              <w:ind w:firstLine="120" w:firstLineChars="50"/>
              <w:jc w:val="center"/>
              <w:rPr>
                <w:rFonts w:ascii="宋体" w:hAnsi="宋体" w:cs="宋体"/>
                <w:sz w:val="24"/>
              </w:rPr>
            </w:pPr>
            <w:r>
              <w:rPr>
                <w:rFonts w:hint="eastAsia" w:ascii="宋体" w:hAnsi="宋体" w:cs="宋体"/>
                <w:sz w:val="24"/>
              </w:rPr>
              <w:t>货物招标</w:t>
            </w:r>
          </w:p>
        </w:tc>
        <w:tc>
          <w:tcPr>
            <w:tcW w:w="1687" w:type="dxa"/>
            <w:vAlign w:val="center"/>
          </w:tcPr>
          <w:p w14:paraId="102C86F5">
            <w:pPr>
              <w:spacing w:line="360" w:lineRule="auto"/>
              <w:jc w:val="center"/>
              <w:rPr>
                <w:rFonts w:ascii="宋体" w:hAnsi="宋体" w:cs="宋体"/>
                <w:sz w:val="24"/>
              </w:rPr>
            </w:pPr>
            <w:r>
              <w:rPr>
                <w:rFonts w:hint="eastAsia" w:ascii="宋体" w:hAnsi="宋体" w:cs="宋体"/>
                <w:sz w:val="24"/>
              </w:rPr>
              <w:t>服务招标</w:t>
            </w:r>
          </w:p>
        </w:tc>
        <w:tc>
          <w:tcPr>
            <w:tcW w:w="1659" w:type="dxa"/>
            <w:vAlign w:val="center"/>
          </w:tcPr>
          <w:p w14:paraId="30D992E7">
            <w:pPr>
              <w:spacing w:line="360" w:lineRule="auto"/>
              <w:jc w:val="center"/>
              <w:rPr>
                <w:rFonts w:ascii="宋体" w:hAnsi="宋体" w:cs="宋体"/>
                <w:sz w:val="24"/>
              </w:rPr>
            </w:pPr>
            <w:r>
              <w:rPr>
                <w:rFonts w:hint="eastAsia" w:ascii="宋体" w:hAnsi="宋体" w:cs="宋体"/>
                <w:sz w:val="24"/>
              </w:rPr>
              <w:t>工程招标</w:t>
            </w:r>
          </w:p>
        </w:tc>
      </w:tr>
      <w:tr w14:paraId="0C5E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4B7F8D8F">
            <w:pPr>
              <w:spacing w:line="360" w:lineRule="auto"/>
              <w:jc w:val="center"/>
              <w:rPr>
                <w:rFonts w:ascii="宋体" w:hAnsi="宋体" w:cs="宋体"/>
                <w:sz w:val="24"/>
              </w:rPr>
            </w:pPr>
            <w:r>
              <w:rPr>
                <w:rFonts w:hint="eastAsia" w:ascii="宋体" w:hAnsi="宋体" w:cs="宋体"/>
                <w:sz w:val="24"/>
              </w:rPr>
              <w:t>100万元以下</w:t>
            </w:r>
          </w:p>
        </w:tc>
        <w:tc>
          <w:tcPr>
            <w:tcW w:w="1659" w:type="dxa"/>
            <w:vAlign w:val="center"/>
          </w:tcPr>
          <w:p w14:paraId="17324CC0">
            <w:pPr>
              <w:spacing w:line="360" w:lineRule="auto"/>
              <w:jc w:val="center"/>
              <w:rPr>
                <w:rFonts w:ascii="宋体" w:hAnsi="宋体" w:cs="宋体"/>
                <w:sz w:val="24"/>
              </w:rPr>
            </w:pPr>
            <w:r>
              <w:rPr>
                <w:rFonts w:hint="eastAsia" w:ascii="宋体" w:hAnsi="宋体" w:cs="宋体"/>
                <w:kern w:val="0"/>
                <w:sz w:val="24"/>
              </w:rPr>
              <w:t>1.5%</w:t>
            </w:r>
          </w:p>
        </w:tc>
        <w:tc>
          <w:tcPr>
            <w:tcW w:w="1687" w:type="dxa"/>
            <w:vAlign w:val="center"/>
          </w:tcPr>
          <w:p w14:paraId="4B3AC669">
            <w:pPr>
              <w:spacing w:line="360" w:lineRule="auto"/>
              <w:ind w:firstLine="240" w:firstLineChars="100"/>
              <w:jc w:val="center"/>
              <w:rPr>
                <w:rFonts w:ascii="宋体" w:hAnsi="宋体" w:cs="宋体"/>
                <w:sz w:val="24"/>
              </w:rPr>
            </w:pPr>
            <w:r>
              <w:rPr>
                <w:rFonts w:hint="eastAsia" w:ascii="宋体" w:hAnsi="宋体" w:cs="宋体"/>
                <w:kern w:val="0"/>
                <w:sz w:val="24"/>
              </w:rPr>
              <w:t>1.5%</w:t>
            </w:r>
          </w:p>
        </w:tc>
        <w:tc>
          <w:tcPr>
            <w:tcW w:w="1659" w:type="dxa"/>
            <w:vAlign w:val="center"/>
          </w:tcPr>
          <w:p w14:paraId="459E15C7">
            <w:pPr>
              <w:spacing w:line="360" w:lineRule="auto"/>
              <w:ind w:firstLine="240" w:firstLineChars="100"/>
              <w:jc w:val="center"/>
              <w:rPr>
                <w:rFonts w:ascii="宋体" w:hAnsi="宋体" w:cs="宋体"/>
                <w:sz w:val="24"/>
              </w:rPr>
            </w:pPr>
            <w:r>
              <w:rPr>
                <w:rFonts w:hint="eastAsia" w:ascii="宋体" w:hAnsi="宋体" w:cs="宋体"/>
                <w:kern w:val="0"/>
                <w:sz w:val="24"/>
              </w:rPr>
              <w:t>1.0%</w:t>
            </w:r>
          </w:p>
        </w:tc>
      </w:tr>
      <w:tr w14:paraId="52E6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72E891B6">
            <w:pPr>
              <w:spacing w:line="360" w:lineRule="auto"/>
              <w:jc w:val="center"/>
              <w:rPr>
                <w:rFonts w:ascii="宋体" w:hAnsi="宋体" w:cs="宋体"/>
                <w:sz w:val="24"/>
              </w:rPr>
            </w:pPr>
            <w:r>
              <w:rPr>
                <w:rFonts w:hint="eastAsia" w:ascii="宋体" w:hAnsi="宋体" w:cs="宋体"/>
                <w:sz w:val="24"/>
              </w:rPr>
              <w:t>100～500万元</w:t>
            </w:r>
          </w:p>
        </w:tc>
        <w:tc>
          <w:tcPr>
            <w:tcW w:w="1659" w:type="dxa"/>
            <w:vAlign w:val="center"/>
          </w:tcPr>
          <w:p w14:paraId="5607CBD9">
            <w:pPr>
              <w:spacing w:line="360" w:lineRule="auto"/>
              <w:ind w:firstLine="240" w:firstLineChars="100"/>
              <w:jc w:val="center"/>
              <w:rPr>
                <w:rFonts w:ascii="宋体" w:hAnsi="宋体" w:cs="宋体"/>
                <w:sz w:val="24"/>
              </w:rPr>
            </w:pPr>
            <w:r>
              <w:rPr>
                <w:rFonts w:hint="eastAsia" w:ascii="宋体" w:hAnsi="宋体" w:cs="宋体"/>
                <w:kern w:val="0"/>
                <w:sz w:val="24"/>
              </w:rPr>
              <w:t>1.1%</w:t>
            </w:r>
          </w:p>
        </w:tc>
        <w:tc>
          <w:tcPr>
            <w:tcW w:w="1687" w:type="dxa"/>
            <w:vAlign w:val="center"/>
          </w:tcPr>
          <w:p w14:paraId="1B458580">
            <w:pPr>
              <w:spacing w:line="360" w:lineRule="auto"/>
              <w:ind w:firstLine="240" w:firstLineChars="100"/>
              <w:jc w:val="center"/>
              <w:rPr>
                <w:rFonts w:ascii="宋体" w:hAnsi="宋体" w:cs="宋体"/>
                <w:sz w:val="24"/>
              </w:rPr>
            </w:pPr>
            <w:r>
              <w:rPr>
                <w:rFonts w:hint="eastAsia" w:ascii="宋体" w:hAnsi="宋体" w:cs="宋体"/>
                <w:kern w:val="0"/>
                <w:sz w:val="24"/>
              </w:rPr>
              <w:t>0.8%</w:t>
            </w:r>
          </w:p>
        </w:tc>
        <w:tc>
          <w:tcPr>
            <w:tcW w:w="1659" w:type="dxa"/>
            <w:vAlign w:val="center"/>
          </w:tcPr>
          <w:p w14:paraId="578B521B">
            <w:pPr>
              <w:spacing w:line="360" w:lineRule="auto"/>
              <w:ind w:firstLine="240" w:firstLineChars="100"/>
              <w:jc w:val="center"/>
              <w:rPr>
                <w:rFonts w:ascii="宋体" w:hAnsi="宋体" w:cs="宋体"/>
                <w:sz w:val="24"/>
              </w:rPr>
            </w:pPr>
            <w:r>
              <w:rPr>
                <w:rFonts w:hint="eastAsia" w:ascii="宋体" w:hAnsi="宋体" w:cs="宋体"/>
                <w:kern w:val="0"/>
                <w:sz w:val="24"/>
              </w:rPr>
              <w:t>0.7%</w:t>
            </w:r>
          </w:p>
        </w:tc>
      </w:tr>
      <w:tr w14:paraId="6BAC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16755911">
            <w:pPr>
              <w:spacing w:line="360" w:lineRule="auto"/>
              <w:jc w:val="center"/>
              <w:rPr>
                <w:rFonts w:ascii="宋体" w:hAnsi="宋体" w:cs="宋体"/>
                <w:sz w:val="24"/>
              </w:rPr>
            </w:pPr>
            <w:r>
              <w:rPr>
                <w:rFonts w:hint="eastAsia" w:ascii="宋体" w:hAnsi="宋体" w:cs="宋体"/>
                <w:sz w:val="24"/>
              </w:rPr>
              <w:t>500～1000万元</w:t>
            </w:r>
          </w:p>
        </w:tc>
        <w:tc>
          <w:tcPr>
            <w:tcW w:w="1659" w:type="dxa"/>
            <w:vAlign w:val="center"/>
          </w:tcPr>
          <w:p w14:paraId="77B154C7">
            <w:pPr>
              <w:spacing w:line="360" w:lineRule="auto"/>
              <w:jc w:val="center"/>
              <w:rPr>
                <w:rFonts w:ascii="宋体" w:hAnsi="宋体" w:cs="宋体"/>
                <w:sz w:val="24"/>
              </w:rPr>
            </w:pPr>
            <w:r>
              <w:rPr>
                <w:rFonts w:hint="eastAsia" w:ascii="宋体" w:hAnsi="宋体" w:cs="宋体"/>
                <w:kern w:val="0"/>
                <w:sz w:val="24"/>
              </w:rPr>
              <w:t>0.8%</w:t>
            </w:r>
          </w:p>
        </w:tc>
        <w:tc>
          <w:tcPr>
            <w:tcW w:w="1687" w:type="dxa"/>
            <w:vAlign w:val="center"/>
          </w:tcPr>
          <w:p w14:paraId="58489745">
            <w:pPr>
              <w:spacing w:line="360" w:lineRule="auto"/>
              <w:ind w:firstLine="240" w:firstLineChars="100"/>
              <w:jc w:val="center"/>
              <w:rPr>
                <w:rFonts w:ascii="宋体" w:hAnsi="宋体" w:cs="宋体"/>
                <w:sz w:val="24"/>
              </w:rPr>
            </w:pPr>
            <w:r>
              <w:rPr>
                <w:rFonts w:hint="eastAsia" w:ascii="宋体" w:hAnsi="宋体" w:cs="宋体"/>
                <w:kern w:val="0"/>
                <w:sz w:val="24"/>
              </w:rPr>
              <w:t>0.45%</w:t>
            </w:r>
          </w:p>
        </w:tc>
        <w:tc>
          <w:tcPr>
            <w:tcW w:w="1659" w:type="dxa"/>
            <w:vAlign w:val="center"/>
          </w:tcPr>
          <w:p w14:paraId="68DB3A19">
            <w:pPr>
              <w:spacing w:line="360" w:lineRule="auto"/>
              <w:ind w:firstLine="240" w:firstLineChars="100"/>
              <w:jc w:val="center"/>
              <w:rPr>
                <w:rFonts w:ascii="宋体" w:hAnsi="宋体" w:cs="宋体"/>
                <w:sz w:val="24"/>
              </w:rPr>
            </w:pPr>
            <w:r>
              <w:rPr>
                <w:rFonts w:hint="eastAsia" w:ascii="宋体" w:hAnsi="宋体" w:cs="宋体"/>
                <w:kern w:val="0"/>
                <w:sz w:val="24"/>
              </w:rPr>
              <w:t>0.55%</w:t>
            </w:r>
          </w:p>
        </w:tc>
      </w:tr>
      <w:tr w14:paraId="44BD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21EDAACC">
            <w:pPr>
              <w:spacing w:line="360" w:lineRule="auto"/>
              <w:jc w:val="center"/>
              <w:rPr>
                <w:rFonts w:ascii="宋体" w:hAnsi="宋体" w:cs="宋体"/>
                <w:sz w:val="24"/>
              </w:rPr>
            </w:pPr>
            <w:r>
              <w:rPr>
                <w:rFonts w:hint="eastAsia" w:ascii="宋体" w:hAnsi="宋体" w:cs="宋体"/>
                <w:sz w:val="24"/>
              </w:rPr>
              <w:t>1000～5000万元</w:t>
            </w:r>
          </w:p>
        </w:tc>
        <w:tc>
          <w:tcPr>
            <w:tcW w:w="1659" w:type="dxa"/>
            <w:vAlign w:val="center"/>
          </w:tcPr>
          <w:p w14:paraId="7DFDF9CD">
            <w:pPr>
              <w:spacing w:line="360" w:lineRule="auto"/>
              <w:ind w:firstLine="240" w:firstLineChars="100"/>
              <w:jc w:val="center"/>
              <w:rPr>
                <w:rFonts w:ascii="宋体" w:hAnsi="宋体" w:cs="宋体"/>
                <w:sz w:val="24"/>
              </w:rPr>
            </w:pPr>
            <w:r>
              <w:rPr>
                <w:rFonts w:hint="eastAsia" w:ascii="宋体" w:hAnsi="宋体" w:cs="宋体"/>
                <w:kern w:val="0"/>
                <w:sz w:val="24"/>
              </w:rPr>
              <w:t>0.5%</w:t>
            </w:r>
          </w:p>
        </w:tc>
        <w:tc>
          <w:tcPr>
            <w:tcW w:w="1687" w:type="dxa"/>
            <w:vAlign w:val="center"/>
          </w:tcPr>
          <w:p w14:paraId="157930FA">
            <w:pPr>
              <w:spacing w:line="360" w:lineRule="auto"/>
              <w:ind w:firstLine="240" w:firstLineChars="100"/>
              <w:jc w:val="center"/>
              <w:rPr>
                <w:rFonts w:ascii="宋体" w:hAnsi="宋体" w:cs="宋体"/>
                <w:sz w:val="24"/>
              </w:rPr>
            </w:pPr>
            <w:r>
              <w:rPr>
                <w:rFonts w:hint="eastAsia" w:ascii="宋体" w:hAnsi="宋体" w:cs="宋体"/>
                <w:kern w:val="0"/>
                <w:sz w:val="24"/>
              </w:rPr>
              <w:t>0.25%</w:t>
            </w:r>
          </w:p>
        </w:tc>
        <w:tc>
          <w:tcPr>
            <w:tcW w:w="1659" w:type="dxa"/>
            <w:vAlign w:val="center"/>
          </w:tcPr>
          <w:p w14:paraId="4CF2548D">
            <w:pPr>
              <w:spacing w:line="360" w:lineRule="auto"/>
              <w:ind w:firstLine="240" w:firstLineChars="100"/>
              <w:jc w:val="center"/>
              <w:rPr>
                <w:rFonts w:ascii="宋体" w:hAnsi="宋体" w:cs="宋体"/>
                <w:sz w:val="24"/>
              </w:rPr>
            </w:pPr>
            <w:r>
              <w:rPr>
                <w:rFonts w:hint="eastAsia" w:ascii="宋体" w:hAnsi="宋体" w:cs="宋体"/>
                <w:kern w:val="0"/>
                <w:sz w:val="24"/>
              </w:rPr>
              <w:t>0.35%</w:t>
            </w:r>
          </w:p>
        </w:tc>
      </w:tr>
      <w:tr w14:paraId="48B6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50F62D19">
            <w:pPr>
              <w:spacing w:line="360" w:lineRule="auto"/>
              <w:jc w:val="center"/>
              <w:rPr>
                <w:rFonts w:ascii="宋体" w:hAnsi="宋体" w:cs="宋体"/>
                <w:sz w:val="24"/>
              </w:rPr>
            </w:pPr>
            <w:r>
              <w:rPr>
                <w:rFonts w:hint="eastAsia" w:ascii="宋体" w:hAnsi="宋体" w:cs="宋体"/>
                <w:sz w:val="24"/>
              </w:rPr>
              <w:t>5000万元～1亿元</w:t>
            </w:r>
          </w:p>
        </w:tc>
        <w:tc>
          <w:tcPr>
            <w:tcW w:w="1659" w:type="dxa"/>
            <w:vAlign w:val="center"/>
          </w:tcPr>
          <w:p w14:paraId="7F9C2FAF">
            <w:pPr>
              <w:spacing w:line="360" w:lineRule="auto"/>
              <w:ind w:firstLine="240" w:firstLineChars="100"/>
              <w:jc w:val="center"/>
              <w:rPr>
                <w:rFonts w:ascii="宋体" w:hAnsi="宋体" w:cs="宋体"/>
                <w:sz w:val="24"/>
              </w:rPr>
            </w:pPr>
            <w:r>
              <w:rPr>
                <w:rFonts w:hint="eastAsia" w:ascii="宋体" w:hAnsi="宋体" w:cs="宋体"/>
                <w:kern w:val="0"/>
                <w:sz w:val="24"/>
              </w:rPr>
              <w:t>0.25%</w:t>
            </w:r>
          </w:p>
        </w:tc>
        <w:tc>
          <w:tcPr>
            <w:tcW w:w="1687" w:type="dxa"/>
            <w:vAlign w:val="center"/>
          </w:tcPr>
          <w:p w14:paraId="6A57CAB5">
            <w:pPr>
              <w:spacing w:line="360" w:lineRule="auto"/>
              <w:ind w:firstLine="240" w:firstLineChars="100"/>
              <w:jc w:val="center"/>
              <w:rPr>
                <w:rFonts w:ascii="宋体" w:hAnsi="宋体" w:cs="宋体"/>
                <w:sz w:val="24"/>
              </w:rPr>
            </w:pPr>
            <w:r>
              <w:rPr>
                <w:rFonts w:hint="eastAsia" w:ascii="宋体" w:hAnsi="宋体" w:cs="宋体"/>
                <w:kern w:val="0"/>
                <w:sz w:val="24"/>
              </w:rPr>
              <w:t>0.1%</w:t>
            </w:r>
          </w:p>
        </w:tc>
        <w:tc>
          <w:tcPr>
            <w:tcW w:w="1659" w:type="dxa"/>
            <w:vAlign w:val="center"/>
          </w:tcPr>
          <w:p w14:paraId="720E5E57">
            <w:pPr>
              <w:spacing w:line="360" w:lineRule="auto"/>
              <w:ind w:firstLine="240" w:firstLineChars="100"/>
              <w:jc w:val="center"/>
              <w:rPr>
                <w:rFonts w:ascii="宋体" w:hAnsi="宋体" w:cs="宋体"/>
                <w:sz w:val="24"/>
              </w:rPr>
            </w:pPr>
            <w:r>
              <w:rPr>
                <w:rFonts w:hint="eastAsia" w:ascii="宋体" w:hAnsi="宋体" w:cs="宋体"/>
                <w:kern w:val="0"/>
                <w:sz w:val="24"/>
              </w:rPr>
              <w:t>0.2%</w:t>
            </w:r>
          </w:p>
        </w:tc>
      </w:tr>
      <w:tr w14:paraId="3EF5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071EB4F8">
            <w:pPr>
              <w:spacing w:line="360" w:lineRule="auto"/>
              <w:jc w:val="center"/>
              <w:rPr>
                <w:rFonts w:ascii="宋体" w:hAnsi="宋体" w:cs="宋体"/>
                <w:sz w:val="24"/>
              </w:rPr>
            </w:pPr>
            <w:r>
              <w:rPr>
                <w:rFonts w:hint="eastAsia" w:ascii="宋体" w:hAnsi="宋体" w:cs="宋体"/>
                <w:sz w:val="24"/>
              </w:rPr>
              <w:t>1～5亿元</w:t>
            </w:r>
          </w:p>
        </w:tc>
        <w:tc>
          <w:tcPr>
            <w:tcW w:w="1659" w:type="dxa"/>
            <w:vAlign w:val="center"/>
          </w:tcPr>
          <w:p w14:paraId="480EF135">
            <w:pPr>
              <w:spacing w:line="360" w:lineRule="auto"/>
              <w:ind w:firstLine="240" w:firstLineChars="100"/>
              <w:jc w:val="center"/>
              <w:rPr>
                <w:rFonts w:ascii="宋体" w:hAnsi="宋体" w:cs="宋体"/>
                <w:sz w:val="24"/>
              </w:rPr>
            </w:pPr>
            <w:r>
              <w:rPr>
                <w:rFonts w:hint="eastAsia" w:ascii="宋体" w:hAnsi="宋体" w:cs="宋体"/>
                <w:sz w:val="24"/>
              </w:rPr>
              <w:t>0.05%</w:t>
            </w:r>
          </w:p>
        </w:tc>
        <w:tc>
          <w:tcPr>
            <w:tcW w:w="1687" w:type="dxa"/>
            <w:vAlign w:val="center"/>
          </w:tcPr>
          <w:p w14:paraId="0EBEA69B">
            <w:pPr>
              <w:spacing w:line="360" w:lineRule="auto"/>
              <w:jc w:val="center"/>
              <w:rPr>
                <w:rFonts w:ascii="宋体" w:hAnsi="宋体" w:cs="宋体"/>
                <w:sz w:val="24"/>
              </w:rPr>
            </w:pPr>
            <w:r>
              <w:rPr>
                <w:rFonts w:hint="eastAsia" w:ascii="宋体" w:hAnsi="宋体" w:cs="宋体"/>
                <w:sz w:val="24"/>
              </w:rPr>
              <w:t>0.05%</w:t>
            </w:r>
          </w:p>
        </w:tc>
        <w:tc>
          <w:tcPr>
            <w:tcW w:w="1659" w:type="dxa"/>
            <w:vAlign w:val="center"/>
          </w:tcPr>
          <w:p w14:paraId="0042939E">
            <w:pPr>
              <w:spacing w:line="360" w:lineRule="auto"/>
              <w:jc w:val="center"/>
              <w:rPr>
                <w:rFonts w:ascii="宋体" w:hAnsi="宋体" w:cs="宋体"/>
                <w:sz w:val="24"/>
              </w:rPr>
            </w:pPr>
            <w:r>
              <w:rPr>
                <w:rFonts w:hint="eastAsia" w:ascii="宋体" w:hAnsi="宋体" w:cs="宋体"/>
                <w:sz w:val="24"/>
              </w:rPr>
              <w:t>0.05%</w:t>
            </w:r>
          </w:p>
        </w:tc>
      </w:tr>
      <w:tr w14:paraId="6828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666DE846">
            <w:pPr>
              <w:spacing w:line="360" w:lineRule="auto"/>
              <w:jc w:val="center"/>
              <w:rPr>
                <w:rFonts w:ascii="宋体" w:hAnsi="宋体" w:cs="宋体"/>
                <w:sz w:val="24"/>
              </w:rPr>
            </w:pPr>
            <w:r>
              <w:rPr>
                <w:rFonts w:hint="eastAsia" w:ascii="宋体" w:hAnsi="宋体" w:cs="宋体"/>
                <w:sz w:val="24"/>
              </w:rPr>
              <w:t>5～10亿元</w:t>
            </w:r>
          </w:p>
        </w:tc>
        <w:tc>
          <w:tcPr>
            <w:tcW w:w="1659" w:type="dxa"/>
            <w:vAlign w:val="center"/>
          </w:tcPr>
          <w:p w14:paraId="478FECEF">
            <w:pPr>
              <w:spacing w:line="360" w:lineRule="auto"/>
              <w:ind w:firstLine="120" w:firstLineChars="50"/>
              <w:jc w:val="center"/>
              <w:rPr>
                <w:rFonts w:ascii="宋体" w:hAnsi="宋体" w:cs="宋体"/>
                <w:sz w:val="24"/>
              </w:rPr>
            </w:pPr>
            <w:r>
              <w:rPr>
                <w:rFonts w:hint="eastAsia" w:ascii="宋体" w:hAnsi="宋体" w:cs="宋体"/>
                <w:sz w:val="24"/>
              </w:rPr>
              <w:t>0.035%</w:t>
            </w:r>
          </w:p>
        </w:tc>
        <w:tc>
          <w:tcPr>
            <w:tcW w:w="1687" w:type="dxa"/>
            <w:vAlign w:val="center"/>
          </w:tcPr>
          <w:p w14:paraId="2551098B">
            <w:pPr>
              <w:spacing w:line="360" w:lineRule="auto"/>
              <w:jc w:val="center"/>
              <w:rPr>
                <w:rFonts w:ascii="宋体" w:hAnsi="宋体" w:cs="宋体"/>
                <w:sz w:val="24"/>
              </w:rPr>
            </w:pPr>
            <w:r>
              <w:rPr>
                <w:rFonts w:hint="eastAsia" w:ascii="宋体" w:hAnsi="宋体" w:cs="宋体"/>
                <w:sz w:val="24"/>
              </w:rPr>
              <w:t>0.035%</w:t>
            </w:r>
          </w:p>
        </w:tc>
        <w:tc>
          <w:tcPr>
            <w:tcW w:w="1659" w:type="dxa"/>
            <w:vAlign w:val="center"/>
          </w:tcPr>
          <w:p w14:paraId="03ADFA88">
            <w:pPr>
              <w:spacing w:line="360" w:lineRule="auto"/>
              <w:ind w:firstLine="120" w:firstLineChars="50"/>
              <w:jc w:val="center"/>
              <w:rPr>
                <w:rFonts w:ascii="宋体" w:hAnsi="宋体" w:cs="宋体"/>
                <w:sz w:val="24"/>
              </w:rPr>
            </w:pPr>
            <w:r>
              <w:rPr>
                <w:rFonts w:hint="eastAsia" w:ascii="宋体" w:hAnsi="宋体" w:cs="宋体"/>
                <w:sz w:val="24"/>
              </w:rPr>
              <w:t>0.035%</w:t>
            </w:r>
          </w:p>
        </w:tc>
      </w:tr>
      <w:tr w14:paraId="138F2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167EF2F2">
            <w:pPr>
              <w:spacing w:line="360" w:lineRule="auto"/>
              <w:jc w:val="center"/>
              <w:rPr>
                <w:rFonts w:ascii="宋体" w:hAnsi="宋体" w:cs="宋体"/>
                <w:sz w:val="24"/>
              </w:rPr>
            </w:pPr>
            <w:r>
              <w:rPr>
                <w:rFonts w:hint="eastAsia" w:ascii="宋体" w:hAnsi="宋体" w:cs="宋体"/>
                <w:sz w:val="24"/>
              </w:rPr>
              <w:t>10～50亿元</w:t>
            </w:r>
          </w:p>
        </w:tc>
        <w:tc>
          <w:tcPr>
            <w:tcW w:w="1659" w:type="dxa"/>
            <w:vAlign w:val="center"/>
          </w:tcPr>
          <w:p w14:paraId="6C0A4F9D">
            <w:pPr>
              <w:spacing w:line="360" w:lineRule="auto"/>
              <w:ind w:firstLine="120" w:firstLineChars="50"/>
              <w:jc w:val="center"/>
              <w:rPr>
                <w:rFonts w:ascii="宋体" w:hAnsi="宋体" w:cs="宋体"/>
                <w:sz w:val="24"/>
              </w:rPr>
            </w:pPr>
            <w:r>
              <w:rPr>
                <w:rFonts w:hint="eastAsia" w:ascii="宋体" w:hAnsi="宋体" w:cs="宋体"/>
                <w:sz w:val="24"/>
              </w:rPr>
              <w:t>0.008%</w:t>
            </w:r>
          </w:p>
        </w:tc>
        <w:tc>
          <w:tcPr>
            <w:tcW w:w="1687" w:type="dxa"/>
            <w:vAlign w:val="center"/>
          </w:tcPr>
          <w:p w14:paraId="288D22CB">
            <w:pPr>
              <w:spacing w:line="360" w:lineRule="auto"/>
              <w:ind w:firstLine="240" w:firstLineChars="100"/>
              <w:jc w:val="center"/>
              <w:rPr>
                <w:rFonts w:ascii="宋体" w:hAnsi="宋体" w:cs="宋体"/>
                <w:sz w:val="24"/>
              </w:rPr>
            </w:pPr>
            <w:r>
              <w:rPr>
                <w:rFonts w:hint="eastAsia" w:ascii="宋体" w:hAnsi="宋体" w:cs="宋体"/>
                <w:sz w:val="24"/>
              </w:rPr>
              <w:t>0.008%</w:t>
            </w:r>
          </w:p>
        </w:tc>
        <w:tc>
          <w:tcPr>
            <w:tcW w:w="1659" w:type="dxa"/>
            <w:vAlign w:val="center"/>
          </w:tcPr>
          <w:p w14:paraId="0B74CE9F">
            <w:pPr>
              <w:spacing w:line="360" w:lineRule="auto"/>
              <w:ind w:firstLine="120" w:firstLineChars="50"/>
              <w:jc w:val="center"/>
              <w:rPr>
                <w:rFonts w:ascii="宋体" w:hAnsi="宋体" w:cs="宋体"/>
                <w:sz w:val="24"/>
              </w:rPr>
            </w:pPr>
            <w:r>
              <w:rPr>
                <w:rFonts w:hint="eastAsia" w:ascii="宋体" w:hAnsi="宋体" w:cs="宋体"/>
                <w:sz w:val="24"/>
              </w:rPr>
              <w:t>0.008%</w:t>
            </w:r>
          </w:p>
        </w:tc>
      </w:tr>
      <w:tr w14:paraId="084C4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1CC2E0F1">
            <w:pPr>
              <w:spacing w:line="360" w:lineRule="auto"/>
              <w:jc w:val="center"/>
              <w:rPr>
                <w:rFonts w:ascii="宋体" w:hAnsi="宋体" w:cs="宋体"/>
                <w:sz w:val="24"/>
              </w:rPr>
            </w:pPr>
            <w:r>
              <w:rPr>
                <w:rFonts w:hint="eastAsia" w:ascii="宋体" w:hAnsi="宋体" w:cs="宋体"/>
                <w:sz w:val="24"/>
              </w:rPr>
              <w:t>50～100亿元</w:t>
            </w:r>
          </w:p>
        </w:tc>
        <w:tc>
          <w:tcPr>
            <w:tcW w:w="1659" w:type="dxa"/>
            <w:vAlign w:val="center"/>
          </w:tcPr>
          <w:p w14:paraId="0D31FA9D">
            <w:pPr>
              <w:spacing w:line="360" w:lineRule="auto"/>
              <w:jc w:val="center"/>
              <w:rPr>
                <w:rFonts w:ascii="宋体" w:hAnsi="宋体" w:cs="宋体"/>
                <w:sz w:val="24"/>
              </w:rPr>
            </w:pPr>
            <w:r>
              <w:rPr>
                <w:rFonts w:hint="eastAsia" w:ascii="宋体" w:hAnsi="宋体" w:cs="宋体"/>
                <w:sz w:val="24"/>
              </w:rPr>
              <w:t>0.006%</w:t>
            </w:r>
          </w:p>
        </w:tc>
        <w:tc>
          <w:tcPr>
            <w:tcW w:w="1687" w:type="dxa"/>
            <w:vAlign w:val="center"/>
          </w:tcPr>
          <w:p w14:paraId="5F89A3F3">
            <w:pPr>
              <w:spacing w:line="360" w:lineRule="auto"/>
              <w:ind w:firstLine="240" w:firstLineChars="100"/>
              <w:jc w:val="center"/>
              <w:rPr>
                <w:rFonts w:ascii="宋体" w:hAnsi="宋体" w:cs="宋体"/>
                <w:sz w:val="24"/>
              </w:rPr>
            </w:pPr>
            <w:r>
              <w:rPr>
                <w:rFonts w:hint="eastAsia" w:ascii="宋体" w:hAnsi="宋体" w:cs="宋体"/>
                <w:sz w:val="24"/>
              </w:rPr>
              <w:t>0.006%</w:t>
            </w:r>
          </w:p>
        </w:tc>
        <w:tc>
          <w:tcPr>
            <w:tcW w:w="1659" w:type="dxa"/>
            <w:vAlign w:val="center"/>
          </w:tcPr>
          <w:p w14:paraId="7BF67B35">
            <w:pPr>
              <w:spacing w:line="360" w:lineRule="auto"/>
              <w:ind w:firstLine="120" w:firstLineChars="50"/>
              <w:jc w:val="center"/>
              <w:rPr>
                <w:rFonts w:ascii="宋体" w:hAnsi="宋体" w:cs="宋体"/>
                <w:sz w:val="24"/>
              </w:rPr>
            </w:pPr>
            <w:r>
              <w:rPr>
                <w:rFonts w:hint="eastAsia" w:ascii="宋体" w:hAnsi="宋体" w:cs="宋体"/>
                <w:sz w:val="24"/>
              </w:rPr>
              <w:t>0.006%</w:t>
            </w:r>
          </w:p>
        </w:tc>
      </w:tr>
      <w:tr w14:paraId="30626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vAlign w:val="center"/>
          </w:tcPr>
          <w:p w14:paraId="73E2B512">
            <w:pPr>
              <w:spacing w:line="360" w:lineRule="auto"/>
              <w:jc w:val="center"/>
              <w:rPr>
                <w:rFonts w:ascii="宋体" w:hAnsi="宋体" w:cs="宋体"/>
                <w:sz w:val="24"/>
              </w:rPr>
            </w:pPr>
            <w:r>
              <w:rPr>
                <w:rFonts w:hint="eastAsia" w:ascii="宋体" w:hAnsi="宋体" w:cs="宋体"/>
                <w:sz w:val="24"/>
              </w:rPr>
              <w:t>100亿元以上</w:t>
            </w:r>
          </w:p>
        </w:tc>
        <w:tc>
          <w:tcPr>
            <w:tcW w:w="1659" w:type="dxa"/>
            <w:vAlign w:val="center"/>
          </w:tcPr>
          <w:p w14:paraId="02ED98C9">
            <w:pPr>
              <w:spacing w:line="360" w:lineRule="auto"/>
              <w:jc w:val="center"/>
              <w:rPr>
                <w:rFonts w:ascii="宋体" w:hAnsi="宋体" w:cs="宋体"/>
                <w:sz w:val="24"/>
              </w:rPr>
            </w:pPr>
            <w:r>
              <w:rPr>
                <w:rFonts w:hint="eastAsia" w:ascii="宋体" w:hAnsi="宋体" w:cs="宋体"/>
                <w:sz w:val="24"/>
              </w:rPr>
              <w:t>0.004%</w:t>
            </w:r>
          </w:p>
        </w:tc>
        <w:tc>
          <w:tcPr>
            <w:tcW w:w="1687" w:type="dxa"/>
            <w:vAlign w:val="center"/>
          </w:tcPr>
          <w:p w14:paraId="336C27DD">
            <w:pPr>
              <w:spacing w:line="360" w:lineRule="auto"/>
              <w:ind w:firstLine="240" w:firstLineChars="100"/>
              <w:jc w:val="center"/>
              <w:rPr>
                <w:rFonts w:ascii="宋体" w:hAnsi="宋体" w:cs="宋体"/>
                <w:sz w:val="24"/>
              </w:rPr>
            </w:pPr>
            <w:r>
              <w:rPr>
                <w:rFonts w:hint="eastAsia" w:ascii="宋体" w:hAnsi="宋体" w:cs="宋体"/>
                <w:sz w:val="24"/>
              </w:rPr>
              <w:t>0.004%</w:t>
            </w:r>
          </w:p>
        </w:tc>
        <w:tc>
          <w:tcPr>
            <w:tcW w:w="1659" w:type="dxa"/>
            <w:vAlign w:val="center"/>
          </w:tcPr>
          <w:p w14:paraId="01AC67BE">
            <w:pPr>
              <w:spacing w:line="360" w:lineRule="auto"/>
              <w:ind w:firstLine="120" w:firstLineChars="50"/>
              <w:jc w:val="center"/>
              <w:rPr>
                <w:rFonts w:ascii="宋体" w:hAnsi="宋体" w:cs="宋体"/>
                <w:sz w:val="24"/>
              </w:rPr>
            </w:pPr>
            <w:r>
              <w:rPr>
                <w:rFonts w:hint="eastAsia" w:ascii="宋体" w:hAnsi="宋体" w:cs="宋体"/>
                <w:sz w:val="24"/>
              </w:rPr>
              <w:t>0.004%</w:t>
            </w:r>
          </w:p>
        </w:tc>
      </w:tr>
    </w:tbl>
    <w:p w14:paraId="1DCDD7A3">
      <w:pPr>
        <w:spacing w:line="360" w:lineRule="auto"/>
        <w:ind w:firstLine="482" w:firstLineChars="200"/>
        <w:rPr>
          <w:rFonts w:ascii="楷体" w:hAnsi="楷体" w:eastAsia="楷体" w:cs="宋体"/>
          <w:b/>
          <w:sz w:val="24"/>
        </w:rPr>
      </w:pPr>
      <w:r>
        <w:rPr>
          <w:rFonts w:hint="eastAsia" w:ascii="楷体" w:hAnsi="楷体" w:eastAsia="楷体" w:cs="宋体"/>
          <w:b/>
          <w:sz w:val="24"/>
        </w:rPr>
        <w:t>注：</w:t>
      </w:r>
      <w:r>
        <w:rPr>
          <w:rFonts w:ascii="楷体" w:hAnsi="楷体" w:eastAsia="楷体" w:cs="宋体"/>
          <w:b/>
          <w:sz w:val="24"/>
        </w:rPr>
        <w:t xml:space="preserve"> </w:t>
      </w:r>
    </w:p>
    <w:p w14:paraId="152E1B67">
      <w:pPr>
        <w:spacing w:line="360" w:lineRule="auto"/>
        <w:ind w:firstLine="480" w:firstLineChars="200"/>
        <w:rPr>
          <w:rFonts w:ascii="楷体" w:hAnsi="楷体" w:eastAsia="楷体" w:cs="宋体"/>
          <w:sz w:val="24"/>
        </w:rPr>
      </w:pPr>
      <w:r>
        <w:rPr>
          <w:rFonts w:hint="eastAsia" w:ascii="楷体" w:hAnsi="楷体" w:eastAsia="楷体" w:cs="宋体"/>
          <w:sz w:val="24"/>
        </w:rPr>
        <w:t>（</w:t>
      </w:r>
      <w:r>
        <w:rPr>
          <w:rFonts w:ascii="楷体" w:hAnsi="楷体" w:eastAsia="楷体" w:cs="宋体"/>
          <w:sz w:val="24"/>
        </w:rPr>
        <w:t>1）按本表费率计算的收费为采购代理的收费基准价格；</w:t>
      </w:r>
    </w:p>
    <w:p w14:paraId="6FA3084F">
      <w:pPr>
        <w:spacing w:line="360" w:lineRule="auto"/>
        <w:ind w:firstLine="480" w:firstLineChars="200"/>
        <w:rPr>
          <w:rFonts w:ascii="楷体" w:hAnsi="楷体" w:eastAsia="楷体" w:cs="宋体"/>
          <w:sz w:val="24"/>
        </w:rPr>
      </w:pPr>
      <w:r>
        <w:rPr>
          <w:rFonts w:hint="eastAsia" w:ascii="楷体" w:hAnsi="楷体" w:eastAsia="楷体" w:cs="宋体"/>
          <w:sz w:val="24"/>
        </w:rPr>
        <w:t>（</w:t>
      </w:r>
      <w:r>
        <w:rPr>
          <w:rFonts w:ascii="楷体" w:hAnsi="楷体" w:eastAsia="楷体" w:cs="宋体"/>
          <w:sz w:val="24"/>
        </w:rPr>
        <w:t>2）采购代理收费按差额定率累进法计算。</w:t>
      </w:r>
    </w:p>
    <w:p w14:paraId="47DABCC6">
      <w:pPr>
        <w:spacing w:line="360" w:lineRule="auto"/>
        <w:ind w:firstLine="480" w:firstLineChars="200"/>
        <w:rPr>
          <w:rFonts w:ascii="楷体" w:hAnsi="楷体" w:eastAsia="楷体" w:cs="宋体"/>
          <w:sz w:val="24"/>
        </w:rPr>
      </w:pPr>
      <w:r>
        <w:rPr>
          <w:rFonts w:hint="eastAsia" w:ascii="楷体" w:hAnsi="楷体" w:eastAsia="楷体" w:cs="宋体"/>
          <w:sz w:val="24"/>
        </w:rPr>
        <w:t>例如：某货物采购代理业务中标金额或者暂定价为</w:t>
      </w:r>
      <w:r>
        <w:rPr>
          <w:rFonts w:ascii="楷体" w:hAnsi="楷体" w:eastAsia="楷体" w:cs="宋体"/>
          <w:sz w:val="24"/>
        </w:rPr>
        <w:t>200万元，计算采购代理收费额如下：</w:t>
      </w:r>
    </w:p>
    <w:p w14:paraId="057EF4AF">
      <w:pPr>
        <w:spacing w:line="360" w:lineRule="auto"/>
        <w:ind w:firstLine="480" w:firstLineChars="200"/>
        <w:rPr>
          <w:rFonts w:ascii="楷体" w:hAnsi="楷体" w:eastAsia="楷体" w:cs="宋体"/>
          <w:sz w:val="24"/>
        </w:rPr>
      </w:pPr>
      <w:r>
        <w:rPr>
          <w:rFonts w:ascii="楷体" w:hAnsi="楷体" w:eastAsia="楷体" w:cs="宋体"/>
          <w:sz w:val="24"/>
        </w:rPr>
        <w:t xml:space="preserve">100 </w:t>
      </w:r>
      <w:r>
        <w:rPr>
          <w:rFonts w:hint="eastAsia" w:ascii="楷体" w:hAnsi="楷体" w:eastAsia="楷体" w:cs="宋体"/>
          <w:sz w:val="24"/>
        </w:rPr>
        <w:t>万元×</w:t>
      </w:r>
      <w:r>
        <w:rPr>
          <w:rFonts w:ascii="楷体" w:hAnsi="楷体" w:eastAsia="楷体" w:cs="宋体"/>
          <w:sz w:val="24"/>
        </w:rPr>
        <w:t xml:space="preserve">l.5 </w:t>
      </w:r>
      <w:r>
        <w:rPr>
          <w:rFonts w:hint="eastAsia" w:ascii="楷体" w:hAnsi="楷体" w:eastAsia="楷体" w:cs="宋体"/>
          <w:sz w:val="24"/>
        </w:rPr>
        <w:t>％＝</w:t>
      </w:r>
      <w:r>
        <w:rPr>
          <w:rFonts w:ascii="楷体" w:hAnsi="楷体" w:eastAsia="楷体" w:cs="宋体"/>
          <w:sz w:val="24"/>
        </w:rPr>
        <w:t xml:space="preserve"> 1.5 </w:t>
      </w:r>
      <w:r>
        <w:rPr>
          <w:rFonts w:hint="eastAsia" w:ascii="楷体" w:hAnsi="楷体" w:eastAsia="楷体" w:cs="宋体"/>
          <w:sz w:val="24"/>
        </w:rPr>
        <w:t>万元</w:t>
      </w:r>
    </w:p>
    <w:p w14:paraId="3E1C144E">
      <w:pPr>
        <w:spacing w:line="360" w:lineRule="auto"/>
        <w:ind w:firstLine="480" w:firstLineChars="200"/>
        <w:rPr>
          <w:rFonts w:ascii="楷体" w:hAnsi="楷体" w:eastAsia="楷体" w:cs="宋体"/>
          <w:sz w:val="24"/>
        </w:rPr>
      </w:pPr>
      <w:r>
        <w:rPr>
          <w:rFonts w:hint="eastAsia" w:ascii="楷体" w:hAnsi="楷体" w:eastAsia="楷体" w:cs="宋体"/>
          <w:sz w:val="24"/>
        </w:rPr>
        <w:t>（</w:t>
      </w:r>
      <w:r>
        <w:rPr>
          <w:rFonts w:ascii="楷体" w:hAnsi="楷体" w:eastAsia="楷体" w:cs="宋体"/>
          <w:sz w:val="24"/>
        </w:rPr>
        <w:t xml:space="preserve"> 200 </w:t>
      </w:r>
      <w:r>
        <w:rPr>
          <w:rFonts w:hint="eastAsia" w:ascii="楷体" w:hAnsi="楷体" w:eastAsia="楷体" w:cs="宋体"/>
          <w:sz w:val="24"/>
        </w:rPr>
        <w:t>－</w:t>
      </w:r>
      <w:r>
        <w:rPr>
          <w:rFonts w:ascii="楷体" w:hAnsi="楷体" w:eastAsia="楷体" w:cs="宋体"/>
          <w:sz w:val="24"/>
        </w:rPr>
        <w:t xml:space="preserve"> 100 </w:t>
      </w:r>
      <w:r>
        <w:rPr>
          <w:rFonts w:hint="eastAsia" w:ascii="楷体" w:hAnsi="楷体" w:eastAsia="楷体" w:cs="宋体"/>
          <w:sz w:val="24"/>
        </w:rPr>
        <w:t>）万元</w:t>
      </w:r>
      <w:r>
        <w:rPr>
          <w:rFonts w:ascii="楷体" w:hAnsi="楷体" w:eastAsia="楷体" w:cs="宋体"/>
          <w:sz w:val="24"/>
        </w:rPr>
        <w:t xml:space="preserve"> </w:t>
      </w:r>
      <w:r>
        <w:rPr>
          <w:rFonts w:hint="eastAsia" w:ascii="楷体" w:hAnsi="楷体" w:eastAsia="楷体" w:cs="宋体"/>
          <w:sz w:val="24"/>
        </w:rPr>
        <w:t>×</w:t>
      </w:r>
      <w:r>
        <w:rPr>
          <w:rFonts w:ascii="楷体" w:hAnsi="楷体" w:eastAsia="楷体" w:cs="宋体"/>
          <w:sz w:val="24"/>
        </w:rPr>
        <w:t>1.1％＝1.1万元</w:t>
      </w:r>
    </w:p>
    <w:p w14:paraId="6A009C32">
      <w:pPr>
        <w:spacing w:line="360" w:lineRule="auto"/>
        <w:ind w:firstLine="480" w:firstLineChars="200"/>
        <w:rPr>
          <w:rFonts w:ascii="楷体" w:hAnsi="楷体" w:eastAsia="楷体" w:cs="宋体"/>
          <w:sz w:val="24"/>
        </w:rPr>
      </w:pPr>
      <w:r>
        <w:rPr>
          <w:rFonts w:hint="eastAsia" w:ascii="楷体" w:hAnsi="楷体" w:eastAsia="楷体" w:cs="宋体"/>
          <w:sz w:val="24"/>
        </w:rPr>
        <w:t>合计收费＝</w:t>
      </w:r>
      <w:r>
        <w:rPr>
          <w:rFonts w:ascii="楷体" w:hAnsi="楷体" w:eastAsia="楷体" w:cs="宋体"/>
          <w:sz w:val="24"/>
        </w:rPr>
        <w:t xml:space="preserve"> 1.5+1.1＝ 2.6 </w:t>
      </w:r>
      <w:r>
        <w:rPr>
          <w:rFonts w:hint="eastAsia" w:ascii="楷体" w:hAnsi="楷体" w:eastAsia="楷体" w:cs="宋体"/>
          <w:sz w:val="24"/>
        </w:rPr>
        <w:t>（万元）</w:t>
      </w:r>
    </w:p>
    <w:p w14:paraId="0D5F8F00">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40.需要补充的其他内容</w:t>
      </w:r>
    </w:p>
    <w:p w14:paraId="216F7963">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40.1本招标文件解释规则详见“投标人须知前附表”。</w:t>
      </w:r>
    </w:p>
    <w:p w14:paraId="18E1DEFA">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40.2 其他事项详见“投标人须知前附表”。</w:t>
      </w:r>
    </w:p>
    <w:p w14:paraId="2B9693E9">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40.3</w:t>
      </w:r>
      <w:bookmarkStart w:id="144" w:name="_Hlk65857140"/>
      <w:r>
        <w:rPr>
          <w:rFonts w:hint="eastAsia" w:hAnsi="宋体" w:cs="宋体"/>
          <w:sz w:val="24"/>
          <w:szCs w:val="24"/>
        </w:rPr>
        <w:t>本招标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招标文件规定的中小企业扶持政策：</w:t>
      </w:r>
    </w:p>
    <w:p w14:paraId="744AE2E0">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（1）在货物采购项目中，货物由中小企业制造，即货物由中小企业生产且使用该中小企业商号或者注册商标，不对其中涉及的工程承建商和服务的承接商作出要求；</w:t>
      </w:r>
    </w:p>
    <w:p w14:paraId="0F60859F">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（2）在工程采购项目中，工程由中小企业承建，即工程施工单位为中小企业，不对其中涉及的货物的制造商和服务的承接商作出要求；</w:t>
      </w:r>
    </w:p>
    <w:p w14:paraId="48E10401">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（3）在服务采购项目中，服务由中小企业承接，即提供服务的人员为中小企业依照《中华人民共和国劳动合同法》订立劳动合同的从业人员，不对其中涉及的货物的制造商和工程承建商作出要求。</w:t>
      </w:r>
    </w:p>
    <w:p w14:paraId="7DC31722">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在货物采购项目中，供应商提供的货物既有中小企业制造货物，也有大型企业制造货物的，不享受本招标文件规定的中小企业扶持政策。以联合体形式参加政府采购活动，联合体各方均为中小企业的，联合体视同中小企业。其中，联合体各方均为小微企业的，联合体视同小微企业。</w:t>
      </w:r>
    </w:p>
    <w:p w14:paraId="2F27ECCC">
      <w:pPr>
        <w:pStyle w:val="26"/>
        <w:spacing w:before="120" w:after="120" w:line="360" w:lineRule="auto"/>
        <w:ind w:firstLine="480" w:firstLineChars="200"/>
        <w:contextualSpacing/>
        <w:rPr>
          <w:rFonts w:hAnsi="宋体" w:cs="宋体"/>
          <w:sz w:val="24"/>
          <w:szCs w:val="24"/>
        </w:rPr>
      </w:pPr>
      <w:r>
        <w:rPr>
          <w:rFonts w:hint="eastAsia" w:hAnsi="宋体" w:cs="宋体"/>
          <w:sz w:val="24"/>
          <w:szCs w:val="24"/>
        </w:rPr>
        <w:t>依据本招标文件规定享受扶持政策获得政府采购合同的，小微企业不得将合同分包给大中型企业，中型企业不得将合同分包给大型企业。</w:t>
      </w:r>
      <w:bookmarkEnd w:id="144"/>
    </w:p>
    <w:p w14:paraId="161CA2BC">
      <w:pPr>
        <w:pStyle w:val="19"/>
        <w:spacing w:line="360" w:lineRule="auto"/>
        <w:ind w:left="479" w:leftChars="114" w:hanging="240" w:hangingChars="100"/>
        <w:rPr>
          <w:rFonts w:ascii="宋体" w:hAnsi="宋体" w:cs="宋体"/>
        </w:rPr>
      </w:pPr>
      <w:r>
        <w:rPr>
          <w:rFonts w:hint="eastAsia" w:ascii="宋体" w:hAnsi="宋体" w:cs="宋体"/>
        </w:rPr>
        <w:br w:type="page"/>
      </w:r>
    </w:p>
    <w:p w14:paraId="3B7FB169">
      <w:pPr>
        <w:pStyle w:val="3"/>
        <w:jc w:val="center"/>
        <w:rPr>
          <w:rFonts w:ascii="宋体" w:hAnsi="宋体" w:cs="宋体"/>
        </w:rPr>
      </w:pPr>
      <w:bookmarkStart w:id="145" w:name="_Toc74320803"/>
      <w:bookmarkStart w:id="146" w:name="_Toc254970689"/>
      <w:bookmarkStart w:id="147" w:name="_Toc330456896"/>
      <w:bookmarkStart w:id="148" w:name="_Toc254970548"/>
      <w:bookmarkStart w:id="149" w:name="_Toc25632"/>
      <w:r>
        <w:rPr>
          <w:rFonts w:hint="eastAsia" w:ascii="宋体" w:hAnsi="宋体" w:cs="宋体"/>
        </w:rPr>
        <w:t>第四章  评标方法及评标标准</w:t>
      </w:r>
      <w:bookmarkEnd w:id="145"/>
      <w:bookmarkEnd w:id="146"/>
      <w:bookmarkEnd w:id="147"/>
      <w:bookmarkEnd w:id="148"/>
      <w:bookmarkEnd w:id="149"/>
    </w:p>
    <w:p w14:paraId="18A89914">
      <w:pPr>
        <w:pStyle w:val="5"/>
        <w:keepNext w:val="0"/>
        <w:keepLines w:val="0"/>
        <w:jc w:val="center"/>
        <w:rPr>
          <w:rFonts w:ascii="宋体" w:hAnsi="宋体" w:cs="宋体"/>
          <w:sz w:val="30"/>
          <w:szCs w:val="30"/>
        </w:rPr>
      </w:pPr>
      <w:bookmarkStart w:id="150" w:name="_Toc254970690"/>
      <w:bookmarkEnd w:id="150"/>
      <w:bookmarkStart w:id="151" w:name="_Toc254970549"/>
      <w:bookmarkEnd w:id="151"/>
      <w:r>
        <w:rPr>
          <w:rFonts w:hint="eastAsia" w:ascii="宋体" w:hAnsi="宋体" w:cs="宋体"/>
          <w:sz w:val="30"/>
          <w:szCs w:val="30"/>
        </w:rPr>
        <w:t>一、评标方法</w:t>
      </w:r>
    </w:p>
    <w:p w14:paraId="2DC5CC85">
      <w:pPr>
        <w:pStyle w:val="26"/>
        <w:spacing w:line="360" w:lineRule="auto"/>
        <w:ind w:firstLine="420"/>
        <w:rPr>
          <w:rFonts w:hAnsi="宋体" w:cs="宋体"/>
          <w:sz w:val="24"/>
          <w:szCs w:val="24"/>
        </w:rPr>
      </w:pPr>
      <w:r>
        <w:rPr>
          <w:rFonts w:hint="eastAsia" w:hAnsi="宋体" w:cs="宋体"/>
          <w:sz w:val="24"/>
          <w:szCs w:val="24"/>
        </w:rPr>
        <w:t>综合评分法，是指投标文件满足招标文件全部实质性要求，且按照评审因素的量化指标评审得分最高的投标人为中标候选人的评标方法。</w:t>
      </w:r>
    </w:p>
    <w:p w14:paraId="3E67FFD9">
      <w:pPr>
        <w:pStyle w:val="5"/>
        <w:keepNext w:val="0"/>
        <w:keepLines w:val="0"/>
        <w:jc w:val="center"/>
        <w:rPr>
          <w:rFonts w:ascii="宋体" w:hAnsi="宋体" w:cs="宋体"/>
          <w:sz w:val="30"/>
          <w:szCs w:val="30"/>
        </w:rPr>
      </w:pPr>
      <w:r>
        <w:rPr>
          <w:rFonts w:hint="eastAsia" w:ascii="宋体" w:hAnsi="宋体" w:cs="宋体"/>
          <w:sz w:val="30"/>
          <w:szCs w:val="30"/>
        </w:rPr>
        <w:t>二、评标程序</w:t>
      </w:r>
    </w:p>
    <w:p w14:paraId="0822F760">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1.符合性审查</w:t>
      </w:r>
    </w:p>
    <w:p w14:paraId="3C995C1E">
      <w:pPr>
        <w:pStyle w:val="26"/>
        <w:snapToGrid w:val="0"/>
        <w:spacing w:line="360" w:lineRule="auto"/>
        <w:ind w:left="1" w:firstLine="420"/>
        <w:rPr>
          <w:rFonts w:hAnsi="宋体" w:cs="宋体"/>
          <w:b/>
          <w:kern w:val="2"/>
          <w:sz w:val="24"/>
          <w:szCs w:val="24"/>
        </w:rPr>
      </w:pPr>
      <w:r>
        <w:rPr>
          <w:rFonts w:hint="eastAsia" w:hAnsi="宋体" w:cs="宋体"/>
          <w:b/>
          <w:kern w:val="2"/>
          <w:sz w:val="24"/>
          <w:szCs w:val="24"/>
        </w:rPr>
        <w:t>评标委员会应当对符合资格的投标人的投标文件进行投标报价、商务、技术等实质性内容符合性审查，以确定其是否满足招标文件的实质性要求。</w:t>
      </w:r>
    </w:p>
    <w:p w14:paraId="2C0800EC">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2.符合性审查不通过而导致投标无效的情形</w:t>
      </w:r>
    </w:p>
    <w:p w14:paraId="199891DE">
      <w:pPr>
        <w:snapToGrid w:val="0"/>
        <w:spacing w:line="360" w:lineRule="auto"/>
        <w:ind w:firstLine="482" w:firstLineChars="200"/>
        <w:rPr>
          <w:rFonts w:ascii="宋体" w:hAnsi="宋体" w:cs="宋体"/>
          <w:b/>
          <w:sz w:val="24"/>
        </w:rPr>
      </w:pPr>
      <w:r>
        <w:rPr>
          <w:rFonts w:hint="eastAsia" w:ascii="宋体" w:hAnsi="宋体" w:cs="宋体"/>
          <w:b/>
          <w:sz w:val="24"/>
        </w:rPr>
        <w:t>投标人的投标文件中存在对招标文件的任何实质性要求和条件的负偏离，将被视为投标无效。</w:t>
      </w:r>
    </w:p>
    <w:p w14:paraId="76F982D1">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2.1在报价评审时，如发现下列情形之一的，将被视为投标无效：</w:t>
      </w:r>
    </w:p>
    <w:p w14:paraId="23064F91">
      <w:pPr>
        <w:pStyle w:val="8"/>
        <w:numPr>
          <w:ilvl w:val="0"/>
          <w:numId w:val="6"/>
        </w:numPr>
        <w:spacing w:line="360" w:lineRule="auto"/>
        <w:ind w:firstLine="422"/>
        <w:rPr>
          <w:rFonts w:ascii="宋体" w:hAnsi="宋体" w:cs="宋体"/>
          <w:b/>
          <w:sz w:val="24"/>
          <w:szCs w:val="24"/>
        </w:rPr>
      </w:pPr>
      <w:r>
        <w:rPr>
          <w:rFonts w:hint="eastAsia" w:ascii="宋体" w:hAnsi="宋体" w:cs="宋体"/>
          <w:b/>
          <w:spacing w:val="-6"/>
          <w:sz w:val="24"/>
          <w:szCs w:val="24"/>
        </w:rPr>
        <w:t>报价文件</w:t>
      </w:r>
      <w:r>
        <w:rPr>
          <w:rFonts w:hint="eastAsia" w:ascii="宋体" w:hAnsi="宋体" w:cs="宋体"/>
          <w:b/>
          <w:sz w:val="24"/>
          <w:szCs w:val="24"/>
        </w:rPr>
        <w:t>未提供“投标人须知前附表”第13.1条规定中“必须提供”的文件资料的；</w:t>
      </w:r>
    </w:p>
    <w:p w14:paraId="236D41F4">
      <w:pPr>
        <w:pStyle w:val="8"/>
        <w:numPr>
          <w:ilvl w:val="0"/>
          <w:numId w:val="6"/>
        </w:numPr>
        <w:spacing w:line="360" w:lineRule="auto"/>
        <w:ind w:firstLine="422"/>
        <w:rPr>
          <w:rFonts w:ascii="宋体" w:hAnsi="宋体" w:cs="宋体"/>
          <w:b/>
          <w:sz w:val="24"/>
          <w:szCs w:val="24"/>
        </w:rPr>
      </w:pPr>
      <w:r>
        <w:rPr>
          <w:rFonts w:hint="eastAsia" w:ascii="宋体" w:hAnsi="宋体" w:cs="宋体"/>
          <w:b/>
          <w:sz w:val="24"/>
          <w:szCs w:val="24"/>
        </w:rPr>
        <w:t>未采用人民币报价的或者未按照招标文件标明的币种报价的；</w:t>
      </w:r>
    </w:p>
    <w:p w14:paraId="0F4E1A74">
      <w:pPr>
        <w:pStyle w:val="8"/>
        <w:numPr>
          <w:ilvl w:val="0"/>
          <w:numId w:val="6"/>
        </w:numPr>
        <w:spacing w:line="360" w:lineRule="auto"/>
        <w:ind w:firstLine="422"/>
        <w:rPr>
          <w:rFonts w:ascii="宋体" w:hAnsi="宋体" w:cs="宋体"/>
          <w:b/>
          <w:sz w:val="24"/>
          <w:szCs w:val="24"/>
        </w:rPr>
      </w:pPr>
      <w:r>
        <w:rPr>
          <w:rFonts w:hint="eastAsia" w:ascii="宋体" w:hAnsi="宋体" w:cs="宋体"/>
          <w:b/>
          <w:sz w:val="24"/>
          <w:szCs w:val="24"/>
        </w:rPr>
        <w:t>各分标报价超出招标文件相应分标规定最高限价，或者超出相应分标采购预算金额的；</w:t>
      </w:r>
    </w:p>
    <w:p w14:paraId="1864E5A7">
      <w:pPr>
        <w:pStyle w:val="8"/>
        <w:numPr>
          <w:ilvl w:val="0"/>
          <w:numId w:val="6"/>
        </w:numPr>
        <w:spacing w:line="360" w:lineRule="auto"/>
        <w:ind w:firstLine="422"/>
        <w:rPr>
          <w:rFonts w:ascii="宋体" w:hAnsi="宋体" w:cs="宋体"/>
          <w:b/>
          <w:sz w:val="24"/>
          <w:szCs w:val="24"/>
        </w:rPr>
      </w:pPr>
      <w:r>
        <w:rPr>
          <w:rFonts w:hint="eastAsia" w:ascii="宋体" w:hAnsi="宋体" w:cs="宋体"/>
          <w:b/>
          <w:sz w:val="24"/>
          <w:szCs w:val="24"/>
        </w:rPr>
        <w:t>投标人未就所投分标进行报价或者存在漏项报价；投标人未就所投分标的单项内容作唯一报价；投标人未就所投分标的全部内容作完整唯一总价报价；存在有选择、有条件报价的（招标文件允许有备选方案或者其他约定的除外）；</w:t>
      </w:r>
    </w:p>
    <w:p w14:paraId="5E37043C">
      <w:pPr>
        <w:pStyle w:val="8"/>
        <w:numPr>
          <w:ilvl w:val="0"/>
          <w:numId w:val="6"/>
        </w:numPr>
        <w:spacing w:line="360" w:lineRule="auto"/>
        <w:ind w:firstLine="422"/>
        <w:rPr>
          <w:rFonts w:ascii="宋体" w:hAnsi="宋体" w:cs="宋体"/>
          <w:b/>
          <w:sz w:val="24"/>
          <w:szCs w:val="24"/>
        </w:rPr>
      </w:pPr>
      <w:r>
        <w:rPr>
          <w:rFonts w:hint="eastAsia" w:ascii="宋体" w:hAnsi="宋体" w:cs="宋体"/>
          <w:b/>
          <w:sz w:val="24"/>
          <w:szCs w:val="24"/>
        </w:rPr>
        <w:t>修正后的报价，投标人不确认的；</w:t>
      </w:r>
    </w:p>
    <w:p w14:paraId="6CB1FA5C">
      <w:pPr>
        <w:pStyle w:val="8"/>
        <w:numPr>
          <w:ilvl w:val="0"/>
          <w:numId w:val="6"/>
        </w:numPr>
        <w:spacing w:line="360" w:lineRule="auto"/>
        <w:ind w:firstLine="422"/>
        <w:rPr>
          <w:rFonts w:ascii="宋体" w:hAnsi="宋体" w:cs="宋体"/>
          <w:b/>
          <w:sz w:val="24"/>
          <w:szCs w:val="24"/>
        </w:rPr>
      </w:pPr>
      <w:r>
        <w:rPr>
          <w:rFonts w:hint="eastAsia" w:ascii="宋体" w:hAnsi="宋体" w:cs="宋体"/>
          <w:b/>
          <w:sz w:val="24"/>
          <w:szCs w:val="24"/>
        </w:rPr>
        <w:t>投标人属于本章第5.1条（2）或者第5.2条（2）项情形的；</w:t>
      </w:r>
    </w:p>
    <w:p w14:paraId="1E465396">
      <w:pPr>
        <w:pStyle w:val="8"/>
        <w:numPr>
          <w:ilvl w:val="0"/>
          <w:numId w:val="6"/>
        </w:numPr>
        <w:spacing w:line="360" w:lineRule="auto"/>
        <w:ind w:firstLine="422"/>
        <w:rPr>
          <w:rFonts w:ascii="宋体" w:hAnsi="宋体" w:cs="宋体"/>
          <w:b/>
          <w:sz w:val="24"/>
          <w:szCs w:val="24"/>
        </w:rPr>
      </w:pPr>
      <w:r>
        <w:rPr>
          <w:rFonts w:hint="eastAsia" w:ascii="宋体" w:hAnsi="宋体" w:cs="宋体"/>
          <w:b/>
          <w:spacing w:val="-6"/>
          <w:sz w:val="24"/>
          <w:szCs w:val="24"/>
        </w:rPr>
        <w:t>报价文件</w:t>
      </w:r>
      <w:r>
        <w:rPr>
          <w:rFonts w:hint="eastAsia" w:ascii="宋体" w:hAnsi="宋体" w:cs="宋体"/>
          <w:b/>
          <w:sz w:val="24"/>
          <w:szCs w:val="24"/>
        </w:rPr>
        <w:t>响应的标的数量及单位与招标文件要求实质性不一致的。</w:t>
      </w:r>
    </w:p>
    <w:p w14:paraId="3AE44E4D">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2.2在商务评审时，如发现下列情形之一的，将被视为投标无效：</w:t>
      </w:r>
    </w:p>
    <w:p w14:paraId="05471404">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投标文件未按招标文件要求签署、盖章的；</w:t>
      </w:r>
    </w:p>
    <w:p w14:paraId="2BFD806D">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委托代理人未能出具有效身份证或者出具的身份证与授权委托书中的信息不符的；</w:t>
      </w:r>
    </w:p>
    <w:p w14:paraId="400DECF9">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为无效投标保证金的或者未按照招标文件的规定提交投标保证金的；</w:t>
      </w:r>
    </w:p>
    <w:p w14:paraId="12A0C348">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投标文件未提供“投标人须知前附表”第13.1条规定中“必须提供”或者“委托时必须提供”的文件资料的；</w:t>
      </w:r>
    </w:p>
    <w:p w14:paraId="1F2965FA">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商务要求评审允许负偏离的条款数超过“投标人须知前附表”规定项数的；</w:t>
      </w:r>
    </w:p>
    <w:p w14:paraId="05BFE635">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投标文件的实质性内容未使用中文表述、使用计量单位不符合招标文件要求的；</w:t>
      </w:r>
    </w:p>
    <w:p w14:paraId="636256DC">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投标文件中的文件资料因填写不齐全或者内容虚假或者出现其他情形而导致被评标委员会认定无效的；</w:t>
      </w:r>
    </w:p>
    <w:p w14:paraId="769F6CAE">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投标文件含有采购人不能接受的附加条件的；</w:t>
      </w:r>
    </w:p>
    <w:p w14:paraId="27598D04">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属于投标人须知正文第9.2条情形的；</w:t>
      </w:r>
    </w:p>
    <w:p w14:paraId="42946105">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投标文件标注的项目名称或者项目编号与招标文件标注的项目名称或者项目编号不一致的；</w:t>
      </w:r>
    </w:p>
    <w:p w14:paraId="40068BF0">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招标文件明确不允许分包，投标文件拟分包的；</w:t>
      </w:r>
    </w:p>
    <w:p w14:paraId="0F785120">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未响应招标文件实质性要求的；</w:t>
      </w:r>
    </w:p>
    <w:p w14:paraId="5F3A62CC">
      <w:pPr>
        <w:numPr>
          <w:ilvl w:val="0"/>
          <w:numId w:val="7"/>
        </w:numPr>
        <w:snapToGrid w:val="0"/>
        <w:spacing w:line="360" w:lineRule="auto"/>
        <w:ind w:firstLine="482" w:firstLineChars="200"/>
        <w:rPr>
          <w:rFonts w:ascii="宋体" w:hAnsi="宋体" w:cs="宋体"/>
          <w:b/>
          <w:sz w:val="24"/>
        </w:rPr>
      </w:pPr>
      <w:r>
        <w:rPr>
          <w:rFonts w:hint="eastAsia" w:ascii="宋体" w:hAnsi="宋体" w:cs="宋体"/>
          <w:b/>
          <w:sz w:val="24"/>
        </w:rPr>
        <w:t>法律、法规和招标文件规定的其他无效情形。</w:t>
      </w:r>
    </w:p>
    <w:p w14:paraId="7DB000C8">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2.3在技术评审时，如发现下列情形之一的，将被视为投标无效：</w:t>
      </w:r>
    </w:p>
    <w:p w14:paraId="22D27833">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（1）技术要求评审允许负偏离的条款数超过“投标人须知前附表”规定项数的；</w:t>
      </w:r>
    </w:p>
    <w:p w14:paraId="2ED2895A">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（2）投标文件未提供“投标人须知前附表”第13.1条规定中“必须提供”的文件资料的；</w:t>
      </w:r>
    </w:p>
    <w:p w14:paraId="0BDC9C64">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（3）虚假投标，或者出现其他情形而导致被评标委员会认定无效的；</w:t>
      </w:r>
    </w:p>
    <w:p w14:paraId="063AC727">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（4）</w:t>
      </w:r>
      <w:bookmarkStart w:id="152" w:name="_Hlk71706244"/>
      <w:r>
        <w:rPr>
          <w:rFonts w:hint="eastAsia" w:ascii="宋体" w:hAnsi="宋体" w:eastAsia="宋体" w:cs="宋体"/>
          <w:b/>
          <w:kern w:val="2"/>
          <w:sz w:val="24"/>
          <w:szCs w:val="24"/>
        </w:rPr>
        <w:t>招标文件未载明允许提供备选（替代）投标方案或明确不允许提供备选（替代）投标方案时，投标人提供了备选（替代）投标方案的；</w:t>
      </w:r>
      <w:bookmarkEnd w:id="152"/>
    </w:p>
    <w:p w14:paraId="4D8768D8">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（5）未响应招标文件实质性要求的。</w:t>
      </w:r>
    </w:p>
    <w:p w14:paraId="15ED89B8">
      <w:pPr>
        <w:pStyle w:val="21"/>
        <w:snapToGrid w:val="0"/>
        <w:spacing w:line="360" w:lineRule="auto"/>
        <w:ind w:firstLine="472" w:firstLineChars="196"/>
        <w:rPr>
          <w:rFonts w:ascii="宋体" w:hAnsi="宋体" w:eastAsia="宋体" w:cs="宋体"/>
          <w:b/>
          <w:kern w:val="2"/>
          <w:sz w:val="24"/>
          <w:szCs w:val="24"/>
        </w:rPr>
      </w:pPr>
      <w:r>
        <w:rPr>
          <w:rFonts w:hint="eastAsia" w:ascii="宋体" w:hAnsi="宋体" w:eastAsia="宋体" w:cs="宋体"/>
          <w:b/>
          <w:kern w:val="2"/>
          <w:sz w:val="24"/>
          <w:szCs w:val="24"/>
        </w:rPr>
        <w:t>2.4通过符合性审查的投标人不足3家，评标委员会不得继续评标，并出具评标报告。</w:t>
      </w:r>
    </w:p>
    <w:p w14:paraId="7CB1ACD4">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3.澄清补正</w:t>
      </w:r>
    </w:p>
    <w:p w14:paraId="7563B8D6">
      <w:pPr>
        <w:snapToGrid w:val="0"/>
        <w:spacing w:line="360" w:lineRule="auto"/>
        <w:ind w:firstLine="480" w:firstLineChars="200"/>
        <w:rPr>
          <w:rFonts w:ascii="宋体" w:hAnsi="宋体" w:cs="宋体"/>
          <w:sz w:val="24"/>
        </w:rPr>
      </w:pPr>
      <w:r>
        <w:rPr>
          <w:rFonts w:hint="eastAsia" w:ascii="宋体" w:hAnsi="宋体" w:cs="宋体"/>
          <w:sz w:val="24"/>
        </w:rPr>
        <w:t>对投标文件中含义不明确、同类问题表述不一致或者有明显文字和计算错误的内容，评标委员会以电子澄清函形式要求投标人在规定时间内作出必要的澄清、说明或者纠正。投标人的澄清、说明或者补正必须采用电子回函形式，并加盖投标人公章，或者由法定代表人或者其授权的代表签字。投标人的澄清、说明或者补正不得超出投标文件的范围或者改变投标文件的实质性内容。</w:t>
      </w:r>
    </w:p>
    <w:p w14:paraId="7CB7D043">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4.投标文件修正</w:t>
      </w:r>
    </w:p>
    <w:p w14:paraId="70CF2DF3">
      <w:pPr>
        <w:pStyle w:val="7"/>
        <w:keepNext w:val="0"/>
        <w:keepLines w:val="0"/>
        <w:spacing w:before="0" w:after="0" w:line="360" w:lineRule="auto"/>
        <w:ind w:left="420" w:leftChars="200"/>
        <w:rPr>
          <w:rFonts w:ascii="宋体" w:hAnsi="宋体" w:cs="宋体"/>
          <w:b w:val="0"/>
          <w:sz w:val="24"/>
        </w:rPr>
      </w:pPr>
      <w:r>
        <w:rPr>
          <w:rFonts w:hint="eastAsia" w:ascii="宋体" w:hAnsi="宋体" w:cs="宋体"/>
          <w:b w:val="0"/>
          <w:sz w:val="24"/>
        </w:rPr>
        <w:t xml:space="preserve">4.1投标文件报价出现前后不一致的，按照下列规定修正： </w:t>
      </w:r>
    </w:p>
    <w:p w14:paraId="5ADB4764">
      <w:pPr>
        <w:pStyle w:val="26"/>
        <w:snapToGrid w:val="0"/>
        <w:spacing w:line="360" w:lineRule="auto"/>
        <w:ind w:firstLine="480" w:firstLineChars="200"/>
        <w:rPr>
          <w:rFonts w:hAnsi="宋体" w:cs="宋体"/>
          <w:sz w:val="24"/>
          <w:szCs w:val="24"/>
        </w:rPr>
      </w:pPr>
      <w:r>
        <w:rPr>
          <w:rFonts w:hint="eastAsia" w:hAnsi="宋体" w:cs="宋体"/>
          <w:sz w:val="24"/>
          <w:szCs w:val="24"/>
        </w:rPr>
        <w:t>（1）投标文件中开标一览表（报价表）内容与投标文件中相应内容不一致的，以开标一览表（报价表）为准；</w:t>
      </w:r>
    </w:p>
    <w:p w14:paraId="7C241355">
      <w:pPr>
        <w:pStyle w:val="26"/>
        <w:snapToGrid w:val="0"/>
        <w:spacing w:line="360" w:lineRule="auto"/>
        <w:ind w:firstLine="480" w:firstLineChars="200"/>
        <w:rPr>
          <w:rFonts w:hAnsi="宋体" w:cs="宋体"/>
          <w:sz w:val="24"/>
          <w:szCs w:val="24"/>
        </w:rPr>
      </w:pPr>
      <w:r>
        <w:rPr>
          <w:rFonts w:hint="eastAsia" w:hAnsi="宋体" w:cs="宋体"/>
          <w:sz w:val="24"/>
          <w:szCs w:val="24"/>
        </w:rPr>
        <w:t>（2）大写金额和小写金额不一致的，以大写金额为准；</w:t>
      </w:r>
    </w:p>
    <w:p w14:paraId="4EED7AE2">
      <w:pPr>
        <w:pStyle w:val="26"/>
        <w:snapToGrid w:val="0"/>
        <w:spacing w:line="360" w:lineRule="auto"/>
        <w:ind w:firstLine="480" w:firstLineChars="200"/>
        <w:rPr>
          <w:rFonts w:hAnsi="宋体" w:cs="宋体"/>
          <w:sz w:val="24"/>
          <w:szCs w:val="24"/>
        </w:rPr>
      </w:pPr>
      <w:r>
        <w:rPr>
          <w:rFonts w:hint="eastAsia" w:hAnsi="宋体" w:cs="宋体"/>
          <w:sz w:val="24"/>
          <w:szCs w:val="24"/>
        </w:rPr>
        <w:t>（3）单价金额小数点或者百分比有明显错位的，以开标一览表的总价为准，并修改单价；</w:t>
      </w:r>
    </w:p>
    <w:p w14:paraId="4945772D">
      <w:pPr>
        <w:pStyle w:val="26"/>
        <w:snapToGrid w:val="0"/>
        <w:spacing w:line="360" w:lineRule="auto"/>
        <w:ind w:firstLine="480" w:firstLineChars="200"/>
        <w:rPr>
          <w:rFonts w:hAnsi="宋体" w:cs="宋体"/>
          <w:sz w:val="24"/>
          <w:szCs w:val="24"/>
        </w:rPr>
      </w:pPr>
      <w:r>
        <w:rPr>
          <w:rFonts w:hint="eastAsia" w:hAnsi="宋体" w:cs="宋体"/>
          <w:sz w:val="24"/>
          <w:szCs w:val="24"/>
        </w:rPr>
        <w:t>（4）总价金额与按单价汇总金额不一致的，以单价金额计算结果为准。</w:t>
      </w:r>
    </w:p>
    <w:p w14:paraId="1B4274D4">
      <w:pPr>
        <w:pStyle w:val="26"/>
        <w:snapToGrid w:val="0"/>
        <w:spacing w:line="360" w:lineRule="auto"/>
        <w:ind w:firstLine="480" w:firstLineChars="200"/>
        <w:rPr>
          <w:rFonts w:hAnsi="宋体" w:cs="宋体"/>
          <w:sz w:val="24"/>
          <w:szCs w:val="24"/>
        </w:rPr>
      </w:pPr>
      <w:r>
        <w:rPr>
          <w:rFonts w:hint="eastAsia" w:hAnsi="宋体" w:cs="宋体"/>
          <w:sz w:val="24"/>
          <w:szCs w:val="24"/>
        </w:rPr>
        <w:t>同时出现两种以上不一致的，按照以上（1）-（4）规定的顺序修正。修正后的报价经投标人确认后产生约束力，投标人不确认的，</w:t>
      </w:r>
      <w:r>
        <w:rPr>
          <w:rFonts w:hint="eastAsia" w:hAnsi="宋体" w:cs="宋体"/>
          <w:b/>
          <w:kern w:val="2"/>
          <w:sz w:val="24"/>
          <w:szCs w:val="24"/>
        </w:rPr>
        <w:t>其投标无效</w:t>
      </w:r>
      <w:r>
        <w:rPr>
          <w:rFonts w:hint="eastAsia" w:hAnsi="宋体" w:cs="宋体"/>
          <w:sz w:val="24"/>
          <w:szCs w:val="24"/>
        </w:rPr>
        <w:t>。</w:t>
      </w:r>
    </w:p>
    <w:p w14:paraId="07D9C9C0">
      <w:pPr>
        <w:pStyle w:val="7"/>
        <w:keepNext w:val="0"/>
        <w:keepLines w:val="0"/>
        <w:spacing w:before="0" w:after="0" w:line="360" w:lineRule="auto"/>
        <w:rPr>
          <w:rFonts w:ascii="宋体" w:hAnsi="宋体" w:cs="宋体"/>
          <w:b w:val="0"/>
          <w:sz w:val="24"/>
        </w:rPr>
      </w:pPr>
      <w:r>
        <w:rPr>
          <w:rFonts w:hint="eastAsia" w:ascii="宋体" w:hAnsi="宋体" w:cs="宋体"/>
          <w:b w:val="0"/>
          <w:sz w:val="24"/>
        </w:rPr>
        <w:t xml:space="preserve">    4.2经投标人确认修正后的报价若超过采购预算金额或者最高限价，</w:t>
      </w:r>
      <w:r>
        <w:rPr>
          <w:rFonts w:hint="eastAsia" w:ascii="宋体" w:hAnsi="宋体" w:cs="宋体"/>
          <w:sz w:val="24"/>
        </w:rPr>
        <w:t>投标人的投标文件作无效投标处理</w:t>
      </w:r>
      <w:r>
        <w:rPr>
          <w:rFonts w:hint="eastAsia" w:ascii="宋体" w:hAnsi="宋体" w:cs="宋体"/>
          <w:b w:val="0"/>
          <w:sz w:val="24"/>
        </w:rPr>
        <w:t>。</w:t>
      </w:r>
    </w:p>
    <w:p w14:paraId="6155D098">
      <w:pPr>
        <w:snapToGrid w:val="0"/>
        <w:spacing w:line="360" w:lineRule="auto"/>
        <w:ind w:firstLine="480" w:firstLineChars="200"/>
        <w:rPr>
          <w:rFonts w:ascii="宋体" w:hAnsi="宋体" w:cs="宋体"/>
          <w:sz w:val="24"/>
        </w:rPr>
      </w:pPr>
      <w:r>
        <w:rPr>
          <w:rFonts w:hint="eastAsia" w:ascii="宋体" w:hAnsi="宋体" w:cs="宋体"/>
          <w:sz w:val="24"/>
        </w:rPr>
        <w:t>4.3经投标人确认修正后的报价作为签订合同的依据，并以此报价计算价格分。</w:t>
      </w:r>
    </w:p>
    <w:p w14:paraId="040F1EC5">
      <w:pPr>
        <w:pStyle w:val="7"/>
        <w:keepNext w:val="0"/>
        <w:keepLines w:val="0"/>
        <w:spacing w:before="0" w:after="0" w:line="360" w:lineRule="auto"/>
        <w:ind w:left="420" w:leftChars="200"/>
        <w:rPr>
          <w:rFonts w:ascii="宋体" w:hAnsi="宋体" w:cs="宋体"/>
          <w:sz w:val="24"/>
        </w:rPr>
      </w:pPr>
      <w:r>
        <w:rPr>
          <w:rFonts w:hint="eastAsia" w:ascii="宋体" w:hAnsi="宋体" w:cs="宋体"/>
          <w:sz w:val="24"/>
        </w:rPr>
        <w:t>5.比较与评价</w:t>
      </w:r>
    </w:p>
    <w:p w14:paraId="253628FB">
      <w:pPr>
        <w:snapToGrid w:val="0"/>
        <w:spacing w:line="360" w:lineRule="auto"/>
        <w:ind w:firstLine="480" w:firstLineChars="200"/>
        <w:rPr>
          <w:rFonts w:ascii="宋体" w:hAnsi="宋体" w:cs="宋体"/>
          <w:sz w:val="24"/>
        </w:rPr>
      </w:pPr>
      <w:r>
        <w:rPr>
          <w:rFonts w:hint="eastAsia" w:ascii="宋体" w:hAnsi="宋体" w:cs="宋体"/>
          <w:sz w:val="24"/>
        </w:rPr>
        <w:t>5.1采用综合评分法的</w:t>
      </w:r>
    </w:p>
    <w:p w14:paraId="10C22532">
      <w:pPr>
        <w:snapToGrid w:val="0"/>
        <w:spacing w:line="360" w:lineRule="auto"/>
        <w:ind w:firstLine="480" w:firstLineChars="200"/>
        <w:rPr>
          <w:rFonts w:ascii="宋体" w:hAnsi="宋体" w:cs="宋体"/>
          <w:sz w:val="24"/>
        </w:rPr>
      </w:pPr>
      <w:r>
        <w:rPr>
          <w:rFonts w:hint="eastAsia" w:ascii="宋体" w:hAnsi="宋体" w:cs="宋体"/>
          <w:sz w:val="24"/>
        </w:rPr>
        <w:t>（1）评标委员会按照招标文件中规定的评标方法及评标标准，对符合性审查合格的投标文件进行商务和技术评估，综合比较与评价。</w:t>
      </w:r>
    </w:p>
    <w:p w14:paraId="5459D2A7">
      <w:pPr>
        <w:snapToGrid w:val="0"/>
        <w:spacing w:line="360" w:lineRule="auto"/>
        <w:ind w:firstLine="480" w:firstLineChars="200"/>
        <w:rPr>
          <w:rFonts w:ascii="宋体" w:hAnsi="宋体" w:cs="宋体"/>
          <w:sz w:val="24"/>
        </w:rPr>
      </w:pPr>
      <w:r>
        <w:rPr>
          <w:rFonts w:hint="eastAsia" w:ascii="宋体" w:hAnsi="宋体" w:cs="宋体"/>
          <w:sz w:val="24"/>
        </w:rPr>
        <w:t>（2）评标委员会独立对每个投标人的投标文件进行评价，并汇总每个投标人的得分。</w:t>
      </w:r>
    </w:p>
    <w:p w14:paraId="48FA41DF">
      <w:pPr>
        <w:snapToGrid w:val="0"/>
        <w:spacing w:line="360" w:lineRule="auto"/>
        <w:ind w:firstLine="480" w:firstLineChars="200"/>
        <w:rPr>
          <w:rFonts w:ascii="宋体" w:hAnsi="宋体" w:cs="宋体"/>
          <w:sz w:val="24"/>
        </w:rPr>
      </w:pPr>
      <w:r>
        <w:rPr>
          <w:rFonts w:hint="eastAsia" w:ascii="宋体" w:hAnsi="宋体" w:cs="宋体"/>
          <w:sz w:val="24"/>
        </w:rPr>
        <w:t>1）政府采购评审中出现下列情形之一的，评审委员会应当启动异常低价投标（响应）审查程序：</w:t>
      </w:r>
    </w:p>
    <w:p w14:paraId="4C636190">
      <w:pPr>
        <w:snapToGrid w:val="0"/>
        <w:spacing w:line="360" w:lineRule="auto"/>
        <w:ind w:firstLine="480" w:firstLineChars="200"/>
        <w:rPr>
          <w:rFonts w:ascii="宋体" w:hAnsi="宋体" w:cs="宋体"/>
          <w:sz w:val="24"/>
        </w:rPr>
      </w:pPr>
      <w:r>
        <w:rPr>
          <w:rFonts w:hint="eastAsia" w:ascii="宋体" w:hAnsi="宋体"/>
          <w:sz w:val="24"/>
        </w:rPr>
        <w:t>①</w:t>
      </w:r>
      <w:r>
        <w:rPr>
          <w:rFonts w:hint="eastAsia" w:ascii="宋体" w:hAnsi="宋体" w:cs="宋体"/>
          <w:sz w:val="24"/>
        </w:rPr>
        <w:t>投标（响应）报价低于全部通过符合性审查供应商投标（响应）报价平均值50%的，即投标（响应）报价&lt;全部通过符合性审查供应商投标（响应）报价平均值×50%；</w:t>
      </w:r>
    </w:p>
    <w:p w14:paraId="33F45704">
      <w:pPr>
        <w:snapToGrid w:val="0"/>
        <w:spacing w:line="360" w:lineRule="auto"/>
        <w:ind w:firstLine="480" w:firstLineChars="200"/>
        <w:rPr>
          <w:rFonts w:ascii="宋体" w:hAnsi="宋体" w:cs="宋体"/>
          <w:sz w:val="24"/>
        </w:rPr>
      </w:pPr>
      <w:r>
        <w:rPr>
          <w:rFonts w:hint="eastAsia" w:ascii="宋体" w:hAnsi="宋体"/>
          <w:sz w:val="24"/>
        </w:rPr>
        <w:t>②</w:t>
      </w:r>
      <w:r>
        <w:rPr>
          <w:rFonts w:hint="eastAsia" w:ascii="宋体" w:hAnsi="宋体" w:cs="宋体"/>
          <w:sz w:val="24"/>
        </w:rPr>
        <w:t>投标（响应）报价低于通过符合性审查的次低报价供应商投标（响应）报价50%的，即投标（响应）报价&lt;通过符合性审查的次低报价供应商投标（响应）报价×50%；</w:t>
      </w:r>
    </w:p>
    <w:p w14:paraId="1FF1CAC3">
      <w:pPr>
        <w:snapToGrid w:val="0"/>
        <w:spacing w:line="360" w:lineRule="auto"/>
        <w:ind w:firstLine="480" w:firstLineChars="200"/>
        <w:rPr>
          <w:rFonts w:ascii="宋体" w:hAnsi="宋体" w:cs="宋体"/>
          <w:sz w:val="24"/>
        </w:rPr>
      </w:pPr>
      <w:r>
        <w:rPr>
          <w:rFonts w:hint="eastAsia" w:ascii="宋体" w:hAnsi="宋体"/>
          <w:sz w:val="24"/>
        </w:rPr>
        <w:t>③</w:t>
      </w:r>
      <w:r>
        <w:rPr>
          <w:rFonts w:hint="eastAsia" w:ascii="宋体" w:hAnsi="宋体" w:cs="宋体"/>
          <w:sz w:val="24"/>
        </w:rPr>
        <w:t>投标（响应）报价低于采购项目最高限价45%的，即投标（响应）报价&lt;采购项目最高限价×45%；</w:t>
      </w:r>
    </w:p>
    <w:p w14:paraId="32843331">
      <w:pPr>
        <w:snapToGrid w:val="0"/>
        <w:spacing w:line="360" w:lineRule="auto"/>
        <w:ind w:firstLine="480" w:firstLineChars="200"/>
        <w:rPr>
          <w:rFonts w:ascii="宋体" w:hAnsi="宋体" w:cs="宋体"/>
          <w:sz w:val="24"/>
        </w:rPr>
      </w:pPr>
      <w:r>
        <w:rPr>
          <w:rFonts w:hint="eastAsia" w:ascii="宋体" w:hAnsi="宋体"/>
          <w:sz w:val="24"/>
        </w:rPr>
        <w:t>④</w:t>
      </w:r>
      <w:r>
        <w:rPr>
          <w:rFonts w:hint="eastAsia" w:ascii="宋体" w:hAnsi="宋体" w:cs="宋体"/>
          <w:sz w:val="24"/>
        </w:rPr>
        <w:t>评审委员会基于专业判断，认为供应商报价过低，有可能影响产品质量或者不能诚信履约的其他情形。</w:t>
      </w:r>
    </w:p>
    <w:p w14:paraId="643DEB73">
      <w:pPr>
        <w:snapToGrid w:val="0"/>
        <w:spacing w:line="360" w:lineRule="auto"/>
        <w:ind w:firstLine="480" w:firstLineChars="200"/>
        <w:rPr>
          <w:rFonts w:ascii="宋体" w:hAnsi="宋体" w:cs="宋体"/>
          <w:sz w:val="24"/>
        </w:rPr>
      </w:pPr>
      <w:r>
        <w:rPr>
          <w:rFonts w:hint="eastAsia" w:ascii="宋体" w:hAnsi="宋体" w:cs="宋体"/>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760FC3">
      <w:pPr>
        <w:snapToGrid w:val="0"/>
        <w:spacing w:line="360" w:lineRule="auto"/>
        <w:ind w:firstLine="480" w:firstLineChars="20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34D4141">
      <w:pPr>
        <w:snapToGrid w:val="0"/>
        <w:spacing w:line="360" w:lineRule="auto"/>
        <w:ind w:firstLine="480" w:firstLineChars="200"/>
        <w:rPr>
          <w:rFonts w:ascii="宋体" w:hAnsi="宋体" w:cs="宋体"/>
          <w:sz w:val="24"/>
        </w:rPr>
      </w:pPr>
      <w:r>
        <w:rPr>
          <w:rFonts w:hint="eastAsia" w:ascii="宋体" w:hAnsi="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6723B19">
      <w:pPr>
        <w:snapToGrid w:val="0"/>
        <w:spacing w:line="360" w:lineRule="auto"/>
        <w:ind w:firstLine="480" w:firstLineChars="20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34071050">
      <w:pPr>
        <w:snapToGrid w:val="0"/>
        <w:spacing w:line="360" w:lineRule="auto"/>
        <w:ind w:firstLine="480" w:firstLineChars="200"/>
        <w:rPr>
          <w:rFonts w:ascii="宋体" w:hAnsi="宋体" w:cs="宋体"/>
          <w:sz w:val="24"/>
        </w:rPr>
      </w:pPr>
      <w:r>
        <w:rPr>
          <w:rFonts w:hint="eastAsia" w:ascii="宋体" w:hAnsi="宋体" w:cs="宋体"/>
          <w:sz w:val="24"/>
        </w:rPr>
        <w:t>（3）评标委员会按照招标文件中规定的评标方法和标准计算各投标人的报价得分。在计算过程中，不得去掉最高报价或者最低报价。</w:t>
      </w:r>
    </w:p>
    <w:p w14:paraId="3667FC35">
      <w:pPr>
        <w:snapToGrid w:val="0"/>
        <w:spacing w:line="360" w:lineRule="auto"/>
        <w:ind w:firstLine="480" w:firstLineChars="200"/>
        <w:rPr>
          <w:rFonts w:ascii="宋体" w:hAnsi="宋体" w:cs="宋体"/>
          <w:sz w:val="24"/>
        </w:rPr>
      </w:pPr>
      <w:r>
        <w:rPr>
          <w:rFonts w:hint="eastAsia" w:ascii="宋体" w:hAnsi="宋体" w:cs="宋体"/>
          <w:sz w:val="24"/>
        </w:rPr>
        <w:t>（4）各投标人的得分为所有评委的有效评分的算术平均数。</w:t>
      </w:r>
    </w:p>
    <w:p w14:paraId="1BB127D2">
      <w:pPr>
        <w:snapToGrid w:val="0"/>
        <w:spacing w:line="360" w:lineRule="auto"/>
        <w:ind w:firstLine="480" w:firstLineChars="200"/>
        <w:rPr>
          <w:rFonts w:ascii="宋体" w:hAnsi="宋体" w:cs="宋体"/>
          <w:sz w:val="24"/>
        </w:rPr>
      </w:pPr>
      <w:r>
        <w:rPr>
          <w:rFonts w:hint="eastAsia" w:ascii="宋体" w:hAnsi="宋体" w:cs="宋体"/>
          <w:sz w:val="24"/>
        </w:rPr>
        <w:t>（5）评标委员会按照招标文件中的规定推荐中标候选人。</w:t>
      </w:r>
    </w:p>
    <w:p w14:paraId="0EB152C4">
      <w:pPr>
        <w:snapToGrid w:val="0"/>
        <w:spacing w:line="360" w:lineRule="auto"/>
        <w:ind w:firstLine="480" w:firstLineChars="200"/>
        <w:rPr>
          <w:rFonts w:ascii="宋体" w:hAnsi="宋体" w:cs="宋体"/>
          <w:sz w:val="24"/>
        </w:rPr>
      </w:pPr>
      <w:r>
        <w:rPr>
          <w:rFonts w:hint="eastAsia" w:ascii="宋体" w:hAnsi="宋体" w:cs="宋体"/>
          <w:sz w:val="24"/>
        </w:rPr>
        <w:t>（6）起草并签署评标报告。评标委员会根据评标委员会成员签字的原始评标记录和评标结果编写评标报告。评标委员会成员均应当在评标报告上签字，对自己的评标意见承担法律责任。对评标过程中需要共同认定的事项存在争议的，应当按照少数服从多数的原则做出结论。持不同意见的评标委员会成员应当在评标报告上签署不同意见及理由，否则视为同意评标报告。</w:t>
      </w:r>
    </w:p>
    <w:p w14:paraId="44EA63F5">
      <w:pPr>
        <w:snapToGrid w:val="0"/>
        <w:spacing w:line="360" w:lineRule="auto"/>
        <w:ind w:firstLine="480" w:firstLineChars="200"/>
        <w:rPr>
          <w:rFonts w:ascii="宋体" w:hAnsi="宋体" w:cs="宋体"/>
          <w:sz w:val="24"/>
        </w:rPr>
      </w:pPr>
      <w:r>
        <w:rPr>
          <w:rFonts w:hint="eastAsia" w:ascii="宋体" w:hAnsi="宋体" w:cs="宋体"/>
          <w:sz w:val="24"/>
        </w:rPr>
        <w:t>5.2采用</w:t>
      </w:r>
      <w:r>
        <w:rPr>
          <w:rFonts w:hint="eastAsia" w:ascii="宋体" w:hAnsi="宋体" w:cs="宋体"/>
          <w:sz w:val="24"/>
          <w:szCs w:val="32"/>
        </w:rPr>
        <w:t>最低评标价法</w:t>
      </w:r>
      <w:r>
        <w:rPr>
          <w:rFonts w:hint="eastAsia" w:ascii="宋体" w:hAnsi="宋体" w:cs="宋体"/>
          <w:sz w:val="24"/>
        </w:rPr>
        <w:t>的</w:t>
      </w:r>
    </w:p>
    <w:p w14:paraId="1049024F">
      <w:pPr>
        <w:snapToGrid w:val="0"/>
        <w:spacing w:line="360" w:lineRule="auto"/>
        <w:ind w:firstLine="484" w:firstLineChars="202"/>
        <w:jc w:val="left"/>
        <w:rPr>
          <w:rFonts w:ascii="宋体" w:hAnsi="宋体" w:cs="宋体"/>
          <w:sz w:val="24"/>
        </w:rPr>
      </w:pPr>
      <w:r>
        <w:rPr>
          <w:rFonts w:hint="eastAsia" w:ascii="宋体" w:hAnsi="宋体" w:cs="宋体"/>
          <w:sz w:val="24"/>
        </w:rPr>
        <w:t>（1）评标委员会按照招标文件中规定的评标方法及评标标准，对符合性审查合格的投标文件报价进行比较。</w:t>
      </w:r>
    </w:p>
    <w:p w14:paraId="688025EF">
      <w:pPr>
        <w:snapToGrid w:val="0"/>
        <w:spacing w:line="360" w:lineRule="auto"/>
        <w:ind w:firstLine="456" w:firstLineChars="200"/>
        <w:rPr>
          <w:rFonts w:ascii="宋体" w:hAnsi="宋体" w:cs="宋体"/>
          <w:sz w:val="24"/>
        </w:rPr>
      </w:pPr>
      <w:r>
        <w:rPr>
          <w:rFonts w:hint="eastAsia" w:ascii="宋体" w:hAnsi="宋体" w:cs="宋体"/>
          <w:spacing w:val="-6"/>
          <w:sz w:val="24"/>
        </w:rPr>
        <w:t>（2）</w:t>
      </w:r>
      <w:r>
        <w:rPr>
          <w:rFonts w:hint="eastAsia" w:ascii="宋体" w:hAnsi="宋体" w:cs="宋体"/>
          <w:sz w:val="24"/>
        </w:rPr>
        <w:t>政府采购评审中出现下列情形之一的，评审委员会应当启动异常低价投标（响应）审查程序：</w:t>
      </w:r>
    </w:p>
    <w:p w14:paraId="228F804F">
      <w:pPr>
        <w:snapToGrid w:val="0"/>
        <w:spacing w:line="360" w:lineRule="auto"/>
        <w:ind w:firstLine="480" w:firstLineChars="200"/>
        <w:rPr>
          <w:rFonts w:ascii="宋体" w:hAnsi="宋体" w:cs="宋体"/>
          <w:sz w:val="24"/>
        </w:rPr>
      </w:pPr>
      <w:r>
        <w:rPr>
          <w:rFonts w:hint="eastAsia" w:ascii="宋体" w:hAnsi="宋体"/>
          <w:sz w:val="24"/>
        </w:rPr>
        <w:t>①</w:t>
      </w:r>
      <w:r>
        <w:rPr>
          <w:rFonts w:hint="eastAsia" w:ascii="宋体" w:hAnsi="宋体" w:cs="宋体"/>
          <w:sz w:val="24"/>
        </w:rPr>
        <w:t>投标（响应）报价低于全部通过符合性审查供应商投标（响应）报价平均值50%的，即投标（响应）报价&lt;全部通过符合性审查供应商投标（响应）报价平均值×50%；</w:t>
      </w:r>
    </w:p>
    <w:p w14:paraId="5F5C1C52">
      <w:pPr>
        <w:snapToGrid w:val="0"/>
        <w:spacing w:line="360" w:lineRule="auto"/>
        <w:ind w:firstLine="480" w:firstLineChars="200"/>
        <w:rPr>
          <w:rFonts w:ascii="宋体" w:hAnsi="宋体" w:cs="宋体"/>
          <w:sz w:val="24"/>
        </w:rPr>
      </w:pPr>
      <w:r>
        <w:rPr>
          <w:rFonts w:hint="eastAsia" w:ascii="宋体" w:hAnsi="宋体"/>
          <w:sz w:val="24"/>
        </w:rPr>
        <w:t>②</w:t>
      </w:r>
      <w:r>
        <w:rPr>
          <w:rFonts w:hint="eastAsia" w:ascii="宋体" w:hAnsi="宋体" w:cs="宋体"/>
          <w:sz w:val="24"/>
        </w:rPr>
        <w:t>投标（响应）报价低于通过符合性审查的次低报价供应商投标（响应）报价50%的，即投标（响应）报价&lt;通过符合性审查的次低报价供应商投标（响应）报价×50%；</w:t>
      </w:r>
    </w:p>
    <w:p w14:paraId="1EF4FB40">
      <w:pPr>
        <w:snapToGrid w:val="0"/>
        <w:spacing w:line="360" w:lineRule="auto"/>
        <w:ind w:firstLine="480" w:firstLineChars="200"/>
        <w:rPr>
          <w:rFonts w:ascii="宋体" w:hAnsi="宋体" w:cs="宋体"/>
          <w:sz w:val="24"/>
        </w:rPr>
      </w:pPr>
      <w:r>
        <w:rPr>
          <w:rFonts w:hint="eastAsia" w:ascii="宋体" w:hAnsi="宋体"/>
          <w:sz w:val="24"/>
        </w:rPr>
        <w:t>③</w:t>
      </w:r>
      <w:r>
        <w:rPr>
          <w:rFonts w:hint="eastAsia" w:ascii="宋体" w:hAnsi="宋体" w:cs="宋体"/>
          <w:sz w:val="24"/>
        </w:rPr>
        <w:t>投标（响应）报价低于采购项目最高限价45%的，即投标（响应）报价&lt;采购项目最高限价×45%；</w:t>
      </w:r>
    </w:p>
    <w:p w14:paraId="49412253">
      <w:pPr>
        <w:snapToGrid w:val="0"/>
        <w:spacing w:line="360" w:lineRule="auto"/>
        <w:ind w:firstLine="480" w:firstLineChars="200"/>
        <w:rPr>
          <w:rFonts w:ascii="宋体" w:hAnsi="宋体" w:cs="宋体"/>
          <w:sz w:val="24"/>
        </w:rPr>
      </w:pPr>
      <w:r>
        <w:rPr>
          <w:rFonts w:hint="eastAsia" w:ascii="宋体" w:hAnsi="宋体"/>
          <w:sz w:val="24"/>
        </w:rPr>
        <w:t>④</w:t>
      </w:r>
      <w:r>
        <w:rPr>
          <w:rFonts w:hint="eastAsia" w:ascii="宋体" w:hAnsi="宋体" w:cs="宋体"/>
          <w:sz w:val="24"/>
        </w:rPr>
        <w:t>评审委员会基于专业判断，认为供应商报价过低，有可能影响产品质量或者不能诚信履约的其他情形。</w:t>
      </w:r>
    </w:p>
    <w:p w14:paraId="1EB2BDED">
      <w:pPr>
        <w:snapToGrid w:val="0"/>
        <w:spacing w:line="360" w:lineRule="auto"/>
        <w:ind w:firstLine="480" w:firstLineChars="200"/>
        <w:rPr>
          <w:rFonts w:ascii="宋体" w:hAnsi="宋体" w:cs="宋体"/>
          <w:sz w:val="24"/>
        </w:rPr>
      </w:pPr>
      <w:r>
        <w:rPr>
          <w:rFonts w:hint="eastAsia" w:ascii="宋体" w:hAnsi="宋体" w:cs="宋体"/>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8DFC01">
      <w:pPr>
        <w:snapToGrid w:val="0"/>
        <w:spacing w:line="360" w:lineRule="auto"/>
        <w:ind w:firstLine="480" w:firstLineChars="20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D17B0A">
      <w:pPr>
        <w:snapToGrid w:val="0"/>
        <w:spacing w:line="360" w:lineRule="auto"/>
        <w:ind w:firstLine="480" w:firstLineChars="200"/>
        <w:rPr>
          <w:rFonts w:ascii="宋体" w:hAnsi="宋体" w:cs="宋体"/>
          <w:sz w:val="24"/>
        </w:rPr>
      </w:pPr>
      <w:r>
        <w:rPr>
          <w:rFonts w:hint="eastAsia" w:ascii="宋体" w:hAnsi="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E0262F4">
      <w:pPr>
        <w:snapToGrid w:val="0"/>
        <w:spacing w:line="360" w:lineRule="auto"/>
        <w:ind w:firstLine="484" w:firstLineChars="202"/>
        <w:jc w:val="left"/>
        <w:rPr>
          <w:rFonts w:ascii="宋体" w:hAnsi="宋体" w:cs="宋体"/>
          <w:spacing w:val="-6"/>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3E4AC084">
      <w:pPr>
        <w:snapToGrid w:val="0"/>
        <w:spacing w:line="360" w:lineRule="auto"/>
        <w:ind w:firstLine="484" w:firstLineChars="202"/>
        <w:jc w:val="left"/>
        <w:rPr>
          <w:rFonts w:ascii="宋体" w:hAnsi="宋体" w:cs="宋体"/>
          <w:sz w:val="24"/>
        </w:rPr>
      </w:pPr>
      <w:r>
        <w:rPr>
          <w:rFonts w:hint="eastAsia" w:ascii="宋体" w:hAnsi="宋体" w:cs="宋体"/>
          <w:sz w:val="24"/>
        </w:rPr>
        <w:t>（3）评标委员会按照招标文件中的规定推荐中标候选人。</w:t>
      </w:r>
    </w:p>
    <w:p w14:paraId="21741242">
      <w:pPr>
        <w:snapToGrid w:val="0"/>
        <w:spacing w:line="360" w:lineRule="auto"/>
        <w:ind w:firstLine="484" w:firstLineChars="202"/>
        <w:jc w:val="left"/>
        <w:rPr>
          <w:rFonts w:ascii="宋体" w:hAnsi="宋体" w:cs="宋体"/>
          <w:sz w:val="24"/>
        </w:rPr>
      </w:pPr>
      <w:r>
        <w:rPr>
          <w:rFonts w:hint="eastAsia" w:ascii="宋体" w:hAnsi="宋体" w:cs="宋体"/>
          <w:sz w:val="24"/>
        </w:rPr>
        <w:t>（4）起草并签署评标报告。评标委员会根据评标委员会成员签字的原始评标记录和评标结果编写评标报告。评标委员会成员均应当在评标报告上签字，对自己的评标意见承担法律责任。对评标过程中需要共同认定的事项存在争议的，应当按照少数服从多数的原则做出结论。持不同意见的评标委员会成员应当在评标报告上签署不同意见及理由，否则视为同意评标报告。</w:t>
      </w:r>
    </w:p>
    <w:p w14:paraId="53EACB6F">
      <w:pPr>
        <w:snapToGrid w:val="0"/>
        <w:spacing w:line="360" w:lineRule="auto"/>
        <w:jc w:val="center"/>
        <w:rPr>
          <w:rFonts w:ascii="宋体" w:hAnsi="宋体" w:cs="宋体"/>
        </w:rPr>
      </w:pPr>
      <w:r>
        <w:rPr>
          <w:rFonts w:hint="eastAsia" w:ascii="宋体" w:hAnsi="宋体" w:cs="宋体"/>
        </w:rPr>
        <w:br w:type="page"/>
      </w:r>
      <w:r>
        <w:rPr>
          <w:rFonts w:hint="eastAsia" w:ascii="宋体" w:hAnsi="宋体" w:cs="宋体"/>
          <w:b/>
          <w:bCs/>
          <w:sz w:val="32"/>
          <w:szCs w:val="32"/>
        </w:rPr>
        <w:t>三、评标标准</w:t>
      </w:r>
    </w:p>
    <w:p w14:paraId="5408AF9D">
      <w:pPr>
        <w:pStyle w:val="5"/>
        <w:keepNext w:val="0"/>
        <w:keepLines w:val="0"/>
        <w:jc w:val="center"/>
        <w:rPr>
          <w:rFonts w:ascii="宋体" w:hAnsi="宋体" w:cs="宋体"/>
        </w:rPr>
      </w:pPr>
      <w:r>
        <w:rPr>
          <w:rFonts w:hint="eastAsia" w:ascii="宋体" w:hAnsi="宋体" w:cs="宋体"/>
        </w:rPr>
        <w:t>综合评分法</w:t>
      </w:r>
    </w:p>
    <w:p w14:paraId="61A57A4E">
      <w:pPr>
        <w:pStyle w:val="26"/>
        <w:spacing w:line="360" w:lineRule="auto"/>
        <w:ind w:firstLine="420"/>
        <w:rPr>
          <w:rFonts w:hAnsi="宋体" w:cs="宋体"/>
          <w:bCs/>
          <w:sz w:val="24"/>
          <w:szCs w:val="24"/>
        </w:rPr>
      </w:pPr>
      <w:r>
        <w:rPr>
          <w:rFonts w:hint="eastAsia" w:hAnsi="宋体" w:cs="宋体"/>
          <w:bCs/>
          <w:sz w:val="24"/>
          <w:szCs w:val="24"/>
        </w:rPr>
        <w:t>注：1.计分方法按四舍五入取至百分位；</w:t>
      </w:r>
    </w:p>
    <w:p w14:paraId="4F10F14A">
      <w:pPr>
        <w:rPr>
          <w:rFonts w:ascii="宋体" w:hAnsi="宋体" w:cs="宋体"/>
          <w:bCs/>
          <w:kern w:val="0"/>
          <w:sz w:val="24"/>
        </w:rPr>
      </w:pPr>
      <w:r>
        <w:rPr>
          <w:rFonts w:hint="eastAsia" w:hAnsi="宋体" w:cs="宋体"/>
          <w:bCs/>
          <w:sz w:val="24"/>
        </w:rPr>
        <w:t xml:space="preserve">    </w:t>
      </w:r>
      <w:r>
        <w:rPr>
          <w:rFonts w:hAnsi="宋体" w:cs="宋体"/>
          <w:bCs/>
          <w:sz w:val="24"/>
        </w:rPr>
        <w:t xml:space="preserve">    </w:t>
      </w:r>
      <w:r>
        <w:rPr>
          <w:rFonts w:hint="eastAsia" w:ascii="宋体" w:hAnsi="宋体" w:cs="宋体"/>
          <w:bCs/>
          <w:kern w:val="0"/>
          <w:sz w:val="24"/>
        </w:rPr>
        <w:t>2.因落实政府采购政策进行价格调整的，以调整后的价格计算评标基准价和投标报价。</w:t>
      </w:r>
    </w:p>
    <w:p w14:paraId="71279D87">
      <w:pPr>
        <w:pStyle w:val="26"/>
        <w:spacing w:line="360" w:lineRule="auto"/>
        <w:ind w:firstLine="420"/>
        <w:rPr>
          <w:rFonts w:hAnsi="宋体" w:cs="宋体"/>
          <w:bCs/>
          <w:sz w:val="24"/>
          <w:szCs w:val="24"/>
        </w:rPr>
      </w:pPr>
    </w:p>
    <w:tbl>
      <w:tblPr>
        <w:tblStyle w:val="48"/>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71"/>
        <w:gridCol w:w="850"/>
        <w:gridCol w:w="5918"/>
      </w:tblGrid>
      <w:tr w14:paraId="0620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09" w:type="dxa"/>
            <w:tcBorders>
              <w:top w:val="single" w:color="auto" w:sz="4" w:space="0"/>
              <w:left w:val="single" w:color="auto" w:sz="4" w:space="0"/>
              <w:right w:val="single" w:color="auto" w:sz="4" w:space="0"/>
            </w:tcBorders>
            <w:vAlign w:val="center"/>
          </w:tcPr>
          <w:p w14:paraId="03E3536A">
            <w:pPr>
              <w:widowControl/>
              <w:spacing w:line="440" w:lineRule="exact"/>
              <w:jc w:val="center"/>
              <w:rPr>
                <w:rFonts w:ascii="宋体" w:hAnsi="宋体" w:cs="宋体"/>
                <w:bCs/>
                <w:sz w:val="24"/>
              </w:rPr>
            </w:pPr>
            <w:r>
              <w:rPr>
                <w:rFonts w:hint="eastAsia" w:ascii="宋体" w:hAnsi="宋体" w:cs="宋体"/>
                <w:bCs/>
                <w:sz w:val="24"/>
              </w:rPr>
              <w:t>序号</w:t>
            </w:r>
          </w:p>
        </w:tc>
        <w:tc>
          <w:tcPr>
            <w:tcW w:w="1271" w:type="dxa"/>
            <w:tcBorders>
              <w:top w:val="single" w:color="auto" w:sz="4" w:space="0"/>
              <w:left w:val="single" w:color="auto" w:sz="4" w:space="0"/>
              <w:right w:val="single" w:color="auto" w:sz="4" w:space="0"/>
            </w:tcBorders>
            <w:vAlign w:val="center"/>
          </w:tcPr>
          <w:p w14:paraId="349185C0">
            <w:pPr>
              <w:widowControl/>
              <w:spacing w:line="440" w:lineRule="exact"/>
              <w:jc w:val="center"/>
              <w:rPr>
                <w:rFonts w:ascii="宋体" w:hAnsi="宋体" w:cs="宋体"/>
                <w:bCs/>
                <w:sz w:val="24"/>
              </w:rPr>
            </w:pPr>
            <w:r>
              <w:rPr>
                <w:rFonts w:hint="eastAsia" w:ascii="宋体" w:hAnsi="宋体" w:cs="宋体"/>
                <w:bCs/>
                <w:sz w:val="24"/>
              </w:rPr>
              <w:t>评审因素</w:t>
            </w:r>
          </w:p>
        </w:tc>
        <w:tc>
          <w:tcPr>
            <w:tcW w:w="850" w:type="dxa"/>
            <w:tcBorders>
              <w:top w:val="single" w:color="auto" w:sz="4" w:space="0"/>
              <w:left w:val="single" w:color="auto" w:sz="4" w:space="0"/>
              <w:right w:val="single" w:color="auto" w:sz="4" w:space="0"/>
            </w:tcBorders>
            <w:vAlign w:val="center"/>
          </w:tcPr>
          <w:p w14:paraId="37E063E8">
            <w:pPr>
              <w:widowControl/>
              <w:spacing w:line="440" w:lineRule="exact"/>
              <w:jc w:val="center"/>
              <w:rPr>
                <w:rFonts w:ascii="宋体" w:hAnsi="宋体" w:cs="宋体"/>
                <w:bCs/>
                <w:sz w:val="24"/>
              </w:rPr>
            </w:pPr>
            <w:r>
              <w:rPr>
                <w:rFonts w:hint="eastAsia" w:ascii="宋体" w:hAnsi="宋体" w:cs="宋体"/>
                <w:bCs/>
                <w:sz w:val="24"/>
              </w:rPr>
              <w:t>分值</w:t>
            </w:r>
          </w:p>
        </w:tc>
        <w:tc>
          <w:tcPr>
            <w:tcW w:w="5918" w:type="dxa"/>
            <w:tcBorders>
              <w:top w:val="single" w:color="auto" w:sz="4" w:space="0"/>
              <w:left w:val="single" w:color="auto" w:sz="4" w:space="0"/>
              <w:bottom w:val="single" w:color="auto" w:sz="4" w:space="0"/>
              <w:right w:val="single" w:color="auto" w:sz="4" w:space="0"/>
            </w:tcBorders>
            <w:vAlign w:val="center"/>
          </w:tcPr>
          <w:p w14:paraId="07F02754">
            <w:pPr>
              <w:pStyle w:val="26"/>
              <w:spacing w:line="440" w:lineRule="exact"/>
              <w:jc w:val="center"/>
              <w:rPr>
                <w:rFonts w:hAnsi="宋体" w:cs="宋体"/>
                <w:b/>
                <w:bCs/>
                <w:kern w:val="2"/>
                <w:sz w:val="24"/>
                <w:szCs w:val="24"/>
              </w:rPr>
            </w:pPr>
            <w:r>
              <w:rPr>
                <w:rFonts w:hint="eastAsia" w:hAnsi="宋体" w:cs="宋体"/>
                <w:bCs/>
                <w:sz w:val="24"/>
              </w:rPr>
              <w:t>评分标准</w:t>
            </w:r>
          </w:p>
        </w:tc>
      </w:tr>
      <w:tr w14:paraId="18137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09" w:type="dxa"/>
            <w:tcBorders>
              <w:top w:val="single" w:color="auto" w:sz="4" w:space="0"/>
              <w:left w:val="single" w:color="auto" w:sz="4" w:space="0"/>
              <w:right w:val="single" w:color="auto" w:sz="4" w:space="0"/>
            </w:tcBorders>
            <w:vAlign w:val="center"/>
          </w:tcPr>
          <w:p w14:paraId="1A3E2D27">
            <w:pPr>
              <w:widowControl/>
              <w:spacing w:line="440" w:lineRule="exact"/>
              <w:jc w:val="center"/>
              <w:rPr>
                <w:rFonts w:ascii="宋体" w:hAnsi="宋体" w:cs="宋体"/>
                <w:bCs/>
                <w:sz w:val="24"/>
              </w:rPr>
            </w:pPr>
            <w:r>
              <w:rPr>
                <w:rFonts w:hint="eastAsia" w:ascii="宋体" w:hAnsi="宋体" w:cs="宋体"/>
                <w:bCs/>
                <w:sz w:val="24"/>
              </w:rPr>
              <w:t>1</w:t>
            </w:r>
          </w:p>
        </w:tc>
        <w:tc>
          <w:tcPr>
            <w:tcW w:w="1271" w:type="dxa"/>
            <w:tcBorders>
              <w:top w:val="single" w:color="auto" w:sz="4" w:space="0"/>
              <w:left w:val="single" w:color="auto" w:sz="4" w:space="0"/>
              <w:right w:val="single" w:color="auto" w:sz="4" w:space="0"/>
            </w:tcBorders>
            <w:vAlign w:val="center"/>
          </w:tcPr>
          <w:p w14:paraId="110E30C0">
            <w:pPr>
              <w:widowControl/>
              <w:spacing w:line="440" w:lineRule="exact"/>
              <w:jc w:val="center"/>
              <w:rPr>
                <w:rFonts w:ascii="宋体" w:hAnsi="宋体" w:cs="宋体"/>
                <w:bCs/>
                <w:sz w:val="24"/>
              </w:rPr>
            </w:pPr>
            <w:r>
              <w:rPr>
                <w:rFonts w:hint="eastAsia" w:ascii="宋体" w:hAnsi="宋体" w:cs="宋体"/>
                <w:bCs/>
                <w:sz w:val="24"/>
              </w:rPr>
              <w:t>价格分（满分30分）</w:t>
            </w:r>
          </w:p>
          <w:p w14:paraId="19521F79">
            <w:pPr>
              <w:pStyle w:val="2"/>
              <w:spacing w:line="440" w:lineRule="exact"/>
            </w:pPr>
          </w:p>
        </w:tc>
        <w:tc>
          <w:tcPr>
            <w:tcW w:w="850" w:type="dxa"/>
            <w:tcBorders>
              <w:top w:val="single" w:color="auto" w:sz="4" w:space="0"/>
              <w:left w:val="single" w:color="auto" w:sz="4" w:space="0"/>
              <w:right w:val="single" w:color="auto" w:sz="4" w:space="0"/>
            </w:tcBorders>
            <w:vAlign w:val="center"/>
          </w:tcPr>
          <w:p w14:paraId="76A2ACAB">
            <w:pPr>
              <w:widowControl/>
              <w:spacing w:line="440" w:lineRule="exact"/>
              <w:jc w:val="center"/>
              <w:rPr>
                <w:rFonts w:ascii="宋体" w:hAnsi="宋体" w:cs="宋体"/>
                <w:bCs/>
                <w:sz w:val="24"/>
              </w:rPr>
            </w:pPr>
            <w:r>
              <w:rPr>
                <w:rFonts w:hint="eastAsia" w:ascii="宋体" w:hAnsi="宋体" w:cs="宋体"/>
                <w:bCs/>
                <w:sz w:val="24"/>
              </w:rPr>
              <w:t>投标报价（满分</w:t>
            </w:r>
            <w:r>
              <w:rPr>
                <w:rFonts w:ascii="宋体" w:hAnsi="宋体" w:cs="宋体"/>
                <w:bCs/>
                <w:sz w:val="24"/>
              </w:rPr>
              <w:t>30</w:t>
            </w:r>
            <w:r>
              <w:rPr>
                <w:rFonts w:hint="eastAsia" w:ascii="宋体" w:hAnsi="宋体" w:cs="宋体"/>
                <w:bCs/>
                <w:sz w:val="24"/>
              </w:rPr>
              <w:t>分）</w:t>
            </w:r>
          </w:p>
        </w:tc>
        <w:tc>
          <w:tcPr>
            <w:tcW w:w="5918" w:type="dxa"/>
            <w:tcBorders>
              <w:top w:val="single" w:color="auto" w:sz="4" w:space="0"/>
              <w:left w:val="single" w:color="auto" w:sz="4" w:space="0"/>
              <w:bottom w:val="single" w:color="auto" w:sz="4" w:space="0"/>
              <w:right w:val="single" w:color="auto" w:sz="4" w:space="0"/>
            </w:tcBorders>
          </w:tcPr>
          <w:p w14:paraId="1472F263">
            <w:pPr>
              <w:pStyle w:val="26"/>
              <w:spacing w:line="440" w:lineRule="exact"/>
              <w:rPr>
                <w:rFonts w:hAnsi="宋体" w:cs="宋体"/>
                <w:b/>
                <w:bCs/>
                <w:kern w:val="2"/>
                <w:sz w:val="24"/>
                <w:szCs w:val="24"/>
              </w:rPr>
            </w:pPr>
            <w:r>
              <w:rPr>
                <w:rFonts w:hint="eastAsia" w:hAnsi="宋体" w:cs="宋体"/>
                <w:b/>
                <w:bCs/>
                <w:kern w:val="2"/>
                <w:sz w:val="24"/>
                <w:szCs w:val="24"/>
              </w:rPr>
              <w:t>一、政府采购政策扣除</w:t>
            </w:r>
          </w:p>
          <w:p w14:paraId="73CAA629">
            <w:pPr>
              <w:snapToGrid w:val="0"/>
              <w:spacing w:line="440" w:lineRule="exact"/>
              <w:ind w:firstLine="506" w:firstLineChars="211"/>
              <w:rPr>
                <w:rFonts w:ascii="宋体" w:hAnsi="宋体"/>
                <w:bCs/>
                <w:sz w:val="24"/>
              </w:rPr>
            </w:pPr>
            <w:r>
              <w:rPr>
                <w:rFonts w:hint="eastAsia" w:ascii="宋体" w:hAnsi="宋体"/>
                <w:bCs/>
                <w:sz w:val="24"/>
              </w:rPr>
              <w:t>1</w:t>
            </w:r>
            <w:r>
              <w:rPr>
                <w:rFonts w:ascii="宋体" w:hAnsi="宋体"/>
                <w:bCs/>
                <w:sz w:val="24"/>
              </w:rPr>
              <w:t>.</w:t>
            </w:r>
            <w:r>
              <w:rPr>
                <w:rFonts w:hint="eastAsia" w:ascii="宋体" w:hAnsi="宋体"/>
                <w:bCs/>
                <w:sz w:val="24"/>
              </w:rPr>
              <w:t>评标报价为投标人的投标报价进行政策性扣除后的价格，评标报价只是作为评标时使用。最终中标人的中标金额等于投标报价。</w:t>
            </w:r>
          </w:p>
          <w:p w14:paraId="0D7E984C">
            <w:pPr>
              <w:pStyle w:val="26"/>
              <w:spacing w:line="440" w:lineRule="exact"/>
              <w:ind w:firstLine="480" w:firstLineChars="200"/>
              <w:rPr>
                <w:rFonts w:hAnsi="宋体" w:cs="宋体"/>
                <w:bCs/>
                <w:sz w:val="24"/>
                <w:szCs w:val="24"/>
              </w:rPr>
            </w:pPr>
            <w:r>
              <w:rPr>
                <w:rFonts w:hAnsi="宋体" w:cs="宋体"/>
                <w:bCs/>
                <w:sz w:val="24"/>
                <w:szCs w:val="24"/>
              </w:rPr>
              <w:t>2</w:t>
            </w:r>
            <w:r>
              <w:rPr>
                <w:rFonts w:hint="eastAsia" w:hAnsi="宋体" w:cs="宋体"/>
                <w:bCs/>
                <w:sz w:val="24"/>
                <w:szCs w:val="24"/>
              </w:rPr>
              <w:t>.根据《政府采购促进中小企业发展管理办法》（财库〔2020〕46号）及《广西壮族自治区财政厅关于持续优化政府采购营商环境推动高质量发展的通知》（桂财采〔2024〕55号 ）的规定，投标人属于《政府采购促进中小企业发展管理办法》规定的小微企业的，</w:t>
            </w:r>
            <w:r>
              <w:rPr>
                <w:rFonts w:hint="eastAsia" w:hAnsi="宋体" w:cs="宋体"/>
                <w:bCs/>
                <w:sz w:val="24"/>
              </w:rPr>
              <w:t>在其投标文件中提供《中小企业声明函》，且投标的全部</w:t>
            </w:r>
            <w:r>
              <w:rPr>
                <w:rFonts w:hint="eastAsia" w:hAnsi="宋体" w:cs="宋体"/>
                <w:sz w:val="24"/>
                <w:szCs w:val="24"/>
              </w:rPr>
              <w:t>货物由小微企业制造，</w:t>
            </w:r>
            <w:r>
              <w:rPr>
                <w:rFonts w:hint="eastAsia" w:hAnsi="宋体" w:cs="宋体"/>
                <w:bCs/>
                <w:sz w:val="24"/>
                <w:szCs w:val="24"/>
              </w:rPr>
              <w:t>对投标报价给予</w:t>
            </w:r>
            <w:r>
              <w:rPr>
                <w:rFonts w:hAnsi="宋体" w:cs="宋体"/>
                <w:bCs/>
                <w:sz w:val="24"/>
                <w:szCs w:val="24"/>
              </w:rPr>
              <w:t>1</w:t>
            </w:r>
            <w:r>
              <w:rPr>
                <w:rFonts w:hint="eastAsia" w:hAnsi="宋体" w:cs="宋体"/>
                <w:bCs/>
                <w:sz w:val="24"/>
                <w:szCs w:val="24"/>
              </w:rPr>
              <w:t>0%的扣除，用扣除后的价格参加评审，即评审价=投标报价×（1-</w:t>
            </w:r>
            <w:r>
              <w:rPr>
                <w:rFonts w:hAnsi="宋体" w:cs="宋体"/>
                <w:bCs/>
                <w:sz w:val="24"/>
                <w:szCs w:val="24"/>
              </w:rPr>
              <w:t>1</w:t>
            </w:r>
            <w:r>
              <w:rPr>
                <w:rFonts w:hint="eastAsia" w:hAnsi="宋体" w:cs="宋体"/>
                <w:bCs/>
                <w:sz w:val="24"/>
                <w:szCs w:val="24"/>
              </w:rPr>
              <w:t>0%）；大中型企业与小微企业组成联合体或者大中型企业向一家或者多家小微企业分包，且联合协议或者分包意向协议约定小微企业的合同份额占到合同总金额30%以上的，对联合体或者大中型企业的报价给予6%的扣除，用扣除后的价格参加评审。符合上述规定对报价给予扣除的，扣除后的价格为评标价，即评标价=投标报价×（1 - 扣除比例）；不符合上述给予扣除情形的，评标价=投标报价。</w:t>
            </w:r>
          </w:p>
          <w:p w14:paraId="24C2E4A0">
            <w:pPr>
              <w:pStyle w:val="26"/>
              <w:spacing w:line="440" w:lineRule="exact"/>
              <w:ind w:firstLine="480" w:firstLineChars="200"/>
              <w:rPr>
                <w:rFonts w:hAnsi="宋体" w:cs="宋体"/>
                <w:bCs/>
                <w:sz w:val="24"/>
                <w:szCs w:val="24"/>
              </w:rPr>
            </w:pPr>
            <w:r>
              <w:rPr>
                <w:rFonts w:hAnsi="宋体" w:cs="宋体"/>
                <w:bCs/>
                <w:sz w:val="24"/>
                <w:szCs w:val="24"/>
              </w:rPr>
              <w:t>3</w:t>
            </w:r>
            <w:r>
              <w:rPr>
                <w:rFonts w:hint="eastAsia" w:hAnsi="宋体" w:cs="宋体"/>
                <w:bCs/>
                <w:sz w:val="24"/>
                <w:szCs w:val="24"/>
              </w:rPr>
              <w:t>.</w:t>
            </w:r>
            <w:r>
              <w:rPr>
                <w:rFonts w:hint="eastAsia" w:hAnsi="宋体" w:cs="宋体"/>
                <w:sz w:val="24"/>
                <w:szCs w:val="24"/>
              </w:rPr>
              <w:t>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w:t>
            </w:r>
            <w:r>
              <w:rPr>
                <w:rFonts w:hint="eastAsia" w:hAnsi="宋体"/>
                <w:bCs/>
                <w:sz w:val="24"/>
              </w:rPr>
              <w:t>监狱企业属于小型、微型企业的，</w:t>
            </w:r>
            <w:r>
              <w:rPr>
                <w:rFonts w:hint="eastAsia" w:hAnsi="宋体" w:cs="宋体"/>
                <w:sz w:val="24"/>
                <w:szCs w:val="24"/>
              </w:rPr>
              <w:t>不重复享受政策。</w:t>
            </w:r>
          </w:p>
          <w:p w14:paraId="075918E9">
            <w:pPr>
              <w:pStyle w:val="26"/>
              <w:spacing w:line="440" w:lineRule="exact"/>
              <w:ind w:firstLine="480" w:firstLineChars="200"/>
              <w:outlineLvl w:val="0"/>
              <w:rPr>
                <w:rFonts w:hAnsi="宋体" w:cs="宋体"/>
                <w:sz w:val="24"/>
                <w:szCs w:val="24"/>
              </w:rPr>
            </w:pPr>
            <w:bookmarkStart w:id="153" w:name="_Toc15579"/>
            <w:r>
              <w:rPr>
                <w:rFonts w:hAnsi="宋体" w:cs="宋体"/>
                <w:bCs/>
                <w:sz w:val="24"/>
                <w:szCs w:val="24"/>
              </w:rPr>
              <w:t>4</w:t>
            </w:r>
            <w:r>
              <w:rPr>
                <w:rFonts w:hint="eastAsia" w:hAnsi="宋体" w:cs="宋体"/>
                <w:bCs/>
                <w:sz w:val="24"/>
                <w:szCs w:val="24"/>
              </w:rPr>
              <w:t>.</w:t>
            </w:r>
            <w:r>
              <w:rPr>
                <w:rFonts w:hint="eastAsia" w:hAnsi="宋体" w:cs="宋体"/>
                <w:sz w:val="24"/>
                <w:szCs w:val="24"/>
              </w:rPr>
              <w:t>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bookmarkEnd w:id="153"/>
          </w:p>
          <w:p w14:paraId="7F2229A2">
            <w:pPr>
              <w:spacing w:line="440" w:lineRule="exact"/>
              <w:ind w:firstLine="480" w:firstLineChars="200"/>
              <w:outlineLvl w:val="0"/>
              <w:rPr>
                <w:rFonts w:ascii="宋体" w:hAnsi="宋体" w:cs="宋体"/>
                <w:bCs/>
                <w:kern w:val="0"/>
                <w:sz w:val="24"/>
              </w:rPr>
            </w:pPr>
            <w:bookmarkStart w:id="154" w:name="_Toc566"/>
            <w:r>
              <w:rPr>
                <w:rFonts w:hint="eastAsia" w:ascii="宋体" w:hAnsi="宋体" w:cs="宋体"/>
                <w:bCs/>
                <w:kern w:val="0"/>
                <w:sz w:val="24"/>
              </w:rPr>
              <w:t>5.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w:t>
            </w:r>
            <w:bookmarkEnd w:id="154"/>
          </w:p>
          <w:p w14:paraId="22C7E4C6">
            <w:pPr>
              <w:spacing w:line="440" w:lineRule="exact"/>
              <w:ind w:firstLine="480" w:firstLineChars="200"/>
              <w:outlineLvl w:val="0"/>
              <w:rPr>
                <w:rFonts w:ascii="宋体" w:hAnsi="宋体" w:cs="宋体"/>
                <w:bCs/>
                <w:kern w:val="0"/>
                <w:sz w:val="24"/>
              </w:rPr>
            </w:pPr>
            <w:bookmarkStart w:id="155" w:name="_Toc6132"/>
            <w:r>
              <w:rPr>
                <w:rFonts w:hint="eastAsia" w:ascii="宋体" w:hAnsi="宋体" w:cs="宋体"/>
                <w:bCs/>
                <w:kern w:val="0"/>
                <w:sz w:val="24"/>
              </w:rPr>
              <w:t>所有供应商提供参与投标竞争的均为本国产品，则不再执行支持本国产品价格评审优惠的扶植政策。</w:t>
            </w:r>
            <w:bookmarkEnd w:id="155"/>
          </w:p>
          <w:p w14:paraId="725C88E2">
            <w:pPr>
              <w:spacing w:line="440" w:lineRule="exact"/>
              <w:ind w:firstLine="482" w:firstLineChars="200"/>
              <w:outlineLvl w:val="0"/>
            </w:pPr>
            <w:bookmarkStart w:id="156" w:name="_Toc26615"/>
            <w:r>
              <w:rPr>
                <w:rFonts w:ascii="宋体" w:hAnsi="宋体" w:cs="宋体"/>
                <w:b/>
                <w:kern w:val="0"/>
                <w:sz w:val="24"/>
              </w:rPr>
              <w:t>当涉及政府采购政策叠加适用，统一在原投标报价的基础上进行价格扣除。</w:t>
            </w:r>
            <w:bookmarkEnd w:id="156"/>
          </w:p>
          <w:p w14:paraId="7DCCECBF">
            <w:pPr>
              <w:pStyle w:val="26"/>
              <w:spacing w:line="440" w:lineRule="exact"/>
              <w:outlineLvl w:val="0"/>
              <w:rPr>
                <w:rFonts w:hAnsi="宋体" w:cs="宋体"/>
                <w:b/>
                <w:sz w:val="24"/>
                <w:szCs w:val="24"/>
              </w:rPr>
            </w:pPr>
            <w:bookmarkStart w:id="157" w:name="_Toc15400"/>
            <w:r>
              <w:rPr>
                <w:rFonts w:hint="eastAsia" w:hAnsi="宋体" w:cs="宋体"/>
                <w:b/>
                <w:sz w:val="24"/>
                <w:szCs w:val="24"/>
              </w:rPr>
              <w:t>二、投标报价分（满分</w:t>
            </w:r>
            <w:r>
              <w:rPr>
                <w:rFonts w:hAnsi="宋体" w:cs="宋体"/>
                <w:b/>
                <w:sz w:val="24"/>
                <w:szCs w:val="24"/>
              </w:rPr>
              <w:t>30</w:t>
            </w:r>
            <w:r>
              <w:rPr>
                <w:rFonts w:hint="eastAsia" w:hAnsi="宋体" w:cs="宋体"/>
                <w:b/>
                <w:sz w:val="24"/>
                <w:szCs w:val="24"/>
              </w:rPr>
              <w:t>分）</w:t>
            </w:r>
            <w:bookmarkEnd w:id="157"/>
          </w:p>
          <w:p w14:paraId="355858ED">
            <w:pPr>
              <w:pStyle w:val="26"/>
              <w:spacing w:line="440" w:lineRule="exact"/>
              <w:ind w:firstLine="480" w:firstLineChars="200"/>
              <w:rPr>
                <w:rFonts w:hAnsi="宋体" w:cs="宋体"/>
                <w:bCs/>
                <w:sz w:val="24"/>
                <w:szCs w:val="24"/>
              </w:rPr>
            </w:pPr>
            <w:r>
              <w:rPr>
                <w:rFonts w:hint="eastAsia" w:hAnsi="宋体" w:cs="宋体"/>
                <w:sz w:val="24"/>
                <w:szCs w:val="24"/>
              </w:rPr>
              <w:t>1.</w:t>
            </w:r>
            <w:r>
              <w:rPr>
                <w:rFonts w:hint="eastAsia" w:hAnsi="宋体" w:cs="宋体"/>
                <w:bCs/>
                <w:sz w:val="24"/>
                <w:szCs w:val="24"/>
              </w:rPr>
              <w:t>投标报价分采用低价优先法计算，满足招标文件要求且评标价最低的有效投标人的评标价为评标基准价，其投标报价分为满分。</w:t>
            </w:r>
          </w:p>
          <w:p w14:paraId="42B513C4">
            <w:pPr>
              <w:pStyle w:val="26"/>
              <w:spacing w:line="440" w:lineRule="exact"/>
              <w:ind w:firstLine="480" w:firstLineChars="200"/>
              <w:rPr>
                <w:rFonts w:hAnsi="宋体" w:cs="宋体"/>
                <w:sz w:val="24"/>
              </w:rPr>
            </w:pPr>
            <w:r>
              <w:rPr>
                <w:rFonts w:hint="eastAsia" w:hAnsi="宋体" w:cs="宋体"/>
                <w:bCs/>
                <w:sz w:val="24"/>
                <w:szCs w:val="24"/>
              </w:rPr>
              <w:t>2.其他投标人的价格分统一按照下列公式计算：</w:t>
            </w:r>
            <w:r>
              <w:rPr>
                <w:rFonts w:hint="eastAsia" w:hAnsi="宋体" w:cs="宋体"/>
                <w:bCs/>
                <w:sz w:val="24"/>
              </w:rPr>
              <w:t xml:space="preserve">某有效投标人的投标报价分=（评标基准价／某有效投标人评标报价）× </w:t>
            </w:r>
            <w:r>
              <w:rPr>
                <w:rFonts w:hAnsi="宋体" w:cs="宋体"/>
                <w:bCs/>
                <w:sz w:val="24"/>
              </w:rPr>
              <w:t>30</w:t>
            </w:r>
            <w:r>
              <w:rPr>
                <w:rFonts w:hint="eastAsia" w:hAnsi="宋体" w:cs="宋体"/>
                <w:bCs/>
                <w:sz w:val="24"/>
              </w:rPr>
              <w:t>分</w:t>
            </w:r>
          </w:p>
        </w:tc>
      </w:tr>
      <w:tr w14:paraId="2F65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09" w:type="dxa"/>
            <w:vMerge w:val="restart"/>
            <w:tcBorders>
              <w:top w:val="single" w:color="auto" w:sz="4" w:space="0"/>
              <w:left w:val="single" w:color="auto" w:sz="4" w:space="0"/>
              <w:right w:val="single" w:color="auto" w:sz="4" w:space="0"/>
            </w:tcBorders>
            <w:vAlign w:val="center"/>
          </w:tcPr>
          <w:p w14:paraId="6F3CCCC4">
            <w:pPr>
              <w:adjustRightInd w:val="0"/>
              <w:spacing w:line="440" w:lineRule="exact"/>
              <w:jc w:val="center"/>
              <w:textAlignment w:val="baseline"/>
              <w:rPr>
                <w:rFonts w:ascii="宋体" w:hAnsi="宋体" w:cs="宋体"/>
                <w:bCs/>
                <w:sz w:val="24"/>
              </w:rPr>
            </w:pPr>
            <w:r>
              <w:rPr>
                <w:rFonts w:hint="eastAsia" w:ascii="宋体" w:hAnsi="宋体" w:cs="宋体"/>
                <w:bCs/>
                <w:sz w:val="24"/>
              </w:rPr>
              <w:t>2</w:t>
            </w:r>
          </w:p>
          <w:p w14:paraId="460387C7">
            <w:pPr>
              <w:spacing w:line="440" w:lineRule="exact"/>
              <w:jc w:val="center"/>
              <w:rPr>
                <w:rFonts w:ascii="宋体" w:hAnsi="宋体" w:cs="宋体"/>
                <w:bCs/>
                <w:sz w:val="24"/>
              </w:rPr>
            </w:pPr>
          </w:p>
        </w:tc>
        <w:tc>
          <w:tcPr>
            <w:tcW w:w="1271" w:type="dxa"/>
            <w:vMerge w:val="restart"/>
            <w:tcBorders>
              <w:top w:val="single" w:color="auto" w:sz="4" w:space="0"/>
              <w:left w:val="single" w:color="auto" w:sz="4" w:space="0"/>
              <w:right w:val="single" w:color="auto" w:sz="4" w:space="0"/>
            </w:tcBorders>
            <w:vAlign w:val="center"/>
          </w:tcPr>
          <w:p w14:paraId="34E5DE8F">
            <w:pPr>
              <w:adjustRightInd w:val="0"/>
              <w:spacing w:line="440" w:lineRule="exact"/>
              <w:ind w:left="-105" w:leftChars="-50" w:right="-105" w:rightChars="-50"/>
              <w:jc w:val="center"/>
              <w:textAlignment w:val="baseline"/>
              <w:rPr>
                <w:rFonts w:ascii="宋体" w:hAnsi="宋体" w:cs="宋体"/>
                <w:bCs/>
                <w:sz w:val="24"/>
              </w:rPr>
            </w:pPr>
            <w:r>
              <w:rPr>
                <w:rFonts w:hint="eastAsia" w:ascii="宋体" w:hAnsi="宋体" w:cs="宋体"/>
                <w:bCs/>
                <w:sz w:val="24"/>
              </w:rPr>
              <w:t>技术分</w:t>
            </w:r>
          </w:p>
          <w:p w14:paraId="468A2B5B">
            <w:pPr>
              <w:adjustRightInd w:val="0"/>
              <w:spacing w:line="440" w:lineRule="exact"/>
              <w:ind w:left="-105" w:leftChars="-50" w:right="-105" w:rightChars="-50"/>
              <w:jc w:val="center"/>
              <w:textAlignment w:val="baseline"/>
              <w:rPr>
                <w:rFonts w:ascii="宋体" w:hAnsi="宋体" w:cs="宋体"/>
                <w:bCs/>
                <w:sz w:val="24"/>
              </w:rPr>
            </w:pPr>
            <w:r>
              <w:rPr>
                <w:rFonts w:hint="eastAsia" w:ascii="宋体" w:hAnsi="宋体" w:cs="宋体"/>
                <w:bCs/>
                <w:sz w:val="24"/>
              </w:rPr>
              <w:t>（满分60分）</w:t>
            </w:r>
          </w:p>
        </w:tc>
        <w:tc>
          <w:tcPr>
            <w:tcW w:w="850" w:type="dxa"/>
            <w:tcBorders>
              <w:top w:val="single" w:color="auto" w:sz="4" w:space="0"/>
              <w:left w:val="single" w:color="auto" w:sz="4" w:space="0"/>
              <w:right w:val="single" w:color="auto" w:sz="4" w:space="0"/>
            </w:tcBorders>
            <w:vAlign w:val="center"/>
          </w:tcPr>
          <w:p w14:paraId="09CE7E3E">
            <w:pPr>
              <w:adjustRightInd w:val="0"/>
              <w:spacing w:line="440" w:lineRule="exact"/>
              <w:jc w:val="center"/>
              <w:textAlignment w:val="baseline"/>
              <w:rPr>
                <w:rFonts w:ascii="宋体" w:hAnsi="宋体" w:cs="宋体"/>
                <w:bCs/>
                <w:sz w:val="24"/>
              </w:rPr>
            </w:pPr>
            <w:r>
              <w:rPr>
                <w:rFonts w:hint="eastAsia" w:ascii="宋体" w:hAnsi="宋体" w:cs="宋体"/>
                <w:bCs/>
                <w:sz w:val="24"/>
              </w:rPr>
              <w:t>产品性能（满分40分）</w:t>
            </w:r>
          </w:p>
        </w:tc>
        <w:tc>
          <w:tcPr>
            <w:tcW w:w="5918" w:type="dxa"/>
            <w:tcBorders>
              <w:top w:val="single" w:color="auto" w:sz="4" w:space="0"/>
              <w:left w:val="single" w:color="auto" w:sz="4" w:space="0"/>
              <w:bottom w:val="single" w:color="auto" w:sz="4" w:space="0"/>
              <w:right w:val="single" w:color="auto" w:sz="4" w:space="0"/>
            </w:tcBorders>
            <w:vAlign w:val="center"/>
          </w:tcPr>
          <w:p w14:paraId="3553A4CB">
            <w:pPr>
              <w:suppressAutoHyphens/>
              <w:spacing w:line="440" w:lineRule="exact"/>
              <w:ind w:firstLine="480" w:firstLineChars="200"/>
              <w:jc w:val="left"/>
              <w:rPr>
                <w:rFonts w:ascii="宋体" w:hAnsi="宋体" w:cs="宋体"/>
                <w:sz w:val="24"/>
              </w:rPr>
            </w:pPr>
            <w:r>
              <w:rPr>
                <w:rFonts w:hint="eastAsia" w:ascii="宋体" w:hAnsi="宋体" w:cs="宋体"/>
                <w:sz w:val="24"/>
              </w:rPr>
              <w:t>一档(0分)：投标产品非“▲”性能参数中，有10项或10项以上负偏离的，本项不得分。</w:t>
            </w:r>
          </w:p>
          <w:p w14:paraId="2FE7A7C1">
            <w:pPr>
              <w:suppressAutoHyphens/>
              <w:spacing w:line="440" w:lineRule="exact"/>
              <w:ind w:firstLine="480" w:firstLineChars="200"/>
              <w:jc w:val="left"/>
              <w:rPr>
                <w:rFonts w:ascii="宋体" w:hAnsi="宋体" w:cs="宋体"/>
                <w:sz w:val="24"/>
              </w:rPr>
            </w:pPr>
            <w:r>
              <w:rPr>
                <w:rFonts w:hint="eastAsia" w:ascii="宋体" w:hAnsi="宋体" w:cs="宋体"/>
                <w:sz w:val="24"/>
              </w:rPr>
              <w:t>二档(8分)：投标产品非“▲”性能参数中，有9项以内（含）负偏离的得8分。</w:t>
            </w:r>
          </w:p>
          <w:p w14:paraId="00B59891">
            <w:pPr>
              <w:suppressAutoHyphens/>
              <w:spacing w:line="440" w:lineRule="exact"/>
              <w:ind w:firstLine="480" w:firstLineChars="200"/>
              <w:jc w:val="left"/>
              <w:rPr>
                <w:rFonts w:ascii="宋体" w:hAnsi="宋体" w:cs="宋体"/>
                <w:sz w:val="24"/>
              </w:rPr>
            </w:pPr>
            <w:r>
              <w:rPr>
                <w:rFonts w:hint="eastAsia" w:ascii="宋体" w:hAnsi="宋体" w:cs="宋体"/>
                <w:sz w:val="24"/>
              </w:rPr>
              <w:t>三档(16分)：投标产品非“▲”性能参数中，有7项（含）以内负偏离的得16分。</w:t>
            </w:r>
          </w:p>
          <w:p w14:paraId="0092F80A">
            <w:pPr>
              <w:suppressAutoHyphens/>
              <w:spacing w:line="440" w:lineRule="exact"/>
              <w:ind w:firstLine="480" w:firstLineChars="200"/>
              <w:jc w:val="left"/>
              <w:rPr>
                <w:rFonts w:ascii="宋体" w:hAnsi="宋体" w:cs="宋体"/>
                <w:sz w:val="24"/>
              </w:rPr>
            </w:pPr>
            <w:r>
              <w:rPr>
                <w:rFonts w:hint="eastAsia" w:ascii="宋体" w:hAnsi="宋体" w:cs="宋体"/>
                <w:sz w:val="24"/>
              </w:rPr>
              <w:t>四档(30分)：投标产品非“▲”性能参数中，有5项（含）以内负偏离的得30分。</w:t>
            </w:r>
          </w:p>
          <w:p w14:paraId="7E0150E7">
            <w:pPr>
              <w:suppressAutoHyphens/>
              <w:spacing w:line="440" w:lineRule="exact"/>
              <w:ind w:firstLine="480" w:firstLineChars="200"/>
              <w:jc w:val="left"/>
              <w:rPr>
                <w:rFonts w:ascii="宋体" w:hAnsi="宋体" w:cs="宋体"/>
                <w:sz w:val="24"/>
              </w:rPr>
            </w:pPr>
            <w:r>
              <w:rPr>
                <w:rFonts w:hint="eastAsia" w:ascii="宋体" w:hAnsi="宋体" w:cs="宋体"/>
                <w:sz w:val="24"/>
              </w:rPr>
              <w:t>五档(37分)：投标产品非“▲”性能参数中，有3项（含）以内负偏离的得37分。</w:t>
            </w:r>
          </w:p>
          <w:p w14:paraId="432D9BFC">
            <w:pPr>
              <w:suppressAutoHyphens/>
              <w:spacing w:line="440" w:lineRule="exact"/>
              <w:ind w:firstLine="480" w:firstLineChars="200"/>
              <w:jc w:val="left"/>
              <w:rPr>
                <w:rFonts w:ascii="宋体" w:hAnsi="宋体" w:cs="宋体"/>
                <w:sz w:val="24"/>
              </w:rPr>
            </w:pPr>
            <w:r>
              <w:rPr>
                <w:rFonts w:hint="eastAsia" w:ascii="宋体" w:hAnsi="宋体" w:cs="宋体"/>
                <w:sz w:val="24"/>
              </w:rPr>
              <w:t>六档(40分)：投标产品完全满足招标文件主要技术参数及性能(配置)和商务条款要求的，得40分。</w:t>
            </w:r>
          </w:p>
        </w:tc>
      </w:tr>
      <w:tr w14:paraId="3FCF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Merge w:val="continue"/>
            <w:tcBorders>
              <w:left w:val="single" w:color="auto" w:sz="4" w:space="0"/>
              <w:bottom w:val="single" w:color="auto" w:sz="4" w:space="0"/>
              <w:right w:val="single" w:color="auto" w:sz="4" w:space="0"/>
            </w:tcBorders>
            <w:vAlign w:val="center"/>
          </w:tcPr>
          <w:p w14:paraId="0A13A964">
            <w:pPr>
              <w:spacing w:line="440" w:lineRule="exact"/>
              <w:jc w:val="center"/>
              <w:rPr>
                <w:rFonts w:ascii="宋体" w:hAnsi="宋体" w:cs="宋体"/>
                <w:b/>
                <w:sz w:val="24"/>
              </w:rPr>
            </w:pPr>
          </w:p>
        </w:tc>
        <w:tc>
          <w:tcPr>
            <w:tcW w:w="1271" w:type="dxa"/>
            <w:vMerge w:val="continue"/>
            <w:tcBorders>
              <w:left w:val="single" w:color="auto" w:sz="4" w:space="0"/>
              <w:bottom w:val="single" w:color="auto" w:sz="4" w:space="0"/>
              <w:right w:val="single" w:color="auto" w:sz="4" w:space="0"/>
            </w:tcBorders>
            <w:vAlign w:val="center"/>
          </w:tcPr>
          <w:p w14:paraId="5A53F3E7">
            <w:pPr>
              <w:spacing w:line="440" w:lineRule="exact"/>
              <w:jc w:val="center"/>
              <w:rPr>
                <w:rFonts w:ascii="宋体" w:hAnsi="宋体" w:cs="宋体"/>
                <w:b/>
                <w:sz w:val="24"/>
              </w:rPr>
            </w:pPr>
          </w:p>
        </w:tc>
        <w:tc>
          <w:tcPr>
            <w:tcW w:w="85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C9EA17">
            <w:pPr>
              <w:spacing w:line="440" w:lineRule="exact"/>
              <w:jc w:val="center"/>
              <w:rPr>
                <w:rFonts w:ascii="宋体" w:hAnsi="宋体" w:cs="宋体"/>
                <w:sz w:val="24"/>
              </w:rPr>
            </w:pPr>
            <w:r>
              <w:rPr>
                <w:rFonts w:hint="eastAsia" w:ascii="宋体" w:hAnsi="宋体" w:cs="宋体"/>
                <w:sz w:val="24"/>
              </w:rPr>
              <w:t>技术方案方案（满分10分）</w:t>
            </w:r>
          </w:p>
        </w:tc>
        <w:tc>
          <w:tcPr>
            <w:tcW w:w="5918" w:type="dxa"/>
            <w:tcBorders>
              <w:top w:val="single" w:color="auto" w:sz="4" w:space="0"/>
              <w:left w:val="single" w:color="auto" w:sz="4" w:space="0"/>
              <w:bottom w:val="single" w:color="auto" w:sz="4" w:space="0"/>
              <w:right w:val="single" w:color="auto" w:sz="4" w:space="0"/>
            </w:tcBorders>
            <w:vAlign w:val="center"/>
          </w:tcPr>
          <w:p w14:paraId="11A45E94">
            <w:pPr>
              <w:suppressAutoHyphens/>
              <w:spacing w:line="440" w:lineRule="exact"/>
              <w:ind w:firstLine="480" w:firstLineChars="200"/>
              <w:rPr>
                <w:rFonts w:ascii="宋体" w:hAnsi="宋体" w:cs="宋体"/>
                <w:bCs/>
                <w:sz w:val="24"/>
              </w:rPr>
            </w:pPr>
            <w:r>
              <w:rPr>
                <w:rFonts w:hint="eastAsia" w:ascii="宋体" w:hAnsi="宋体" w:cs="宋体"/>
                <w:bCs/>
                <w:sz w:val="24"/>
              </w:rPr>
              <w:t>未满足以下要求或未提供方案的不得分。</w:t>
            </w:r>
          </w:p>
          <w:p w14:paraId="1ED40E98">
            <w:pPr>
              <w:suppressAutoHyphens/>
              <w:spacing w:line="440" w:lineRule="exact"/>
              <w:ind w:firstLine="480" w:firstLineChars="200"/>
              <w:rPr>
                <w:rFonts w:ascii="宋体" w:hAnsi="宋体" w:cs="宋体"/>
                <w:sz w:val="24"/>
              </w:rPr>
            </w:pPr>
            <w:r>
              <w:rPr>
                <w:rFonts w:hint="eastAsia" w:ascii="宋体" w:hAnsi="宋体" w:cs="宋体"/>
                <w:sz w:val="24"/>
              </w:rPr>
              <w:t>一</w:t>
            </w:r>
            <w:r>
              <w:rPr>
                <w:rFonts w:ascii="宋体" w:hAnsi="宋体" w:cs="宋体"/>
                <w:sz w:val="24"/>
              </w:rPr>
              <w:t>档（</w:t>
            </w:r>
            <w:r>
              <w:rPr>
                <w:rFonts w:hint="eastAsia" w:ascii="宋体" w:hAnsi="宋体" w:cs="宋体"/>
                <w:sz w:val="24"/>
              </w:rPr>
              <w:t>3</w:t>
            </w:r>
            <w:r>
              <w:rPr>
                <w:rFonts w:ascii="宋体" w:hAnsi="宋体" w:cs="宋体"/>
                <w:sz w:val="24"/>
              </w:rPr>
              <w:t>分）：投标人提供的</w:t>
            </w:r>
            <w:r>
              <w:rPr>
                <w:rFonts w:hint="eastAsia" w:ascii="宋体" w:hAnsi="宋体" w:cs="宋体"/>
                <w:sz w:val="24"/>
              </w:rPr>
              <w:t>技术</w:t>
            </w:r>
            <w:r>
              <w:rPr>
                <w:rFonts w:ascii="宋体" w:hAnsi="宋体" w:cs="宋体"/>
                <w:sz w:val="24"/>
              </w:rPr>
              <w:t xml:space="preserve">方案符合采购需求，能提供实施步骤、计划及组织方案、实施进度计划表。 </w:t>
            </w:r>
          </w:p>
          <w:p w14:paraId="10988BBB">
            <w:pPr>
              <w:suppressAutoHyphens/>
              <w:spacing w:line="440" w:lineRule="exact"/>
              <w:ind w:firstLine="480" w:firstLineChars="200"/>
              <w:rPr>
                <w:rFonts w:ascii="宋体" w:hAnsi="宋体" w:cs="宋体"/>
                <w:sz w:val="24"/>
              </w:rPr>
            </w:pPr>
            <w:r>
              <w:rPr>
                <w:rFonts w:ascii="宋体" w:hAnsi="宋体" w:cs="宋体"/>
                <w:sz w:val="24"/>
              </w:rPr>
              <w:t>二档（</w:t>
            </w:r>
            <w:r>
              <w:rPr>
                <w:rFonts w:hint="eastAsia" w:ascii="宋体" w:hAnsi="宋体" w:cs="宋体"/>
                <w:sz w:val="24"/>
              </w:rPr>
              <w:t>6</w:t>
            </w:r>
            <w:r>
              <w:rPr>
                <w:rFonts w:ascii="宋体" w:hAnsi="宋体" w:cs="宋体"/>
                <w:sz w:val="24"/>
              </w:rPr>
              <w:t>分）：投标人提供的</w:t>
            </w:r>
            <w:r>
              <w:rPr>
                <w:rFonts w:hint="eastAsia" w:ascii="宋体" w:hAnsi="宋体" w:cs="宋体"/>
                <w:sz w:val="24"/>
              </w:rPr>
              <w:t>技术方案</w:t>
            </w:r>
            <w:r>
              <w:rPr>
                <w:rFonts w:ascii="宋体" w:hAnsi="宋体" w:cs="宋体"/>
                <w:sz w:val="24"/>
              </w:rPr>
              <w:t>内容方案详细（能够对人力、物力、时间、成本等实施所需的各类要素作出说明），实施步骤、计划及组织方案周全，明确各岗位、各环节的职责范围，能保障项目实施质量；能提供实施进度计划表；能切合本项目提供具体的实施对接方案，方案能表明对本项目的熟悉 程度，技术路线</w:t>
            </w:r>
            <w:r>
              <w:rPr>
                <w:rFonts w:hint="eastAsia" w:ascii="宋体" w:hAnsi="宋体" w:cs="宋体"/>
                <w:sz w:val="24"/>
              </w:rPr>
              <w:t>清晰</w:t>
            </w:r>
            <w:r>
              <w:rPr>
                <w:rFonts w:ascii="宋体" w:hAnsi="宋体" w:cs="宋体"/>
                <w:sz w:val="24"/>
              </w:rPr>
              <w:t xml:space="preserve">；能提供交付时间保证措施、技术服务等内容。 </w:t>
            </w:r>
          </w:p>
          <w:p w14:paraId="10593FD7">
            <w:pPr>
              <w:suppressAutoHyphens/>
              <w:spacing w:line="440" w:lineRule="exact"/>
              <w:ind w:firstLine="480" w:firstLineChars="200"/>
              <w:jc w:val="left"/>
              <w:rPr>
                <w:rFonts w:ascii="宋体" w:hAnsi="宋体" w:cs="宋体"/>
                <w:bCs/>
                <w:sz w:val="24"/>
              </w:rPr>
            </w:pPr>
            <w:r>
              <w:rPr>
                <w:rFonts w:ascii="宋体" w:hAnsi="宋体" w:cs="宋体"/>
                <w:sz w:val="24"/>
              </w:rPr>
              <w:t>三档（</w:t>
            </w:r>
            <w:r>
              <w:rPr>
                <w:rFonts w:hint="eastAsia" w:ascii="宋体" w:hAnsi="宋体" w:cs="宋体"/>
                <w:sz w:val="24"/>
              </w:rPr>
              <w:t>10</w:t>
            </w:r>
            <w:r>
              <w:rPr>
                <w:rFonts w:ascii="宋体" w:hAnsi="宋体" w:cs="宋体"/>
                <w:sz w:val="24"/>
              </w:rPr>
              <w:t>分）：投标人提供的</w:t>
            </w:r>
            <w:r>
              <w:rPr>
                <w:rFonts w:hint="eastAsia" w:ascii="宋体" w:hAnsi="宋体" w:cs="宋体"/>
                <w:sz w:val="24"/>
              </w:rPr>
              <w:t>技术方案</w:t>
            </w:r>
            <w:r>
              <w:rPr>
                <w:rFonts w:ascii="宋体" w:hAnsi="宋体" w:cs="宋体"/>
                <w:sz w:val="24"/>
              </w:rPr>
              <w:t>内容切合实际，实施步骤、计划及组织方案完整周全；组织机构健全，分工明确（包含具体管理措施、具体实施流程、进度安排、质量保证措施、风险防范措施、应急方案等），能较好保障项目实施质量；能提供实施进度计划表，对各个时间节点的实施内容有详细的描述及承诺，确保项目高效完成；能切合本项目实际提供具体的实施对接方案，方案能清楚的表明对本项目的熟悉程度，技术路线清晰；能提供交付时间保证措施、安全实施工作措施、技术服务等内容；能提供有建设及指导性的安装、调试、验收方法等内容。对采购单位、采购项目的特点均有针对性，有明确的应急方案。</w:t>
            </w:r>
          </w:p>
        </w:tc>
      </w:tr>
      <w:tr w14:paraId="153A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bottom w:val="single" w:color="auto" w:sz="4" w:space="0"/>
              <w:right w:val="single" w:color="auto" w:sz="4" w:space="0"/>
            </w:tcBorders>
            <w:vAlign w:val="center"/>
          </w:tcPr>
          <w:p w14:paraId="73F0CC2C">
            <w:pPr>
              <w:spacing w:line="440" w:lineRule="exact"/>
              <w:jc w:val="center"/>
              <w:rPr>
                <w:rFonts w:ascii="宋体" w:hAnsi="宋体" w:cs="宋体"/>
                <w:b/>
                <w:sz w:val="24"/>
              </w:rPr>
            </w:pPr>
          </w:p>
        </w:tc>
        <w:tc>
          <w:tcPr>
            <w:tcW w:w="1271" w:type="dxa"/>
            <w:vMerge w:val="continue"/>
            <w:tcBorders>
              <w:left w:val="single" w:color="auto" w:sz="4" w:space="0"/>
              <w:bottom w:val="single" w:color="auto" w:sz="4" w:space="0"/>
              <w:right w:val="single" w:color="auto" w:sz="4" w:space="0"/>
            </w:tcBorders>
            <w:vAlign w:val="center"/>
          </w:tcPr>
          <w:p w14:paraId="00CD8BB6">
            <w:pPr>
              <w:spacing w:line="440" w:lineRule="exact"/>
              <w:jc w:val="center"/>
              <w:rPr>
                <w:rFonts w:ascii="宋体" w:hAnsi="宋体" w:cs="宋体"/>
                <w:b/>
                <w:sz w:val="24"/>
              </w:rPr>
            </w:pPr>
          </w:p>
        </w:tc>
        <w:tc>
          <w:tcPr>
            <w:tcW w:w="85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CE2FF55">
            <w:pPr>
              <w:spacing w:line="440" w:lineRule="exact"/>
              <w:jc w:val="center"/>
              <w:rPr>
                <w:rFonts w:ascii="宋体" w:hAnsi="宋体" w:cs="宋体"/>
                <w:sz w:val="24"/>
              </w:rPr>
            </w:pPr>
            <w:r>
              <w:rPr>
                <w:rFonts w:hint="eastAsia" w:ascii="宋体" w:hAnsi="宋体" w:cs="宋体"/>
                <w:sz w:val="24"/>
              </w:rPr>
              <w:t>售后服务（满分10分）</w:t>
            </w:r>
          </w:p>
        </w:tc>
        <w:tc>
          <w:tcPr>
            <w:tcW w:w="5918" w:type="dxa"/>
            <w:tcBorders>
              <w:top w:val="single" w:color="auto" w:sz="4" w:space="0"/>
              <w:left w:val="single" w:color="auto" w:sz="4" w:space="0"/>
              <w:bottom w:val="single" w:color="auto" w:sz="4" w:space="0"/>
              <w:right w:val="single" w:color="auto" w:sz="4" w:space="0"/>
            </w:tcBorders>
            <w:vAlign w:val="center"/>
          </w:tcPr>
          <w:p w14:paraId="157E8B88">
            <w:pPr>
              <w:suppressAutoHyphens/>
              <w:spacing w:line="440" w:lineRule="exact"/>
              <w:ind w:firstLine="480" w:firstLineChars="200"/>
              <w:rPr>
                <w:rFonts w:ascii="宋体" w:hAnsi="宋体" w:cs="宋体"/>
                <w:bCs/>
                <w:sz w:val="24"/>
              </w:rPr>
            </w:pPr>
            <w:r>
              <w:rPr>
                <w:rFonts w:hint="eastAsia" w:ascii="宋体" w:hAnsi="宋体" w:cs="宋体"/>
                <w:bCs/>
                <w:sz w:val="24"/>
              </w:rPr>
              <w:t>未满足以下要求或未提供方案的不得分。</w:t>
            </w:r>
          </w:p>
          <w:p w14:paraId="76A214CF">
            <w:pPr>
              <w:spacing w:line="440" w:lineRule="exact"/>
              <w:ind w:firstLine="480" w:firstLineChars="200"/>
              <w:rPr>
                <w:rFonts w:ascii="宋体" w:hAnsi="宋体" w:cs="宋体"/>
                <w:sz w:val="24"/>
              </w:rPr>
            </w:pPr>
            <w:r>
              <w:rPr>
                <w:rFonts w:hint="eastAsia" w:ascii="宋体" w:hAnsi="宋体" w:cs="宋体"/>
                <w:sz w:val="24"/>
              </w:rPr>
              <w:t>一档（3分）：满足招标文件售后服务要求，且提供培训服务方案。</w:t>
            </w:r>
          </w:p>
          <w:p w14:paraId="79CB0719">
            <w:pPr>
              <w:spacing w:line="440" w:lineRule="exact"/>
              <w:ind w:firstLine="480" w:firstLineChars="200"/>
              <w:rPr>
                <w:rFonts w:ascii="宋体" w:hAnsi="宋体" w:cs="宋体"/>
                <w:sz w:val="24"/>
              </w:rPr>
            </w:pPr>
            <w:r>
              <w:rPr>
                <w:rFonts w:hint="eastAsia" w:ascii="宋体" w:hAnsi="宋体" w:cs="宋体"/>
                <w:sz w:val="24"/>
              </w:rPr>
              <w:t>二档（6分）：满足一档，能根据项目实际情况做出可行性的、表述清晰、完整、合理的培训服务方案，投入的培训队伍及时间安排合理，能较好的为采购人提供培训服务。</w:t>
            </w:r>
          </w:p>
          <w:p w14:paraId="57C24084">
            <w:pPr>
              <w:spacing w:line="440" w:lineRule="exact"/>
              <w:ind w:firstLine="480" w:firstLineChars="200"/>
              <w:rPr>
                <w:rFonts w:ascii="宋体" w:hAnsi="宋体" w:cs="宋体"/>
                <w:sz w:val="24"/>
              </w:rPr>
            </w:pPr>
            <w:r>
              <w:rPr>
                <w:rFonts w:hint="eastAsia" w:ascii="宋体" w:hAnsi="宋体" w:cs="宋体"/>
                <w:sz w:val="24"/>
              </w:rPr>
              <w:t>三档（10分）：满足二档，提供针对性的、完整的现场服务及支持方案，有完善的运行保障方案针对本项目的售后服务体系、服务内容、服务方式、响应能力、响应时间有详细的，切实可行的方案，保证项目正常实施。</w:t>
            </w:r>
          </w:p>
        </w:tc>
      </w:tr>
      <w:tr w14:paraId="53E3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tcBorders>
              <w:top w:val="single" w:color="auto" w:sz="4" w:space="0"/>
              <w:left w:val="single" w:color="auto" w:sz="4" w:space="0"/>
              <w:right w:val="single" w:color="auto" w:sz="4" w:space="0"/>
            </w:tcBorders>
            <w:vAlign w:val="center"/>
          </w:tcPr>
          <w:p w14:paraId="4F72D765">
            <w:pPr>
              <w:spacing w:line="440" w:lineRule="exact"/>
              <w:jc w:val="center"/>
              <w:rPr>
                <w:rFonts w:ascii="宋体" w:hAnsi="宋体" w:cs="宋体"/>
                <w:b/>
                <w:sz w:val="24"/>
              </w:rPr>
            </w:pPr>
            <w:r>
              <w:rPr>
                <w:rFonts w:hint="eastAsia" w:ascii="宋体" w:hAnsi="宋体" w:cs="宋体"/>
                <w:b/>
                <w:sz w:val="24"/>
              </w:rPr>
              <w:t>3</w:t>
            </w:r>
          </w:p>
        </w:tc>
        <w:tc>
          <w:tcPr>
            <w:tcW w:w="1271" w:type="dxa"/>
            <w:vMerge w:val="restart"/>
            <w:tcBorders>
              <w:top w:val="single" w:color="auto" w:sz="4" w:space="0"/>
              <w:left w:val="single" w:color="auto" w:sz="4" w:space="0"/>
              <w:right w:val="single" w:color="auto" w:sz="4" w:space="0"/>
            </w:tcBorders>
            <w:vAlign w:val="center"/>
          </w:tcPr>
          <w:p w14:paraId="0C70BBE8">
            <w:pPr>
              <w:adjustRightInd w:val="0"/>
              <w:spacing w:line="440" w:lineRule="exact"/>
              <w:jc w:val="center"/>
              <w:textAlignment w:val="baseline"/>
              <w:rPr>
                <w:rFonts w:ascii="宋体" w:hAnsi="宋体" w:cs="宋体"/>
                <w:sz w:val="24"/>
              </w:rPr>
            </w:pPr>
            <w:r>
              <w:rPr>
                <w:rFonts w:hint="eastAsia" w:ascii="宋体" w:hAnsi="宋体" w:cs="宋体"/>
                <w:sz w:val="24"/>
              </w:rPr>
              <w:t>商务分</w:t>
            </w:r>
          </w:p>
          <w:p w14:paraId="0AD65AEA">
            <w:pPr>
              <w:adjustRightInd w:val="0"/>
              <w:spacing w:line="440" w:lineRule="exact"/>
              <w:jc w:val="center"/>
              <w:textAlignment w:val="baseline"/>
              <w:rPr>
                <w:rFonts w:ascii="宋体" w:hAnsi="宋体" w:cs="宋体"/>
                <w:sz w:val="24"/>
              </w:rPr>
            </w:pPr>
            <w:r>
              <w:rPr>
                <w:rFonts w:hint="eastAsia" w:ascii="宋体" w:hAnsi="宋体" w:cs="宋体"/>
                <w:sz w:val="24"/>
              </w:rPr>
              <w:t>（满分10分）</w:t>
            </w:r>
          </w:p>
        </w:tc>
        <w:tc>
          <w:tcPr>
            <w:tcW w:w="850" w:type="dxa"/>
            <w:tcBorders>
              <w:top w:val="single" w:color="auto" w:sz="4" w:space="0"/>
              <w:left w:val="single" w:color="auto" w:sz="4" w:space="0"/>
              <w:right w:val="single" w:color="auto" w:sz="4" w:space="0"/>
            </w:tcBorders>
            <w:tcMar>
              <w:top w:w="0" w:type="dxa"/>
              <w:left w:w="57" w:type="dxa"/>
              <w:bottom w:w="0" w:type="dxa"/>
              <w:right w:w="57" w:type="dxa"/>
            </w:tcMar>
            <w:vAlign w:val="center"/>
          </w:tcPr>
          <w:p w14:paraId="0299CC9F">
            <w:pPr>
              <w:spacing w:line="440" w:lineRule="exact"/>
              <w:rPr>
                <w:rFonts w:ascii="宋体" w:hAnsi="宋体" w:cs="宋体"/>
                <w:sz w:val="24"/>
              </w:rPr>
            </w:pPr>
            <w:r>
              <w:rPr>
                <w:rFonts w:hint="eastAsia" w:ascii="宋体" w:hAnsi="宋体" w:cs="宋体"/>
                <w:sz w:val="24"/>
              </w:rPr>
              <w:t>综合实力（满2分）</w:t>
            </w:r>
          </w:p>
        </w:tc>
        <w:tc>
          <w:tcPr>
            <w:tcW w:w="5918" w:type="dxa"/>
            <w:tcBorders>
              <w:top w:val="single" w:color="auto" w:sz="4" w:space="0"/>
              <w:left w:val="single" w:color="auto" w:sz="4" w:space="0"/>
              <w:bottom w:val="single" w:color="auto" w:sz="4" w:space="0"/>
              <w:right w:val="single" w:color="auto" w:sz="4" w:space="0"/>
            </w:tcBorders>
          </w:tcPr>
          <w:p w14:paraId="6F69DC0A">
            <w:pPr>
              <w:pStyle w:val="58"/>
              <w:spacing w:line="440" w:lineRule="exact"/>
              <w:ind w:firstLine="480" w:firstLineChars="200"/>
              <w:rPr>
                <w:rFonts w:ascii="宋体" w:hAnsi="宋体" w:cs="宋体"/>
                <w:sz w:val="24"/>
                <w:szCs w:val="24"/>
              </w:rPr>
            </w:pPr>
            <w:r>
              <w:rPr>
                <w:rFonts w:hint="eastAsia" w:ascii="宋体" w:hAnsi="宋体" w:cs="宋体"/>
                <w:sz w:val="24"/>
                <w:szCs w:val="24"/>
              </w:rPr>
              <w:t>投标人或者生产厂家具有有效期内的ISO13485质量管理体系认证、 CNAS认证、ISO9001质量体系认证,每项证书得1分，满分2分。</w:t>
            </w:r>
          </w:p>
        </w:tc>
      </w:tr>
      <w:tr w14:paraId="1174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77DD7FC5">
            <w:pPr>
              <w:spacing w:line="440" w:lineRule="exact"/>
              <w:jc w:val="center"/>
              <w:rPr>
                <w:rFonts w:ascii="宋体" w:hAnsi="宋体" w:cs="宋体"/>
                <w:b/>
                <w:sz w:val="24"/>
              </w:rPr>
            </w:pPr>
          </w:p>
        </w:tc>
        <w:tc>
          <w:tcPr>
            <w:tcW w:w="1271" w:type="dxa"/>
            <w:vMerge w:val="continue"/>
            <w:tcBorders>
              <w:left w:val="single" w:color="auto" w:sz="4" w:space="0"/>
              <w:right w:val="single" w:color="auto" w:sz="4" w:space="0"/>
            </w:tcBorders>
            <w:vAlign w:val="center"/>
          </w:tcPr>
          <w:p w14:paraId="180F16A3">
            <w:pPr>
              <w:spacing w:line="440" w:lineRule="exact"/>
              <w:jc w:val="center"/>
              <w:rPr>
                <w:rFonts w:ascii="宋体" w:hAnsi="宋体" w:cs="宋体"/>
                <w:sz w:val="24"/>
              </w:rPr>
            </w:pPr>
          </w:p>
        </w:tc>
        <w:tc>
          <w:tcPr>
            <w:tcW w:w="85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E64C34">
            <w:pPr>
              <w:spacing w:line="440" w:lineRule="exact"/>
              <w:jc w:val="center"/>
              <w:rPr>
                <w:rFonts w:ascii="宋体" w:hAnsi="宋体" w:cs="宋体"/>
                <w:sz w:val="24"/>
              </w:rPr>
            </w:pPr>
            <w:r>
              <w:rPr>
                <w:rFonts w:hint="eastAsia" w:ascii="宋体" w:hAnsi="宋体" w:cs="宋体"/>
                <w:sz w:val="24"/>
              </w:rPr>
              <w:t>业绩（满分6分）</w:t>
            </w:r>
          </w:p>
        </w:tc>
        <w:tc>
          <w:tcPr>
            <w:tcW w:w="5918" w:type="dxa"/>
            <w:tcBorders>
              <w:top w:val="single" w:color="auto" w:sz="4" w:space="0"/>
              <w:left w:val="single" w:color="auto" w:sz="4" w:space="0"/>
              <w:bottom w:val="single" w:color="auto" w:sz="4" w:space="0"/>
              <w:right w:val="single" w:color="auto" w:sz="4" w:space="0"/>
            </w:tcBorders>
          </w:tcPr>
          <w:p w14:paraId="4B2014C1">
            <w:pPr>
              <w:spacing w:line="440" w:lineRule="exact"/>
              <w:ind w:firstLine="480" w:firstLineChars="200"/>
              <w:rPr>
                <w:rFonts w:ascii="宋体" w:hAnsi="宋体" w:cs="宋体"/>
                <w:sz w:val="24"/>
              </w:rPr>
            </w:pPr>
            <w:r>
              <w:rPr>
                <w:rFonts w:hint="eastAsia" w:ascii="宋体" w:hAnsi="宋体" w:cs="宋体"/>
                <w:sz w:val="24"/>
              </w:rPr>
              <w:t>投标人提供自2024年1月1日以来完成的同类项目有效的业绩证明材料（以有效合同关键页或中标通知书复印件为准，并加盖单位公章，否则提交无效），每项业绩得2分，满分6分。</w:t>
            </w:r>
          </w:p>
        </w:tc>
      </w:tr>
      <w:tr w14:paraId="1C676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tcBorders>
              <w:left w:val="single" w:color="auto" w:sz="4" w:space="0"/>
              <w:right w:val="single" w:color="auto" w:sz="4" w:space="0"/>
            </w:tcBorders>
            <w:vAlign w:val="center"/>
          </w:tcPr>
          <w:p w14:paraId="3074A694">
            <w:pPr>
              <w:spacing w:line="440" w:lineRule="exact"/>
              <w:jc w:val="center"/>
              <w:rPr>
                <w:rFonts w:ascii="宋体" w:hAnsi="宋体" w:cs="宋体"/>
                <w:b/>
                <w:sz w:val="24"/>
              </w:rPr>
            </w:pPr>
          </w:p>
        </w:tc>
        <w:tc>
          <w:tcPr>
            <w:tcW w:w="1271" w:type="dxa"/>
            <w:vMerge w:val="continue"/>
            <w:tcBorders>
              <w:left w:val="single" w:color="auto" w:sz="4" w:space="0"/>
              <w:right w:val="single" w:color="auto" w:sz="4" w:space="0"/>
            </w:tcBorders>
            <w:vAlign w:val="center"/>
          </w:tcPr>
          <w:p w14:paraId="4155D125">
            <w:pPr>
              <w:spacing w:line="440" w:lineRule="exact"/>
              <w:jc w:val="center"/>
              <w:rPr>
                <w:rFonts w:ascii="宋体" w:hAnsi="宋体" w:cs="宋体"/>
                <w:sz w:val="24"/>
              </w:rPr>
            </w:pPr>
          </w:p>
        </w:tc>
        <w:tc>
          <w:tcPr>
            <w:tcW w:w="850"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83B723">
            <w:pPr>
              <w:spacing w:line="440" w:lineRule="exact"/>
              <w:jc w:val="center"/>
              <w:rPr>
                <w:rFonts w:ascii="宋体" w:hAnsi="宋体" w:cs="宋体"/>
                <w:sz w:val="24"/>
              </w:rPr>
            </w:pPr>
            <w:r>
              <w:rPr>
                <w:rFonts w:hint="eastAsia" w:ascii="宋体" w:hAnsi="宋体" w:cs="宋体"/>
                <w:b/>
                <w:sz w:val="24"/>
              </w:rPr>
              <w:t>政策功能分（满分2分）</w:t>
            </w:r>
            <w:r>
              <w:rPr>
                <w:rFonts w:hint="eastAsia" w:ascii="宋体" w:hAnsi="宋体" w:cs="宋体"/>
                <w:sz w:val="24"/>
              </w:rPr>
              <w:t>节能、环保产品</w:t>
            </w:r>
          </w:p>
        </w:tc>
        <w:tc>
          <w:tcPr>
            <w:tcW w:w="5918" w:type="dxa"/>
            <w:tcBorders>
              <w:top w:val="single" w:color="auto" w:sz="4" w:space="0"/>
              <w:left w:val="single" w:color="auto" w:sz="4" w:space="0"/>
              <w:bottom w:val="single" w:color="auto" w:sz="4" w:space="0"/>
              <w:right w:val="single" w:color="auto" w:sz="4" w:space="0"/>
            </w:tcBorders>
          </w:tcPr>
          <w:p w14:paraId="1C38D448">
            <w:pPr>
              <w:spacing w:line="440" w:lineRule="exact"/>
              <w:rPr>
                <w:rFonts w:ascii="宋体" w:hAnsi="宋体" w:cs="宋体"/>
                <w:sz w:val="24"/>
              </w:rPr>
            </w:pPr>
            <w:r>
              <w:rPr>
                <w:rFonts w:hint="eastAsia" w:ascii="宋体" w:hAnsi="宋体" w:cs="宋体"/>
                <w:sz w:val="24"/>
              </w:rPr>
              <w:t>1.投标产品为政府采购节能产品的，得1分。（适用于非强制采购节能产品，以有效的政府采购节能产品认证证书复印件为准，投标产品需清晰反映在证书上）。</w:t>
            </w:r>
          </w:p>
          <w:p w14:paraId="5DFF7558">
            <w:pPr>
              <w:widowControl/>
              <w:spacing w:line="440" w:lineRule="exact"/>
              <w:jc w:val="left"/>
              <w:rPr>
                <w:rFonts w:ascii="宋体" w:hAnsi="宋体" w:cs="宋体"/>
                <w:sz w:val="24"/>
              </w:rPr>
            </w:pPr>
            <w:r>
              <w:rPr>
                <w:rFonts w:hint="eastAsia" w:ascii="宋体" w:hAnsi="宋体" w:cs="宋体"/>
                <w:sz w:val="24"/>
              </w:rPr>
              <w:t>2.投标产品为政府采购环境标志产品的得1分。（以有效的政府采购环境标志产品认证证书复印件为准，投标产品需清晰反映在证书上）。</w:t>
            </w:r>
          </w:p>
        </w:tc>
      </w:tr>
      <w:tr w14:paraId="3E8A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48" w:type="dxa"/>
            <w:gridSpan w:val="4"/>
            <w:tcBorders>
              <w:left w:val="single" w:color="auto" w:sz="4" w:space="0"/>
              <w:right w:val="single" w:color="auto" w:sz="4" w:space="0"/>
            </w:tcBorders>
            <w:vAlign w:val="center"/>
          </w:tcPr>
          <w:p w14:paraId="497CCDD4">
            <w:pPr>
              <w:spacing w:line="440" w:lineRule="exact"/>
              <w:jc w:val="center"/>
              <w:rPr>
                <w:rFonts w:ascii="宋体" w:hAnsi="宋体" w:cs="宋体"/>
                <w:sz w:val="24"/>
              </w:rPr>
            </w:pPr>
            <w:r>
              <w:rPr>
                <w:rFonts w:hint="eastAsia" w:ascii="宋体" w:hAnsi="宋体" w:cs="宋体"/>
                <w:sz w:val="24"/>
              </w:rPr>
              <w:t>总分=1+2+3</w:t>
            </w:r>
          </w:p>
        </w:tc>
      </w:tr>
    </w:tbl>
    <w:p w14:paraId="31266AF8">
      <w:pPr>
        <w:spacing w:line="360" w:lineRule="auto"/>
        <w:jc w:val="center"/>
        <w:rPr>
          <w:rFonts w:ascii="宋体" w:hAnsi="宋体" w:cs="宋体"/>
          <w:sz w:val="30"/>
          <w:szCs w:val="30"/>
        </w:rPr>
      </w:pPr>
    </w:p>
    <w:p w14:paraId="44362C95">
      <w:pPr>
        <w:jc w:val="center"/>
        <w:rPr>
          <w:rFonts w:ascii="宋体" w:hAnsi="宋体" w:cs="宋体"/>
          <w:sz w:val="30"/>
          <w:szCs w:val="30"/>
        </w:rPr>
      </w:pPr>
      <w:r>
        <w:rPr>
          <w:rFonts w:hint="eastAsia" w:ascii="宋体" w:hAnsi="宋体" w:cs="宋体"/>
          <w:sz w:val="30"/>
          <w:szCs w:val="30"/>
        </w:rPr>
        <w:t>四、中标候选人推荐原则</w:t>
      </w:r>
    </w:p>
    <w:p w14:paraId="66FC7565">
      <w:pPr>
        <w:pStyle w:val="26"/>
        <w:spacing w:line="360" w:lineRule="auto"/>
        <w:contextualSpacing/>
        <w:rPr>
          <w:rFonts w:hAnsi="宋体" w:cs="宋体"/>
          <w:b/>
          <w:kern w:val="2"/>
          <w:sz w:val="24"/>
          <w:szCs w:val="24"/>
        </w:rPr>
      </w:pPr>
      <w:r>
        <w:rPr>
          <w:rFonts w:hint="eastAsia" w:hAnsi="宋体" w:cs="宋体"/>
          <w:b/>
          <w:kern w:val="2"/>
          <w:sz w:val="24"/>
          <w:szCs w:val="24"/>
        </w:rPr>
        <w:t>（一）综合评分法</w:t>
      </w:r>
    </w:p>
    <w:p w14:paraId="496CCE82">
      <w:pPr>
        <w:pStyle w:val="26"/>
        <w:spacing w:line="360" w:lineRule="auto"/>
        <w:ind w:firstLine="480" w:firstLineChars="200"/>
        <w:contextualSpacing/>
        <w:rPr>
          <w:rFonts w:hAnsi="宋体" w:cs="宋体"/>
          <w:kern w:val="2"/>
          <w:sz w:val="24"/>
          <w:szCs w:val="24"/>
        </w:rPr>
      </w:pPr>
      <w:r>
        <w:rPr>
          <w:rFonts w:hint="eastAsia" w:hAnsi="宋体" w:cs="宋体"/>
          <w:kern w:val="2"/>
          <w:sz w:val="24"/>
          <w:szCs w:val="24"/>
        </w:rPr>
        <w:t>1</w:t>
      </w:r>
      <w:r>
        <w:rPr>
          <w:rFonts w:hAnsi="宋体" w:cs="宋体"/>
          <w:kern w:val="2"/>
          <w:sz w:val="24"/>
          <w:szCs w:val="24"/>
        </w:rPr>
        <w:t>.</w:t>
      </w:r>
      <w:r>
        <w:rPr>
          <w:rFonts w:hint="eastAsia" w:hAnsi="宋体" w:cs="宋体"/>
          <w:kern w:val="2"/>
          <w:sz w:val="24"/>
          <w:szCs w:val="24"/>
        </w:rPr>
        <w:t>评标委员会将根据总得分由高到低排列次序并推荐中标候选人。得分相同的，按投标报价由低到高顺序排列。得分且投标报价相同的并列，依次按政策分得分高的优先、技术评分高的优先、商务评分高的优先、</w:t>
      </w:r>
      <w:r>
        <w:rPr>
          <w:rFonts w:hint="eastAsia" w:hAnsi="宋体" w:cs="宋体"/>
          <w:sz w:val="24"/>
        </w:rPr>
        <w:t>质量保证期</w:t>
      </w:r>
      <w:r>
        <w:rPr>
          <w:rFonts w:hint="eastAsia" w:hAnsi="宋体" w:cs="宋体"/>
          <w:kern w:val="2"/>
          <w:sz w:val="24"/>
          <w:szCs w:val="24"/>
        </w:rPr>
        <w:t>长优先、交货期短优先、故障响应时间短优先的顺序确定中标候选人。</w:t>
      </w:r>
    </w:p>
    <w:p w14:paraId="40E5D5D2">
      <w:pPr>
        <w:pStyle w:val="6"/>
        <w:ind w:firstLine="480" w:firstLineChars="200"/>
        <w:jc w:val="left"/>
        <w:rPr>
          <w:rFonts w:ascii="宋体" w:hAnsi="宋体" w:eastAsia="宋体" w:cs="宋体"/>
          <w:kern w:val="2"/>
          <w:sz w:val="24"/>
          <w:szCs w:val="24"/>
        </w:rPr>
      </w:pPr>
      <w:r>
        <w:rPr>
          <w:rFonts w:hint="eastAsia" w:ascii="宋体" w:hAnsi="宋体" w:eastAsia="宋体" w:cs="宋体"/>
          <w:kern w:val="2"/>
          <w:sz w:val="24"/>
          <w:szCs w:val="24"/>
        </w:rPr>
        <w:t>2.根据《政府采购货物和服务招标投标管理办法》（财政部令第87号）第三十一条第二款规定，采用综合评分法的采购项目，提供相同品牌产品且通过资格审查、符合性审查的不同投标人参加同一合同项下投标的，按一家投标人计算，评审后得分最高的同品牌投标人获得中标人推荐资格；评审得分相同的，按照“投标人须知前附表”8</w:t>
      </w:r>
      <w:r>
        <w:rPr>
          <w:rFonts w:ascii="宋体" w:hAnsi="宋体" w:eastAsia="宋体" w:cs="宋体"/>
          <w:kern w:val="2"/>
          <w:sz w:val="24"/>
          <w:szCs w:val="24"/>
        </w:rPr>
        <w:t>.1</w:t>
      </w:r>
      <w:r>
        <w:rPr>
          <w:rFonts w:hint="eastAsia" w:ascii="宋体" w:hAnsi="宋体" w:eastAsia="宋体" w:cs="宋体"/>
          <w:kern w:val="2"/>
          <w:sz w:val="24"/>
          <w:szCs w:val="24"/>
        </w:rPr>
        <w:t xml:space="preserve"> 规定推荐，确定后其他同品牌投标人不作为中标候选人。</w:t>
      </w:r>
    </w:p>
    <w:p w14:paraId="56537F55">
      <w:pPr>
        <w:pStyle w:val="26"/>
        <w:spacing w:line="360" w:lineRule="auto"/>
        <w:contextualSpacing/>
        <w:rPr>
          <w:rFonts w:hAnsi="宋体"/>
          <w:b/>
          <w:bCs/>
          <w:sz w:val="24"/>
          <w:szCs w:val="24"/>
        </w:rPr>
      </w:pPr>
      <w:r>
        <w:rPr>
          <w:rFonts w:hint="eastAsia" w:hAnsi="宋体"/>
          <w:b/>
          <w:bCs/>
          <w:sz w:val="24"/>
          <w:szCs w:val="24"/>
        </w:rPr>
        <w:t>（二）</w:t>
      </w:r>
      <w:r>
        <w:rPr>
          <w:rFonts w:hAnsi="宋体"/>
          <w:b/>
          <w:bCs/>
          <w:sz w:val="24"/>
          <w:szCs w:val="24"/>
        </w:rPr>
        <w:t>最低评标价法</w:t>
      </w:r>
    </w:p>
    <w:p w14:paraId="4C4EC56C">
      <w:pPr>
        <w:spacing w:line="360" w:lineRule="auto"/>
        <w:ind w:firstLine="480" w:firstLineChars="200"/>
        <w:rPr>
          <w:rFonts w:ascii="宋体" w:hAnsi="宋体" w:cs="宋体"/>
          <w:sz w:val="24"/>
        </w:rPr>
      </w:pPr>
      <w:r>
        <w:rPr>
          <w:rFonts w:hint="eastAsia" w:hAnsi="宋体"/>
          <w:sz w:val="24"/>
        </w:rPr>
        <w:t>评标委员会</w:t>
      </w:r>
      <w:r>
        <w:rPr>
          <w:rFonts w:hint="eastAsia" w:ascii="宋体" w:hAnsi="宋体" w:cs="宋体"/>
          <w:sz w:val="24"/>
        </w:rPr>
        <w:t>应当从质量和服务均能满足谈判文件实质性响应要求的供应商中，按照评标价由低到高的顺序排列次序并推荐中标候选人。评标价相同时，由谈判小组按“供应商须知前附表”第</w:t>
      </w:r>
      <w:r>
        <w:rPr>
          <w:rFonts w:ascii="宋体" w:hAnsi="宋体" w:cs="宋体"/>
          <w:sz w:val="24"/>
        </w:rPr>
        <w:t>30.1</w:t>
      </w:r>
      <w:r>
        <w:rPr>
          <w:rFonts w:hint="eastAsia" w:ascii="宋体" w:hAnsi="宋体" w:cs="宋体"/>
          <w:sz w:val="24"/>
        </w:rPr>
        <w:t>条规定的顺序</w:t>
      </w:r>
      <w:r>
        <w:rPr>
          <w:rFonts w:hint="eastAsia" w:hAnsi="宋体" w:cs="宋体"/>
          <w:sz w:val="24"/>
        </w:rPr>
        <w:t>确定中标候选人</w:t>
      </w:r>
      <w:r>
        <w:rPr>
          <w:rFonts w:hint="eastAsia" w:ascii="宋体" w:hAnsi="宋体" w:cs="宋体"/>
          <w:sz w:val="24"/>
        </w:rPr>
        <w:t>。</w:t>
      </w:r>
    </w:p>
    <w:p w14:paraId="7F66D517">
      <w:pPr>
        <w:pStyle w:val="26"/>
        <w:spacing w:line="360" w:lineRule="auto"/>
        <w:ind w:firstLine="480" w:firstLineChars="200"/>
        <w:contextualSpacing/>
        <w:rPr>
          <w:rFonts w:hAnsi="宋体" w:cs="宋体"/>
          <w:sz w:val="24"/>
          <w:szCs w:val="24"/>
        </w:rPr>
      </w:pPr>
    </w:p>
    <w:p w14:paraId="05089EC5">
      <w:bookmarkStart w:id="158" w:name="_Toc74320804"/>
    </w:p>
    <w:p w14:paraId="592FE8F2">
      <w:pPr>
        <w:rPr>
          <w:rFonts w:ascii="宋体" w:hAnsi="宋体" w:cs="宋体"/>
        </w:rPr>
      </w:pPr>
      <w:r>
        <w:rPr>
          <w:rFonts w:hint="eastAsia" w:ascii="宋体" w:hAnsi="宋体" w:cs="宋体"/>
        </w:rPr>
        <w:br w:type="page"/>
      </w:r>
    </w:p>
    <w:p w14:paraId="56F4BB51">
      <w:pPr>
        <w:pStyle w:val="3"/>
        <w:jc w:val="center"/>
        <w:rPr>
          <w:rFonts w:ascii="宋体" w:hAnsi="宋体" w:cs="宋体"/>
        </w:rPr>
      </w:pPr>
      <w:bookmarkStart w:id="159" w:name="_Toc20102"/>
      <w:r>
        <w:rPr>
          <w:rFonts w:hint="eastAsia" w:ascii="宋体" w:hAnsi="宋体" w:cs="宋体"/>
        </w:rPr>
        <w:t>第五章  拟签订的合同文本</w:t>
      </w:r>
      <w:bookmarkEnd w:id="158"/>
      <w:bookmarkEnd w:id="159"/>
    </w:p>
    <w:p w14:paraId="1214355D">
      <w:pPr>
        <w:snapToGrid w:val="0"/>
        <w:spacing w:line="360" w:lineRule="auto"/>
        <w:rPr>
          <w:rFonts w:ascii="宋体" w:hAnsi="宋体" w:cs="宋体"/>
          <w:sz w:val="24"/>
        </w:rPr>
      </w:pPr>
      <w:r>
        <w:rPr>
          <w:rFonts w:hint="eastAsia" w:ascii="宋体" w:hAnsi="宋体" w:cs="宋体"/>
          <w:b/>
          <w:sz w:val="24"/>
        </w:rPr>
        <w:t xml:space="preserve">一般货物类： </w:t>
      </w:r>
    </w:p>
    <w:p w14:paraId="24EF9413">
      <w:pPr>
        <w:snapToGrid w:val="0"/>
        <w:spacing w:line="360" w:lineRule="auto"/>
        <w:jc w:val="center"/>
        <w:rPr>
          <w:rFonts w:ascii="宋体" w:hAnsi="宋体" w:cs="宋体"/>
          <w:b/>
          <w:bCs/>
          <w:sz w:val="32"/>
          <w:szCs w:val="32"/>
        </w:rPr>
      </w:pPr>
    </w:p>
    <w:p w14:paraId="7EDC52A2">
      <w:pPr>
        <w:snapToGrid w:val="0"/>
        <w:spacing w:line="360" w:lineRule="auto"/>
        <w:jc w:val="center"/>
        <w:rPr>
          <w:rFonts w:ascii="宋体" w:hAnsi="宋体" w:cs="宋体"/>
          <w:b/>
          <w:bCs/>
          <w:sz w:val="32"/>
          <w:szCs w:val="32"/>
        </w:rPr>
      </w:pPr>
      <w:r>
        <w:rPr>
          <w:rFonts w:hint="eastAsia" w:ascii="宋体" w:hAnsi="宋体" w:cs="宋体"/>
          <w:b/>
          <w:bCs/>
          <w:sz w:val="32"/>
          <w:szCs w:val="32"/>
        </w:rPr>
        <w:t>《广西壮族自治区政府采购合同》</w:t>
      </w:r>
    </w:p>
    <w:p w14:paraId="5F536965">
      <w:pPr>
        <w:spacing w:line="460" w:lineRule="exact"/>
        <w:rPr>
          <w:rFonts w:ascii="宋体" w:hAnsi="宋体" w:cs="宋体"/>
          <w:sz w:val="24"/>
        </w:rPr>
      </w:pPr>
      <w:r>
        <w:rPr>
          <w:rFonts w:hint="eastAsia" w:ascii="宋体" w:hAnsi="宋体" w:cs="宋体"/>
          <w:sz w:val="24"/>
        </w:rPr>
        <w:t>项目名称：</w:t>
      </w:r>
    </w:p>
    <w:p w14:paraId="0F6B8891">
      <w:pPr>
        <w:spacing w:line="440" w:lineRule="exact"/>
        <w:rPr>
          <w:rFonts w:ascii="宋体" w:hAnsi="宋体" w:cs="宋体"/>
          <w:sz w:val="24"/>
        </w:rPr>
      </w:pPr>
      <w:r>
        <w:rPr>
          <w:rFonts w:hint="eastAsia" w:ascii="宋体" w:hAnsi="宋体" w:cs="宋体"/>
          <w:sz w:val="24"/>
        </w:rPr>
        <w:t>合同编号：</w:t>
      </w:r>
    </w:p>
    <w:p w14:paraId="188B69BF">
      <w:pPr>
        <w:spacing w:line="440" w:lineRule="exact"/>
        <w:rPr>
          <w:rFonts w:ascii="宋体" w:hAnsi="宋体" w:cs="宋体"/>
          <w:sz w:val="24"/>
        </w:rPr>
      </w:pPr>
      <w:r>
        <w:rPr>
          <w:rFonts w:hint="eastAsia" w:ascii="宋体" w:hAnsi="宋体" w:cs="宋体"/>
          <w:sz w:val="24"/>
        </w:rPr>
        <w:t>采购人（甲方）：</w:t>
      </w:r>
      <w:r>
        <w:rPr>
          <w:rFonts w:hint="eastAsia" w:ascii="宋体" w:hAnsi="宋体" w:cs="宋体"/>
          <w:sz w:val="24"/>
          <w:u w:val="single"/>
        </w:rPr>
        <w:t>广西大学</w:t>
      </w:r>
      <w:r>
        <w:rPr>
          <w:rFonts w:hint="eastAsia" w:ascii="宋体" w:hAnsi="宋体" w:cs="宋体"/>
          <w:sz w:val="24"/>
        </w:rPr>
        <w:t xml:space="preserve">                      </w:t>
      </w:r>
    </w:p>
    <w:p w14:paraId="76695A4F">
      <w:pPr>
        <w:spacing w:line="440" w:lineRule="exact"/>
        <w:rPr>
          <w:rFonts w:ascii="宋体" w:hAnsi="宋体" w:cs="宋体"/>
          <w:sz w:val="24"/>
        </w:rPr>
      </w:pPr>
      <w:r>
        <w:rPr>
          <w:rFonts w:hint="eastAsia" w:ascii="宋体" w:hAnsi="宋体" w:cs="宋体"/>
          <w:sz w:val="24"/>
        </w:rPr>
        <w:t>供应商（乙方）：</w:t>
      </w:r>
      <w:r>
        <w:rPr>
          <w:rFonts w:hint="eastAsia" w:ascii="宋体" w:hAnsi="宋体" w:cs="宋体"/>
          <w:sz w:val="24"/>
          <w:u w:val="single"/>
        </w:rPr>
        <w:t xml:space="preserve">        </w:t>
      </w:r>
      <w:r>
        <w:rPr>
          <w:rFonts w:hint="eastAsia" w:ascii="宋体" w:hAnsi="宋体" w:cs="宋体"/>
          <w:sz w:val="24"/>
        </w:rPr>
        <w:t xml:space="preserve">  </w:t>
      </w:r>
    </w:p>
    <w:p w14:paraId="38438657">
      <w:pPr>
        <w:spacing w:line="440" w:lineRule="exact"/>
        <w:rPr>
          <w:rFonts w:ascii="宋体" w:hAnsi="宋体" w:cs="宋体"/>
          <w:sz w:val="24"/>
        </w:rPr>
      </w:pPr>
      <w:r>
        <w:rPr>
          <w:rFonts w:hint="eastAsia" w:ascii="宋体" w:hAnsi="宋体" w:cs="宋体"/>
          <w:sz w:val="24"/>
        </w:rPr>
        <w:t>招标编号：</w:t>
      </w:r>
    </w:p>
    <w:p w14:paraId="5518C048">
      <w:pPr>
        <w:spacing w:line="440" w:lineRule="exact"/>
        <w:rPr>
          <w:rFonts w:ascii="宋体" w:hAnsi="宋体" w:cs="宋体"/>
          <w:sz w:val="24"/>
        </w:rPr>
      </w:pPr>
      <w:r>
        <w:rPr>
          <w:rFonts w:hint="eastAsia" w:ascii="宋体" w:hAnsi="宋体" w:cs="宋体"/>
          <w:sz w:val="24"/>
        </w:rPr>
        <w:t>签订地点：</w:t>
      </w:r>
      <w:r>
        <w:rPr>
          <w:rFonts w:hint="eastAsia" w:ascii="宋体" w:hAnsi="宋体" w:cs="宋体"/>
          <w:sz w:val="24"/>
          <w:u w:val="single"/>
        </w:rPr>
        <w:t>广西壮族自治区南宁市西乡塘区</w:t>
      </w:r>
    </w:p>
    <w:p w14:paraId="23510975">
      <w:pPr>
        <w:snapToGrid w:val="0"/>
        <w:spacing w:line="360" w:lineRule="auto"/>
        <w:ind w:firstLine="480" w:firstLineChars="200"/>
        <w:rPr>
          <w:rFonts w:ascii="宋体" w:hAnsi="宋体" w:cs="宋体"/>
          <w:sz w:val="24"/>
        </w:rPr>
      </w:pPr>
    </w:p>
    <w:p w14:paraId="4A5B7E02">
      <w:pPr>
        <w:snapToGrid w:val="0"/>
        <w:spacing w:line="360" w:lineRule="auto"/>
        <w:ind w:firstLine="480" w:firstLineChars="200"/>
        <w:rPr>
          <w:rFonts w:ascii="宋体" w:hAnsi="宋体" w:cs="宋体"/>
          <w:sz w:val="24"/>
        </w:rPr>
      </w:pPr>
      <w:r>
        <w:rPr>
          <w:rFonts w:hint="eastAsia" w:ascii="宋体" w:hAnsi="宋体" w:cs="宋体"/>
          <w:sz w:val="24"/>
        </w:rPr>
        <w:t>根据《中华人民共和国民法典》《中华人民共和国政府采购法》等法律、法规规定，按照招标文件规定条款和中标（成交）供应商承诺，甲乙双方签订本合同。</w:t>
      </w:r>
    </w:p>
    <w:p w14:paraId="1A0416CD">
      <w:pPr>
        <w:snapToGrid w:val="0"/>
        <w:spacing w:line="360" w:lineRule="auto"/>
        <w:ind w:firstLine="482" w:firstLineChars="200"/>
        <w:rPr>
          <w:rFonts w:ascii="宋体" w:hAnsi="宋体" w:cs="宋体"/>
          <w:b/>
          <w:sz w:val="24"/>
        </w:rPr>
      </w:pPr>
      <w:r>
        <w:rPr>
          <w:rFonts w:hint="eastAsia" w:ascii="宋体" w:hAnsi="宋体" w:cs="宋体"/>
          <w:b/>
          <w:sz w:val="24"/>
        </w:rPr>
        <w:t>第一条　合同标的</w:t>
      </w:r>
    </w:p>
    <w:p w14:paraId="60E537E2">
      <w:pPr>
        <w:snapToGrid w:val="0"/>
        <w:spacing w:line="360" w:lineRule="auto"/>
        <w:ind w:firstLine="480" w:firstLineChars="200"/>
        <w:rPr>
          <w:rFonts w:ascii="宋体" w:hAnsi="宋体" w:cs="宋体"/>
          <w:sz w:val="24"/>
        </w:rPr>
      </w:pPr>
      <w:r>
        <w:rPr>
          <w:rFonts w:hint="eastAsia" w:ascii="宋体" w:hAnsi="宋体" w:cs="宋体"/>
          <w:sz w:val="24"/>
        </w:rPr>
        <w:t>1.供货一览表</w:t>
      </w:r>
    </w:p>
    <w:tbl>
      <w:tblPr>
        <w:tblStyle w:val="48"/>
        <w:tblW w:w="10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34"/>
        <w:gridCol w:w="1134"/>
        <w:gridCol w:w="1276"/>
        <w:gridCol w:w="1134"/>
        <w:gridCol w:w="992"/>
        <w:gridCol w:w="709"/>
        <w:gridCol w:w="830"/>
        <w:gridCol w:w="1722"/>
        <w:gridCol w:w="1276"/>
      </w:tblGrid>
      <w:tr w14:paraId="369A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709" w:type="dxa"/>
            <w:vAlign w:val="center"/>
          </w:tcPr>
          <w:p w14:paraId="38BAE17E">
            <w:pPr>
              <w:snapToGrid w:val="0"/>
              <w:spacing w:line="460" w:lineRule="exact"/>
              <w:jc w:val="center"/>
              <w:rPr>
                <w:rFonts w:ascii="宋体" w:hAnsi="宋体" w:cs="宋体"/>
                <w:b/>
                <w:sz w:val="24"/>
              </w:rPr>
            </w:pPr>
            <w:r>
              <w:rPr>
                <w:rFonts w:hint="eastAsia" w:ascii="宋体" w:hAnsi="宋体" w:cs="宋体"/>
                <w:b/>
                <w:sz w:val="24"/>
              </w:rPr>
              <w:t>序号</w:t>
            </w:r>
          </w:p>
        </w:tc>
        <w:tc>
          <w:tcPr>
            <w:tcW w:w="1034" w:type="dxa"/>
            <w:vAlign w:val="center"/>
          </w:tcPr>
          <w:p w14:paraId="739ECEEC">
            <w:pPr>
              <w:snapToGrid w:val="0"/>
              <w:spacing w:line="460" w:lineRule="exact"/>
              <w:jc w:val="center"/>
              <w:rPr>
                <w:rFonts w:ascii="宋体" w:hAnsi="宋体" w:cs="宋体"/>
                <w:b/>
                <w:sz w:val="24"/>
              </w:rPr>
            </w:pPr>
            <w:r>
              <w:rPr>
                <w:rFonts w:hint="eastAsia" w:ascii="宋体" w:hAnsi="宋体" w:cs="宋体"/>
                <w:b/>
                <w:sz w:val="24"/>
              </w:rPr>
              <w:t>标的</w:t>
            </w:r>
          </w:p>
          <w:p w14:paraId="48204569">
            <w:pPr>
              <w:snapToGrid w:val="0"/>
              <w:spacing w:line="460" w:lineRule="exact"/>
              <w:jc w:val="center"/>
              <w:rPr>
                <w:rFonts w:ascii="宋体" w:hAnsi="宋体" w:cs="宋体"/>
                <w:b/>
                <w:sz w:val="24"/>
              </w:rPr>
            </w:pPr>
            <w:r>
              <w:rPr>
                <w:rFonts w:hint="eastAsia" w:ascii="宋体" w:hAnsi="宋体" w:cs="宋体"/>
                <w:b/>
                <w:sz w:val="24"/>
              </w:rPr>
              <w:t>名称</w:t>
            </w:r>
          </w:p>
        </w:tc>
        <w:tc>
          <w:tcPr>
            <w:tcW w:w="1134" w:type="dxa"/>
            <w:vAlign w:val="center"/>
          </w:tcPr>
          <w:p w14:paraId="4A674189">
            <w:pPr>
              <w:snapToGrid w:val="0"/>
              <w:spacing w:line="460" w:lineRule="exact"/>
              <w:jc w:val="center"/>
              <w:rPr>
                <w:rFonts w:ascii="宋体" w:hAnsi="宋体" w:cs="宋体"/>
                <w:b/>
                <w:sz w:val="24"/>
              </w:rPr>
            </w:pPr>
            <w:r>
              <w:rPr>
                <w:rFonts w:hint="eastAsia" w:ascii="宋体" w:hAnsi="宋体" w:cs="宋体"/>
                <w:b/>
                <w:sz w:val="24"/>
              </w:rPr>
              <w:t>商标</w:t>
            </w:r>
          </w:p>
          <w:p w14:paraId="708147D3">
            <w:pPr>
              <w:snapToGrid w:val="0"/>
              <w:spacing w:line="460" w:lineRule="exact"/>
              <w:jc w:val="center"/>
              <w:rPr>
                <w:rFonts w:ascii="宋体" w:hAnsi="宋体" w:cs="宋体"/>
                <w:b/>
                <w:sz w:val="24"/>
              </w:rPr>
            </w:pPr>
            <w:r>
              <w:rPr>
                <w:rFonts w:hint="eastAsia" w:ascii="宋体" w:hAnsi="宋体" w:cs="宋体"/>
                <w:b/>
                <w:sz w:val="24"/>
              </w:rPr>
              <w:t>品牌</w:t>
            </w:r>
          </w:p>
        </w:tc>
        <w:tc>
          <w:tcPr>
            <w:tcW w:w="1276" w:type="dxa"/>
            <w:vAlign w:val="center"/>
          </w:tcPr>
          <w:p w14:paraId="76FB6648">
            <w:pPr>
              <w:snapToGrid w:val="0"/>
              <w:spacing w:line="460" w:lineRule="exact"/>
              <w:jc w:val="center"/>
              <w:rPr>
                <w:rFonts w:ascii="宋体" w:hAnsi="宋体" w:cs="宋体"/>
                <w:b/>
                <w:sz w:val="24"/>
              </w:rPr>
            </w:pPr>
            <w:r>
              <w:rPr>
                <w:rFonts w:hint="eastAsia" w:ascii="宋体" w:hAnsi="宋体" w:cs="宋体"/>
                <w:b/>
                <w:sz w:val="24"/>
              </w:rPr>
              <w:t>规格型号</w:t>
            </w:r>
          </w:p>
        </w:tc>
        <w:tc>
          <w:tcPr>
            <w:tcW w:w="1134" w:type="dxa"/>
            <w:vAlign w:val="center"/>
          </w:tcPr>
          <w:p w14:paraId="7CF42F90">
            <w:pPr>
              <w:snapToGrid w:val="0"/>
              <w:jc w:val="center"/>
              <w:rPr>
                <w:rFonts w:ascii="宋体" w:hAnsi="宋体" w:cs="宋体"/>
                <w:b/>
                <w:sz w:val="24"/>
              </w:rPr>
            </w:pPr>
            <w:r>
              <w:rPr>
                <w:rFonts w:hint="eastAsia" w:ascii="宋体" w:hAnsi="宋体" w:cs="宋体"/>
                <w:b/>
                <w:sz w:val="24"/>
              </w:rPr>
              <w:t>生产</w:t>
            </w:r>
          </w:p>
          <w:p w14:paraId="5F087F34">
            <w:pPr>
              <w:snapToGrid w:val="0"/>
              <w:jc w:val="center"/>
              <w:rPr>
                <w:rFonts w:ascii="宋体" w:hAnsi="宋体" w:cs="宋体"/>
                <w:b/>
                <w:sz w:val="24"/>
              </w:rPr>
            </w:pPr>
            <w:r>
              <w:rPr>
                <w:rFonts w:hint="eastAsia" w:ascii="宋体" w:hAnsi="宋体" w:cs="宋体"/>
                <w:b/>
                <w:sz w:val="24"/>
              </w:rPr>
              <w:t>厂家</w:t>
            </w:r>
          </w:p>
        </w:tc>
        <w:tc>
          <w:tcPr>
            <w:tcW w:w="992" w:type="dxa"/>
            <w:vAlign w:val="center"/>
          </w:tcPr>
          <w:p w14:paraId="7B16D45C">
            <w:pPr>
              <w:snapToGrid w:val="0"/>
              <w:jc w:val="center"/>
              <w:rPr>
                <w:rFonts w:ascii="宋体" w:hAnsi="宋体" w:cs="宋体"/>
                <w:b/>
                <w:sz w:val="24"/>
              </w:rPr>
            </w:pPr>
            <w:r>
              <w:rPr>
                <w:rFonts w:hint="eastAsia" w:ascii="宋体" w:hAnsi="宋体" w:cs="宋体"/>
                <w:b/>
                <w:sz w:val="24"/>
              </w:rPr>
              <w:t>产地</w:t>
            </w:r>
          </w:p>
        </w:tc>
        <w:tc>
          <w:tcPr>
            <w:tcW w:w="709" w:type="dxa"/>
            <w:vAlign w:val="center"/>
          </w:tcPr>
          <w:p w14:paraId="1685B428">
            <w:pPr>
              <w:snapToGrid w:val="0"/>
              <w:jc w:val="center"/>
              <w:rPr>
                <w:rFonts w:ascii="宋体" w:hAnsi="宋体" w:cs="宋体"/>
                <w:b/>
                <w:sz w:val="24"/>
              </w:rPr>
            </w:pPr>
            <w:r>
              <w:rPr>
                <w:rFonts w:hint="eastAsia" w:ascii="宋体" w:hAnsi="宋体" w:cs="宋体"/>
                <w:b/>
                <w:sz w:val="24"/>
              </w:rPr>
              <w:t>数  量</w:t>
            </w:r>
          </w:p>
        </w:tc>
        <w:tc>
          <w:tcPr>
            <w:tcW w:w="830" w:type="dxa"/>
            <w:vAlign w:val="center"/>
          </w:tcPr>
          <w:p w14:paraId="5C777B66">
            <w:pPr>
              <w:snapToGrid w:val="0"/>
              <w:jc w:val="center"/>
              <w:rPr>
                <w:rFonts w:ascii="宋体" w:hAnsi="宋体" w:cs="宋体"/>
                <w:b/>
                <w:sz w:val="24"/>
              </w:rPr>
            </w:pPr>
            <w:r>
              <w:rPr>
                <w:rFonts w:hint="eastAsia" w:ascii="宋体" w:hAnsi="宋体" w:cs="宋体"/>
                <w:b/>
                <w:sz w:val="24"/>
              </w:rPr>
              <w:t>单位</w:t>
            </w:r>
          </w:p>
        </w:tc>
        <w:tc>
          <w:tcPr>
            <w:tcW w:w="1722" w:type="dxa"/>
            <w:vAlign w:val="center"/>
          </w:tcPr>
          <w:p w14:paraId="0FEBF7C8">
            <w:pPr>
              <w:snapToGrid w:val="0"/>
              <w:jc w:val="center"/>
              <w:rPr>
                <w:rFonts w:ascii="宋体" w:hAnsi="宋体" w:cs="宋体"/>
                <w:b/>
                <w:sz w:val="24"/>
              </w:rPr>
            </w:pPr>
            <w:r>
              <w:rPr>
                <w:rFonts w:hint="eastAsia" w:ascii="宋体" w:hAnsi="宋体" w:cs="宋体"/>
                <w:b/>
                <w:sz w:val="24"/>
              </w:rPr>
              <w:t>单  价</w:t>
            </w:r>
          </w:p>
          <w:p w14:paraId="1AF2E981">
            <w:pPr>
              <w:snapToGrid w:val="0"/>
              <w:jc w:val="center"/>
              <w:rPr>
                <w:rFonts w:ascii="宋体" w:hAnsi="宋体" w:cs="宋体"/>
                <w:b/>
                <w:sz w:val="24"/>
              </w:rPr>
            </w:pPr>
            <w:r>
              <w:rPr>
                <w:rFonts w:hint="eastAsia" w:ascii="宋体" w:hAnsi="宋体" w:cs="宋体"/>
                <w:b/>
                <w:sz w:val="24"/>
              </w:rPr>
              <w:t>（元/人民币）</w:t>
            </w:r>
          </w:p>
        </w:tc>
        <w:tc>
          <w:tcPr>
            <w:tcW w:w="1276" w:type="dxa"/>
            <w:vAlign w:val="center"/>
          </w:tcPr>
          <w:p w14:paraId="5AB9A0BC">
            <w:pPr>
              <w:snapToGrid w:val="0"/>
              <w:jc w:val="center"/>
              <w:rPr>
                <w:rFonts w:ascii="宋体" w:hAnsi="宋体" w:cs="宋体"/>
                <w:b/>
                <w:sz w:val="24"/>
              </w:rPr>
            </w:pPr>
            <w:r>
              <w:rPr>
                <w:rFonts w:hint="eastAsia" w:ascii="宋体" w:hAnsi="宋体" w:cs="宋体"/>
                <w:b/>
                <w:sz w:val="24"/>
              </w:rPr>
              <w:t>单项合计（元/人民币）</w:t>
            </w:r>
          </w:p>
        </w:tc>
      </w:tr>
      <w:tr w14:paraId="67CA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09" w:type="dxa"/>
            <w:vAlign w:val="center"/>
          </w:tcPr>
          <w:p w14:paraId="5E4FDF9D">
            <w:pPr>
              <w:snapToGrid w:val="0"/>
              <w:spacing w:line="460" w:lineRule="exact"/>
              <w:jc w:val="center"/>
              <w:rPr>
                <w:rFonts w:ascii="宋体" w:hAnsi="宋体" w:cs="宋体"/>
                <w:sz w:val="24"/>
              </w:rPr>
            </w:pPr>
            <w:r>
              <w:rPr>
                <w:rFonts w:hint="eastAsia" w:ascii="宋体" w:hAnsi="宋体" w:cs="宋体"/>
                <w:sz w:val="24"/>
              </w:rPr>
              <w:t>1</w:t>
            </w:r>
          </w:p>
        </w:tc>
        <w:tc>
          <w:tcPr>
            <w:tcW w:w="1034" w:type="dxa"/>
            <w:vAlign w:val="center"/>
          </w:tcPr>
          <w:p w14:paraId="4684264C">
            <w:pPr>
              <w:snapToGrid w:val="0"/>
              <w:spacing w:line="460" w:lineRule="exact"/>
              <w:jc w:val="center"/>
              <w:rPr>
                <w:rFonts w:ascii="宋体" w:hAnsi="宋体" w:cs="宋体"/>
                <w:sz w:val="24"/>
              </w:rPr>
            </w:pPr>
          </w:p>
        </w:tc>
        <w:tc>
          <w:tcPr>
            <w:tcW w:w="1134" w:type="dxa"/>
            <w:vAlign w:val="center"/>
          </w:tcPr>
          <w:p w14:paraId="0FFC806F">
            <w:pPr>
              <w:snapToGrid w:val="0"/>
              <w:spacing w:line="460" w:lineRule="exact"/>
              <w:jc w:val="center"/>
              <w:rPr>
                <w:rFonts w:ascii="宋体" w:hAnsi="宋体" w:cs="宋体"/>
                <w:sz w:val="24"/>
              </w:rPr>
            </w:pPr>
          </w:p>
        </w:tc>
        <w:tc>
          <w:tcPr>
            <w:tcW w:w="1276" w:type="dxa"/>
            <w:vAlign w:val="center"/>
          </w:tcPr>
          <w:p w14:paraId="10491E7D">
            <w:pPr>
              <w:snapToGrid w:val="0"/>
              <w:spacing w:line="460" w:lineRule="exact"/>
              <w:jc w:val="center"/>
              <w:rPr>
                <w:rFonts w:ascii="宋体" w:hAnsi="宋体" w:cs="宋体"/>
                <w:sz w:val="24"/>
              </w:rPr>
            </w:pPr>
          </w:p>
        </w:tc>
        <w:tc>
          <w:tcPr>
            <w:tcW w:w="1134" w:type="dxa"/>
          </w:tcPr>
          <w:p w14:paraId="27373145">
            <w:pPr>
              <w:snapToGrid w:val="0"/>
              <w:spacing w:line="460" w:lineRule="exact"/>
              <w:jc w:val="center"/>
              <w:rPr>
                <w:rFonts w:ascii="宋体" w:hAnsi="宋体" w:cs="宋体"/>
                <w:sz w:val="24"/>
              </w:rPr>
            </w:pPr>
          </w:p>
        </w:tc>
        <w:tc>
          <w:tcPr>
            <w:tcW w:w="992" w:type="dxa"/>
            <w:vAlign w:val="center"/>
          </w:tcPr>
          <w:p w14:paraId="49FC5553">
            <w:pPr>
              <w:snapToGrid w:val="0"/>
              <w:spacing w:line="460" w:lineRule="exact"/>
              <w:jc w:val="center"/>
              <w:rPr>
                <w:rFonts w:ascii="宋体" w:hAnsi="宋体" w:cs="宋体"/>
                <w:sz w:val="24"/>
              </w:rPr>
            </w:pPr>
          </w:p>
        </w:tc>
        <w:tc>
          <w:tcPr>
            <w:tcW w:w="709" w:type="dxa"/>
            <w:vAlign w:val="center"/>
          </w:tcPr>
          <w:p w14:paraId="305360DD">
            <w:pPr>
              <w:snapToGrid w:val="0"/>
              <w:spacing w:line="460" w:lineRule="exact"/>
              <w:jc w:val="center"/>
              <w:rPr>
                <w:rFonts w:ascii="宋体" w:hAnsi="宋体" w:cs="宋体"/>
                <w:sz w:val="24"/>
              </w:rPr>
            </w:pPr>
          </w:p>
        </w:tc>
        <w:tc>
          <w:tcPr>
            <w:tcW w:w="830" w:type="dxa"/>
          </w:tcPr>
          <w:p w14:paraId="7222D60D">
            <w:pPr>
              <w:snapToGrid w:val="0"/>
              <w:spacing w:line="460" w:lineRule="exact"/>
              <w:jc w:val="center"/>
              <w:rPr>
                <w:rFonts w:ascii="宋体" w:hAnsi="宋体" w:cs="宋体"/>
                <w:sz w:val="24"/>
              </w:rPr>
            </w:pPr>
          </w:p>
        </w:tc>
        <w:tc>
          <w:tcPr>
            <w:tcW w:w="1722" w:type="dxa"/>
            <w:vAlign w:val="center"/>
          </w:tcPr>
          <w:p w14:paraId="04080985">
            <w:pPr>
              <w:snapToGrid w:val="0"/>
              <w:spacing w:line="460" w:lineRule="exact"/>
              <w:jc w:val="center"/>
              <w:rPr>
                <w:rFonts w:ascii="宋体" w:hAnsi="宋体" w:cs="宋体"/>
                <w:sz w:val="24"/>
              </w:rPr>
            </w:pPr>
          </w:p>
        </w:tc>
        <w:tc>
          <w:tcPr>
            <w:tcW w:w="1276" w:type="dxa"/>
          </w:tcPr>
          <w:p w14:paraId="20A5955F">
            <w:pPr>
              <w:snapToGrid w:val="0"/>
              <w:spacing w:line="460" w:lineRule="exact"/>
              <w:jc w:val="center"/>
              <w:rPr>
                <w:rFonts w:ascii="宋体" w:hAnsi="宋体" w:cs="宋体"/>
                <w:sz w:val="24"/>
              </w:rPr>
            </w:pPr>
          </w:p>
        </w:tc>
      </w:tr>
      <w:tr w14:paraId="0949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0816" w:type="dxa"/>
            <w:gridSpan w:val="10"/>
          </w:tcPr>
          <w:p w14:paraId="0733E072">
            <w:pPr>
              <w:snapToGrid w:val="0"/>
              <w:spacing w:line="460" w:lineRule="exact"/>
              <w:jc w:val="left"/>
              <w:rPr>
                <w:rFonts w:ascii="宋体" w:hAnsi="宋体" w:cs="宋体"/>
                <w:sz w:val="24"/>
              </w:rPr>
            </w:pPr>
            <w:r>
              <w:rPr>
                <w:rFonts w:hint="eastAsia" w:ascii="宋体" w:hAnsi="宋体" w:cs="宋体"/>
                <w:sz w:val="24"/>
              </w:rPr>
              <w:t>合计金额（人民币大写</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b/>
                <w:bCs/>
                <w:sz w:val="24"/>
                <w:u w:val="single"/>
              </w:rPr>
              <w:t xml:space="preserve"> </w:t>
            </w:r>
            <w:r>
              <w:rPr>
                <w:rFonts w:ascii="宋体" w:hAnsi="宋体" w:cs="宋体"/>
                <w:b/>
                <w:bCs/>
                <w:sz w:val="24"/>
                <w:u w:val="single"/>
              </w:rPr>
              <w:t xml:space="preserve">        </w:t>
            </w:r>
            <w:r>
              <w:rPr>
                <w:rFonts w:hint="eastAsia" w:ascii="宋体" w:hAnsi="宋体" w:cs="宋体"/>
                <w:bCs/>
                <w:sz w:val="24"/>
              </w:rPr>
              <w:t>（小写）</w:t>
            </w:r>
            <w:r>
              <w:rPr>
                <w:rFonts w:hint="eastAsia" w:ascii="宋体" w:hAnsi="宋体" w:cs="宋体"/>
                <w:bCs/>
                <w:sz w:val="24"/>
                <w:u w:val="single"/>
              </w:rPr>
              <w:t xml:space="preserve">¥ </w:t>
            </w:r>
            <w:r>
              <w:rPr>
                <w:rFonts w:ascii="宋体" w:hAnsi="宋体" w:cs="宋体"/>
                <w:bCs/>
                <w:sz w:val="24"/>
                <w:u w:val="single"/>
              </w:rPr>
              <w:t xml:space="preserve">        .** </w:t>
            </w:r>
          </w:p>
        </w:tc>
      </w:tr>
    </w:tbl>
    <w:p w14:paraId="142C7E8F">
      <w:pPr>
        <w:snapToGrid w:val="0"/>
        <w:spacing w:line="460" w:lineRule="exact"/>
        <w:ind w:firstLine="480" w:firstLineChars="200"/>
        <w:rPr>
          <w:rFonts w:ascii="宋体" w:hAnsi="宋体" w:cs="宋体"/>
          <w:sz w:val="24"/>
        </w:rPr>
      </w:pPr>
      <w:r>
        <w:rPr>
          <w:rFonts w:hint="eastAsia" w:ascii="宋体" w:hAnsi="宋体" w:cs="宋体"/>
          <w:sz w:val="24"/>
        </w:rPr>
        <w:t>2.合同合计金额包括货物价款、配套软件、标准附件、随配附件、备品备件、辅助材料、专用工具、包装、运抵指定交货地点、运输、装卸、完工清场清洁、货到就位、安装、调试、检验、技术培训、技术资料、售后服务、保险、投标费用、预验收及履约验收及售后服务、人工费、一切税费等全部费用，甲方不再支付合同合计金额以外的其他费用。</w:t>
      </w:r>
    </w:p>
    <w:p w14:paraId="5B09B422">
      <w:pPr>
        <w:snapToGrid w:val="0"/>
        <w:spacing w:line="460" w:lineRule="exact"/>
        <w:ind w:firstLine="482" w:firstLineChars="200"/>
        <w:rPr>
          <w:rFonts w:ascii="宋体" w:hAnsi="宋体" w:cs="宋体"/>
          <w:sz w:val="24"/>
        </w:rPr>
      </w:pPr>
      <w:r>
        <w:rPr>
          <w:rFonts w:hint="eastAsia" w:ascii="宋体" w:hAnsi="宋体" w:cs="宋体"/>
          <w:b/>
          <w:sz w:val="24"/>
        </w:rPr>
        <w:t>第二条　质量要求</w:t>
      </w:r>
    </w:p>
    <w:p w14:paraId="55687B77">
      <w:pPr>
        <w:snapToGrid w:val="0"/>
        <w:spacing w:line="460" w:lineRule="exact"/>
        <w:ind w:firstLine="480" w:firstLineChars="200"/>
        <w:rPr>
          <w:rFonts w:ascii="宋体" w:hAnsi="宋体" w:cs="宋体"/>
          <w:sz w:val="24"/>
        </w:rPr>
      </w:pPr>
      <w:r>
        <w:rPr>
          <w:rFonts w:hint="eastAsia" w:ascii="宋体" w:hAnsi="宋体" w:cs="宋体"/>
          <w:sz w:val="24"/>
        </w:rPr>
        <w:t>1.乙方所提供的产品名称、商标品牌、生产厂家、规格型号、技术参数等质量必须与招标文件规定及投标文件承诺相一致。乙方提供的节能和环保产品必须是列入政府采购品目清单的产品。</w:t>
      </w:r>
    </w:p>
    <w:p w14:paraId="1223603B">
      <w:pPr>
        <w:snapToGrid w:val="0"/>
        <w:spacing w:line="460" w:lineRule="exact"/>
        <w:ind w:firstLine="480" w:firstLineChars="200"/>
        <w:rPr>
          <w:rFonts w:ascii="宋体" w:hAnsi="宋体" w:cs="宋体"/>
          <w:sz w:val="24"/>
        </w:rPr>
      </w:pPr>
      <w:r>
        <w:rPr>
          <w:rFonts w:hint="eastAsia" w:ascii="宋体" w:hAnsi="宋体" w:cs="宋体"/>
          <w:sz w:val="24"/>
        </w:rPr>
        <w:t>2.乙方所提供的货物必须是全新、未使用的原装产品，且在正常安装、使用和保养条件下，其使用寿命期内各项指标均达到招标文件规定或者投标文件承诺的质量要求。</w:t>
      </w:r>
    </w:p>
    <w:p w14:paraId="1C8BEC0D">
      <w:pPr>
        <w:snapToGrid w:val="0"/>
        <w:spacing w:line="460" w:lineRule="exact"/>
        <w:ind w:firstLine="482" w:firstLineChars="200"/>
        <w:rPr>
          <w:rFonts w:ascii="宋体" w:hAnsi="宋体" w:cs="宋体"/>
          <w:sz w:val="24"/>
        </w:rPr>
      </w:pPr>
      <w:r>
        <w:rPr>
          <w:rFonts w:hint="eastAsia" w:ascii="宋体" w:hAnsi="宋体" w:cs="宋体"/>
          <w:b/>
          <w:sz w:val="24"/>
        </w:rPr>
        <w:t>第三条　权利保证</w:t>
      </w:r>
    </w:p>
    <w:p w14:paraId="591C4FBA">
      <w:pPr>
        <w:snapToGrid w:val="0"/>
        <w:spacing w:line="460" w:lineRule="exact"/>
        <w:ind w:firstLine="480" w:firstLineChars="200"/>
        <w:rPr>
          <w:rFonts w:ascii="宋体" w:hAnsi="宋体" w:cs="宋体"/>
          <w:sz w:val="24"/>
        </w:rPr>
      </w:pPr>
      <w:r>
        <w:rPr>
          <w:rFonts w:hint="eastAsia" w:ascii="宋体" w:hAnsi="宋体" w:cs="宋体"/>
          <w:sz w:val="24"/>
        </w:rPr>
        <w:t>1.乙方应保证所提供货物在使用时不会侵犯任何第三方的专利权、商标权、工业设计权</w:t>
      </w:r>
      <w:r>
        <w:rPr>
          <w:rFonts w:hint="eastAsia" w:ascii="宋体" w:hAnsi="宋体"/>
          <w:sz w:val="24"/>
        </w:rPr>
        <w:t>等知识产权及其他合法权利，且所有权、处分权等没有受到任何限制。</w:t>
      </w:r>
    </w:p>
    <w:p w14:paraId="269238EF">
      <w:pPr>
        <w:snapToGrid w:val="0"/>
        <w:spacing w:line="460" w:lineRule="exact"/>
        <w:ind w:firstLine="480" w:firstLineChars="200"/>
        <w:rPr>
          <w:rFonts w:ascii="宋体" w:hAnsi="宋体" w:cs="宋体"/>
          <w:sz w:val="24"/>
        </w:rPr>
      </w:pPr>
      <w:r>
        <w:rPr>
          <w:rFonts w:hint="eastAsia" w:ascii="宋体" w:hAnsi="宋体" w:cs="宋体"/>
          <w:sz w:val="24"/>
        </w:rPr>
        <w:t>2.乙方应按招标文件规定或者投标文件承诺的时间向甲方提供使用货物的有关技术资料。</w:t>
      </w:r>
    </w:p>
    <w:p w14:paraId="2CC46589">
      <w:pPr>
        <w:snapToGrid w:val="0"/>
        <w:spacing w:line="460" w:lineRule="exact"/>
        <w:ind w:firstLine="480" w:firstLineChars="200"/>
        <w:rPr>
          <w:rFonts w:ascii="宋体" w:hAnsi="宋体" w:cs="宋体"/>
          <w:sz w:val="24"/>
        </w:rPr>
      </w:pPr>
      <w:r>
        <w:rPr>
          <w:rFonts w:hint="eastAsia" w:ascii="宋体" w:hAnsi="宋体" w:cs="宋体"/>
          <w:sz w:val="24"/>
        </w:rPr>
        <w:t>3.没有甲方事先书面同意，乙方不得将由甲方提供的有关合同或者任何合同条文、规格、计划、图纸、样品或者资料提供给与履行本合同无关的任何其他人。即使向履行本合同有关的人员提供，也应注意保密并限于履行合同的必需范围。</w:t>
      </w:r>
    </w:p>
    <w:p w14:paraId="38E31641">
      <w:pPr>
        <w:snapToGrid w:val="0"/>
        <w:spacing w:line="460" w:lineRule="exact"/>
        <w:ind w:firstLine="480" w:firstLineChars="200"/>
        <w:rPr>
          <w:rFonts w:ascii="宋体" w:hAnsi="宋体" w:cs="宋体"/>
          <w:sz w:val="24"/>
        </w:rPr>
      </w:pPr>
      <w:r>
        <w:rPr>
          <w:rFonts w:hint="eastAsia" w:ascii="宋体" w:hAnsi="宋体" w:cs="宋体"/>
          <w:sz w:val="24"/>
        </w:rPr>
        <w:t>4.乙方保证将要交付的货物的所有权完全属于乙方且无任何抵押、质押、查封等产权瑕疵。</w:t>
      </w:r>
    </w:p>
    <w:p w14:paraId="4DC50B8D">
      <w:pPr>
        <w:snapToGrid w:val="0"/>
        <w:spacing w:line="460" w:lineRule="exact"/>
        <w:ind w:firstLine="482" w:firstLineChars="200"/>
        <w:rPr>
          <w:rFonts w:ascii="宋体" w:hAnsi="宋体" w:cs="宋体"/>
          <w:b/>
          <w:sz w:val="24"/>
        </w:rPr>
      </w:pPr>
      <w:r>
        <w:rPr>
          <w:rFonts w:hint="eastAsia" w:ascii="宋体" w:hAnsi="宋体" w:cs="宋体"/>
          <w:b/>
          <w:sz w:val="24"/>
        </w:rPr>
        <w:t>第四条　包装、运输和签收</w:t>
      </w:r>
    </w:p>
    <w:p w14:paraId="60542121">
      <w:pPr>
        <w:snapToGrid w:val="0"/>
        <w:spacing w:line="460" w:lineRule="exact"/>
        <w:ind w:firstLine="480" w:firstLineChars="200"/>
        <w:rPr>
          <w:rFonts w:ascii="宋体" w:hAnsi="宋体" w:cs="宋体"/>
          <w:sz w:val="24"/>
        </w:rPr>
      </w:pPr>
      <w:r>
        <w:rPr>
          <w:rFonts w:hint="eastAsia" w:ascii="宋体" w:hAnsi="宋体" w:cs="宋体"/>
          <w:sz w:val="24"/>
        </w:rPr>
        <w:t>1.乙方提供的货物均应包装完整，每一包装单元内应附详细的装箱单和质量合格证。</w:t>
      </w:r>
    </w:p>
    <w:p w14:paraId="66C34E2B">
      <w:pPr>
        <w:pStyle w:val="26"/>
        <w:snapToGrid w:val="0"/>
        <w:spacing w:line="440" w:lineRule="exact"/>
        <w:ind w:firstLine="480" w:firstLineChars="200"/>
        <w:rPr>
          <w:rFonts w:hAnsi="宋体" w:cs="宋体"/>
          <w:sz w:val="24"/>
          <w:szCs w:val="24"/>
        </w:rPr>
      </w:pPr>
      <w:r>
        <w:rPr>
          <w:rFonts w:hint="eastAsia" w:hAnsi="宋体" w:cs="宋体"/>
          <w:sz w:val="24"/>
          <w:szCs w:val="24"/>
        </w:rPr>
        <w:t>2.货物的运输：</w:t>
      </w:r>
      <w:r>
        <w:rPr>
          <w:rFonts w:hint="eastAsia" w:hAnsi="宋体" w:cs="宋体"/>
          <w:sz w:val="24"/>
          <w:szCs w:val="24"/>
          <w:u w:val="single"/>
        </w:rPr>
        <w:t xml:space="preserve">      。</w:t>
      </w:r>
    </w:p>
    <w:p w14:paraId="5F170BFF">
      <w:pPr>
        <w:pStyle w:val="26"/>
        <w:snapToGrid w:val="0"/>
        <w:spacing w:line="440" w:lineRule="exact"/>
        <w:ind w:firstLine="480" w:firstLineChars="200"/>
        <w:rPr>
          <w:rFonts w:hAnsi="宋体" w:cs="宋体"/>
          <w:sz w:val="24"/>
          <w:szCs w:val="24"/>
        </w:rPr>
      </w:pPr>
      <w:r>
        <w:rPr>
          <w:rFonts w:hint="eastAsia" w:hAnsi="宋体" w:cs="宋体"/>
          <w:sz w:val="24"/>
          <w:szCs w:val="24"/>
        </w:rPr>
        <w:t>3.乙方负责货物运输，货物运输合理损耗及计算方法：</w:t>
      </w:r>
      <w:r>
        <w:rPr>
          <w:rFonts w:hint="eastAsia" w:hAnsi="宋体" w:cs="宋体"/>
          <w:sz w:val="24"/>
          <w:szCs w:val="24"/>
          <w:u w:val="single"/>
        </w:rPr>
        <w:t>甲方不接受损耗。</w:t>
      </w:r>
    </w:p>
    <w:p w14:paraId="629EC0BD">
      <w:pPr>
        <w:pStyle w:val="26"/>
        <w:snapToGrid w:val="0"/>
        <w:spacing w:line="440" w:lineRule="exact"/>
        <w:ind w:firstLine="480" w:firstLineChars="200"/>
        <w:rPr>
          <w:rFonts w:hAnsi="宋体" w:cs="宋体"/>
          <w:sz w:val="24"/>
          <w:szCs w:val="24"/>
        </w:rPr>
      </w:pPr>
      <w:r>
        <w:rPr>
          <w:rFonts w:hAnsi="宋体" w:cs="宋体"/>
          <w:sz w:val="24"/>
          <w:szCs w:val="24"/>
        </w:rPr>
        <w:t>4.</w:t>
      </w:r>
      <w:r>
        <w:rPr>
          <w:rFonts w:hint="eastAsia" w:hAnsi="宋体" w:cs="宋体"/>
          <w:sz w:val="24"/>
          <w:szCs w:val="24"/>
        </w:rPr>
        <w:t>乙方应在货物发运前对其进行满足运输距离、防潮、防震、防锈和防破损装卸等要求包装，以保证货物安全运达甲方指定地点。</w:t>
      </w:r>
    </w:p>
    <w:p w14:paraId="5DFF0347">
      <w:pPr>
        <w:pStyle w:val="26"/>
        <w:snapToGrid w:val="0"/>
        <w:spacing w:line="440" w:lineRule="exact"/>
        <w:ind w:firstLine="480" w:firstLineChars="200"/>
        <w:rPr>
          <w:rFonts w:hAnsi="宋体" w:cs="宋体"/>
          <w:sz w:val="24"/>
          <w:szCs w:val="24"/>
        </w:rPr>
      </w:pPr>
      <w:r>
        <w:rPr>
          <w:rFonts w:hAnsi="宋体" w:cs="宋体"/>
          <w:sz w:val="24"/>
          <w:szCs w:val="24"/>
        </w:rPr>
        <w:t>5.</w:t>
      </w:r>
      <w:r>
        <w:rPr>
          <w:rFonts w:hint="eastAsia" w:hAnsi="宋体" w:cs="宋体"/>
          <w:sz w:val="24"/>
          <w:szCs w:val="24"/>
        </w:rPr>
        <w:t>使用说明书（货物属于进口产品的，供货时应同时附上中文使用说明书）、质量检验证明书、随配附件和工具以及清单一并附于货物内。</w:t>
      </w:r>
    </w:p>
    <w:p w14:paraId="597F66AB">
      <w:pPr>
        <w:pStyle w:val="26"/>
        <w:snapToGrid w:val="0"/>
        <w:spacing w:line="440" w:lineRule="exact"/>
        <w:ind w:firstLine="480" w:firstLineChars="200"/>
        <w:rPr>
          <w:rFonts w:hAnsi="宋体" w:cs="宋体"/>
          <w:sz w:val="24"/>
          <w:szCs w:val="24"/>
        </w:rPr>
      </w:pPr>
      <w:r>
        <w:rPr>
          <w:rFonts w:hAnsi="宋体" w:cs="宋体"/>
          <w:sz w:val="24"/>
          <w:szCs w:val="24"/>
        </w:rPr>
        <w:t>6</w:t>
      </w:r>
      <w:r>
        <w:rPr>
          <w:rFonts w:hint="eastAsia" w:hAnsi="宋体" w:cs="宋体"/>
          <w:sz w:val="24"/>
          <w:szCs w:val="24"/>
        </w:rPr>
        <w:t>.乙方在货物发运手续办理完毕后2</w:t>
      </w:r>
      <w:r>
        <w:rPr>
          <w:rFonts w:hAnsi="宋体" w:cs="宋体"/>
          <w:sz w:val="24"/>
          <w:szCs w:val="24"/>
        </w:rPr>
        <w:t>4</w:t>
      </w:r>
      <w:r>
        <w:rPr>
          <w:rFonts w:hint="eastAsia" w:hAnsi="宋体" w:cs="宋体"/>
          <w:sz w:val="24"/>
          <w:szCs w:val="24"/>
        </w:rPr>
        <w:t>小时内或者货到甲方4</w:t>
      </w:r>
      <w:r>
        <w:rPr>
          <w:rFonts w:hAnsi="宋体" w:cs="宋体"/>
          <w:sz w:val="24"/>
          <w:szCs w:val="24"/>
        </w:rPr>
        <w:t>8</w:t>
      </w:r>
      <w:r>
        <w:rPr>
          <w:rFonts w:hint="eastAsia" w:hAnsi="宋体" w:cs="宋体"/>
          <w:sz w:val="24"/>
          <w:szCs w:val="24"/>
        </w:rPr>
        <w:t>小时前通知甲方，以准备接货。</w:t>
      </w:r>
    </w:p>
    <w:p w14:paraId="4F1522C6">
      <w:pPr>
        <w:pStyle w:val="26"/>
        <w:snapToGrid w:val="0"/>
        <w:spacing w:line="440" w:lineRule="exact"/>
        <w:ind w:firstLine="480" w:firstLineChars="200"/>
        <w:rPr>
          <w:rFonts w:hAnsi="宋体" w:cs="宋体"/>
          <w:sz w:val="24"/>
          <w:szCs w:val="24"/>
        </w:rPr>
      </w:pPr>
      <w:r>
        <w:rPr>
          <w:rFonts w:hAnsi="宋体" w:cs="宋体"/>
          <w:sz w:val="24"/>
          <w:szCs w:val="24"/>
        </w:rPr>
        <w:t>7</w:t>
      </w:r>
      <w:r>
        <w:rPr>
          <w:rFonts w:hint="eastAsia" w:hAnsi="宋体" w:cs="宋体"/>
          <w:sz w:val="24"/>
          <w:szCs w:val="24"/>
        </w:rPr>
        <w:t>.货物在规定的交付期限内由乙方送达甲方指定的地点，乙方同时需通知甲方货物已送达，甲方清点货物后签收，货物签收不作为最终验收合格的依据。</w:t>
      </w:r>
    </w:p>
    <w:p w14:paraId="195121DD">
      <w:pPr>
        <w:snapToGrid w:val="0"/>
        <w:spacing w:line="460" w:lineRule="exact"/>
        <w:ind w:firstLine="482" w:firstLineChars="200"/>
        <w:rPr>
          <w:rFonts w:hAnsi="宋体" w:cs="宋体"/>
          <w:b/>
          <w:sz w:val="24"/>
        </w:rPr>
      </w:pPr>
      <w:r>
        <w:rPr>
          <w:rFonts w:hint="eastAsia" w:ascii="宋体" w:hAnsi="宋体" w:cs="宋体"/>
          <w:b/>
          <w:sz w:val="24"/>
        </w:rPr>
        <w:t>第五条　</w:t>
      </w:r>
      <w:r>
        <w:rPr>
          <w:rFonts w:hint="eastAsia" w:hAnsi="宋体" w:cs="宋体"/>
          <w:b/>
          <w:sz w:val="24"/>
        </w:rPr>
        <w:t>安装和培训</w:t>
      </w:r>
    </w:p>
    <w:p w14:paraId="296FE4A1">
      <w:pPr>
        <w:snapToGrid w:val="0"/>
        <w:spacing w:line="460" w:lineRule="exact"/>
        <w:ind w:firstLine="480" w:firstLineChars="200"/>
        <w:rPr>
          <w:rFonts w:ascii="宋体" w:hAnsi="宋体" w:cs="宋体"/>
          <w:sz w:val="24"/>
        </w:rPr>
      </w:pPr>
      <w:r>
        <w:rPr>
          <w:rFonts w:hint="eastAsia" w:ascii="宋体" w:hAnsi="宋体" w:cs="宋体"/>
          <w:sz w:val="24"/>
        </w:rPr>
        <w:t>1.甲方应提供必要安装条件（如场地、电源、水源等）。</w:t>
      </w:r>
    </w:p>
    <w:p w14:paraId="0E2CD879">
      <w:pPr>
        <w:snapToGrid w:val="0"/>
        <w:spacing w:line="360" w:lineRule="auto"/>
        <w:ind w:firstLine="480" w:firstLineChars="200"/>
        <w:rPr>
          <w:rFonts w:ascii="宋体" w:hAnsi="宋体" w:cs="宋体"/>
          <w:sz w:val="24"/>
          <w:u w:val="single"/>
        </w:rPr>
      </w:pPr>
      <w:r>
        <w:rPr>
          <w:rFonts w:hint="eastAsia" w:ascii="宋体" w:hAnsi="宋体" w:cs="宋体"/>
          <w:sz w:val="24"/>
        </w:rPr>
        <w:t>2.乙方投标文件承诺负责甲方有关人员的培训：</w:t>
      </w:r>
      <w:r>
        <w:rPr>
          <w:rFonts w:hint="eastAsia" w:ascii="宋体" w:hAnsi="宋体" w:cs="宋体"/>
          <w:sz w:val="24"/>
          <w:u w:val="single"/>
        </w:rPr>
        <w:t>根据甲方要求开展。</w:t>
      </w:r>
    </w:p>
    <w:p w14:paraId="22FC98C9">
      <w:pPr>
        <w:snapToGrid w:val="0"/>
        <w:spacing w:line="360" w:lineRule="auto"/>
        <w:ind w:firstLine="480" w:firstLineChars="200"/>
        <w:rPr>
          <w:rFonts w:ascii="宋体" w:hAnsi="宋体" w:cs="宋体"/>
          <w:sz w:val="24"/>
          <w:u w:val="single"/>
        </w:rPr>
      </w:pPr>
      <w:r>
        <w:rPr>
          <w:rFonts w:hint="eastAsia" w:ascii="宋体" w:hAnsi="宋体" w:cs="宋体"/>
          <w:sz w:val="24"/>
        </w:rPr>
        <w:t>3.培训时间、地点：</w:t>
      </w:r>
      <w:r>
        <w:rPr>
          <w:rFonts w:hint="eastAsia" w:ascii="宋体" w:hAnsi="宋体" w:cs="宋体"/>
          <w:sz w:val="24"/>
          <w:u w:val="single"/>
        </w:rPr>
        <w:t>甲方指定。</w:t>
      </w:r>
    </w:p>
    <w:p w14:paraId="19C21592">
      <w:pPr>
        <w:snapToGrid w:val="0"/>
        <w:spacing w:line="360" w:lineRule="auto"/>
        <w:ind w:firstLine="480" w:firstLineChars="200"/>
        <w:rPr>
          <w:rFonts w:ascii="宋体" w:hAnsi="宋体" w:cs="宋体"/>
          <w:sz w:val="24"/>
        </w:rPr>
      </w:pPr>
      <w:r>
        <w:rPr>
          <w:rFonts w:hint="eastAsia" w:ascii="宋体" w:hAnsi="宋体" w:cs="宋体"/>
          <w:sz w:val="24"/>
        </w:rPr>
        <w:t>4.提供原厂技术人员对甲方的操作技术培训和相关技术资料。提供不少于2次/每年的主要设备厂商工程师安装配置等实操培训课程，场地、交通等与培训相关的费用均由成交供应商承担。</w:t>
      </w:r>
    </w:p>
    <w:p w14:paraId="5FA05942">
      <w:pPr>
        <w:snapToGrid w:val="0"/>
        <w:spacing w:line="360" w:lineRule="auto"/>
        <w:ind w:firstLine="480" w:firstLineChars="200"/>
        <w:rPr>
          <w:rFonts w:ascii="宋体" w:hAnsi="宋体" w:cs="宋体"/>
          <w:sz w:val="24"/>
        </w:rPr>
      </w:pPr>
      <w:r>
        <w:rPr>
          <w:rFonts w:hint="eastAsia" w:ascii="宋体" w:hAnsi="宋体" w:cs="宋体"/>
          <w:sz w:val="24"/>
        </w:rPr>
        <w:t>5.提供验收与培训时开机实验必须的配件及耗材,以保障验收与培训的正常开展。</w:t>
      </w:r>
    </w:p>
    <w:p w14:paraId="0B061094">
      <w:pPr>
        <w:snapToGrid w:val="0"/>
        <w:spacing w:line="460" w:lineRule="exact"/>
        <w:ind w:firstLine="482" w:firstLineChars="200"/>
        <w:rPr>
          <w:rFonts w:ascii="宋体" w:hAnsi="宋体" w:cs="宋体"/>
          <w:sz w:val="24"/>
        </w:rPr>
      </w:pPr>
      <w:r>
        <w:rPr>
          <w:rFonts w:hint="eastAsia" w:ascii="宋体" w:hAnsi="宋体" w:cs="宋体"/>
          <w:b/>
          <w:sz w:val="24"/>
        </w:rPr>
        <w:t>第六条　调试、交付和验收</w:t>
      </w:r>
    </w:p>
    <w:p w14:paraId="3FEEA49B">
      <w:pPr>
        <w:snapToGrid w:val="0"/>
        <w:spacing w:line="360" w:lineRule="auto"/>
        <w:ind w:firstLine="480" w:firstLineChars="200"/>
        <w:rPr>
          <w:rFonts w:ascii="宋体" w:hAnsi="宋体" w:cs="宋体"/>
          <w:sz w:val="24"/>
        </w:rPr>
      </w:pPr>
      <w:r>
        <w:rPr>
          <w:rFonts w:hint="eastAsia" w:ascii="宋体" w:hAnsi="宋体" w:cs="宋体"/>
          <w:sz w:val="24"/>
        </w:rPr>
        <w:t>1.交付时间：</w:t>
      </w:r>
      <w:r>
        <w:rPr>
          <w:rFonts w:hint="eastAsia" w:ascii="宋体" w:hAnsi="宋体" w:cs="宋体"/>
          <w:sz w:val="24"/>
          <w:u w:val="single"/>
        </w:rPr>
        <w:t>国产设备自签订合同之日起 60 日历天内到货安装调试完成并通过验收。进口设备自签订合同之日起 120 日历天内到货安装调试完成并通过验收。</w:t>
      </w:r>
    </w:p>
    <w:p w14:paraId="02F239ED">
      <w:pPr>
        <w:snapToGrid w:val="0"/>
        <w:spacing w:line="360" w:lineRule="auto"/>
        <w:ind w:firstLine="480" w:firstLineChars="200"/>
        <w:rPr>
          <w:rFonts w:ascii="宋体" w:hAnsi="宋体" w:cs="宋体"/>
          <w:sz w:val="24"/>
          <w:u w:val="single"/>
        </w:rPr>
      </w:pPr>
      <w:r>
        <w:rPr>
          <w:rFonts w:hint="eastAsia" w:ascii="宋体" w:hAnsi="宋体" w:cs="宋体"/>
          <w:sz w:val="24"/>
        </w:rPr>
        <w:t>交付地点：</w:t>
      </w:r>
      <w:r>
        <w:rPr>
          <w:rFonts w:hint="eastAsia" w:ascii="宋体" w:hAnsi="宋体" w:cs="宋体"/>
          <w:sz w:val="24"/>
          <w:u w:val="single"/>
        </w:rPr>
        <w:t>甲方指定地点。</w:t>
      </w:r>
    </w:p>
    <w:p w14:paraId="250BBE76">
      <w:pPr>
        <w:snapToGrid w:val="0"/>
        <w:spacing w:line="360" w:lineRule="auto"/>
        <w:ind w:firstLine="480" w:firstLineChars="200"/>
        <w:rPr>
          <w:rFonts w:ascii="宋体" w:hAnsi="宋体" w:cs="宋体"/>
          <w:sz w:val="24"/>
        </w:rPr>
      </w:pPr>
      <w:r>
        <w:rPr>
          <w:rFonts w:hint="eastAsia" w:ascii="宋体" w:hAnsi="宋体" w:cs="宋体"/>
          <w:sz w:val="24"/>
        </w:rPr>
        <w:t>2.乙方提供不符合招标文件规定或者投标文件承诺的和本合同规定的货物，甲方有权拒绝接受。</w:t>
      </w:r>
    </w:p>
    <w:p w14:paraId="188682BF">
      <w:pPr>
        <w:snapToGrid w:val="0"/>
        <w:spacing w:line="360" w:lineRule="auto"/>
        <w:ind w:firstLine="480" w:firstLineChars="200"/>
        <w:rPr>
          <w:rFonts w:ascii="宋体" w:hAnsi="宋体"/>
          <w:sz w:val="24"/>
        </w:rPr>
      </w:pPr>
      <w:r>
        <w:rPr>
          <w:rFonts w:hint="eastAsia" w:ascii="宋体" w:hAnsi="宋体" w:cs="宋体"/>
          <w:sz w:val="24"/>
        </w:rPr>
        <w:t>3.乙方提供不符合招标文件要求或</w:t>
      </w:r>
      <w:r>
        <w:rPr>
          <w:rFonts w:hint="eastAsia" w:ascii="宋体" w:hAnsi="宋体"/>
          <w:sz w:val="24"/>
        </w:rPr>
        <w:t>提供虚假承诺、虚假检测报告等任何虚假材料的，甲方有权拒绝验收并认定乙方违约，甲方有权单方面解除合同，乙方承担所有责任和费用，甲方保留进一步追究责任的权利。</w:t>
      </w:r>
    </w:p>
    <w:p w14:paraId="4EE86AC9">
      <w:pPr>
        <w:snapToGrid w:val="0"/>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乙方应将所提供货物的装箱清单、用户手册、原厂保修卡、随机资料、工具和备品、备件等交付给甲方，货物属于进口产品的，供货时应同时附上中文使用说明书，如有缺失应在5个工作日内补齐，否则视为逾期交货。</w:t>
      </w:r>
    </w:p>
    <w:p w14:paraId="6710DB29">
      <w:pPr>
        <w:pStyle w:val="58"/>
        <w:spacing w:line="360" w:lineRule="auto"/>
        <w:rPr>
          <w:rFonts w:ascii="宋体" w:hAnsi="宋体" w:cs="宋体"/>
          <w:sz w:val="24"/>
          <w:szCs w:val="24"/>
        </w:rPr>
      </w:pPr>
      <w:r>
        <w:rPr>
          <w:rFonts w:ascii="宋体" w:hAnsi="宋体"/>
          <w:sz w:val="24"/>
          <w:szCs w:val="24"/>
        </w:rPr>
        <w:t xml:space="preserve">    5.</w:t>
      </w:r>
      <w:r>
        <w:rPr>
          <w:rFonts w:hint="eastAsia" w:ascii="宋体" w:hAnsi="宋体" w:cs="宋体"/>
          <w:sz w:val="24"/>
          <w:szCs w:val="24"/>
        </w:rPr>
        <w:t>乙方应对产品作出全面检查和对验收文件进行整理，并列出清单，作为甲方验收和使用的技术条件依据，检验的结果应随货物交甲方。</w:t>
      </w:r>
    </w:p>
    <w:p w14:paraId="344FEEFF">
      <w:pPr>
        <w:pStyle w:val="26"/>
        <w:snapToGrid w:val="0"/>
        <w:spacing w:line="360" w:lineRule="auto"/>
        <w:ind w:firstLine="480" w:firstLineChars="200"/>
        <w:rPr>
          <w:rFonts w:hAnsi="宋体" w:cs="宋体"/>
          <w:sz w:val="24"/>
          <w:szCs w:val="24"/>
        </w:rPr>
      </w:pPr>
      <w:r>
        <w:rPr>
          <w:rFonts w:hAnsi="宋体"/>
          <w:sz w:val="24"/>
          <w:szCs w:val="24"/>
        </w:rPr>
        <w:t>6.</w:t>
      </w:r>
      <w:r>
        <w:rPr>
          <w:rFonts w:hint="eastAsia" w:hAnsi="宋体" w:cs="宋体"/>
          <w:sz w:val="24"/>
          <w:szCs w:val="24"/>
        </w:rPr>
        <w:t>甲方对乙方提供的货物在使用前进行调试时，乙方需负责安装并培训甲方的使用操作人员，并协助甲方一起调试，直到符合技术要求，甲方才做最终验收。</w:t>
      </w:r>
    </w:p>
    <w:p w14:paraId="2E0BB002">
      <w:pPr>
        <w:spacing w:line="360" w:lineRule="auto"/>
        <w:ind w:firstLine="480" w:firstLineChars="200"/>
        <w:rPr>
          <w:rFonts w:ascii="宋体" w:hAnsi="宋体"/>
          <w:sz w:val="24"/>
        </w:rPr>
      </w:pPr>
      <w:r>
        <w:rPr>
          <w:rFonts w:ascii="宋体" w:hAnsi="宋体" w:cs="宋体"/>
          <w:sz w:val="24"/>
        </w:rPr>
        <w:t>7.</w:t>
      </w:r>
      <w:r>
        <w:rPr>
          <w:rFonts w:hint="eastAsia" w:ascii="宋体" w:hAnsi="宋体" w:cs="宋体"/>
          <w:sz w:val="24"/>
        </w:rPr>
        <w:t>乙方应当在到货并安装、调试完毕后，达到验收条件时以书面形式提请甲方进行验收，甲方应在收到乙方书面验收请求后</w:t>
      </w:r>
      <w:r>
        <w:rPr>
          <w:rFonts w:ascii="宋体" w:hAnsi="宋体" w:cs="宋体"/>
          <w:sz w:val="24"/>
        </w:rPr>
        <w:t>5</w:t>
      </w:r>
      <w:r>
        <w:rPr>
          <w:rFonts w:hint="eastAsia" w:ascii="宋体" w:hAnsi="宋体" w:cs="宋体"/>
          <w:sz w:val="24"/>
        </w:rPr>
        <w:t>个工作日内组织开展验收（预验收）。验收合格后由甲乙双方签署货物验收单，</w:t>
      </w:r>
      <w:bookmarkStart w:id="160" w:name="_Hlk206519504"/>
      <w:r>
        <w:rPr>
          <w:rFonts w:hint="eastAsia" w:ascii="宋体" w:hAnsi="宋体"/>
          <w:sz w:val="24"/>
        </w:rPr>
        <w:t>履约验收材料一式三份，甲方执两份，乙方执一份。</w:t>
      </w:r>
    </w:p>
    <w:bookmarkEnd w:id="160"/>
    <w:p w14:paraId="3829DEFB">
      <w:pPr>
        <w:pStyle w:val="26"/>
        <w:snapToGrid w:val="0"/>
        <w:spacing w:line="360" w:lineRule="auto"/>
        <w:ind w:firstLine="480" w:firstLineChars="200"/>
        <w:rPr>
          <w:rFonts w:hAnsi="宋体" w:cs="宋体"/>
          <w:sz w:val="24"/>
          <w:szCs w:val="24"/>
        </w:rPr>
      </w:pPr>
      <w:r>
        <w:rPr>
          <w:rFonts w:hAnsi="宋体"/>
          <w:sz w:val="24"/>
          <w:szCs w:val="24"/>
        </w:rPr>
        <w:t>8.</w:t>
      </w:r>
      <w:r>
        <w:rPr>
          <w:rFonts w:hint="eastAsia" w:hAnsi="宋体" w:cs="宋体"/>
          <w:sz w:val="24"/>
          <w:szCs w:val="24"/>
        </w:rPr>
        <w:t>对技术复杂的货物，甲方可请国家认可的专业检测机构参与初步验收及最终验收，并由其出具质量检测报告。</w:t>
      </w:r>
    </w:p>
    <w:p w14:paraId="69190D19">
      <w:pPr>
        <w:snapToGrid w:val="0"/>
        <w:spacing w:line="360" w:lineRule="auto"/>
        <w:ind w:firstLine="480" w:firstLineChars="200"/>
        <w:rPr>
          <w:rFonts w:ascii="宋体" w:hAnsi="宋体" w:cs="宋体"/>
          <w:sz w:val="24"/>
        </w:rPr>
      </w:pPr>
      <w:r>
        <w:rPr>
          <w:rFonts w:hint="eastAsia" w:ascii="宋体" w:hAnsi="宋体" w:cs="宋体"/>
          <w:sz w:val="24"/>
        </w:rPr>
        <w:t>9</w:t>
      </w:r>
      <w:r>
        <w:rPr>
          <w:rFonts w:ascii="宋体" w:hAnsi="宋体" w:cs="宋体"/>
          <w:sz w:val="24"/>
        </w:rPr>
        <w:t>.</w:t>
      </w:r>
      <w:r>
        <w:rPr>
          <w:rFonts w:hint="eastAsia" w:ascii="宋体" w:hAnsi="宋体" w:cs="宋体"/>
          <w:sz w:val="24"/>
        </w:rPr>
        <w:t>预验收未通过或者履约验收未通过的，应限期整改或进行退换货处理，整改完成后重新组织履约验收。整改后仍不能通过验收的，甲方将有权解除合同，依法追究相关责任。详细预验收及履约验收程序按《广西大学</w:t>
      </w:r>
      <w:r>
        <w:rPr>
          <w:rFonts w:hint="eastAsia" w:ascii="宋体" w:hAnsi="宋体" w:cs="宋体"/>
          <w:sz w:val="24"/>
          <w:lang w:val="en-US" w:eastAsia="zh-CN"/>
        </w:rPr>
        <w:t>货物及服务</w:t>
      </w:r>
      <w:r>
        <w:rPr>
          <w:rFonts w:hint="eastAsia" w:ascii="宋体" w:hAnsi="宋体" w:cs="宋体"/>
          <w:sz w:val="24"/>
        </w:rPr>
        <w:t>采购合同履约验收管理办法（试行）》执行。</w:t>
      </w:r>
    </w:p>
    <w:p w14:paraId="42881988">
      <w:pPr>
        <w:snapToGrid w:val="0"/>
        <w:spacing w:line="360" w:lineRule="auto"/>
        <w:ind w:firstLine="480" w:firstLineChars="200"/>
        <w:rPr>
          <w:rFonts w:ascii="宋体" w:hAnsi="宋体" w:cs="宋体"/>
          <w:sz w:val="24"/>
        </w:rPr>
      </w:pPr>
      <w:r>
        <w:rPr>
          <w:rFonts w:ascii="宋体" w:hAnsi="宋体" w:cs="宋体"/>
          <w:sz w:val="24"/>
        </w:rPr>
        <w:t>10.</w:t>
      </w:r>
      <w:r>
        <w:rPr>
          <w:rFonts w:hint="eastAsia" w:ascii="宋体" w:hAnsi="宋体" w:cs="宋体"/>
          <w:sz w:val="24"/>
        </w:rPr>
        <w:t>在验收过程中发现乙方有违约情形，可暂缓资金结算，待乙方违约情形整改后，方可办理资金结算事宜。</w:t>
      </w:r>
    </w:p>
    <w:p w14:paraId="7A022D85">
      <w:pPr>
        <w:snapToGrid w:val="0"/>
        <w:spacing w:line="360" w:lineRule="auto"/>
        <w:ind w:firstLine="480" w:firstLineChars="200"/>
        <w:rPr>
          <w:rFonts w:ascii="宋体" w:hAnsi="宋体" w:cs="宋体"/>
          <w:sz w:val="24"/>
          <w:u w:val="single"/>
        </w:rPr>
      </w:pPr>
      <w:r>
        <w:rPr>
          <w:rFonts w:ascii="宋体" w:hAnsi="宋体" w:cs="宋体"/>
          <w:sz w:val="24"/>
        </w:rPr>
        <w:t>11.</w:t>
      </w:r>
      <w:r>
        <w:rPr>
          <w:rFonts w:hint="eastAsia" w:ascii="宋体" w:hAnsi="宋体" w:cs="宋体"/>
          <w:sz w:val="24"/>
        </w:rPr>
        <w:t>甲方对验收有异议的，在验收后</w:t>
      </w:r>
      <w:r>
        <w:rPr>
          <w:rFonts w:ascii="宋体" w:hAnsi="宋体" w:cs="宋体"/>
          <w:sz w:val="24"/>
        </w:rPr>
        <w:t>5</w:t>
      </w:r>
      <w:r>
        <w:rPr>
          <w:rFonts w:hint="eastAsia" w:ascii="宋体" w:hAnsi="宋体" w:cs="宋体"/>
          <w:sz w:val="24"/>
        </w:rPr>
        <w:t>个工作日内以书面形式向乙方提出，乙方应自收到甲方书面异议后7日内及时予以解决。</w:t>
      </w:r>
    </w:p>
    <w:p w14:paraId="0F4502AA">
      <w:pPr>
        <w:snapToGrid w:val="0"/>
        <w:spacing w:line="360" w:lineRule="auto"/>
        <w:ind w:left="-61" w:firstLine="514"/>
        <w:rPr>
          <w:rFonts w:ascii="宋体" w:hAnsi="宋体" w:cs="宋体"/>
          <w:sz w:val="24"/>
        </w:rPr>
      </w:pPr>
      <w:r>
        <w:rPr>
          <w:rFonts w:ascii="宋体" w:hAnsi="宋体" w:cs="宋体"/>
          <w:sz w:val="24"/>
        </w:rPr>
        <w:t>12.</w:t>
      </w:r>
      <w:r>
        <w:rPr>
          <w:rFonts w:hint="eastAsia" w:ascii="宋体" w:hAnsi="宋体" w:cs="宋体"/>
          <w:sz w:val="24"/>
        </w:rPr>
        <w:t>验收时乙方必须在现场，验收完毕后作出验收结果报告；甲方使用单位预验收及甲方履约验收过程中所产生的一切费用均由乙方承担。</w:t>
      </w:r>
    </w:p>
    <w:p w14:paraId="3D9B1EC0">
      <w:pPr>
        <w:snapToGrid w:val="0"/>
        <w:spacing w:line="360" w:lineRule="auto"/>
        <w:ind w:firstLine="480" w:firstLineChars="200"/>
        <w:rPr>
          <w:rFonts w:ascii="宋体" w:hAnsi="宋体" w:cs="宋体"/>
          <w:sz w:val="24"/>
        </w:rPr>
      </w:pPr>
      <w:r>
        <w:rPr>
          <w:rFonts w:ascii="宋体" w:hAnsi="宋体" w:cs="宋体"/>
          <w:sz w:val="24"/>
        </w:rPr>
        <w:t>13.</w:t>
      </w:r>
      <w:r>
        <w:rPr>
          <w:rFonts w:hint="eastAsia" w:ascii="宋体" w:hAnsi="宋体" w:cs="宋体"/>
          <w:sz w:val="24"/>
        </w:rPr>
        <w:t>货物在验收合格交付甲方前发生的风险均由乙方负责。</w:t>
      </w:r>
    </w:p>
    <w:p w14:paraId="03925CF1">
      <w:pPr>
        <w:snapToGrid w:val="0"/>
        <w:spacing w:line="360" w:lineRule="auto"/>
        <w:ind w:firstLine="480" w:firstLineChars="200"/>
      </w:pPr>
      <w:r>
        <w:rPr>
          <w:rFonts w:ascii="宋体" w:hAnsi="宋体" w:cs="宋体"/>
          <w:sz w:val="24"/>
        </w:rPr>
        <w:t>14.</w:t>
      </w:r>
      <w:r>
        <w:rPr>
          <w:rFonts w:hint="eastAsia" w:ascii="宋体" w:hAnsi="宋体" w:cs="宋体"/>
          <w:sz w:val="24"/>
        </w:rPr>
        <w:t>本合同的验收条款与采购需求商务条款中的验收要求互为补充。</w:t>
      </w:r>
    </w:p>
    <w:p w14:paraId="3498D7F3">
      <w:pPr>
        <w:snapToGrid w:val="0"/>
        <w:spacing w:line="360" w:lineRule="auto"/>
        <w:ind w:firstLine="482" w:firstLineChars="200"/>
        <w:rPr>
          <w:rFonts w:ascii="宋体" w:hAnsi="宋体" w:cs="宋体"/>
          <w:b/>
          <w:sz w:val="24"/>
        </w:rPr>
      </w:pPr>
      <w:r>
        <w:rPr>
          <w:rFonts w:hint="eastAsia" w:ascii="宋体" w:hAnsi="宋体" w:cs="宋体"/>
          <w:b/>
          <w:sz w:val="24"/>
        </w:rPr>
        <w:t>第七条　付款方式</w:t>
      </w:r>
    </w:p>
    <w:p w14:paraId="043EF4E1">
      <w:pPr>
        <w:snapToGrid w:val="0"/>
        <w:spacing w:line="460" w:lineRule="exact"/>
        <w:ind w:firstLine="480" w:firstLineChars="200"/>
        <w:rPr>
          <w:rFonts w:ascii="宋体" w:hAnsi="宋体" w:cs="宋体"/>
          <w:bCs/>
          <w:sz w:val="24"/>
          <w:u w:val="single"/>
        </w:rPr>
      </w:pPr>
      <w:r>
        <w:rPr>
          <w:rFonts w:hint="eastAsia" w:ascii="宋体" w:hAnsi="宋体" w:cs="宋体"/>
          <w:bCs/>
          <w:sz w:val="24"/>
        </w:rPr>
        <w:t>1.国产设备付款：</w:t>
      </w:r>
      <w:r>
        <w:rPr>
          <w:rFonts w:hint="eastAsia" w:ascii="宋体" w:hAnsi="宋体" w:cs="宋体"/>
          <w:bCs/>
          <w:sz w:val="24"/>
          <w:u w:val="single"/>
        </w:rPr>
        <w:t>本项目无预付款，全部货物安装调试完毕并经验收合格后，甲方办理完支付手续后一次性向乙方支付全部合同款（无息）；付款前，乙方开具等额增值税专用发票给采购人。</w:t>
      </w:r>
    </w:p>
    <w:p w14:paraId="0E6E4B01">
      <w:pPr>
        <w:snapToGrid w:val="0"/>
        <w:spacing w:line="460" w:lineRule="exact"/>
        <w:ind w:firstLine="480" w:firstLineChars="200"/>
        <w:rPr>
          <w:rFonts w:ascii="宋体" w:hAnsi="宋体" w:cs="宋体"/>
          <w:bCs/>
          <w:sz w:val="24"/>
          <w:u w:val="single"/>
        </w:rPr>
      </w:pPr>
      <w:r>
        <w:rPr>
          <w:rFonts w:hint="eastAsia" w:ascii="宋体" w:hAnsi="宋体" w:cs="宋体"/>
          <w:bCs/>
          <w:sz w:val="24"/>
        </w:rPr>
        <w:t>2.免税进口设备付款：</w:t>
      </w:r>
      <w:r>
        <w:rPr>
          <w:rFonts w:hint="eastAsia" w:ascii="宋体" w:hAnsi="宋体" w:cs="宋体"/>
          <w:bCs/>
          <w:sz w:val="24"/>
          <w:u w:val="single"/>
        </w:rPr>
        <w:t>本项目外贸进口代理业务由甲方指定外贸代理承担，并按下述方式支付合同款：合同生效后，外贸代理开具合同金额等额的无条件预付款保函（保函有效期至货到甲方指定地点且经甲方验收合格后）给甲方，甲方支付100%合同款给指定外贸代理商，指定外贸代理商与乙方按以下方式结算：（1）指定外贸代理商向中标产品国外生产商开出设备款100%的即期不可撤销信用证或者电汇支付；（2）设备到货并经甲方验收合格后，指定外贸代理商与乙方结算合同款。（注：双方以人民币结算）甲方、乙方及指定外贸代理商三方另行签订《外贸进口代理协议书（三方协议）》，约定外贸进口业务有关事宜。</w:t>
      </w:r>
    </w:p>
    <w:p w14:paraId="15E433E3">
      <w:pPr>
        <w:snapToGrid w:val="0"/>
        <w:spacing w:line="460" w:lineRule="exact"/>
        <w:ind w:firstLine="480" w:firstLineChars="200"/>
        <w:rPr>
          <w:rFonts w:ascii="宋体" w:hAnsi="宋体" w:cs="宋体"/>
          <w:bCs/>
          <w:sz w:val="24"/>
          <w:u w:val="single"/>
        </w:rPr>
      </w:pPr>
      <w:r>
        <w:rPr>
          <w:rFonts w:hint="eastAsia" w:ascii="宋体" w:hAnsi="宋体" w:cs="宋体"/>
          <w:bCs/>
          <w:sz w:val="24"/>
        </w:rPr>
        <w:t>3.依法不能办理免税的进口设备按国产设备付款方式支付。</w:t>
      </w:r>
    </w:p>
    <w:p w14:paraId="2D64C171">
      <w:pPr>
        <w:snapToGrid w:val="0"/>
        <w:spacing w:line="460" w:lineRule="exact"/>
        <w:ind w:firstLine="482" w:firstLineChars="200"/>
        <w:rPr>
          <w:rFonts w:ascii="宋体" w:hAnsi="宋体" w:cs="宋体"/>
          <w:b/>
          <w:sz w:val="24"/>
        </w:rPr>
      </w:pPr>
      <w:r>
        <w:rPr>
          <w:rFonts w:hint="eastAsia" w:ascii="宋体" w:hAnsi="宋体" w:cs="宋体"/>
          <w:b/>
          <w:sz w:val="24"/>
        </w:rPr>
        <w:t>第八条　履约保证金</w:t>
      </w:r>
    </w:p>
    <w:p w14:paraId="0C1C0C50">
      <w:pPr>
        <w:snapToGrid w:val="0"/>
        <w:spacing w:line="460" w:lineRule="exact"/>
        <w:ind w:firstLine="480" w:firstLineChars="200"/>
        <w:rPr>
          <w:rFonts w:ascii="宋体" w:hAnsi="宋体" w:cs="宋体"/>
          <w:sz w:val="24"/>
          <w:u w:val="single"/>
        </w:rPr>
      </w:pPr>
      <w:r>
        <w:rPr>
          <w:rFonts w:hint="eastAsia" w:ascii="宋体" w:hAnsi="宋体" w:cs="宋体"/>
          <w:sz w:val="24"/>
          <w:u w:val="single"/>
        </w:rPr>
        <w:t>1.履约保证金金额：</w:t>
      </w:r>
      <w:r>
        <w:rPr>
          <w:rFonts w:hint="eastAsia" w:ascii="宋体" w:hAnsi="宋体" w:cs="宋体"/>
          <w:sz w:val="24"/>
          <w:u w:val="single"/>
          <w:lang w:eastAsia="zh-Hans"/>
        </w:rPr>
        <w:t>合同金额的</w:t>
      </w:r>
      <w:r>
        <w:rPr>
          <w:rFonts w:hint="eastAsia" w:ascii="宋体" w:hAnsi="宋体" w:cs="宋体"/>
          <w:sz w:val="24"/>
          <w:u w:val="single"/>
        </w:rPr>
        <w:t xml:space="preserve">  </w:t>
      </w:r>
      <w:r>
        <w:rPr>
          <w:rFonts w:hint="eastAsia" w:ascii="宋体" w:hAnsi="宋体" w:cs="宋体"/>
          <w:sz w:val="24"/>
          <w:u w:val="single"/>
          <w:lang w:eastAsia="zh-Hans"/>
        </w:rPr>
        <w:t>%</w:t>
      </w:r>
      <w:r>
        <w:rPr>
          <w:rFonts w:hint="eastAsia" w:ascii="宋体" w:hAnsi="宋体" w:cs="宋体"/>
          <w:sz w:val="24"/>
          <w:u w:val="single"/>
        </w:rPr>
        <w:t>（</w:t>
      </w:r>
      <w:r>
        <w:rPr>
          <w:rFonts w:hint="eastAsia" w:ascii="宋体" w:hAnsi="宋体" w:cs="宋体"/>
          <w:b/>
          <w:bCs/>
          <w:sz w:val="24"/>
          <w:u w:val="single"/>
        </w:rPr>
        <w:t>¥</w:t>
      </w:r>
      <w:r>
        <w:rPr>
          <w:rFonts w:ascii="宋体" w:hAnsi="宋体" w:cs="宋体"/>
          <w:b/>
          <w:bCs/>
          <w:sz w:val="24"/>
          <w:u w:val="single"/>
        </w:rPr>
        <w:t xml:space="preserve">     </w:t>
      </w:r>
      <w:r>
        <w:rPr>
          <w:rFonts w:hint="eastAsia" w:ascii="宋体" w:hAnsi="宋体" w:cs="宋体"/>
          <w:b/>
          <w:bCs/>
          <w:sz w:val="24"/>
          <w:u w:val="single"/>
        </w:rPr>
        <w:t xml:space="preserve"> </w:t>
      </w:r>
      <w:r>
        <w:rPr>
          <w:rFonts w:ascii="宋体" w:hAnsi="宋体" w:cs="宋体"/>
          <w:b/>
          <w:bCs/>
          <w:sz w:val="24"/>
          <w:u w:val="single"/>
        </w:rPr>
        <w:t>.**</w:t>
      </w:r>
      <w:r>
        <w:rPr>
          <w:rFonts w:hint="eastAsia" w:ascii="宋体" w:hAnsi="宋体" w:cs="宋体"/>
          <w:sz w:val="24"/>
          <w:u w:val="single"/>
        </w:rPr>
        <w:t xml:space="preserve">），即人民币（大写） </w:t>
      </w:r>
      <w:r>
        <w:rPr>
          <w:rFonts w:ascii="宋体" w:hAnsi="宋体" w:cs="宋体"/>
          <w:sz w:val="24"/>
          <w:u w:val="single"/>
        </w:rPr>
        <w:t xml:space="preserve">       </w:t>
      </w:r>
      <w:r>
        <w:rPr>
          <w:rFonts w:hint="eastAsia" w:ascii="宋体" w:hAnsi="宋体" w:cs="宋体"/>
          <w:sz w:val="24"/>
          <w:u w:val="single"/>
        </w:rPr>
        <w:t>；</w:t>
      </w:r>
      <w:r>
        <w:rPr>
          <w:rFonts w:hint="eastAsia" w:ascii="宋体" w:hAnsi="宋体" w:cs="宋体"/>
          <w:sz w:val="24"/>
        </w:rPr>
        <w:t>乙方在签订合同时交至指定账户（履约保证金缴纳时须备注项目编号及项目名称：</w:t>
      </w:r>
      <w:r>
        <w:rPr>
          <w:rFonts w:hint="eastAsia" w:ascii="宋体" w:hAnsi="宋体" w:cs="宋体"/>
          <w:sz w:val="24"/>
          <w:u w:val="single"/>
        </w:rPr>
        <w:t>GXZC2026-G1-00</w:t>
      </w:r>
      <w:r>
        <w:rPr>
          <w:rFonts w:ascii="宋体" w:hAnsi="宋体" w:cs="宋体"/>
          <w:sz w:val="24"/>
          <w:u w:val="single"/>
        </w:rPr>
        <w:t>0000</w:t>
      </w:r>
      <w:r>
        <w:rPr>
          <w:rFonts w:hint="eastAsia" w:ascii="宋体" w:hAnsi="宋体" w:cs="宋体"/>
          <w:sz w:val="24"/>
          <w:u w:val="single"/>
        </w:rPr>
        <w:t>-</w:t>
      </w:r>
      <w:r>
        <w:rPr>
          <w:rFonts w:ascii="宋体" w:hAnsi="宋体" w:cs="宋体"/>
          <w:sz w:val="24"/>
          <w:u w:val="single"/>
        </w:rPr>
        <w:t>****</w:t>
      </w:r>
      <w:r>
        <w:rPr>
          <w:rFonts w:hint="eastAsia" w:ascii="宋体" w:hAnsi="宋体" w:cs="宋体"/>
          <w:sz w:val="24"/>
          <w:u w:val="single"/>
        </w:rPr>
        <w:t>（项目名称）</w:t>
      </w:r>
      <w:r>
        <w:rPr>
          <w:rFonts w:hint="eastAsia" w:ascii="宋体" w:hAnsi="宋体" w:cs="宋体"/>
          <w:sz w:val="24"/>
        </w:rPr>
        <w:t>履约保证金）。</w:t>
      </w:r>
    </w:p>
    <w:p w14:paraId="3D6D202C">
      <w:pPr>
        <w:snapToGrid w:val="0"/>
        <w:spacing w:line="460" w:lineRule="exact"/>
        <w:ind w:firstLine="480" w:firstLineChars="200"/>
        <w:rPr>
          <w:rFonts w:ascii="宋体" w:hAnsi="宋体" w:cs="宋体"/>
          <w:sz w:val="24"/>
        </w:rPr>
      </w:pPr>
      <w:r>
        <w:rPr>
          <w:rFonts w:hint="eastAsia" w:ascii="宋体" w:hAnsi="宋体" w:cs="宋体"/>
          <w:sz w:val="24"/>
        </w:rPr>
        <w:t>2.履约保证金递交方式：银行转账、保函等非现金方式。由乙方在签订合同时按规定的金额直接缴入以下甲方账户或将保函原件交给甲方。</w:t>
      </w:r>
    </w:p>
    <w:p w14:paraId="6AD67ADA">
      <w:pPr>
        <w:snapToGrid w:val="0"/>
        <w:spacing w:line="460" w:lineRule="exact"/>
        <w:ind w:firstLine="480" w:firstLineChars="200"/>
        <w:rPr>
          <w:rFonts w:ascii="宋体" w:hAnsi="宋体" w:cs="宋体"/>
          <w:sz w:val="24"/>
        </w:rPr>
      </w:pPr>
      <w:r>
        <w:rPr>
          <w:rFonts w:hint="eastAsia" w:ascii="宋体" w:hAnsi="宋体" w:cs="宋体"/>
          <w:sz w:val="24"/>
        </w:rPr>
        <w:t>3.履约保证金退付方式、时间及条件：乙方若不能完全履行合同，履约保证金不予退还；乙方若完全履行合同，货物验收合格后，乙方凭履约保证金缴款凭证、退付意见书到采购人财务部门办理无息退还手续。由乙方向甲方提供《广西壮族自治区政府采购项目合同验收书》或广西大学的验收报告（甲方提供格式）、《政府采购项目履约保证金退付意见书》，甲方在收到合格材料后办理退还手续（不计利息）。</w:t>
      </w:r>
    </w:p>
    <w:p w14:paraId="1111E5B2">
      <w:pPr>
        <w:snapToGrid w:val="0"/>
        <w:spacing w:line="460" w:lineRule="exact"/>
        <w:ind w:firstLine="480" w:firstLineChars="200"/>
        <w:rPr>
          <w:rFonts w:ascii="宋体" w:hAnsi="宋体" w:cs="宋体"/>
          <w:sz w:val="24"/>
        </w:rPr>
      </w:pPr>
      <w:r>
        <w:rPr>
          <w:rFonts w:hint="eastAsia" w:ascii="宋体" w:hAnsi="宋体" w:cs="宋体"/>
          <w:sz w:val="24"/>
        </w:rPr>
        <w:t>4.备注：</w:t>
      </w:r>
    </w:p>
    <w:p w14:paraId="0AFB0C03">
      <w:pPr>
        <w:snapToGrid w:val="0"/>
        <w:spacing w:line="460" w:lineRule="exact"/>
        <w:ind w:firstLine="480" w:firstLineChars="200"/>
        <w:rPr>
          <w:rFonts w:ascii="宋体" w:hAnsi="宋体" w:cs="宋体"/>
          <w:sz w:val="24"/>
        </w:rPr>
      </w:pPr>
      <w:r>
        <w:rPr>
          <w:rFonts w:hint="eastAsia" w:ascii="宋体" w:hAnsi="宋体" w:cs="宋体"/>
          <w:sz w:val="24"/>
        </w:rPr>
        <w:t>（1）履约保证金必须足额缴纳，或出具的保函额度必须足额且保函有效期不能低于合同履行期限（即签订采购合同之日起至履行完合同约定的权利及义务之日止），否则视为无效履约保证金。</w:t>
      </w:r>
    </w:p>
    <w:p w14:paraId="7003D561">
      <w:pPr>
        <w:snapToGrid w:val="0"/>
        <w:spacing w:line="460" w:lineRule="exact"/>
        <w:ind w:firstLine="480" w:firstLineChars="200"/>
        <w:rPr>
          <w:rFonts w:ascii="宋体" w:hAnsi="宋体" w:cs="宋体"/>
          <w:sz w:val="24"/>
        </w:rPr>
      </w:pPr>
      <w:r>
        <w:rPr>
          <w:rFonts w:hint="eastAsia" w:ascii="宋体" w:hAnsi="宋体" w:cs="宋体"/>
          <w:sz w:val="24"/>
        </w:rPr>
        <w:t>（2）采用保函的，必须为无条件保函，否则视为无效履约保证金。</w:t>
      </w:r>
    </w:p>
    <w:p w14:paraId="57AAD2A9">
      <w:pPr>
        <w:snapToGrid w:val="0"/>
        <w:spacing w:line="460" w:lineRule="exact"/>
        <w:ind w:firstLine="480" w:firstLineChars="200"/>
        <w:rPr>
          <w:rFonts w:ascii="宋体" w:hAnsi="宋体" w:cs="宋体"/>
          <w:sz w:val="24"/>
        </w:rPr>
      </w:pPr>
      <w:r>
        <w:rPr>
          <w:rFonts w:hint="eastAsia" w:ascii="宋体" w:hAnsi="宋体" w:cs="宋体"/>
          <w:sz w:val="24"/>
        </w:rPr>
        <w:t>（3）</w:t>
      </w:r>
      <w:r>
        <w:rPr>
          <w:rFonts w:ascii="宋体" w:hAnsi="宋体" w:cs="宋体"/>
          <w:b/>
          <w:sz w:val="24"/>
        </w:rPr>
        <w:t>履约保证金缴纳时须明确备注项目</w:t>
      </w:r>
      <w:r>
        <w:rPr>
          <w:rFonts w:hint="eastAsia" w:ascii="宋体" w:hAnsi="宋体" w:cs="宋体"/>
          <w:b/>
          <w:sz w:val="24"/>
        </w:rPr>
        <w:t>名称（编号）：</w:t>
      </w:r>
      <w:r>
        <w:rPr>
          <w:rFonts w:ascii="宋体" w:hAnsi="宋体" w:cs="宋体"/>
          <w:b/>
          <w:sz w:val="24"/>
          <w:u w:val="single"/>
        </w:rPr>
        <w:t>*********</w:t>
      </w:r>
      <w:r>
        <w:rPr>
          <w:rFonts w:hint="eastAsia" w:ascii="宋体" w:hAnsi="宋体" w:cs="宋体"/>
          <w:b/>
          <w:sz w:val="24"/>
        </w:rPr>
        <w:t>（</w:t>
      </w:r>
      <w:r>
        <w:rPr>
          <w:rFonts w:ascii="宋体" w:hAnsi="宋体" w:cs="宋体"/>
          <w:b/>
          <w:sz w:val="24"/>
        </w:rPr>
        <w:t>GXZC20</w:t>
      </w:r>
      <w:r>
        <w:rPr>
          <w:rFonts w:hint="eastAsia" w:ascii="宋体" w:hAnsi="宋体" w:cs="宋体"/>
          <w:b/>
          <w:sz w:val="24"/>
        </w:rPr>
        <w:t>26</w:t>
      </w:r>
      <w:r>
        <w:rPr>
          <w:rFonts w:ascii="宋体" w:hAnsi="宋体" w:cs="宋体"/>
          <w:b/>
          <w:sz w:val="24"/>
        </w:rPr>
        <w:t>-C3-000000-****</w:t>
      </w:r>
      <w:r>
        <w:rPr>
          <w:rFonts w:hint="eastAsia" w:ascii="宋体" w:hAnsi="宋体" w:cs="宋体"/>
          <w:b/>
          <w:sz w:val="24"/>
        </w:rPr>
        <w:t>）履约保证金。</w:t>
      </w:r>
    </w:p>
    <w:p w14:paraId="497432C3">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（4）甲方账户信息如下：</w:t>
      </w:r>
    </w:p>
    <w:p w14:paraId="5C52B828">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统一社会信用代码：124500004985009929</w:t>
      </w:r>
    </w:p>
    <w:p w14:paraId="01A1DFF8">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户名： 广西大学</w:t>
      </w:r>
    </w:p>
    <w:p w14:paraId="508E8531">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开户行：中国银行广西南宁市西大支行（行号：104611010324）</w:t>
      </w:r>
    </w:p>
    <w:p w14:paraId="67304524">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账号： 618 457 484 938</w:t>
      </w:r>
    </w:p>
    <w:p w14:paraId="5C12D61C">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地址：广西壮族自治区南宁市大学东路100号  联系电话：3232888</w:t>
      </w:r>
    </w:p>
    <w:p w14:paraId="6993507D">
      <w:pPr>
        <w:snapToGrid w:val="0"/>
        <w:spacing w:line="420" w:lineRule="exact"/>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签订合同后，如乙方不按双方签订的合同规定履约，则其全部履约保证金甲方不予退还；履约保证金不足以赔偿甲方损失的，按实际损失赔偿。</w:t>
      </w:r>
    </w:p>
    <w:p w14:paraId="1CF35BFB">
      <w:pPr>
        <w:snapToGrid w:val="0"/>
        <w:spacing w:line="460" w:lineRule="exact"/>
        <w:ind w:firstLine="514"/>
        <w:rPr>
          <w:rFonts w:ascii="宋体" w:hAnsi="宋体" w:cs="宋体"/>
          <w:b/>
          <w:sz w:val="24"/>
        </w:rPr>
      </w:pPr>
      <w:r>
        <w:rPr>
          <w:rFonts w:hint="eastAsia" w:ascii="宋体" w:hAnsi="宋体" w:cs="宋体"/>
          <w:b/>
          <w:sz w:val="24"/>
        </w:rPr>
        <w:t>第九条  税费</w:t>
      </w:r>
    </w:p>
    <w:p w14:paraId="3C3EAEEF">
      <w:pPr>
        <w:snapToGrid w:val="0"/>
        <w:spacing w:line="460" w:lineRule="exact"/>
        <w:ind w:firstLine="514"/>
        <w:rPr>
          <w:rFonts w:ascii="宋体" w:hAnsi="宋体" w:cs="宋体"/>
          <w:sz w:val="24"/>
        </w:rPr>
      </w:pPr>
      <w:r>
        <w:rPr>
          <w:rFonts w:hint="eastAsia" w:ascii="宋体" w:hAnsi="宋体" w:cs="宋体"/>
          <w:sz w:val="24"/>
        </w:rPr>
        <w:t>本合同执行中相关的一切税费均由乙方负担，合同另有约定的除外。合同执行期间税费发生变化的，由乙方承担。</w:t>
      </w:r>
    </w:p>
    <w:p w14:paraId="1777B396">
      <w:pPr>
        <w:snapToGrid w:val="0"/>
        <w:spacing w:line="460" w:lineRule="exact"/>
        <w:ind w:firstLine="514"/>
        <w:rPr>
          <w:rFonts w:ascii="宋体" w:hAnsi="宋体" w:cs="宋体"/>
          <w:sz w:val="24"/>
        </w:rPr>
      </w:pPr>
      <w:r>
        <w:rPr>
          <w:rFonts w:hint="eastAsia" w:ascii="宋体" w:hAnsi="宋体" w:cs="宋体"/>
          <w:b/>
          <w:sz w:val="24"/>
        </w:rPr>
        <w:t>第十条  质量保证、售后服务</w:t>
      </w:r>
    </w:p>
    <w:p w14:paraId="13953C64">
      <w:pPr>
        <w:snapToGrid w:val="0"/>
        <w:spacing w:line="460" w:lineRule="exact"/>
        <w:ind w:firstLine="480" w:firstLineChars="200"/>
        <w:rPr>
          <w:rFonts w:ascii="宋体" w:hAnsi="宋体" w:cs="宋体"/>
          <w:bCs/>
          <w:kern w:val="0"/>
          <w:sz w:val="24"/>
        </w:rPr>
      </w:pPr>
      <w:r>
        <w:rPr>
          <w:rFonts w:hint="eastAsia" w:hAnsi="宋体" w:cs="宋体"/>
          <w:sz w:val="24"/>
        </w:rPr>
        <w:t>1</w:t>
      </w:r>
      <w:r>
        <w:rPr>
          <w:rFonts w:hint="eastAsia" w:ascii="宋体" w:hAnsi="宋体" w:cs="宋体"/>
          <w:bCs/>
          <w:kern w:val="0"/>
          <w:sz w:val="24"/>
        </w:rPr>
        <w:t>.乙方应按照国家有关法律法规和“三包”规定以及招投标文件（采购文件）和本合同所附的《售后服务承诺》，为甲方提供售后服务。</w:t>
      </w:r>
    </w:p>
    <w:p w14:paraId="616F0E1D">
      <w:pPr>
        <w:snapToGrid w:val="0"/>
        <w:spacing w:line="460" w:lineRule="exact"/>
        <w:ind w:firstLine="480" w:firstLineChars="200"/>
        <w:rPr>
          <w:rFonts w:ascii="宋体" w:hAnsi="宋体" w:cs="宋体"/>
          <w:bCs/>
          <w:kern w:val="0"/>
          <w:sz w:val="24"/>
        </w:rPr>
      </w:pPr>
      <w:r>
        <w:rPr>
          <w:rFonts w:hint="eastAsia" w:ascii="宋体" w:hAnsi="宋体" w:cs="宋体"/>
          <w:bCs/>
          <w:kern w:val="0"/>
          <w:sz w:val="24"/>
        </w:rPr>
        <w:t>2.乙方应按招标文件规定的设备和软件性能、技术要求、质量标准向甲方提供未经使用的全新产品。对达不到要求者，根据实际情况，经双方协商，可按以下办法处理：</w:t>
      </w:r>
    </w:p>
    <w:p w14:paraId="3153CB92">
      <w:pPr>
        <w:snapToGrid w:val="0"/>
        <w:spacing w:line="460" w:lineRule="exact"/>
        <w:ind w:firstLine="480" w:firstLineChars="200"/>
        <w:rPr>
          <w:rFonts w:ascii="宋体" w:hAnsi="宋体" w:cs="宋体"/>
          <w:bCs/>
          <w:kern w:val="0"/>
          <w:sz w:val="24"/>
        </w:rPr>
      </w:pPr>
      <w:r>
        <w:rPr>
          <w:rFonts w:hint="eastAsia" w:ascii="宋体" w:hAnsi="宋体" w:cs="宋体"/>
          <w:bCs/>
          <w:kern w:val="0"/>
          <w:sz w:val="24"/>
        </w:rPr>
        <w:t>（1）更换：由乙方承担所发生的全部费用。</w:t>
      </w:r>
    </w:p>
    <w:p w14:paraId="3E1CAD53">
      <w:pPr>
        <w:snapToGrid w:val="0"/>
        <w:spacing w:line="460" w:lineRule="exact"/>
        <w:ind w:firstLine="480" w:firstLineChars="200"/>
        <w:rPr>
          <w:rFonts w:ascii="宋体" w:hAnsi="宋体" w:cs="宋体"/>
          <w:bCs/>
          <w:kern w:val="0"/>
          <w:sz w:val="24"/>
        </w:rPr>
      </w:pPr>
      <w:r>
        <w:rPr>
          <w:rFonts w:hint="eastAsia" w:ascii="宋体" w:hAnsi="宋体" w:cs="宋体"/>
          <w:bCs/>
          <w:kern w:val="0"/>
          <w:sz w:val="24"/>
        </w:rPr>
        <w:t>（2）贬值处理：由甲乙双方合议定价。</w:t>
      </w:r>
    </w:p>
    <w:p w14:paraId="251FAFF3">
      <w:pPr>
        <w:snapToGrid w:val="0"/>
        <w:spacing w:line="460" w:lineRule="exact"/>
        <w:ind w:firstLine="480" w:firstLineChars="200"/>
        <w:rPr>
          <w:rFonts w:ascii="宋体" w:hAnsi="宋体" w:cs="宋体"/>
          <w:bCs/>
          <w:kern w:val="0"/>
          <w:sz w:val="24"/>
        </w:rPr>
      </w:pPr>
      <w:r>
        <w:rPr>
          <w:rFonts w:hint="eastAsia" w:ascii="宋体" w:hAnsi="宋体" w:cs="宋体"/>
          <w:bCs/>
          <w:kern w:val="0"/>
          <w:sz w:val="24"/>
        </w:rPr>
        <w:t>（3）退货处理：乙方应退还甲方支付的合同款，同时应承担该货物的直接费用（运输、保险、检验、货款利息及银行手续费等）。</w:t>
      </w:r>
    </w:p>
    <w:p w14:paraId="049DF0A6">
      <w:pPr>
        <w:snapToGrid w:val="0"/>
        <w:spacing w:line="360" w:lineRule="auto"/>
        <w:ind w:firstLine="480" w:firstLineChars="200"/>
        <w:rPr>
          <w:rFonts w:ascii="宋体" w:hAnsi="宋体" w:cs="宋体"/>
          <w:bCs/>
          <w:kern w:val="0"/>
          <w:sz w:val="24"/>
        </w:rPr>
      </w:pPr>
      <w:r>
        <w:rPr>
          <w:rFonts w:hint="eastAsia" w:ascii="宋体" w:hAnsi="宋体" w:cs="宋体"/>
          <w:bCs/>
          <w:kern w:val="0"/>
          <w:sz w:val="24"/>
        </w:rPr>
        <w:t>如果双方不能就上述第（1）、（2）项达成协议，则甲方有权单方选择第（3）项方式。</w:t>
      </w:r>
    </w:p>
    <w:p w14:paraId="3F20DBCE">
      <w:pPr>
        <w:snapToGrid w:val="0"/>
        <w:spacing w:line="360" w:lineRule="auto"/>
        <w:ind w:firstLine="480" w:firstLineChars="200"/>
        <w:rPr>
          <w:rFonts w:ascii="宋体" w:hAnsi="宋体" w:cs="宋体"/>
          <w:bCs/>
          <w:kern w:val="0"/>
          <w:sz w:val="24"/>
        </w:rPr>
      </w:pPr>
      <w:r>
        <w:rPr>
          <w:rFonts w:ascii="宋体" w:hAnsi="宋体" w:cs="宋体"/>
          <w:bCs/>
          <w:kern w:val="0"/>
          <w:sz w:val="24"/>
        </w:rPr>
        <w:t>3</w:t>
      </w:r>
      <w:r>
        <w:rPr>
          <w:rFonts w:hint="eastAsia" w:ascii="宋体" w:hAnsi="宋体" w:cs="宋体"/>
          <w:bCs/>
          <w:kern w:val="0"/>
          <w:sz w:val="24"/>
        </w:rPr>
        <w:t>.乙方提供的服务承诺和售后服务及质量保证期责任等其他具体约定事项见合同附件及响应文件。</w:t>
      </w:r>
    </w:p>
    <w:p w14:paraId="794FE7DB">
      <w:pPr>
        <w:snapToGrid w:val="0"/>
        <w:spacing w:line="360" w:lineRule="auto"/>
        <w:ind w:firstLine="480" w:firstLineChars="200"/>
        <w:rPr>
          <w:rFonts w:ascii="宋体" w:hAnsi="宋体" w:cs="宋体"/>
          <w:sz w:val="24"/>
        </w:rPr>
      </w:pPr>
      <w:r>
        <w:rPr>
          <w:rFonts w:hint="eastAsia" w:ascii="宋体" w:hAnsi="宋体" w:cs="宋体"/>
          <w:sz w:val="24"/>
        </w:rPr>
        <w:t>4.负责送货上门、提供产品原厂工程师现场安装、安装调试服务、技术培训和12个月远程服务。</w:t>
      </w:r>
    </w:p>
    <w:p w14:paraId="74362E63">
      <w:pPr>
        <w:snapToGrid w:val="0"/>
        <w:spacing w:line="360" w:lineRule="auto"/>
        <w:ind w:firstLine="480" w:firstLineChars="200"/>
        <w:rPr>
          <w:rFonts w:ascii="宋体" w:hAnsi="宋体" w:cs="宋体"/>
          <w:sz w:val="24"/>
        </w:rPr>
      </w:pPr>
      <w:r>
        <w:rPr>
          <w:rFonts w:hint="eastAsia" w:ascii="宋体" w:hAnsi="宋体" w:cs="宋体"/>
          <w:sz w:val="24"/>
        </w:rPr>
        <w:t>5.</w:t>
      </w:r>
      <w:bookmarkStart w:id="161" w:name="_Hlk207211069"/>
      <w:r>
        <w:rPr>
          <w:rFonts w:hint="eastAsia" w:ascii="宋体" w:hAnsi="宋体" w:cs="宋体"/>
          <w:sz w:val="24"/>
        </w:rPr>
        <w:t>维修响应：售后服务要求7天×8小时工作制，乙方在接到用户维修电话后1小时内响应，3小时内到达现场处理，一般情况下24小时内恢复正常使用。若不能修复须有合理应对方案。如果乙方未在上述时间内作出响应,则甲方有权自行或委托他人解决相关问题或查找和解决合同货物的故障，乙方应承担由此发生的全部费用。</w:t>
      </w:r>
      <w:bookmarkEnd w:id="161"/>
    </w:p>
    <w:p w14:paraId="484DCA97">
      <w:pPr>
        <w:snapToGrid w:val="0"/>
        <w:spacing w:line="360" w:lineRule="auto"/>
        <w:ind w:firstLine="480" w:firstLineChars="200"/>
        <w:rPr>
          <w:rFonts w:ascii="宋体" w:hAnsi="宋体" w:cs="宋体"/>
          <w:sz w:val="24"/>
        </w:rPr>
      </w:pPr>
      <w:r>
        <w:rPr>
          <w:rFonts w:hint="eastAsia" w:ascii="宋体" w:hAnsi="宋体" w:cs="宋体"/>
          <w:sz w:val="24"/>
        </w:rPr>
        <w:t>6.质量保证期内因设备性能故障检修三次仍不能正常使用的，更换新设备。在超出质量保证期后，如产品发生故障，可派技术员上门服务；如需更换配件，配件均按市场最优惠价格供应。</w:t>
      </w:r>
    </w:p>
    <w:p w14:paraId="2F1B8AF5">
      <w:pPr>
        <w:snapToGrid w:val="0"/>
        <w:spacing w:line="360" w:lineRule="auto"/>
        <w:ind w:firstLine="480" w:firstLineChars="200"/>
        <w:rPr>
          <w:rFonts w:ascii="宋体" w:hAnsi="宋体" w:cs="宋体"/>
          <w:bCs/>
          <w:kern w:val="0"/>
          <w:sz w:val="24"/>
        </w:rPr>
      </w:pPr>
      <w:r>
        <w:rPr>
          <w:rFonts w:hint="eastAsia" w:ascii="宋体" w:hAnsi="宋体" w:cs="宋体"/>
          <w:sz w:val="24"/>
        </w:rPr>
        <w:t>7.终身提供技术协助服务。</w:t>
      </w:r>
      <w:r>
        <w:rPr>
          <w:rFonts w:hint="eastAsia" w:ascii="宋体" w:hAnsi="宋体" w:cs="宋体"/>
          <w:bCs/>
          <w:kern w:val="0"/>
          <w:sz w:val="24"/>
        </w:rPr>
        <w:t>乙方除承担运输、安装、调试、验收与培训等义务外，还将为甲方提供技术支持，包括</w:t>
      </w:r>
      <w:r>
        <w:rPr>
          <w:rFonts w:hint="eastAsia" w:ascii="宋体" w:hAnsi="宋体" w:cs="宋体"/>
          <w:sz w:val="24"/>
        </w:rPr>
        <w:t>质量保证期</w:t>
      </w:r>
      <w:r>
        <w:rPr>
          <w:rFonts w:hint="eastAsia" w:ascii="宋体" w:hAnsi="宋体" w:cs="宋体"/>
          <w:bCs/>
          <w:kern w:val="0"/>
          <w:sz w:val="24"/>
        </w:rPr>
        <w:t>外的技术指导。</w:t>
      </w:r>
    </w:p>
    <w:p w14:paraId="272185C6">
      <w:pPr>
        <w:snapToGrid w:val="0"/>
        <w:spacing w:line="360" w:lineRule="auto"/>
        <w:ind w:firstLine="480" w:firstLineChars="200"/>
        <w:rPr>
          <w:rFonts w:ascii="宋体" w:hAnsi="宋体" w:cs="宋体"/>
          <w:bCs/>
          <w:kern w:val="0"/>
          <w:sz w:val="24"/>
        </w:rPr>
      </w:pPr>
      <w:r>
        <w:rPr>
          <w:rFonts w:hAnsi="宋体" w:cs="宋体"/>
          <w:sz w:val="24"/>
        </w:rPr>
        <w:t>8</w:t>
      </w:r>
      <w:r>
        <w:rPr>
          <w:rFonts w:hint="eastAsia" w:ascii="宋体" w:hAnsi="宋体" w:cs="宋体"/>
          <w:bCs/>
          <w:kern w:val="0"/>
          <w:sz w:val="24"/>
        </w:rPr>
        <w:t>.在</w:t>
      </w:r>
      <w:r>
        <w:rPr>
          <w:rFonts w:hint="eastAsia" w:ascii="宋体" w:hAnsi="宋体" w:cs="宋体"/>
          <w:sz w:val="24"/>
        </w:rPr>
        <w:t>质量保证期</w:t>
      </w:r>
      <w:r>
        <w:rPr>
          <w:rFonts w:hint="eastAsia" w:ascii="宋体" w:hAnsi="宋体" w:cs="宋体"/>
          <w:bCs/>
          <w:kern w:val="0"/>
          <w:sz w:val="24"/>
        </w:rPr>
        <w:t>内，乙方应对货物出现的质量及安全问题负责处理解决并承担一切费用。</w:t>
      </w:r>
    </w:p>
    <w:p w14:paraId="00184056">
      <w:pPr>
        <w:snapToGrid w:val="0"/>
        <w:spacing w:line="360" w:lineRule="auto"/>
        <w:ind w:firstLine="480" w:firstLineChars="200"/>
        <w:rPr>
          <w:rFonts w:hAnsi="宋体" w:cs="宋体"/>
          <w:sz w:val="24"/>
        </w:rPr>
      </w:pPr>
      <w:r>
        <w:rPr>
          <w:rFonts w:hAnsi="宋体" w:cs="宋体"/>
          <w:sz w:val="24"/>
        </w:rPr>
        <w:t>9</w:t>
      </w:r>
      <w:r>
        <w:rPr>
          <w:rFonts w:hint="eastAsia" w:hAnsi="宋体" w:cs="宋体"/>
          <w:sz w:val="24"/>
        </w:rPr>
        <w:t>.超过质量保证期的机器设备，终身维修，维修时只收部件成本费。</w:t>
      </w:r>
    </w:p>
    <w:p w14:paraId="61BEA4DE">
      <w:pPr>
        <w:snapToGrid w:val="0"/>
        <w:spacing w:line="360" w:lineRule="auto"/>
        <w:ind w:firstLine="480" w:firstLineChars="200"/>
        <w:rPr>
          <w:rFonts w:hAnsi="宋体" w:cs="宋体"/>
          <w:sz w:val="24"/>
        </w:rPr>
      </w:pPr>
      <w:r>
        <w:rPr>
          <w:rFonts w:hAnsi="宋体" w:cs="宋体"/>
          <w:sz w:val="24"/>
        </w:rPr>
        <w:t>10</w:t>
      </w:r>
      <w:r>
        <w:rPr>
          <w:rFonts w:hint="eastAsia" w:hAnsi="宋体" w:cs="宋体"/>
          <w:sz w:val="24"/>
        </w:rPr>
        <w:t>.货物质量保证期：</w:t>
      </w:r>
      <w:r>
        <w:rPr>
          <w:rFonts w:hint="eastAsia" w:hAnsi="宋体" w:cs="宋体"/>
          <w:sz w:val="24"/>
          <w:u w:val="single"/>
        </w:rPr>
        <w:t>按国家有关产品“三包”规定执行“三包”政策，质量保证期不少于3年（质量保证期自货物验收合格之日起计。分项货物或配置有明确要求的按分项要求；生产厂家承诺的质量保证期更长的按生产厂家的承诺；乙方响应文件承诺更优的，以乙方响应文件承诺为准）。</w:t>
      </w:r>
    </w:p>
    <w:p w14:paraId="4873EC37">
      <w:pPr>
        <w:snapToGrid w:val="0"/>
        <w:spacing w:line="360" w:lineRule="auto"/>
        <w:ind w:firstLine="480" w:firstLineChars="200"/>
        <w:rPr>
          <w:rFonts w:ascii="宋体" w:hAnsi="宋体" w:cs="宋体"/>
          <w:sz w:val="24"/>
        </w:rPr>
      </w:pPr>
      <w:r>
        <w:rPr>
          <w:rFonts w:ascii="宋体" w:hAnsi="宋体" w:cs="宋体"/>
          <w:sz w:val="24"/>
        </w:rPr>
        <w:t>11</w:t>
      </w:r>
      <w:r>
        <w:rPr>
          <w:rFonts w:hint="eastAsia" w:ascii="宋体" w:hAnsi="宋体" w:cs="宋体"/>
          <w:sz w:val="24"/>
        </w:rPr>
        <w:t>. 质保期内维修延误及违约责任</w:t>
      </w:r>
    </w:p>
    <w:p w14:paraId="21827ABB">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1）响应延误违约金</w:t>
      </w:r>
    </w:p>
    <w:p w14:paraId="398B4FA4">
      <w:pPr>
        <w:snapToGrid w:val="0"/>
        <w:spacing w:line="360" w:lineRule="auto"/>
        <w:ind w:firstLine="480" w:firstLineChars="200"/>
        <w:rPr>
          <w:rFonts w:ascii="宋体" w:hAnsi="宋体" w:cs="宋体"/>
          <w:sz w:val="24"/>
        </w:rPr>
      </w:pPr>
      <w:r>
        <w:rPr>
          <w:rFonts w:hint="eastAsia" w:ascii="宋体" w:hAnsi="宋体" w:cs="宋体"/>
          <w:sz w:val="24"/>
        </w:rPr>
        <w:t>质保期内，若乙方未按原合同约定时间履行响应、提供解决方案或到达现场等任一义务，每发生一次，乙方应向甲方支付合同价款的万分之五的违约金人民币</w:t>
      </w:r>
      <w:r>
        <w:rPr>
          <w:rFonts w:ascii="宋体" w:hAnsi="宋体" w:cs="宋体"/>
          <w:sz w:val="24"/>
        </w:rPr>
        <w:t>*****元（大写：</w:t>
      </w:r>
      <w:r>
        <w:rPr>
          <w:rFonts w:hint="eastAsia" w:ascii="宋体" w:hAnsi="宋体" w:cs="宋体"/>
          <w:sz w:val="24"/>
        </w:rPr>
        <w:t>*</w:t>
      </w:r>
      <w:r>
        <w:rPr>
          <w:rFonts w:ascii="宋体" w:hAnsi="宋体" w:cs="宋体"/>
          <w:sz w:val="24"/>
        </w:rPr>
        <w:t>******</w:t>
      </w:r>
      <w:r>
        <w:rPr>
          <w:rFonts w:hint="eastAsia" w:ascii="宋体" w:hAnsi="宋体" w:cs="宋体"/>
          <w:sz w:val="24"/>
        </w:rPr>
        <w:t>整）。</w:t>
      </w:r>
    </w:p>
    <w:p w14:paraId="19F01B60">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2）故障修复延误违约金</w:t>
      </w:r>
    </w:p>
    <w:p w14:paraId="36B0EAAF">
      <w:pPr>
        <w:snapToGrid w:val="0"/>
        <w:spacing w:line="360" w:lineRule="auto"/>
        <w:ind w:firstLine="480" w:firstLineChars="200"/>
        <w:rPr>
          <w:rFonts w:ascii="宋体" w:hAnsi="宋体" w:cs="宋体"/>
          <w:sz w:val="24"/>
        </w:rPr>
      </w:pPr>
      <w:r>
        <w:rPr>
          <w:rFonts w:hint="eastAsia" w:ascii="宋体" w:hAnsi="宋体" w:cs="宋体"/>
          <w:sz w:val="24"/>
        </w:rPr>
        <w:t>质保期内，因乙方设备质量原因导致故障，乙方在提供解决方案后未能在</w:t>
      </w:r>
      <w:r>
        <w:rPr>
          <w:rFonts w:ascii="宋体" w:hAnsi="宋体" w:cs="宋体"/>
          <w:sz w:val="24"/>
        </w:rPr>
        <w:t>60个自然日内完成修复的（因不可抗力或甲方原因导致的延误期间除外），</w:t>
      </w:r>
      <w:r>
        <w:rPr>
          <w:rFonts w:hint="eastAsia" w:ascii="宋体" w:hAnsi="宋体" w:cs="宋体"/>
          <w:sz w:val="24"/>
        </w:rPr>
        <w:t>自第</w:t>
      </w:r>
      <w:r>
        <w:rPr>
          <w:rFonts w:ascii="宋体" w:hAnsi="宋体" w:cs="宋体"/>
          <w:sz w:val="24"/>
        </w:rPr>
        <w:t>61日起，乙方应按日向甲方支付该设备对应的合同价款万分之一的违约金，</w:t>
      </w:r>
      <w:r>
        <w:rPr>
          <w:rFonts w:hint="eastAsia" w:ascii="宋体" w:hAnsi="宋体" w:cs="宋体"/>
          <w:sz w:val="24"/>
        </w:rPr>
        <w:t>直至设备恢复正常运行为止。此项违约金不影响甲方就设备停用期间所遭受的其他直接及间接损失向乙方索赔的权利。此项违约金累计总额不超过该设备对应的合同价款的百分之十。</w:t>
      </w:r>
    </w:p>
    <w:p w14:paraId="1209224F">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3）严重故障的救济措施与违约金</w:t>
      </w:r>
    </w:p>
    <w:p w14:paraId="42D0DA7A">
      <w:pPr>
        <w:snapToGrid w:val="0"/>
        <w:spacing w:line="360" w:lineRule="auto"/>
        <w:ind w:firstLine="480" w:firstLineChars="200"/>
        <w:rPr>
          <w:rFonts w:ascii="宋体" w:hAnsi="宋体" w:cs="宋体"/>
          <w:sz w:val="24"/>
        </w:rPr>
      </w:pPr>
      <w:r>
        <w:rPr>
          <w:rFonts w:hint="eastAsia" w:ascii="宋体" w:hAnsi="宋体" w:cs="宋体"/>
          <w:sz w:val="24"/>
        </w:rPr>
        <w:t>质保期内，若因乙方设备质量原因导致设备完全无法修复，或单次故障持续无法修复超过</w:t>
      </w:r>
      <w:r>
        <w:rPr>
          <w:rFonts w:ascii="宋体" w:hAnsi="宋体" w:cs="宋体"/>
          <w:sz w:val="24"/>
        </w:rPr>
        <w:t>60个自然日，或在任意连续12个月内累计无法正常运行超过90个自然日，甲方有权选择采取以下任一措施：</w:t>
      </w:r>
    </w:p>
    <w:p w14:paraId="66C11DB1">
      <w:pPr>
        <w:snapToGrid w:val="0"/>
        <w:spacing w:line="360" w:lineRule="auto"/>
        <w:ind w:firstLine="480" w:firstLineChars="200"/>
        <w:rPr>
          <w:rFonts w:ascii="宋体" w:hAnsi="宋体" w:cs="宋体"/>
          <w:sz w:val="24"/>
        </w:rPr>
      </w:pPr>
      <w:r>
        <w:rPr>
          <w:rFonts w:ascii="宋体" w:hAnsi="宋体" w:cs="宋体"/>
          <w:sz w:val="24"/>
        </w:rPr>
        <w:t>1）要求乙方更换同等或更高规格的新设备</w:t>
      </w:r>
      <w:r>
        <w:rPr>
          <w:rFonts w:hint="eastAsia" w:ascii="宋体" w:hAnsi="宋体" w:cs="宋体"/>
          <w:sz w:val="24"/>
        </w:rPr>
        <w:t>；</w:t>
      </w:r>
    </w:p>
    <w:p w14:paraId="02516FA3">
      <w:pPr>
        <w:snapToGrid w:val="0"/>
        <w:spacing w:line="360" w:lineRule="auto"/>
        <w:ind w:firstLine="480" w:firstLineChars="200"/>
        <w:rPr>
          <w:rFonts w:ascii="宋体" w:hAnsi="宋体" w:cs="宋体"/>
          <w:sz w:val="24"/>
        </w:rPr>
      </w:pPr>
      <w:r>
        <w:rPr>
          <w:rFonts w:ascii="宋体" w:hAnsi="宋体" w:cs="宋体"/>
          <w:sz w:val="24"/>
        </w:rPr>
        <w:t>2）要求乙方退还该设备所对应的全部合同价款，并同时向甲方支付相当</w:t>
      </w:r>
      <w:r>
        <w:rPr>
          <w:rFonts w:hint="eastAsia" w:ascii="宋体" w:hAnsi="宋体" w:cs="宋体"/>
          <w:sz w:val="24"/>
        </w:rPr>
        <w:t>于该设备合同价款百分之二十的违约金（即人民币</w:t>
      </w:r>
      <w:r>
        <w:rPr>
          <w:rFonts w:ascii="宋体" w:hAnsi="宋体" w:cs="宋体"/>
          <w:sz w:val="24"/>
        </w:rPr>
        <w:t>*********元）。</w:t>
      </w:r>
    </w:p>
    <w:p w14:paraId="1DBA1A01">
      <w:pPr>
        <w:snapToGrid w:val="0"/>
        <w:spacing w:line="360" w:lineRule="auto"/>
        <w:ind w:firstLine="480" w:firstLineChars="200"/>
        <w:rPr>
          <w:rFonts w:ascii="宋体" w:hAnsi="宋体" w:cs="宋体"/>
          <w:sz w:val="24"/>
        </w:rPr>
      </w:pPr>
      <w:r>
        <w:rPr>
          <w:rFonts w:hint="eastAsia" w:ascii="宋体" w:hAnsi="宋体" w:cs="宋体"/>
          <w:sz w:val="24"/>
        </w:rPr>
        <w:t>无论甲方选择何种措施，乙方仍应承担合同项下的其他全部违约责任。</w:t>
      </w:r>
    </w:p>
    <w:p w14:paraId="73FFF903">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4）违约责任与质保义务的独立性</w:t>
      </w:r>
    </w:p>
    <w:p w14:paraId="278495B9">
      <w:pPr>
        <w:snapToGrid w:val="0"/>
        <w:spacing w:line="360" w:lineRule="auto"/>
        <w:ind w:firstLine="480" w:firstLineChars="200"/>
        <w:rPr>
          <w:rFonts w:ascii="宋体" w:hAnsi="宋体" w:cs="宋体"/>
          <w:sz w:val="24"/>
        </w:rPr>
      </w:pPr>
      <w:r>
        <w:rPr>
          <w:rFonts w:hint="eastAsia" w:ascii="宋体" w:hAnsi="宋体" w:cs="宋体"/>
          <w:sz w:val="24"/>
        </w:rPr>
        <w:t>乙方依据本条款支付违约金后，其在合同项下的维修、更换等质量保证义务并不因此免除，应继续履行。</w:t>
      </w:r>
    </w:p>
    <w:p w14:paraId="6E58F9A4">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5）“维修”的定义</w:t>
      </w:r>
    </w:p>
    <w:p w14:paraId="6F88A3B2">
      <w:pPr>
        <w:snapToGrid w:val="0"/>
        <w:spacing w:line="360" w:lineRule="auto"/>
        <w:ind w:firstLine="480" w:firstLineChars="200"/>
        <w:rPr>
          <w:rFonts w:ascii="宋体" w:hAnsi="宋体" w:cs="宋体"/>
          <w:sz w:val="24"/>
        </w:rPr>
      </w:pPr>
      <w:r>
        <w:rPr>
          <w:rFonts w:hint="eastAsia" w:ascii="宋体" w:hAnsi="宋体" w:cs="宋体"/>
          <w:sz w:val="24"/>
        </w:rPr>
        <w:t>本条所述“维修”包括但不限于故障诊断、提供临时解决方案、现场修理、更换零部件等为使设备恢复至约定性能状态所需的一切工作。</w:t>
      </w:r>
    </w:p>
    <w:p w14:paraId="60849397">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6） 附加培训服务</w:t>
      </w:r>
    </w:p>
    <w:p w14:paraId="6B08A31C">
      <w:pPr>
        <w:snapToGrid w:val="0"/>
        <w:spacing w:line="360" w:lineRule="auto"/>
        <w:ind w:firstLine="480" w:firstLineChars="200"/>
        <w:rPr>
          <w:rFonts w:ascii="宋体" w:hAnsi="宋体" w:cs="宋体"/>
          <w:sz w:val="24"/>
        </w:rPr>
      </w:pPr>
      <w:r>
        <w:rPr>
          <w:rFonts w:hint="eastAsia" w:ascii="宋体" w:hAnsi="宋体" w:cs="宋体"/>
          <w:sz w:val="24"/>
        </w:rPr>
        <w:t>除合同约定的安装培训外，乙方应在质保期内，每年为甲方额外提供一次仪器操作使用培训。同时，乙方每年应为甲方提供一次专业数据分析培训（可采用线上形式），内容应包括但不限于设备高级功能与进阶使用技巧。甲方有权根据实际情况要求调整培训时间，乙方应予配合。</w:t>
      </w:r>
    </w:p>
    <w:p w14:paraId="3A926B2B">
      <w:pPr>
        <w:snapToGrid w:val="0"/>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7）违约金的支付</w:t>
      </w:r>
    </w:p>
    <w:p w14:paraId="70D95B92">
      <w:pPr>
        <w:snapToGrid w:val="0"/>
        <w:spacing w:line="360" w:lineRule="auto"/>
        <w:ind w:firstLine="480" w:firstLineChars="200"/>
        <w:rPr>
          <w:rFonts w:ascii="宋体" w:hAnsi="宋体" w:cs="宋体"/>
          <w:sz w:val="24"/>
        </w:rPr>
      </w:pPr>
      <w:r>
        <w:rPr>
          <w:rFonts w:hint="eastAsia" w:ascii="宋体" w:hAnsi="宋体" w:cs="宋体"/>
          <w:sz w:val="24"/>
        </w:rPr>
        <w:t>本条约定的各项违约金，应由乙方在收到甲方出具的书面付款通知后</w:t>
      </w:r>
      <w:r>
        <w:rPr>
          <w:rFonts w:ascii="宋体" w:hAnsi="宋体" w:cs="宋体"/>
          <w:sz w:val="24"/>
        </w:rPr>
        <w:t>10个</w:t>
      </w:r>
      <w:r>
        <w:rPr>
          <w:rFonts w:hint="eastAsia" w:ascii="宋体" w:hAnsi="宋体" w:cs="宋体"/>
          <w:sz w:val="24"/>
        </w:rPr>
        <w:t>工作日内，向甲方支付。若乙方逾期支付，每逾期一日，应按逾期金额的万分之五向甲方支付滞纳金。同时，甲方有权采取包括但不限于法律诉讼在内的任何必要措施，向乙方追索全部未付款项（包括违约金、滞纳金以及甲方为实现债权所支出的合理费用）。</w:t>
      </w:r>
    </w:p>
    <w:p w14:paraId="4277F582">
      <w:pPr>
        <w:snapToGrid w:val="0"/>
        <w:spacing w:line="460" w:lineRule="exact"/>
        <w:ind w:firstLine="482" w:firstLineChars="200"/>
        <w:rPr>
          <w:rFonts w:ascii="宋体" w:hAnsi="宋体" w:cs="宋体"/>
          <w:b/>
          <w:sz w:val="24"/>
        </w:rPr>
      </w:pPr>
      <w:r>
        <w:rPr>
          <w:rFonts w:hint="eastAsia" w:ascii="宋体" w:hAnsi="宋体" w:cs="宋体"/>
          <w:b/>
          <w:sz w:val="24"/>
        </w:rPr>
        <w:t>第十一条　违约责任</w:t>
      </w:r>
    </w:p>
    <w:p w14:paraId="0E037313">
      <w:pPr>
        <w:pStyle w:val="26"/>
        <w:snapToGrid w:val="0"/>
        <w:spacing w:line="460" w:lineRule="exact"/>
        <w:ind w:firstLine="470" w:firstLineChars="196"/>
        <w:rPr>
          <w:rFonts w:hAnsi="宋体" w:cs="宋体"/>
          <w:sz w:val="24"/>
          <w:szCs w:val="24"/>
        </w:rPr>
      </w:pPr>
      <w:r>
        <w:rPr>
          <w:rFonts w:hint="eastAsia" w:hAnsi="宋体" w:cs="宋体"/>
          <w:sz w:val="24"/>
          <w:szCs w:val="24"/>
        </w:rPr>
        <w:t xml:space="preserve">1.乙方所提供的产品名称、商标品牌、生产厂家、规格型号、技术参数等质量不合格的，应及时更换，更换不及时的按逾期交货处理；因质量问题甲方不同意接收的或者特殊情况甲方同意接收的，乙方应按违约货款额5%向甲方支付违约金并赔偿甲方经济损失。                                       </w:t>
      </w:r>
    </w:p>
    <w:p w14:paraId="785DEFD6">
      <w:pPr>
        <w:pStyle w:val="26"/>
        <w:snapToGrid w:val="0"/>
        <w:spacing w:line="460" w:lineRule="exact"/>
        <w:ind w:firstLine="470" w:firstLineChars="196"/>
        <w:rPr>
          <w:rFonts w:hAnsi="宋体" w:cs="宋体"/>
          <w:sz w:val="24"/>
          <w:szCs w:val="24"/>
        </w:rPr>
      </w:pPr>
      <w:r>
        <w:rPr>
          <w:rFonts w:hint="eastAsia" w:hAnsi="宋体" w:cs="宋体"/>
          <w:sz w:val="24"/>
          <w:szCs w:val="24"/>
        </w:rPr>
        <w:t>2.乙方提供的货物如侵犯了第三方合法权益而引发的任何纠纷或者诉讼，均由乙方负责交涉并承担全部责任。</w:t>
      </w:r>
    </w:p>
    <w:p w14:paraId="61744D71">
      <w:pPr>
        <w:pStyle w:val="26"/>
        <w:snapToGrid w:val="0"/>
        <w:spacing w:line="460" w:lineRule="exact"/>
        <w:ind w:firstLine="470" w:firstLineChars="196"/>
        <w:rPr>
          <w:rFonts w:hAnsi="宋体" w:cs="宋体"/>
          <w:sz w:val="24"/>
          <w:szCs w:val="24"/>
        </w:rPr>
      </w:pPr>
      <w:r>
        <w:rPr>
          <w:rFonts w:hint="eastAsia" w:hAnsi="宋体" w:cs="宋体"/>
          <w:sz w:val="24"/>
          <w:szCs w:val="24"/>
        </w:rPr>
        <w:t>3.因包装、运输引起的货物损坏，按质量不合格处理。</w:t>
      </w:r>
    </w:p>
    <w:p w14:paraId="70BA8655">
      <w:pPr>
        <w:pStyle w:val="26"/>
        <w:snapToGrid w:val="0"/>
        <w:spacing w:line="460" w:lineRule="exact"/>
        <w:ind w:firstLine="470" w:firstLineChars="196"/>
        <w:rPr>
          <w:rFonts w:hAnsi="宋体" w:cs="宋体"/>
          <w:sz w:val="24"/>
          <w:szCs w:val="24"/>
        </w:rPr>
      </w:pPr>
      <w:r>
        <w:rPr>
          <w:rFonts w:hint="eastAsia" w:hAnsi="宋体" w:cs="宋体"/>
          <w:sz w:val="24"/>
          <w:szCs w:val="24"/>
        </w:rPr>
        <w:t>4.合同一方不履行合同义务、履行合同义务不符合约定或者违反合同项下所作保证的，应向对方承担继续履行、采取修理、更换、退货等补救措施或者赔偿损失等违约责任。</w:t>
      </w:r>
    </w:p>
    <w:p w14:paraId="667D9CB6">
      <w:pPr>
        <w:pStyle w:val="26"/>
        <w:snapToGrid w:val="0"/>
        <w:spacing w:line="460" w:lineRule="exact"/>
        <w:ind w:firstLine="470" w:firstLineChars="196"/>
        <w:rPr>
          <w:rFonts w:hAnsi="宋体" w:cs="宋体"/>
          <w:sz w:val="24"/>
          <w:szCs w:val="24"/>
        </w:rPr>
      </w:pPr>
      <w:r>
        <w:rPr>
          <w:rFonts w:hint="eastAsia" w:hAnsi="宋体" w:cs="宋体"/>
          <w:sz w:val="24"/>
          <w:szCs w:val="24"/>
        </w:rPr>
        <w:t>5.乙方未能按时交付货物的，应向甲方支付迟延交付违约金。迟延交付违约金的计算方法如下：</w:t>
      </w:r>
    </w:p>
    <w:p w14:paraId="0418C406">
      <w:pPr>
        <w:pStyle w:val="26"/>
        <w:snapToGrid w:val="0"/>
        <w:spacing w:line="460" w:lineRule="exact"/>
        <w:ind w:firstLine="470" w:firstLineChars="196"/>
        <w:rPr>
          <w:rFonts w:hAnsi="宋体" w:cs="宋体"/>
          <w:sz w:val="24"/>
          <w:szCs w:val="24"/>
        </w:rPr>
      </w:pPr>
      <w:r>
        <w:rPr>
          <w:rFonts w:hint="eastAsia" w:hAnsi="宋体" w:cs="宋体"/>
          <w:sz w:val="24"/>
          <w:szCs w:val="24"/>
        </w:rPr>
        <w:t>（1）从迟交的第1日到第3</w:t>
      </w:r>
      <w:r>
        <w:rPr>
          <w:rFonts w:hAnsi="宋体" w:cs="宋体"/>
          <w:sz w:val="24"/>
          <w:szCs w:val="24"/>
        </w:rPr>
        <w:t>0</w:t>
      </w:r>
      <w:r>
        <w:rPr>
          <w:rFonts w:hint="eastAsia" w:hAnsi="宋体" w:cs="宋体"/>
          <w:sz w:val="24"/>
          <w:szCs w:val="24"/>
        </w:rPr>
        <w:t>日，每日迟延交付违约金为合同总价的1.5‰；</w:t>
      </w:r>
    </w:p>
    <w:p w14:paraId="3DEFBE5D">
      <w:pPr>
        <w:pStyle w:val="26"/>
        <w:snapToGrid w:val="0"/>
        <w:spacing w:line="460" w:lineRule="exact"/>
        <w:ind w:firstLine="470" w:firstLineChars="196"/>
        <w:rPr>
          <w:rFonts w:hAnsi="宋体" w:cs="宋体"/>
          <w:sz w:val="24"/>
          <w:szCs w:val="24"/>
        </w:rPr>
      </w:pPr>
      <w:r>
        <w:rPr>
          <w:rFonts w:hint="eastAsia" w:hAnsi="宋体" w:cs="宋体"/>
          <w:sz w:val="24"/>
          <w:szCs w:val="24"/>
        </w:rPr>
        <w:t>（2）从迟交的第3</w:t>
      </w:r>
      <w:r>
        <w:rPr>
          <w:rFonts w:hAnsi="宋体" w:cs="宋体"/>
          <w:sz w:val="24"/>
          <w:szCs w:val="24"/>
        </w:rPr>
        <w:t>1</w:t>
      </w:r>
      <w:r>
        <w:rPr>
          <w:rFonts w:hint="eastAsia" w:hAnsi="宋体" w:cs="宋体"/>
          <w:sz w:val="24"/>
          <w:szCs w:val="24"/>
        </w:rPr>
        <w:t>到第6</w:t>
      </w:r>
      <w:r>
        <w:rPr>
          <w:rFonts w:hAnsi="宋体" w:cs="宋体"/>
          <w:sz w:val="24"/>
          <w:szCs w:val="24"/>
        </w:rPr>
        <w:t>0</w:t>
      </w:r>
      <w:r>
        <w:rPr>
          <w:rFonts w:hint="eastAsia" w:hAnsi="宋体" w:cs="宋体"/>
          <w:sz w:val="24"/>
          <w:szCs w:val="24"/>
        </w:rPr>
        <w:t>日，每日迟延交付违约金为合同总价的3‰；</w:t>
      </w:r>
    </w:p>
    <w:p w14:paraId="6D8E0EB6">
      <w:pPr>
        <w:pStyle w:val="26"/>
        <w:snapToGrid w:val="0"/>
        <w:spacing w:line="460" w:lineRule="exact"/>
        <w:ind w:firstLine="470" w:firstLineChars="196"/>
        <w:rPr>
          <w:rFonts w:hAnsi="宋体" w:cs="宋体"/>
          <w:sz w:val="24"/>
          <w:szCs w:val="24"/>
        </w:rPr>
      </w:pPr>
      <w:r>
        <w:rPr>
          <w:rFonts w:hint="eastAsia" w:hAnsi="宋体" w:cs="宋体"/>
          <w:sz w:val="24"/>
          <w:szCs w:val="24"/>
        </w:rPr>
        <w:t>（3）从迟交的第6</w:t>
      </w:r>
      <w:r>
        <w:rPr>
          <w:rFonts w:hAnsi="宋体" w:cs="宋体"/>
          <w:sz w:val="24"/>
          <w:szCs w:val="24"/>
        </w:rPr>
        <w:t>1</w:t>
      </w:r>
      <w:r>
        <w:rPr>
          <w:rFonts w:hint="eastAsia" w:hAnsi="宋体" w:cs="宋体"/>
          <w:sz w:val="24"/>
          <w:szCs w:val="24"/>
        </w:rPr>
        <w:t>日起，每日迟延交付违约金为合同总价的5‰。</w:t>
      </w:r>
    </w:p>
    <w:p w14:paraId="075AC36C">
      <w:pPr>
        <w:pStyle w:val="26"/>
        <w:snapToGrid w:val="0"/>
        <w:spacing w:line="460" w:lineRule="exact"/>
        <w:ind w:firstLine="470" w:firstLineChars="196"/>
        <w:rPr>
          <w:rFonts w:hAnsi="宋体" w:cs="宋体"/>
          <w:sz w:val="24"/>
          <w:szCs w:val="24"/>
        </w:rPr>
      </w:pPr>
      <w:r>
        <w:rPr>
          <w:rFonts w:hint="eastAsia" w:hAnsi="宋体" w:cs="宋体"/>
          <w:sz w:val="24"/>
          <w:szCs w:val="24"/>
        </w:rPr>
        <w:t>迟延交付违约金的总额不得超过合同总价的30%。迟延交付违约金的支付不能免除乙方继续交付相关合同货物的义务，但如迟延交付必然导致合同货物安装、调试、验收等工作推迟的，相关工作应相应顺延。</w:t>
      </w:r>
    </w:p>
    <w:p w14:paraId="395C8B95">
      <w:pPr>
        <w:pStyle w:val="26"/>
        <w:snapToGrid w:val="0"/>
        <w:spacing w:line="460" w:lineRule="exact"/>
        <w:ind w:firstLine="470" w:firstLineChars="196"/>
        <w:rPr>
          <w:rFonts w:hAnsi="宋体" w:cs="宋体"/>
          <w:sz w:val="24"/>
          <w:szCs w:val="24"/>
        </w:rPr>
      </w:pPr>
      <w:r>
        <w:rPr>
          <w:rFonts w:hint="eastAsia" w:hAnsi="宋体" w:cs="宋体"/>
          <w:sz w:val="24"/>
          <w:szCs w:val="24"/>
        </w:rPr>
        <w:t>6.甲方未能按合同约定支付合同价款的，应向乙方支付延迟付款违约金。迟延付款违约金的计算方法如下：</w:t>
      </w:r>
    </w:p>
    <w:p w14:paraId="6E621554">
      <w:pPr>
        <w:pStyle w:val="26"/>
        <w:snapToGrid w:val="0"/>
        <w:spacing w:line="460" w:lineRule="exact"/>
        <w:ind w:firstLine="470" w:firstLineChars="196"/>
        <w:rPr>
          <w:rFonts w:hAnsi="宋体" w:cs="宋体"/>
          <w:sz w:val="24"/>
          <w:szCs w:val="24"/>
        </w:rPr>
      </w:pPr>
      <w:r>
        <w:rPr>
          <w:rFonts w:hint="eastAsia" w:hAnsi="宋体" w:cs="宋体"/>
          <w:sz w:val="24"/>
          <w:szCs w:val="24"/>
        </w:rPr>
        <w:t>（1）从迟交的第1日到第3</w:t>
      </w:r>
      <w:r>
        <w:rPr>
          <w:rFonts w:hAnsi="宋体" w:cs="宋体"/>
          <w:sz w:val="24"/>
          <w:szCs w:val="24"/>
        </w:rPr>
        <w:t>0</w:t>
      </w:r>
      <w:r>
        <w:rPr>
          <w:rFonts w:hint="eastAsia" w:hAnsi="宋体" w:cs="宋体"/>
          <w:sz w:val="24"/>
          <w:szCs w:val="24"/>
        </w:rPr>
        <w:t>日，每日迟延付款违约金为迟延付款金额的1.5‰；</w:t>
      </w:r>
    </w:p>
    <w:p w14:paraId="1327B0C0">
      <w:pPr>
        <w:pStyle w:val="26"/>
        <w:snapToGrid w:val="0"/>
        <w:spacing w:line="460" w:lineRule="exact"/>
        <w:ind w:firstLine="470" w:firstLineChars="196"/>
        <w:rPr>
          <w:rFonts w:hAnsi="宋体" w:cs="宋体"/>
          <w:sz w:val="24"/>
          <w:szCs w:val="24"/>
        </w:rPr>
      </w:pPr>
      <w:r>
        <w:rPr>
          <w:rFonts w:hint="eastAsia" w:hAnsi="宋体" w:cs="宋体"/>
          <w:sz w:val="24"/>
          <w:szCs w:val="24"/>
        </w:rPr>
        <w:t>（2）从迟交的第3</w:t>
      </w:r>
      <w:r>
        <w:rPr>
          <w:rFonts w:hAnsi="宋体" w:cs="宋体"/>
          <w:sz w:val="24"/>
          <w:szCs w:val="24"/>
        </w:rPr>
        <w:t>1</w:t>
      </w:r>
      <w:r>
        <w:rPr>
          <w:rFonts w:hint="eastAsia" w:hAnsi="宋体" w:cs="宋体"/>
          <w:sz w:val="24"/>
          <w:szCs w:val="24"/>
        </w:rPr>
        <w:t>日到第60日，每日迟延付款违约金为迟延付款金额的3‰；</w:t>
      </w:r>
    </w:p>
    <w:p w14:paraId="4F32B935">
      <w:pPr>
        <w:pStyle w:val="26"/>
        <w:snapToGrid w:val="0"/>
        <w:spacing w:line="460" w:lineRule="exact"/>
        <w:ind w:firstLine="470" w:firstLineChars="196"/>
        <w:rPr>
          <w:rFonts w:hAnsi="宋体" w:cs="宋体"/>
          <w:sz w:val="24"/>
          <w:szCs w:val="24"/>
        </w:rPr>
      </w:pPr>
      <w:r>
        <w:rPr>
          <w:rFonts w:hint="eastAsia" w:hAnsi="宋体" w:cs="宋体"/>
          <w:sz w:val="24"/>
          <w:szCs w:val="24"/>
        </w:rPr>
        <w:t>（3）从迟交的第6</w:t>
      </w:r>
      <w:r>
        <w:rPr>
          <w:rFonts w:hAnsi="宋体" w:cs="宋体"/>
          <w:sz w:val="24"/>
          <w:szCs w:val="24"/>
        </w:rPr>
        <w:t>1</w:t>
      </w:r>
      <w:r>
        <w:rPr>
          <w:rFonts w:hint="eastAsia" w:hAnsi="宋体" w:cs="宋体"/>
          <w:sz w:val="24"/>
          <w:szCs w:val="24"/>
        </w:rPr>
        <w:t>日起，每日迟延付款违约金为迟延付款金额的5‰。迟延付款违约金的总额不得超过迟延付款金额的30% 。</w:t>
      </w:r>
    </w:p>
    <w:p w14:paraId="51DD8DE7">
      <w:pPr>
        <w:pStyle w:val="26"/>
        <w:snapToGrid w:val="0"/>
        <w:spacing w:line="460" w:lineRule="exact"/>
        <w:ind w:firstLine="470" w:firstLineChars="196"/>
        <w:rPr>
          <w:rFonts w:hAnsi="宋体" w:cs="宋体"/>
          <w:sz w:val="24"/>
          <w:szCs w:val="24"/>
        </w:rPr>
      </w:pPr>
      <w:r>
        <w:rPr>
          <w:rFonts w:hint="eastAsia" w:hAnsi="宋体" w:cs="宋体"/>
          <w:sz w:val="24"/>
          <w:szCs w:val="24"/>
        </w:rPr>
        <w:t>7.乙方未按本合同和投标文件承诺提供售后服务的，乙方应按本合同总价的5%向甲方支付违约金。</w:t>
      </w:r>
    </w:p>
    <w:p w14:paraId="73D8D95B">
      <w:pPr>
        <w:pStyle w:val="26"/>
        <w:snapToGrid w:val="0"/>
        <w:spacing w:line="440" w:lineRule="exact"/>
        <w:ind w:firstLine="480" w:firstLineChars="200"/>
        <w:rPr>
          <w:rFonts w:cs="宋体" w:asciiTheme="minorEastAsia" w:hAnsiTheme="minorEastAsia" w:eastAsiaTheme="minorEastAsia"/>
          <w:sz w:val="24"/>
          <w:szCs w:val="24"/>
        </w:rPr>
      </w:pPr>
      <w:r>
        <w:rPr>
          <w:rFonts w:asciiTheme="minorEastAsia" w:hAnsiTheme="minorEastAsia" w:eastAsiaTheme="minorEastAsia"/>
          <w:sz w:val="24"/>
          <w:szCs w:val="24"/>
        </w:rPr>
        <w:t>8.</w:t>
      </w:r>
      <w:r>
        <w:rPr>
          <w:rFonts w:hint="eastAsia" w:asciiTheme="minorEastAsia" w:hAnsiTheme="minorEastAsia" w:eastAsiaTheme="minorEastAsia"/>
          <w:sz w:val="24"/>
          <w:szCs w:val="24"/>
        </w:rPr>
        <w:t>乙方违约，甲方对本合同享有单方解除权。</w:t>
      </w:r>
    </w:p>
    <w:p w14:paraId="79D139F1">
      <w:pPr>
        <w:pStyle w:val="26"/>
        <w:snapToGrid w:val="0"/>
        <w:spacing w:line="440" w:lineRule="exact"/>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9</w:t>
      </w:r>
      <w:r>
        <w:rPr>
          <w:rFonts w:hint="eastAsia" w:cs="宋体" w:asciiTheme="minorEastAsia" w:hAnsiTheme="minorEastAsia" w:eastAsiaTheme="minorEastAsia"/>
          <w:sz w:val="24"/>
          <w:szCs w:val="24"/>
        </w:rPr>
        <w:t>.因某一方</w:t>
      </w:r>
      <w:r>
        <w:rPr>
          <w:rFonts w:hint="eastAsia" w:asciiTheme="minorEastAsia" w:hAnsiTheme="minorEastAsia" w:eastAsiaTheme="minorEastAsia"/>
          <w:bCs/>
          <w:sz w:val="24"/>
          <w:shd w:val="clear" w:color="auto" w:fill="FFFFFF"/>
        </w:rPr>
        <w:t>单方面</w:t>
      </w:r>
      <w:r>
        <w:rPr>
          <w:rFonts w:hint="eastAsia" w:cs="宋体" w:asciiTheme="minorEastAsia" w:hAnsiTheme="minorEastAsia" w:eastAsiaTheme="minorEastAsia"/>
          <w:sz w:val="24"/>
          <w:szCs w:val="24"/>
        </w:rPr>
        <w:t>原因导致变更、中止或者终止</w:t>
      </w:r>
      <w:bookmarkStart w:id="162" w:name="_Hlk123747227"/>
      <w:r>
        <w:rPr>
          <w:rFonts w:hint="eastAsia" w:asciiTheme="minorEastAsia" w:hAnsiTheme="minorEastAsia" w:eastAsiaTheme="minorEastAsia"/>
          <w:bCs/>
          <w:sz w:val="24"/>
          <w:shd w:val="clear" w:color="auto" w:fill="FFFFFF"/>
        </w:rPr>
        <w:t>本</w:t>
      </w:r>
      <w:bookmarkEnd w:id="162"/>
      <w:r>
        <w:rPr>
          <w:rFonts w:hint="eastAsia" w:cs="宋体" w:asciiTheme="minorEastAsia" w:hAnsiTheme="minorEastAsia" w:eastAsiaTheme="minorEastAsia"/>
          <w:sz w:val="24"/>
          <w:szCs w:val="24"/>
        </w:rPr>
        <w:t>合同的，该方应当对另一方</w:t>
      </w:r>
      <w:r>
        <w:rPr>
          <w:rFonts w:hint="eastAsia" w:asciiTheme="minorEastAsia" w:hAnsiTheme="minorEastAsia" w:eastAsiaTheme="minorEastAsia"/>
          <w:bCs/>
          <w:sz w:val="24"/>
          <w:shd w:val="clear" w:color="auto" w:fill="FFFFFF"/>
        </w:rPr>
        <w:t>因此</w:t>
      </w:r>
      <w:r>
        <w:rPr>
          <w:rFonts w:hint="eastAsia" w:cs="宋体" w:asciiTheme="minorEastAsia" w:hAnsiTheme="minorEastAsia" w:eastAsiaTheme="minorEastAsia"/>
          <w:sz w:val="24"/>
          <w:szCs w:val="24"/>
        </w:rPr>
        <w:t>受到的损失予以赔偿或者补偿。</w:t>
      </w:r>
    </w:p>
    <w:p w14:paraId="42B8F17A">
      <w:pPr>
        <w:pStyle w:val="26"/>
        <w:snapToGrid w:val="0"/>
        <w:spacing w:line="440" w:lineRule="exact"/>
        <w:ind w:firstLine="480" w:firstLineChars="200"/>
        <w:rPr>
          <w:rFonts w:hAnsi="宋体" w:cs="宋体"/>
          <w:sz w:val="24"/>
          <w:szCs w:val="24"/>
        </w:rPr>
      </w:pPr>
      <w:r>
        <w:rPr>
          <w:rFonts w:hAnsi="宋体" w:cs="宋体"/>
          <w:sz w:val="24"/>
          <w:szCs w:val="24"/>
        </w:rPr>
        <w:t>10</w:t>
      </w:r>
      <w:r>
        <w:rPr>
          <w:rFonts w:hint="eastAsia" w:hAnsi="宋体" w:cs="宋体"/>
          <w:sz w:val="24"/>
          <w:szCs w:val="24"/>
        </w:rPr>
        <w:t>.乙方提供的货物在质量保证期内，因设计、工艺或者材料的缺陷和其它质量原因造成的问题，由乙方负责，费用从余款或者履约保证金中扣除，不足另补。</w:t>
      </w:r>
    </w:p>
    <w:p w14:paraId="4C651E91">
      <w:pPr>
        <w:pStyle w:val="26"/>
        <w:snapToGrid w:val="0"/>
        <w:spacing w:line="440" w:lineRule="exact"/>
        <w:ind w:firstLine="480" w:firstLineChars="200"/>
        <w:rPr>
          <w:rFonts w:hAnsi="宋体" w:cs="宋体"/>
          <w:sz w:val="24"/>
          <w:szCs w:val="24"/>
        </w:rPr>
      </w:pPr>
      <w:r>
        <w:rPr>
          <w:rFonts w:hint="eastAsia" w:hAnsi="宋体" w:cs="宋体"/>
          <w:sz w:val="24"/>
          <w:szCs w:val="24"/>
        </w:rPr>
        <w:t>1</w:t>
      </w:r>
      <w:r>
        <w:rPr>
          <w:rFonts w:hAnsi="宋体" w:cs="宋体"/>
          <w:sz w:val="24"/>
          <w:szCs w:val="24"/>
        </w:rPr>
        <w:t>1</w:t>
      </w:r>
      <w:r>
        <w:rPr>
          <w:rFonts w:hint="eastAsia" w:hAnsi="宋体" w:cs="宋体"/>
          <w:sz w:val="24"/>
          <w:szCs w:val="24"/>
        </w:rPr>
        <w:t>.甲乙双方有其他违约行为的，由违约方向对方支付违约货款额的5%，违约货款额的5%不足以赔偿经济损失的，须按实际损失作出赔偿。若双方通过诉讼解决合同纠纷，败诉方还应承担胜诉方在诉讼期间支出的相关费用（包括但不限于诉讼费、律师费、诉讼期间差旅费、鉴定费、执行费、保全费、保全保险费等）。</w:t>
      </w:r>
    </w:p>
    <w:p w14:paraId="2C201A4D">
      <w:pPr>
        <w:pStyle w:val="26"/>
        <w:snapToGrid w:val="0"/>
        <w:spacing w:line="440" w:lineRule="exact"/>
        <w:ind w:firstLine="470" w:firstLineChars="196"/>
        <w:rPr>
          <w:rFonts w:hAnsi="宋体" w:cs="宋体"/>
          <w:sz w:val="24"/>
          <w:szCs w:val="24"/>
        </w:rPr>
      </w:pPr>
      <w:r>
        <w:rPr>
          <w:rFonts w:hint="eastAsia" w:hAnsi="宋体" w:cs="宋体"/>
          <w:sz w:val="24"/>
          <w:szCs w:val="24"/>
        </w:rPr>
        <w:t>1</w:t>
      </w:r>
      <w:r>
        <w:rPr>
          <w:rFonts w:hAnsi="宋体" w:cs="宋体"/>
          <w:sz w:val="24"/>
          <w:szCs w:val="24"/>
        </w:rPr>
        <w:t>2</w:t>
      </w:r>
      <w:r>
        <w:rPr>
          <w:rFonts w:hint="eastAsia" w:hAnsi="宋体" w:cs="宋体"/>
          <w:sz w:val="24"/>
          <w:szCs w:val="24"/>
        </w:rPr>
        <w:t>.其他违约责任按《中华人民共和国民法典》处理。</w:t>
      </w:r>
    </w:p>
    <w:p w14:paraId="62BE4BF9">
      <w:pPr>
        <w:pStyle w:val="26"/>
        <w:snapToGrid w:val="0"/>
        <w:spacing w:line="460" w:lineRule="exact"/>
        <w:ind w:firstLine="472" w:firstLineChars="196"/>
        <w:rPr>
          <w:rFonts w:hAnsi="宋体" w:cs="宋体"/>
          <w:b/>
          <w:bCs/>
          <w:sz w:val="24"/>
          <w:szCs w:val="24"/>
        </w:rPr>
      </w:pPr>
      <w:r>
        <w:rPr>
          <w:rFonts w:hint="eastAsia" w:hAnsi="宋体" w:cs="宋体"/>
          <w:b/>
          <w:bCs/>
          <w:sz w:val="24"/>
          <w:szCs w:val="24"/>
        </w:rPr>
        <w:t>第十二条  不可抗力事件处理</w:t>
      </w:r>
    </w:p>
    <w:p w14:paraId="67F14445">
      <w:pPr>
        <w:pStyle w:val="26"/>
        <w:snapToGrid w:val="0"/>
        <w:spacing w:line="460" w:lineRule="exact"/>
        <w:ind w:firstLine="470" w:firstLineChars="196"/>
        <w:rPr>
          <w:rFonts w:hAnsi="宋体" w:cs="宋体"/>
          <w:sz w:val="24"/>
          <w:szCs w:val="24"/>
        </w:rPr>
      </w:pPr>
      <w:r>
        <w:rPr>
          <w:rFonts w:hint="eastAsia" w:hAnsi="宋体" w:cs="宋体"/>
          <w:sz w:val="24"/>
          <w:szCs w:val="24"/>
        </w:rPr>
        <w:t>1.在合同有效期内，任何一方因不可抗力事件导致不能履行合同，则合同履行期可延长，其延长期与不可抗力影响期相同。</w:t>
      </w:r>
    </w:p>
    <w:p w14:paraId="2DA9C563">
      <w:pPr>
        <w:pStyle w:val="26"/>
        <w:snapToGrid w:val="0"/>
        <w:spacing w:line="460" w:lineRule="exact"/>
        <w:ind w:firstLine="480" w:firstLineChars="200"/>
        <w:rPr>
          <w:rFonts w:hAnsi="宋体" w:cs="宋体"/>
          <w:sz w:val="24"/>
          <w:szCs w:val="24"/>
        </w:rPr>
      </w:pPr>
      <w:r>
        <w:rPr>
          <w:rFonts w:hint="eastAsia" w:hAnsi="宋体" w:cs="宋体"/>
          <w:sz w:val="24"/>
          <w:szCs w:val="24"/>
        </w:rPr>
        <w:t>2.不可抗力事件发生后，应立即通知对方，并寄送有关权威机构出具的证明。</w:t>
      </w:r>
    </w:p>
    <w:p w14:paraId="0F4D8E87">
      <w:pPr>
        <w:snapToGrid w:val="0"/>
        <w:spacing w:line="460" w:lineRule="exact"/>
        <w:ind w:firstLine="480" w:firstLineChars="200"/>
        <w:rPr>
          <w:rFonts w:ascii="宋体" w:hAnsi="宋体" w:cs="宋体"/>
          <w:sz w:val="24"/>
        </w:rPr>
      </w:pPr>
      <w:r>
        <w:rPr>
          <w:rFonts w:hint="eastAsia" w:ascii="宋体" w:hAnsi="宋体" w:cs="宋体"/>
          <w:sz w:val="24"/>
        </w:rPr>
        <w:t>3.不可抗力事件延续</w:t>
      </w:r>
      <w:r>
        <w:rPr>
          <w:rFonts w:ascii="宋体" w:hAnsi="宋体" w:cs="宋体"/>
          <w:sz w:val="24"/>
        </w:rPr>
        <w:t>60</w:t>
      </w:r>
      <w:r>
        <w:rPr>
          <w:rFonts w:hint="eastAsia" w:ascii="宋体" w:hAnsi="宋体" w:cs="宋体"/>
          <w:sz w:val="24"/>
        </w:rPr>
        <w:t>天以上，双方应通过友好协商，确定是否继续履行合同。</w:t>
      </w:r>
    </w:p>
    <w:p w14:paraId="2A1EA128">
      <w:pPr>
        <w:snapToGrid w:val="0"/>
        <w:spacing w:line="460" w:lineRule="exact"/>
        <w:ind w:firstLine="482" w:firstLineChars="200"/>
        <w:rPr>
          <w:rFonts w:ascii="宋体" w:hAnsi="宋体" w:cs="宋体"/>
          <w:sz w:val="24"/>
        </w:rPr>
      </w:pPr>
      <w:r>
        <w:rPr>
          <w:rFonts w:hint="eastAsia" w:ascii="宋体" w:hAnsi="宋体" w:cs="宋体"/>
          <w:b/>
          <w:sz w:val="24"/>
        </w:rPr>
        <w:t>第十三条  合同争议解决</w:t>
      </w:r>
    </w:p>
    <w:p w14:paraId="3DCA1D4A">
      <w:pPr>
        <w:snapToGrid w:val="0"/>
        <w:spacing w:line="460" w:lineRule="exact"/>
        <w:ind w:firstLine="480" w:firstLineChars="200"/>
        <w:rPr>
          <w:rFonts w:ascii="宋体" w:hAnsi="宋体" w:cs="宋体"/>
          <w:sz w:val="24"/>
        </w:rPr>
      </w:pPr>
      <w:r>
        <w:rPr>
          <w:rFonts w:hint="eastAsia" w:ascii="宋体" w:hAnsi="宋体" w:cs="宋体"/>
          <w:sz w:val="24"/>
        </w:rPr>
        <w:t>1.因货物质量问题发生争议的，应邀请国家认可的质量检测机构对货物质量进行鉴定。货物符合标准的，鉴定费由甲方承担；货物不符合标准的，鉴定费由乙方承担。</w:t>
      </w:r>
    </w:p>
    <w:p w14:paraId="4798B842">
      <w:pPr>
        <w:snapToGrid w:val="0"/>
        <w:spacing w:line="460" w:lineRule="exact"/>
        <w:ind w:firstLine="480" w:firstLineChars="200"/>
        <w:rPr>
          <w:rFonts w:ascii="宋体" w:hAnsi="宋体" w:cs="宋体"/>
          <w:sz w:val="24"/>
        </w:rPr>
      </w:pPr>
      <w:r>
        <w:rPr>
          <w:rFonts w:hint="eastAsia" w:ascii="宋体" w:hAnsi="宋体" w:cs="宋体"/>
          <w:sz w:val="24"/>
        </w:rPr>
        <w:t>2.因履行本合同引起的或者与本合同有关的争议，甲乙双方应首先通过友好协商解决，如果协商不能解决，任何一方可向甲方所在地有管辖权的人民法院提起诉讼。</w:t>
      </w:r>
    </w:p>
    <w:p w14:paraId="6F1B71A6">
      <w:pPr>
        <w:snapToGrid w:val="0"/>
        <w:spacing w:line="460" w:lineRule="exact"/>
        <w:ind w:firstLine="514"/>
        <w:rPr>
          <w:rFonts w:ascii="宋体" w:hAnsi="宋体" w:cs="宋体"/>
          <w:sz w:val="24"/>
        </w:rPr>
      </w:pPr>
      <w:r>
        <w:rPr>
          <w:rFonts w:hint="eastAsia" w:ascii="宋体" w:hAnsi="宋体" w:cs="宋体"/>
          <w:sz w:val="24"/>
        </w:rPr>
        <w:t>3.诉讼期间，本合同无争议部分须继续履行。</w:t>
      </w:r>
    </w:p>
    <w:p w14:paraId="3F683D4F">
      <w:pPr>
        <w:pStyle w:val="26"/>
        <w:snapToGrid w:val="0"/>
        <w:spacing w:line="460" w:lineRule="exact"/>
        <w:ind w:firstLine="472" w:firstLineChars="196"/>
        <w:rPr>
          <w:rFonts w:hAnsi="宋体" w:cs="宋体"/>
          <w:b/>
          <w:sz w:val="24"/>
          <w:szCs w:val="24"/>
        </w:rPr>
      </w:pPr>
      <w:r>
        <w:rPr>
          <w:rFonts w:hint="eastAsia" w:hAnsi="宋体" w:cs="宋体"/>
          <w:b/>
          <w:sz w:val="24"/>
          <w:szCs w:val="24"/>
        </w:rPr>
        <w:t>第十四条  合同生效及其他</w:t>
      </w:r>
    </w:p>
    <w:p w14:paraId="5E2146A7">
      <w:pPr>
        <w:pStyle w:val="26"/>
        <w:snapToGrid w:val="0"/>
        <w:spacing w:line="460" w:lineRule="exact"/>
        <w:ind w:firstLine="480" w:firstLineChars="200"/>
        <w:rPr>
          <w:rFonts w:hAnsi="宋体" w:cs="宋体"/>
          <w:kern w:val="2"/>
          <w:sz w:val="24"/>
          <w:szCs w:val="24"/>
        </w:rPr>
      </w:pPr>
      <w:r>
        <w:rPr>
          <w:rFonts w:hint="eastAsia" w:hAnsi="宋体" w:cs="宋体"/>
          <w:kern w:val="2"/>
          <w:sz w:val="24"/>
          <w:szCs w:val="24"/>
        </w:rPr>
        <w:t>1.合同自双方法定代表人或者委托代理人签字并加盖单位公章或合同专用章之日起生效（委托代理人签字的须后附授权委托书，格式自拟）。</w:t>
      </w:r>
    </w:p>
    <w:p w14:paraId="27371D88">
      <w:pPr>
        <w:pStyle w:val="26"/>
        <w:snapToGrid w:val="0"/>
        <w:spacing w:line="460" w:lineRule="exact"/>
        <w:ind w:firstLine="480" w:firstLineChars="200"/>
        <w:rPr>
          <w:rFonts w:hAnsi="宋体" w:cs="宋体"/>
          <w:kern w:val="2"/>
          <w:sz w:val="24"/>
          <w:szCs w:val="24"/>
        </w:rPr>
      </w:pPr>
      <w:r>
        <w:rPr>
          <w:rFonts w:hint="eastAsia" w:hAnsi="宋体" w:cs="宋体"/>
          <w:kern w:val="2"/>
          <w:sz w:val="24"/>
          <w:szCs w:val="24"/>
        </w:rPr>
        <w:t>2.本合同未尽事宜，遵照《中华人民共和国民法典》有关条文执行。</w:t>
      </w:r>
    </w:p>
    <w:p w14:paraId="4E670EDF">
      <w:pPr>
        <w:snapToGrid w:val="0"/>
        <w:spacing w:line="460" w:lineRule="exact"/>
        <w:ind w:firstLine="480" w:firstLineChars="200"/>
        <w:rPr>
          <w:rFonts w:ascii="宋体" w:hAnsi="宋体" w:cs="宋体"/>
          <w:kern w:val="0"/>
          <w:sz w:val="24"/>
          <w:lang w:val="zh-CN"/>
        </w:rPr>
      </w:pPr>
      <w:bookmarkStart w:id="163" w:name="_Hlk207649275"/>
      <w:r>
        <w:rPr>
          <w:rFonts w:hint="eastAsia" w:ascii="宋体" w:hAnsi="宋体" w:cs="宋体"/>
          <w:sz w:val="24"/>
        </w:rPr>
        <w:t>3</w:t>
      </w:r>
      <w:r>
        <w:rPr>
          <w:rFonts w:ascii="宋体" w:hAnsi="宋体" w:cs="宋体"/>
          <w:sz w:val="24"/>
        </w:rPr>
        <w:t>.</w:t>
      </w:r>
      <w:r>
        <w:rPr>
          <w:rFonts w:hint="eastAsia" w:ascii="宋体" w:hAnsi="宋体" w:cs="宋体"/>
          <w:sz w:val="24"/>
        </w:rPr>
        <w:t>双方确认本合同落款通讯地址作为文书送达地址，该通讯地址适用于包括双方合同履行过程中的各类通知、补充协议</w:t>
      </w:r>
      <w:bookmarkStart w:id="164" w:name="_Hlk206521711"/>
      <w:r>
        <w:rPr>
          <w:rFonts w:hint="eastAsia" w:ascii="宋体" w:hAnsi="宋体" w:cs="宋体"/>
          <w:sz w:val="24"/>
        </w:rPr>
        <w:t>、整改函</w:t>
      </w:r>
      <w:bookmarkEnd w:id="164"/>
      <w:r>
        <w:rPr>
          <w:rFonts w:hint="eastAsia" w:ascii="宋体" w:hAnsi="宋体" w:cs="宋体"/>
          <w:sz w:val="24"/>
        </w:rPr>
        <w:t>等文件，以及因履行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w:t>
      </w:r>
      <w:r>
        <w:rPr>
          <w:rFonts w:hint="eastAsia" w:hAnsi="宋体" w:cs="宋体"/>
          <w:sz w:val="24"/>
        </w:rPr>
        <w:t>按合同落款通讯地址寄送，</w:t>
      </w:r>
      <w:r>
        <w:rPr>
          <w:rFonts w:hint="eastAsia" w:ascii="宋体" w:hAnsi="宋体" w:cs="宋体"/>
          <w:sz w:val="24"/>
        </w:rPr>
        <w:t>受送达方拒绝签收或拒绝接听快递员投递电话等原因，导致文书未能被实际接收的，邮寄文书被退回之日视为送达之日。</w:t>
      </w:r>
    </w:p>
    <w:bookmarkEnd w:id="163"/>
    <w:p w14:paraId="007DC612">
      <w:pPr>
        <w:snapToGrid w:val="0"/>
        <w:spacing w:line="460" w:lineRule="exact"/>
        <w:ind w:firstLine="482" w:firstLineChars="200"/>
        <w:rPr>
          <w:rFonts w:ascii="宋体" w:hAnsi="宋体" w:cs="宋体"/>
          <w:b/>
          <w:sz w:val="24"/>
        </w:rPr>
      </w:pPr>
      <w:r>
        <w:rPr>
          <w:rFonts w:hint="eastAsia" w:ascii="宋体" w:hAnsi="宋体" w:cs="宋体"/>
          <w:b/>
          <w:sz w:val="24"/>
        </w:rPr>
        <w:t>第十五条　合同的变更、终止与转让</w:t>
      </w:r>
    </w:p>
    <w:p w14:paraId="429B821C">
      <w:pPr>
        <w:snapToGrid w:val="0"/>
        <w:spacing w:line="460" w:lineRule="exact"/>
        <w:ind w:firstLine="480" w:firstLineChars="200"/>
        <w:rPr>
          <w:rFonts w:ascii="宋体" w:hAnsi="宋体" w:cs="宋体"/>
          <w:sz w:val="24"/>
        </w:rPr>
      </w:pPr>
      <w:r>
        <w:rPr>
          <w:rFonts w:hint="eastAsia" w:ascii="宋体" w:hAnsi="宋体" w:cs="宋体"/>
          <w:sz w:val="24"/>
        </w:rPr>
        <w:t>1.除《中华人民共和国政府采购法》第五十条规定的情形外，本合同一经签订，甲乙双方不得擅自变更、中止或者终止。</w:t>
      </w:r>
    </w:p>
    <w:p w14:paraId="7654C348">
      <w:pPr>
        <w:snapToGrid w:val="0"/>
        <w:spacing w:line="460" w:lineRule="exact"/>
        <w:ind w:firstLine="514"/>
        <w:rPr>
          <w:rFonts w:ascii="宋体" w:hAnsi="宋体" w:cs="宋体"/>
          <w:sz w:val="24"/>
        </w:rPr>
      </w:pPr>
      <w:r>
        <w:rPr>
          <w:rFonts w:hint="eastAsia" w:ascii="宋体" w:hAnsi="宋体" w:cs="宋体"/>
          <w:sz w:val="24"/>
        </w:rPr>
        <w:t>2.乙方不得擅自转让其应履行的合同义务。</w:t>
      </w:r>
    </w:p>
    <w:p w14:paraId="24014193">
      <w:pPr>
        <w:pStyle w:val="26"/>
        <w:snapToGrid w:val="0"/>
        <w:spacing w:line="460" w:lineRule="exact"/>
        <w:ind w:firstLine="472" w:firstLineChars="196"/>
        <w:rPr>
          <w:rFonts w:hAnsi="宋体" w:cs="宋体"/>
          <w:sz w:val="24"/>
          <w:szCs w:val="24"/>
        </w:rPr>
      </w:pPr>
      <w:r>
        <w:rPr>
          <w:rFonts w:hint="eastAsia" w:hAnsi="宋体" w:cs="宋体"/>
          <w:b/>
          <w:sz w:val="24"/>
          <w:szCs w:val="24"/>
        </w:rPr>
        <w:t>第十六条　</w:t>
      </w:r>
      <w:r>
        <w:rPr>
          <w:rFonts w:hint="eastAsia" w:hAnsi="宋体" w:cs="宋体"/>
          <w:spacing w:val="-2"/>
          <w:sz w:val="24"/>
          <w:szCs w:val="24"/>
        </w:rPr>
        <w:t>本</w:t>
      </w:r>
      <w:r>
        <w:rPr>
          <w:rFonts w:hint="eastAsia" w:hAnsi="宋体" w:cs="宋体"/>
          <w:sz w:val="24"/>
          <w:szCs w:val="24"/>
        </w:rPr>
        <w:t>合同书</w:t>
      </w:r>
      <w:r>
        <w:rPr>
          <w:rFonts w:hint="eastAsia" w:hAnsi="宋体" w:cs="宋体"/>
          <w:spacing w:val="-2"/>
          <w:sz w:val="24"/>
          <w:szCs w:val="24"/>
        </w:rPr>
        <w:t>与</w:t>
      </w:r>
      <w:r>
        <w:rPr>
          <w:rFonts w:hint="eastAsia" w:hAnsi="宋体" w:cs="宋体"/>
          <w:sz w:val="24"/>
          <w:szCs w:val="24"/>
        </w:rPr>
        <w:t>下</w:t>
      </w:r>
      <w:r>
        <w:rPr>
          <w:rFonts w:hint="eastAsia" w:hAnsi="宋体" w:cs="宋体"/>
          <w:spacing w:val="-2"/>
          <w:sz w:val="24"/>
          <w:szCs w:val="24"/>
        </w:rPr>
        <w:t>列</w:t>
      </w:r>
      <w:r>
        <w:rPr>
          <w:rFonts w:hint="eastAsia" w:hAnsi="宋体" w:cs="宋体"/>
          <w:sz w:val="24"/>
          <w:szCs w:val="24"/>
        </w:rPr>
        <w:t>文</w:t>
      </w:r>
      <w:r>
        <w:rPr>
          <w:rFonts w:hint="eastAsia" w:hAnsi="宋体" w:cs="宋体"/>
          <w:spacing w:val="-2"/>
          <w:sz w:val="24"/>
          <w:szCs w:val="24"/>
        </w:rPr>
        <w:t>件一</w:t>
      </w:r>
      <w:r>
        <w:rPr>
          <w:rFonts w:hint="eastAsia" w:hAnsi="宋体" w:cs="宋体"/>
          <w:sz w:val="24"/>
          <w:szCs w:val="24"/>
        </w:rPr>
        <w:t>起构</w:t>
      </w:r>
      <w:r>
        <w:rPr>
          <w:rFonts w:hint="eastAsia" w:hAnsi="宋体" w:cs="宋体"/>
          <w:spacing w:val="-2"/>
          <w:sz w:val="24"/>
          <w:szCs w:val="24"/>
        </w:rPr>
        <w:t>成</w:t>
      </w:r>
      <w:r>
        <w:rPr>
          <w:rFonts w:hint="eastAsia" w:hAnsi="宋体" w:cs="宋体"/>
          <w:sz w:val="24"/>
          <w:szCs w:val="24"/>
        </w:rPr>
        <w:t>合</w:t>
      </w:r>
      <w:r>
        <w:rPr>
          <w:rFonts w:hint="eastAsia" w:hAnsi="宋体" w:cs="宋体"/>
          <w:spacing w:val="-2"/>
          <w:sz w:val="24"/>
          <w:szCs w:val="24"/>
        </w:rPr>
        <w:t>同</w:t>
      </w:r>
      <w:r>
        <w:rPr>
          <w:rFonts w:hint="eastAsia" w:hAnsi="宋体" w:cs="宋体"/>
          <w:sz w:val="24"/>
          <w:szCs w:val="24"/>
        </w:rPr>
        <w:t>文</w:t>
      </w:r>
      <w:r>
        <w:rPr>
          <w:rFonts w:hint="eastAsia" w:hAnsi="宋体" w:cs="宋体"/>
          <w:spacing w:val="-2"/>
          <w:sz w:val="24"/>
          <w:szCs w:val="24"/>
        </w:rPr>
        <w:t>件</w:t>
      </w:r>
    </w:p>
    <w:p w14:paraId="63F33785">
      <w:pPr>
        <w:pStyle w:val="26"/>
        <w:snapToGrid w:val="0"/>
        <w:spacing w:line="460" w:lineRule="exact"/>
        <w:ind w:firstLine="470" w:firstLineChars="196"/>
        <w:rPr>
          <w:rFonts w:hAnsi="宋体" w:cs="宋体"/>
          <w:sz w:val="24"/>
          <w:szCs w:val="24"/>
        </w:rPr>
      </w:pPr>
      <w:r>
        <w:rPr>
          <w:rFonts w:hint="eastAsia" w:hAnsi="宋体" w:cs="宋体"/>
          <w:sz w:val="24"/>
          <w:szCs w:val="24"/>
        </w:rPr>
        <w:t>1.中标通知书</w:t>
      </w:r>
    </w:p>
    <w:p w14:paraId="2D9F71A9">
      <w:pPr>
        <w:pStyle w:val="26"/>
        <w:snapToGrid w:val="0"/>
        <w:spacing w:line="460" w:lineRule="exact"/>
        <w:ind w:firstLine="470" w:firstLineChars="196"/>
        <w:rPr>
          <w:rFonts w:hAnsi="宋体" w:cs="宋体"/>
          <w:sz w:val="24"/>
          <w:szCs w:val="24"/>
        </w:rPr>
      </w:pPr>
      <w:r>
        <w:rPr>
          <w:rFonts w:hint="eastAsia" w:hAnsi="宋体" w:cs="宋体"/>
          <w:sz w:val="24"/>
          <w:szCs w:val="24"/>
        </w:rPr>
        <w:t>2.采购需求</w:t>
      </w:r>
    </w:p>
    <w:p w14:paraId="17782CB8">
      <w:pPr>
        <w:pStyle w:val="26"/>
        <w:snapToGrid w:val="0"/>
        <w:spacing w:line="460" w:lineRule="exact"/>
        <w:ind w:firstLine="470" w:firstLineChars="196"/>
        <w:rPr>
          <w:rFonts w:hAnsi="宋体" w:cs="宋体"/>
          <w:sz w:val="24"/>
          <w:szCs w:val="24"/>
        </w:rPr>
      </w:pPr>
      <w:r>
        <w:rPr>
          <w:rFonts w:hint="eastAsia" w:hAnsi="宋体" w:cs="宋体"/>
          <w:sz w:val="24"/>
          <w:szCs w:val="24"/>
        </w:rPr>
        <w:t>3.投标函</w:t>
      </w:r>
    </w:p>
    <w:p w14:paraId="42C3FED7">
      <w:pPr>
        <w:pStyle w:val="26"/>
        <w:snapToGrid w:val="0"/>
        <w:spacing w:line="460" w:lineRule="exact"/>
        <w:ind w:firstLine="470" w:firstLineChars="196"/>
        <w:rPr>
          <w:rFonts w:hAnsi="宋体" w:cs="宋体"/>
          <w:sz w:val="24"/>
          <w:szCs w:val="24"/>
        </w:rPr>
      </w:pPr>
      <w:r>
        <w:rPr>
          <w:rFonts w:hint="eastAsia" w:hAnsi="宋体" w:cs="宋体"/>
          <w:sz w:val="24"/>
          <w:szCs w:val="24"/>
        </w:rPr>
        <w:t>4.开标一览表及设备性能配置清单</w:t>
      </w:r>
    </w:p>
    <w:p w14:paraId="19F6703D">
      <w:pPr>
        <w:pStyle w:val="26"/>
        <w:snapToGrid w:val="0"/>
        <w:spacing w:line="460" w:lineRule="exact"/>
        <w:ind w:firstLine="470" w:firstLineChars="196"/>
        <w:rPr>
          <w:rFonts w:hAnsi="宋体" w:cs="宋体"/>
          <w:sz w:val="24"/>
          <w:szCs w:val="24"/>
        </w:rPr>
      </w:pPr>
      <w:r>
        <w:rPr>
          <w:rFonts w:hint="eastAsia" w:hAnsi="宋体" w:cs="宋体"/>
          <w:sz w:val="24"/>
          <w:szCs w:val="24"/>
        </w:rPr>
        <w:t>5.商务要求偏离表和技术要求偏离表</w:t>
      </w:r>
    </w:p>
    <w:p w14:paraId="64BBDC4A">
      <w:pPr>
        <w:pStyle w:val="26"/>
        <w:snapToGrid w:val="0"/>
        <w:spacing w:line="460" w:lineRule="exact"/>
        <w:ind w:firstLine="470" w:firstLineChars="196"/>
        <w:rPr>
          <w:rFonts w:hAnsi="宋体" w:cs="宋体"/>
          <w:sz w:val="24"/>
          <w:szCs w:val="24"/>
        </w:rPr>
      </w:pPr>
      <w:r>
        <w:rPr>
          <w:rFonts w:hint="eastAsia" w:hAnsi="宋体" w:cs="宋体"/>
          <w:sz w:val="24"/>
          <w:szCs w:val="24"/>
        </w:rPr>
        <w:t>6.售后服务承诺</w:t>
      </w:r>
    </w:p>
    <w:p w14:paraId="26603197">
      <w:pPr>
        <w:pStyle w:val="26"/>
        <w:snapToGrid w:val="0"/>
        <w:spacing w:line="460" w:lineRule="exact"/>
        <w:ind w:firstLine="470" w:firstLineChars="196"/>
        <w:rPr>
          <w:rFonts w:hAnsi="宋体" w:cs="宋体"/>
          <w:sz w:val="24"/>
          <w:szCs w:val="24"/>
        </w:rPr>
      </w:pPr>
      <w:r>
        <w:rPr>
          <w:rFonts w:hint="eastAsia" w:hAnsi="宋体" w:cs="宋体"/>
          <w:sz w:val="24"/>
          <w:szCs w:val="24"/>
        </w:rPr>
        <w:t>7.其他合同文件</w:t>
      </w:r>
    </w:p>
    <w:p w14:paraId="51377558">
      <w:pPr>
        <w:pStyle w:val="26"/>
        <w:snapToGrid w:val="0"/>
        <w:spacing w:line="460" w:lineRule="exact"/>
        <w:ind w:firstLine="470" w:firstLineChars="196"/>
        <w:rPr>
          <w:rFonts w:hAnsi="宋体" w:cs="宋体"/>
          <w:sz w:val="24"/>
          <w:szCs w:val="24"/>
        </w:rPr>
      </w:pPr>
      <w:r>
        <w:rPr>
          <w:rFonts w:hint="eastAsia" w:hAnsi="宋体" w:cs="宋体"/>
          <w:sz w:val="24"/>
          <w:szCs w:val="24"/>
        </w:rPr>
        <w:t>上述合同文件互相补充和解释。如果合同文件之间存在矛盾或者不一致之处，以上述文件 的排列顺序在先者为准。</w:t>
      </w:r>
    </w:p>
    <w:p w14:paraId="4C833C35">
      <w:pPr>
        <w:snapToGrid w:val="0"/>
        <w:spacing w:line="460" w:lineRule="exact"/>
        <w:ind w:firstLine="482" w:firstLineChars="200"/>
        <w:rPr>
          <w:rFonts w:ascii="宋体" w:hAnsi="宋体" w:cs="宋体"/>
          <w:sz w:val="24"/>
        </w:rPr>
      </w:pPr>
      <w:r>
        <w:rPr>
          <w:rFonts w:hint="eastAsia" w:ascii="宋体" w:hAnsi="宋体" w:cs="宋体"/>
          <w:b/>
          <w:sz w:val="24"/>
        </w:rPr>
        <w:t>第十七条　</w:t>
      </w:r>
      <w:r>
        <w:rPr>
          <w:rFonts w:hint="eastAsia" w:ascii="宋体" w:hAnsi="宋体" w:cs="宋体"/>
          <w:sz w:val="24"/>
        </w:rPr>
        <w:t>本合同一式柒份，具有同等法律效力，甲方伍份，乙方壹份，采购代理机构壹份。</w:t>
      </w:r>
    </w:p>
    <w:p w14:paraId="0134BCDA">
      <w:pPr>
        <w:spacing w:line="460" w:lineRule="exact"/>
        <w:ind w:firstLine="480" w:firstLineChars="200"/>
        <w:rPr>
          <w:rFonts w:ascii="宋体" w:hAnsi="宋体" w:cs="宋体"/>
          <w:sz w:val="24"/>
        </w:rPr>
      </w:pPr>
      <w:r>
        <w:rPr>
          <w:rFonts w:hint="eastAsia" w:ascii="宋体" w:hAnsi="宋体" w:cs="宋体"/>
          <w:sz w:val="24"/>
        </w:rPr>
        <w:t>以下无正文。</w:t>
      </w:r>
    </w:p>
    <w:tbl>
      <w:tblPr>
        <w:tblStyle w:val="48"/>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9"/>
        <w:gridCol w:w="4360"/>
      </w:tblGrid>
      <w:tr w14:paraId="38B5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1" w:hRule="atLeast"/>
          <w:jc w:val="center"/>
        </w:trPr>
        <w:tc>
          <w:tcPr>
            <w:tcW w:w="4359" w:type="dxa"/>
            <w:vAlign w:val="center"/>
          </w:tcPr>
          <w:p w14:paraId="2CC9230B">
            <w:pPr>
              <w:snapToGrid w:val="0"/>
              <w:spacing w:line="460" w:lineRule="exact"/>
              <w:rPr>
                <w:rFonts w:ascii="宋体" w:hAnsi="宋体" w:cs="宋体"/>
                <w:sz w:val="24"/>
              </w:rPr>
            </w:pPr>
            <w:r>
              <w:rPr>
                <w:rFonts w:hint="eastAsia" w:ascii="宋体" w:hAnsi="宋体" w:cs="宋体"/>
                <w:sz w:val="24"/>
              </w:rPr>
              <w:t xml:space="preserve">甲方（章）           </w:t>
            </w:r>
          </w:p>
          <w:p w14:paraId="7938592C">
            <w:pPr>
              <w:snapToGrid w:val="0"/>
              <w:spacing w:line="460" w:lineRule="exact"/>
              <w:jc w:val="center"/>
              <w:rPr>
                <w:rFonts w:ascii="宋体" w:hAnsi="宋体" w:cs="宋体"/>
                <w:sz w:val="24"/>
              </w:rPr>
            </w:pPr>
            <w:r>
              <w:rPr>
                <w:rFonts w:hint="eastAsia" w:ascii="宋体" w:hAnsi="宋体" w:cs="宋体"/>
                <w:sz w:val="24"/>
              </w:rPr>
              <w:t>广西大学</w:t>
            </w:r>
          </w:p>
          <w:p w14:paraId="1BB54032">
            <w:pPr>
              <w:snapToGrid w:val="0"/>
              <w:spacing w:line="460" w:lineRule="exact"/>
              <w:ind w:firstLine="1080" w:firstLineChars="450"/>
              <w:jc w:val="right"/>
              <w:rPr>
                <w:rFonts w:ascii="宋体" w:hAnsi="宋体" w:cs="宋体"/>
                <w:sz w:val="24"/>
              </w:rPr>
            </w:pPr>
            <w:r>
              <w:rPr>
                <w:rFonts w:hint="eastAsia" w:ascii="宋体" w:hAnsi="宋体" w:cs="宋体"/>
                <w:sz w:val="24"/>
              </w:rPr>
              <w:t>年   月   日</w:t>
            </w:r>
          </w:p>
        </w:tc>
        <w:tc>
          <w:tcPr>
            <w:tcW w:w="4360" w:type="dxa"/>
            <w:vAlign w:val="center"/>
          </w:tcPr>
          <w:p w14:paraId="3D77D9F9">
            <w:pPr>
              <w:snapToGrid w:val="0"/>
              <w:spacing w:line="460" w:lineRule="exact"/>
              <w:rPr>
                <w:rFonts w:ascii="宋体" w:hAnsi="宋体" w:cs="宋体"/>
                <w:sz w:val="24"/>
              </w:rPr>
            </w:pPr>
            <w:r>
              <w:rPr>
                <w:rFonts w:hint="eastAsia" w:ascii="宋体" w:hAnsi="宋体" w:cs="宋体"/>
                <w:sz w:val="24"/>
              </w:rPr>
              <w:t xml:space="preserve">乙方（章）              </w:t>
            </w:r>
          </w:p>
          <w:p w14:paraId="19C3812B">
            <w:pPr>
              <w:snapToGrid w:val="0"/>
              <w:spacing w:line="460" w:lineRule="exact"/>
              <w:jc w:val="right"/>
              <w:rPr>
                <w:rFonts w:ascii="宋体" w:hAnsi="宋体" w:cs="宋体"/>
                <w:sz w:val="24"/>
              </w:rPr>
            </w:pPr>
            <w:r>
              <w:rPr>
                <w:rFonts w:hint="eastAsia" w:ascii="宋体" w:hAnsi="宋体" w:cs="宋体"/>
                <w:sz w:val="24"/>
              </w:rPr>
              <w:t xml:space="preserve">  年   月   日</w:t>
            </w:r>
          </w:p>
        </w:tc>
      </w:tr>
      <w:tr w14:paraId="1AB7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4359" w:type="dxa"/>
            <w:vAlign w:val="center"/>
          </w:tcPr>
          <w:p w14:paraId="0839F02C">
            <w:pPr>
              <w:snapToGrid w:val="0"/>
              <w:spacing w:line="460" w:lineRule="exact"/>
              <w:rPr>
                <w:rFonts w:ascii="宋体" w:hAnsi="宋体" w:cs="宋体"/>
                <w:sz w:val="24"/>
              </w:rPr>
            </w:pPr>
            <w:r>
              <w:rPr>
                <w:rFonts w:hint="eastAsia" w:ascii="宋体" w:hAnsi="宋体" w:cs="宋体"/>
                <w:sz w:val="24"/>
              </w:rPr>
              <w:t>单位地址：广西壮族自治区南宁市大学东路100号</w:t>
            </w:r>
          </w:p>
        </w:tc>
        <w:tc>
          <w:tcPr>
            <w:tcW w:w="4360" w:type="dxa"/>
            <w:vAlign w:val="center"/>
          </w:tcPr>
          <w:p w14:paraId="0BFD8D9F">
            <w:pPr>
              <w:pStyle w:val="43"/>
              <w:spacing w:beforeAutospacing="0" w:afterAutospacing="0" w:line="460" w:lineRule="exact"/>
              <w:rPr>
                <w:rFonts w:cs="宋体"/>
              </w:rPr>
            </w:pPr>
            <w:r>
              <w:rPr>
                <w:rFonts w:hint="eastAsia" w:cs="宋体"/>
              </w:rPr>
              <w:t>单位地址：</w:t>
            </w:r>
            <w:r>
              <w:rPr>
                <w:rFonts w:hint="eastAsia"/>
              </w:rPr>
              <w:t xml:space="preserve"> </w:t>
            </w:r>
          </w:p>
        </w:tc>
      </w:tr>
      <w:tr w14:paraId="2479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4359" w:type="dxa"/>
            <w:vAlign w:val="center"/>
          </w:tcPr>
          <w:p w14:paraId="0592788D">
            <w:pPr>
              <w:snapToGrid w:val="0"/>
              <w:spacing w:line="460" w:lineRule="exact"/>
              <w:rPr>
                <w:rFonts w:ascii="宋体" w:hAnsi="宋体" w:cs="宋体"/>
                <w:sz w:val="24"/>
              </w:rPr>
            </w:pPr>
            <w:r>
              <w:rPr>
                <w:rFonts w:hint="eastAsia" w:ascii="宋体" w:hAnsi="宋体" w:cs="宋体"/>
                <w:sz w:val="24"/>
              </w:rPr>
              <w:t>法定代表人（签字）：</w:t>
            </w:r>
          </w:p>
        </w:tc>
        <w:tc>
          <w:tcPr>
            <w:tcW w:w="4360" w:type="dxa"/>
            <w:vAlign w:val="center"/>
          </w:tcPr>
          <w:p w14:paraId="7FCA9D65">
            <w:pPr>
              <w:snapToGrid w:val="0"/>
              <w:spacing w:line="460" w:lineRule="exact"/>
              <w:rPr>
                <w:rFonts w:ascii="宋体" w:hAnsi="宋体" w:cs="宋体"/>
                <w:sz w:val="24"/>
              </w:rPr>
            </w:pPr>
            <w:r>
              <w:rPr>
                <w:rFonts w:hint="eastAsia" w:ascii="宋体" w:hAnsi="宋体" w:cs="宋体"/>
                <w:sz w:val="24"/>
              </w:rPr>
              <w:t>法定代表人（签字）：</w:t>
            </w:r>
          </w:p>
        </w:tc>
      </w:tr>
      <w:tr w14:paraId="55650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jc w:val="center"/>
        </w:trPr>
        <w:tc>
          <w:tcPr>
            <w:tcW w:w="4359" w:type="dxa"/>
            <w:vAlign w:val="center"/>
          </w:tcPr>
          <w:p w14:paraId="534F4491">
            <w:pPr>
              <w:snapToGrid w:val="0"/>
              <w:spacing w:line="460" w:lineRule="exact"/>
              <w:rPr>
                <w:rFonts w:ascii="宋体" w:hAnsi="宋体" w:cs="宋体"/>
                <w:sz w:val="24"/>
              </w:rPr>
            </w:pPr>
            <w:r>
              <w:rPr>
                <w:rFonts w:hint="eastAsia" w:ascii="宋体" w:hAnsi="宋体" w:cs="宋体"/>
                <w:sz w:val="24"/>
              </w:rPr>
              <w:t>委托代理人（签字）：</w:t>
            </w:r>
          </w:p>
        </w:tc>
        <w:tc>
          <w:tcPr>
            <w:tcW w:w="4360" w:type="dxa"/>
            <w:vAlign w:val="center"/>
          </w:tcPr>
          <w:p w14:paraId="15F75747">
            <w:pPr>
              <w:snapToGrid w:val="0"/>
              <w:spacing w:line="460" w:lineRule="exact"/>
              <w:rPr>
                <w:rFonts w:ascii="宋体" w:hAnsi="宋体" w:cs="宋体"/>
                <w:sz w:val="24"/>
              </w:rPr>
            </w:pPr>
            <w:r>
              <w:rPr>
                <w:rFonts w:hint="eastAsia" w:ascii="宋体" w:hAnsi="宋体" w:cs="宋体"/>
                <w:sz w:val="24"/>
              </w:rPr>
              <w:t>委托代理人（签字）：</w:t>
            </w:r>
          </w:p>
        </w:tc>
      </w:tr>
      <w:tr w14:paraId="2E26B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7DF69F85">
            <w:pPr>
              <w:snapToGrid w:val="0"/>
              <w:spacing w:line="460" w:lineRule="exact"/>
              <w:rPr>
                <w:rFonts w:ascii="宋体" w:hAnsi="宋体" w:cs="宋体"/>
                <w:sz w:val="24"/>
              </w:rPr>
            </w:pPr>
            <w:r>
              <w:rPr>
                <w:rFonts w:hint="eastAsia" w:ascii="宋体" w:hAnsi="宋体" w:cs="宋体"/>
                <w:kern w:val="0"/>
                <w:sz w:val="24"/>
              </w:rPr>
              <w:t>办公电话：</w:t>
            </w:r>
          </w:p>
        </w:tc>
        <w:tc>
          <w:tcPr>
            <w:tcW w:w="4360" w:type="dxa"/>
            <w:vAlign w:val="center"/>
          </w:tcPr>
          <w:p w14:paraId="2BC4441F">
            <w:pPr>
              <w:widowControl/>
              <w:spacing w:line="460" w:lineRule="exact"/>
              <w:jc w:val="left"/>
              <w:rPr>
                <w:rFonts w:ascii="宋体" w:hAnsi="宋体" w:cs="宋体"/>
                <w:kern w:val="0"/>
                <w:sz w:val="24"/>
              </w:rPr>
            </w:pPr>
            <w:r>
              <w:rPr>
                <w:rFonts w:hint="eastAsia" w:ascii="宋体" w:hAnsi="宋体" w:cs="宋体"/>
                <w:kern w:val="0"/>
                <w:sz w:val="24"/>
              </w:rPr>
              <w:t>办公电话：</w:t>
            </w:r>
          </w:p>
        </w:tc>
      </w:tr>
      <w:tr w14:paraId="25CB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543A6306">
            <w:pPr>
              <w:snapToGrid w:val="0"/>
              <w:spacing w:line="460" w:lineRule="exact"/>
              <w:rPr>
                <w:rFonts w:ascii="宋体" w:hAnsi="宋体" w:cs="宋体"/>
                <w:sz w:val="24"/>
              </w:rPr>
            </w:pPr>
            <w:r>
              <w:rPr>
                <w:rFonts w:hint="eastAsia" w:ascii="宋体" w:hAnsi="宋体" w:cs="宋体"/>
                <w:kern w:val="0"/>
                <w:sz w:val="24"/>
              </w:rPr>
              <w:t>联系手机：</w:t>
            </w:r>
          </w:p>
        </w:tc>
        <w:tc>
          <w:tcPr>
            <w:tcW w:w="4360" w:type="dxa"/>
            <w:vAlign w:val="center"/>
          </w:tcPr>
          <w:p w14:paraId="71D517AE">
            <w:pPr>
              <w:widowControl/>
              <w:spacing w:line="460" w:lineRule="exact"/>
              <w:jc w:val="left"/>
              <w:rPr>
                <w:rFonts w:ascii="宋体" w:hAnsi="宋体" w:cs="宋体"/>
                <w:kern w:val="0"/>
                <w:sz w:val="24"/>
              </w:rPr>
            </w:pPr>
            <w:r>
              <w:rPr>
                <w:rFonts w:hint="eastAsia" w:ascii="宋体" w:hAnsi="宋体" w:cs="宋体"/>
                <w:kern w:val="0"/>
                <w:sz w:val="24"/>
              </w:rPr>
              <w:t xml:space="preserve">联系手机： </w:t>
            </w:r>
          </w:p>
        </w:tc>
      </w:tr>
      <w:tr w14:paraId="4B7B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4D1CC6B5">
            <w:pPr>
              <w:snapToGrid w:val="0"/>
              <w:spacing w:line="460" w:lineRule="exact"/>
              <w:rPr>
                <w:rFonts w:ascii="宋体" w:hAnsi="宋体" w:cs="宋体"/>
                <w:kern w:val="0"/>
                <w:sz w:val="24"/>
              </w:rPr>
            </w:pPr>
            <w:r>
              <w:rPr>
                <w:rFonts w:hint="eastAsia" w:ascii="宋体" w:hAnsi="宋体" w:cs="宋体"/>
                <w:kern w:val="0"/>
                <w:sz w:val="24"/>
              </w:rPr>
              <w:t>电子邮箱：gxdxsbk@163.com</w:t>
            </w:r>
          </w:p>
        </w:tc>
        <w:tc>
          <w:tcPr>
            <w:tcW w:w="4360" w:type="dxa"/>
            <w:vAlign w:val="center"/>
          </w:tcPr>
          <w:p w14:paraId="6188E95A">
            <w:pPr>
              <w:snapToGrid w:val="0"/>
              <w:spacing w:line="460" w:lineRule="exact"/>
              <w:rPr>
                <w:rFonts w:ascii="宋体" w:hAnsi="宋体" w:cs="宋体"/>
                <w:kern w:val="0"/>
                <w:sz w:val="24"/>
              </w:rPr>
            </w:pPr>
            <w:r>
              <w:rPr>
                <w:rFonts w:hint="eastAsia" w:ascii="宋体" w:hAnsi="宋体" w:cs="宋体"/>
                <w:kern w:val="0"/>
                <w:sz w:val="24"/>
              </w:rPr>
              <w:t xml:space="preserve">电子邮箱： </w:t>
            </w:r>
          </w:p>
        </w:tc>
      </w:tr>
      <w:tr w14:paraId="6F70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4359" w:type="dxa"/>
            <w:vAlign w:val="center"/>
          </w:tcPr>
          <w:p w14:paraId="098A2C52">
            <w:pPr>
              <w:snapToGrid w:val="0"/>
              <w:spacing w:line="460" w:lineRule="exact"/>
              <w:rPr>
                <w:rFonts w:ascii="宋体" w:hAnsi="宋体" w:cs="宋体"/>
                <w:kern w:val="0"/>
                <w:sz w:val="24"/>
              </w:rPr>
            </w:pPr>
            <w:r>
              <w:rPr>
                <w:rFonts w:hint="eastAsia" w:ascii="宋体" w:hAnsi="宋体" w:cs="宋体"/>
                <w:kern w:val="0"/>
                <w:sz w:val="24"/>
              </w:rPr>
              <w:t>开户银行：中国银行广西南宁市西大支行</w:t>
            </w:r>
          </w:p>
        </w:tc>
        <w:tc>
          <w:tcPr>
            <w:tcW w:w="4360" w:type="dxa"/>
            <w:vAlign w:val="center"/>
          </w:tcPr>
          <w:p w14:paraId="4B7F8DC5">
            <w:pPr>
              <w:widowControl/>
              <w:spacing w:line="460" w:lineRule="exact"/>
              <w:jc w:val="left"/>
              <w:rPr>
                <w:rFonts w:ascii="宋体" w:hAnsi="宋体" w:cs="宋体"/>
                <w:kern w:val="0"/>
                <w:sz w:val="24"/>
              </w:rPr>
            </w:pPr>
            <w:r>
              <w:rPr>
                <w:rFonts w:hint="eastAsia" w:ascii="宋体" w:hAnsi="宋体" w:cs="宋体"/>
                <w:kern w:val="0"/>
                <w:sz w:val="24"/>
              </w:rPr>
              <w:t>开户银行：</w:t>
            </w:r>
            <w:r>
              <w:rPr>
                <w:rFonts w:hint="eastAsia" w:ascii="宋体" w:hAnsi="宋体" w:cs="宋体"/>
                <w:kern w:val="0"/>
                <w:sz w:val="24"/>
                <w:lang w:bidi="ar"/>
              </w:rPr>
              <w:t xml:space="preserve"> </w:t>
            </w:r>
          </w:p>
        </w:tc>
      </w:tr>
      <w:tr w14:paraId="5DE0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59" w:type="dxa"/>
            <w:vAlign w:val="center"/>
          </w:tcPr>
          <w:p w14:paraId="0301E8B8">
            <w:pPr>
              <w:pStyle w:val="43"/>
              <w:spacing w:beforeAutospacing="0" w:afterAutospacing="0"/>
              <w:rPr>
                <w:rFonts w:cs="宋体"/>
              </w:rPr>
            </w:pPr>
            <w:r>
              <w:rPr>
                <w:rFonts w:hint="eastAsia" w:cs="宋体"/>
              </w:rPr>
              <w:t>账号：6184 5748 4938</w:t>
            </w:r>
          </w:p>
        </w:tc>
        <w:tc>
          <w:tcPr>
            <w:tcW w:w="4360" w:type="dxa"/>
            <w:vAlign w:val="center"/>
          </w:tcPr>
          <w:p w14:paraId="4D07D340">
            <w:pPr>
              <w:widowControl/>
              <w:spacing w:line="460" w:lineRule="exact"/>
              <w:jc w:val="left"/>
              <w:rPr>
                <w:rFonts w:ascii="宋体" w:hAnsi="宋体" w:cs="宋体"/>
              </w:rPr>
            </w:pPr>
            <w:r>
              <w:rPr>
                <w:rFonts w:hint="eastAsia" w:ascii="宋体" w:hAnsi="宋体" w:cs="宋体"/>
              </w:rPr>
              <w:t>账号：</w:t>
            </w:r>
            <w:r>
              <w:rPr>
                <w:rFonts w:hint="eastAsia" w:ascii="宋体" w:hAnsi="宋体" w:cs="宋体"/>
                <w:kern w:val="0"/>
                <w:sz w:val="24"/>
                <w:lang w:bidi="ar"/>
              </w:rPr>
              <w:t xml:space="preserve"> </w:t>
            </w:r>
          </w:p>
        </w:tc>
      </w:tr>
      <w:tr w14:paraId="20C8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4359" w:type="dxa"/>
            <w:vAlign w:val="center"/>
          </w:tcPr>
          <w:p w14:paraId="0F3A7EE1">
            <w:pPr>
              <w:pStyle w:val="43"/>
              <w:spacing w:beforeAutospacing="0" w:afterAutospacing="0"/>
              <w:rPr>
                <w:rFonts w:cs="宋体"/>
              </w:rPr>
            </w:pPr>
            <w:r>
              <w:rPr>
                <w:rFonts w:hint="eastAsia" w:cs="宋体"/>
              </w:rPr>
              <w:t>邮政编码：530004</w:t>
            </w:r>
          </w:p>
        </w:tc>
        <w:tc>
          <w:tcPr>
            <w:tcW w:w="4360" w:type="dxa"/>
            <w:vAlign w:val="center"/>
          </w:tcPr>
          <w:p w14:paraId="2E180310">
            <w:pPr>
              <w:widowControl/>
              <w:spacing w:line="460" w:lineRule="exact"/>
              <w:jc w:val="left"/>
              <w:rPr>
                <w:rFonts w:ascii="宋体" w:hAnsi="宋体" w:cs="宋体"/>
                <w:kern w:val="0"/>
                <w:sz w:val="24"/>
              </w:rPr>
            </w:pPr>
            <w:r>
              <w:rPr>
                <w:rFonts w:hint="eastAsia" w:ascii="宋体" w:hAnsi="宋体" w:cs="宋体"/>
                <w:kern w:val="0"/>
                <w:sz w:val="24"/>
              </w:rPr>
              <w:t>邮政编码：</w:t>
            </w:r>
            <w:r>
              <w:rPr>
                <w:rFonts w:hint="eastAsia" w:ascii="宋体" w:hAnsi="宋体" w:cs="宋体"/>
                <w:kern w:val="0"/>
                <w:sz w:val="24"/>
                <w:lang w:bidi="ar"/>
              </w:rPr>
              <w:t xml:space="preserve"> </w:t>
            </w:r>
          </w:p>
        </w:tc>
      </w:tr>
    </w:tbl>
    <w:p w14:paraId="05C8E0B5">
      <w:pPr>
        <w:spacing w:line="460" w:lineRule="exact"/>
        <w:rPr>
          <w:rFonts w:ascii="宋体" w:hAnsi="宋体" w:cs="宋体"/>
          <w:b/>
          <w:bCs/>
          <w:kern w:val="0"/>
          <w:sz w:val="24"/>
        </w:rPr>
      </w:pPr>
      <w:r>
        <w:rPr>
          <w:rFonts w:hint="eastAsia" w:ascii="宋体" w:hAnsi="宋体" w:cs="宋体"/>
          <w:b/>
          <w:bCs/>
          <w:kern w:val="0"/>
          <w:sz w:val="24"/>
        </w:rPr>
        <w:br w:type="page"/>
      </w:r>
    </w:p>
    <w:p w14:paraId="072B1608">
      <w:pPr>
        <w:jc w:val="center"/>
        <w:rPr>
          <w:rFonts w:ascii="宋体" w:hAnsi="宋体"/>
          <w:sz w:val="32"/>
          <w:szCs w:val="32"/>
        </w:rPr>
      </w:pPr>
      <w:r>
        <w:rPr>
          <w:rFonts w:hint="eastAsia" w:ascii="宋体" w:hAnsi="宋体" w:cs="@方正仿宋简体"/>
          <w:b/>
          <w:bCs/>
          <w:kern w:val="0"/>
          <w:sz w:val="32"/>
          <w:szCs w:val="32"/>
        </w:rPr>
        <w:t>广西大学采购项目履约保证金退付意见书</w:t>
      </w:r>
    </w:p>
    <w:tbl>
      <w:tblPr>
        <w:tblStyle w:val="48"/>
        <w:tblW w:w="90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632"/>
      </w:tblGrid>
      <w:tr w14:paraId="4CFD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418" w:type="dxa"/>
            <w:vMerge w:val="restart"/>
            <w:vAlign w:val="center"/>
          </w:tcPr>
          <w:p w14:paraId="730489F8">
            <w:pPr>
              <w:jc w:val="center"/>
              <w:rPr>
                <w:rFonts w:ascii="宋体" w:hAnsi="宋体"/>
                <w:sz w:val="24"/>
              </w:rPr>
            </w:pPr>
            <w:r>
              <w:rPr>
                <w:rFonts w:hint="eastAsia" w:ascii="宋体" w:hAnsi="宋体"/>
                <w:sz w:val="24"/>
              </w:rPr>
              <w:t>供应商申请</w:t>
            </w:r>
          </w:p>
        </w:tc>
        <w:tc>
          <w:tcPr>
            <w:tcW w:w="7632" w:type="dxa"/>
            <w:vAlign w:val="center"/>
          </w:tcPr>
          <w:p w14:paraId="5FA3B418">
            <w:pPr>
              <w:rPr>
                <w:rFonts w:ascii="宋体" w:hAnsi="宋体"/>
                <w:sz w:val="24"/>
              </w:rPr>
            </w:pPr>
            <w:r>
              <w:rPr>
                <w:rFonts w:hint="eastAsia" w:ascii="宋体" w:hAnsi="宋体"/>
                <w:sz w:val="24"/>
              </w:rPr>
              <w:t>项目名称：</w:t>
            </w:r>
          </w:p>
        </w:tc>
      </w:tr>
      <w:tr w14:paraId="4177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418" w:type="dxa"/>
            <w:vMerge w:val="continue"/>
          </w:tcPr>
          <w:p w14:paraId="1A6BA1E0">
            <w:pPr>
              <w:rPr>
                <w:rFonts w:ascii="宋体" w:hAnsi="宋体"/>
                <w:sz w:val="24"/>
              </w:rPr>
            </w:pPr>
          </w:p>
        </w:tc>
        <w:tc>
          <w:tcPr>
            <w:tcW w:w="7632" w:type="dxa"/>
            <w:vAlign w:val="center"/>
          </w:tcPr>
          <w:p w14:paraId="2BE3FF8C">
            <w:pPr>
              <w:rPr>
                <w:rFonts w:ascii="宋体" w:hAnsi="宋体"/>
                <w:sz w:val="24"/>
              </w:rPr>
            </w:pPr>
            <w:r>
              <w:rPr>
                <w:rFonts w:hint="eastAsia" w:ascii="宋体" w:hAnsi="宋体"/>
                <w:sz w:val="24"/>
              </w:rPr>
              <w:t>合同编号：</w:t>
            </w:r>
          </w:p>
        </w:tc>
      </w:tr>
      <w:tr w14:paraId="36910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6" w:hRule="atLeast"/>
        </w:trPr>
        <w:tc>
          <w:tcPr>
            <w:tcW w:w="1418" w:type="dxa"/>
            <w:vMerge w:val="continue"/>
          </w:tcPr>
          <w:p w14:paraId="16250C55">
            <w:pPr>
              <w:rPr>
                <w:rFonts w:ascii="宋体" w:hAnsi="宋体"/>
                <w:sz w:val="24"/>
              </w:rPr>
            </w:pPr>
          </w:p>
        </w:tc>
        <w:tc>
          <w:tcPr>
            <w:tcW w:w="7632" w:type="dxa"/>
          </w:tcPr>
          <w:p w14:paraId="6D464DB5">
            <w:pPr>
              <w:rPr>
                <w:rFonts w:ascii="宋体" w:hAnsi="宋体"/>
                <w:sz w:val="24"/>
              </w:rPr>
            </w:pPr>
          </w:p>
          <w:p w14:paraId="398C17D6">
            <w:pPr>
              <w:ind w:firstLine="600" w:firstLineChars="250"/>
              <w:rPr>
                <w:rFonts w:ascii="宋体" w:hAnsi="宋体"/>
                <w:sz w:val="24"/>
              </w:rPr>
            </w:pPr>
            <w:r>
              <w:rPr>
                <w:rFonts w:hint="eastAsia" w:ascii="宋体" w:hAnsi="宋体"/>
                <w:sz w:val="24"/>
              </w:rPr>
              <w:t>该项目已于</w:t>
            </w:r>
            <w:r>
              <w:rPr>
                <w:rFonts w:hint="eastAsia" w:ascii="宋体" w:hAnsi="宋体"/>
                <w:sz w:val="24"/>
                <w:u w:val="single"/>
              </w:rPr>
              <w:t xml:space="preserve">   年    月   日</w:t>
            </w:r>
            <w:r>
              <w:rPr>
                <w:rFonts w:hint="eastAsia" w:ascii="宋体" w:hAnsi="宋体"/>
                <w:sz w:val="24"/>
              </w:rPr>
              <w:t xml:space="preserve">按合同要求履约完成。根据合同规定，可将履约保证金（大写）人民币 </w:t>
            </w:r>
            <w:r>
              <w:rPr>
                <w:rFonts w:hint="eastAsia" w:ascii="宋体" w:hAnsi="宋体"/>
                <w:sz w:val="24"/>
                <w:u w:val="single"/>
              </w:rPr>
              <w:t xml:space="preserve">                 （小写）￥            </w:t>
            </w:r>
            <w:r>
              <w:rPr>
                <w:rFonts w:ascii="宋体" w:hAnsi="宋体"/>
                <w:sz w:val="24"/>
                <w:u w:val="single"/>
              </w:rPr>
              <w:t>.00</w:t>
            </w:r>
            <w:r>
              <w:rPr>
                <w:rFonts w:hint="eastAsia" w:ascii="宋体" w:hAnsi="宋体"/>
                <w:sz w:val="24"/>
              </w:rPr>
              <w:t>退付到达以下帐户：</w:t>
            </w:r>
          </w:p>
          <w:p w14:paraId="7BE3B2B1">
            <w:pPr>
              <w:rPr>
                <w:rFonts w:ascii="宋体" w:hAnsi="宋体"/>
                <w:sz w:val="24"/>
              </w:rPr>
            </w:pPr>
          </w:p>
          <w:p w14:paraId="57DE1F3D">
            <w:pPr>
              <w:spacing w:line="420" w:lineRule="exact"/>
              <w:rPr>
                <w:rFonts w:ascii="宋体" w:hAnsi="宋体"/>
                <w:sz w:val="24"/>
              </w:rPr>
            </w:pPr>
            <w:r>
              <w:rPr>
                <w:rFonts w:hint="eastAsia" w:ascii="宋体" w:hAnsi="宋体"/>
                <w:sz w:val="24"/>
              </w:rPr>
              <w:t>单位名称：</w:t>
            </w:r>
          </w:p>
          <w:p w14:paraId="0706C4FA">
            <w:pPr>
              <w:spacing w:line="420" w:lineRule="exact"/>
              <w:rPr>
                <w:rFonts w:ascii="宋体" w:hAnsi="宋体"/>
                <w:sz w:val="24"/>
              </w:rPr>
            </w:pPr>
            <w:r>
              <w:rPr>
                <w:rFonts w:hint="eastAsia" w:ascii="宋体" w:hAnsi="宋体"/>
                <w:sz w:val="24"/>
              </w:rPr>
              <w:t>开户银行：</w:t>
            </w:r>
          </w:p>
          <w:p w14:paraId="0AD0DC56">
            <w:pPr>
              <w:spacing w:line="420" w:lineRule="exact"/>
              <w:rPr>
                <w:rFonts w:ascii="宋体" w:hAnsi="宋体"/>
                <w:sz w:val="24"/>
              </w:rPr>
            </w:pPr>
            <w:r>
              <w:rPr>
                <w:rFonts w:hint="eastAsia" w:ascii="宋体" w:hAnsi="宋体"/>
                <w:sz w:val="24"/>
              </w:rPr>
              <w:t>银行帐号：</w:t>
            </w:r>
          </w:p>
          <w:p w14:paraId="43F9A29F">
            <w:pPr>
              <w:rPr>
                <w:rFonts w:ascii="宋体" w:hAnsi="宋体"/>
                <w:sz w:val="24"/>
              </w:rPr>
            </w:pPr>
          </w:p>
          <w:p w14:paraId="294D6290">
            <w:pPr>
              <w:spacing w:line="420" w:lineRule="exact"/>
              <w:rPr>
                <w:rFonts w:ascii="宋体" w:hAnsi="宋体"/>
                <w:sz w:val="24"/>
              </w:rPr>
            </w:pPr>
            <w:r>
              <w:rPr>
                <w:rFonts w:hint="eastAsia" w:ascii="宋体" w:hAnsi="宋体"/>
                <w:sz w:val="24"/>
              </w:rPr>
              <w:t>联系人：</w:t>
            </w:r>
          </w:p>
          <w:p w14:paraId="5C3F8838">
            <w:pPr>
              <w:spacing w:line="420" w:lineRule="exact"/>
              <w:rPr>
                <w:rFonts w:ascii="宋体" w:hAnsi="宋体"/>
                <w:sz w:val="24"/>
              </w:rPr>
            </w:pPr>
            <w:r>
              <w:rPr>
                <w:rFonts w:hint="eastAsia" w:ascii="宋体" w:hAnsi="宋体"/>
                <w:sz w:val="24"/>
              </w:rPr>
              <w:t>联系电话：</w:t>
            </w:r>
          </w:p>
          <w:p w14:paraId="60E41FD7">
            <w:pPr>
              <w:rPr>
                <w:rFonts w:ascii="宋体" w:hAnsi="宋体"/>
                <w:sz w:val="24"/>
              </w:rPr>
            </w:pPr>
          </w:p>
          <w:p w14:paraId="27DBB7CB">
            <w:pPr>
              <w:spacing w:line="420" w:lineRule="exact"/>
              <w:rPr>
                <w:rFonts w:ascii="宋体" w:hAnsi="宋体"/>
                <w:sz w:val="24"/>
              </w:rPr>
            </w:pPr>
            <w:r>
              <w:rPr>
                <w:rFonts w:hint="eastAsia" w:ascii="宋体" w:hAnsi="宋体"/>
                <w:sz w:val="24"/>
              </w:rPr>
              <w:t xml:space="preserve">                                 供应商（签章）：</w:t>
            </w:r>
          </w:p>
          <w:p w14:paraId="2176B63C">
            <w:pPr>
              <w:spacing w:line="420" w:lineRule="exact"/>
              <w:rPr>
                <w:rFonts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0DF94A0C">
            <w:pPr>
              <w:rPr>
                <w:rFonts w:ascii="宋体" w:hAnsi="宋体"/>
                <w:sz w:val="24"/>
              </w:rPr>
            </w:pPr>
          </w:p>
        </w:tc>
      </w:tr>
      <w:tr w14:paraId="2408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trPr>
        <w:tc>
          <w:tcPr>
            <w:tcW w:w="1418" w:type="dxa"/>
            <w:vAlign w:val="center"/>
          </w:tcPr>
          <w:p w14:paraId="6172A9F5">
            <w:pPr>
              <w:jc w:val="center"/>
              <w:rPr>
                <w:rFonts w:ascii="宋体" w:hAnsi="宋体"/>
                <w:sz w:val="24"/>
              </w:rPr>
            </w:pPr>
            <w:r>
              <w:rPr>
                <w:rFonts w:hint="eastAsia" w:ascii="宋体" w:hAnsi="宋体"/>
                <w:sz w:val="24"/>
              </w:rPr>
              <w:t>使用单位</w:t>
            </w:r>
          </w:p>
          <w:p w14:paraId="555FC235">
            <w:pPr>
              <w:jc w:val="center"/>
              <w:rPr>
                <w:rFonts w:ascii="宋体" w:hAnsi="宋体"/>
                <w:sz w:val="24"/>
              </w:rPr>
            </w:pPr>
            <w:r>
              <w:rPr>
                <w:rFonts w:hint="eastAsia" w:ascii="宋体" w:hAnsi="宋体"/>
                <w:sz w:val="24"/>
              </w:rPr>
              <w:t>意见</w:t>
            </w:r>
          </w:p>
        </w:tc>
        <w:tc>
          <w:tcPr>
            <w:tcW w:w="7632" w:type="dxa"/>
          </w:tcPr>
          <w:p w14:paraId="77D1125E">
            <w:pPr>
              <w:rPr>
                <w:rFonts w:ascii="宋体" w:hAnsi="宋体"/>
                <w:sz w:val="24"/>
              </w:rPr>
            </w:pPr>
            <w:r>
              <w:rPr>
                <w:rFonts w:hint="eastAsia" w:ascii="宋体" w:hAnsi="宋体"/>
                <w:sz w:val="24"/>
              </w:rPr>
              <w:t>（退付意见：是否同意退付履约保证金）</w:t>
            </w:r>
          </w:p>
          <w:p w14:paraId="659CAE4F">
            <w:pPr>
              <w:spacing w:line="420" w:lineRule="exact"/>
              <w:rPr>
                <w:rFonts w:ascii="宋体" w:hAnsi="宋体"/>
                <w:sz w:val="24"/>
              </w:rPr>
            </w:pPr>
          </w:p>
          <w:p w14:paraId="3B89CA63">
            <w:pPr>
              <w:spacing w:line="420" w:lineRule="exact"/>
              <w:rPr>
                <w:rFonts w:ascii="宋体" w:hAnsi="宋体"/>
                <w:sz w:val="24"/>
              </w:rPr>
            </w:pPr>
            <w:r>
              <w:rPr>
                <w:rFonts w:hint="eastAsia" w:ascii="宋体" w:hAnsi="宋体"/>
                <w:sz w:val="24"/>
              </w:rPr>
              <w:t>项目负责人意见：</w:t>
            </w:r>
          </w:p>
          <w:p w14:paraId="6878AD8C">
            <w:pPr>
              <w:spacing w:line="420" w:lineRule="exact"/>
              <w:rPr>
                <w:rFonts w:ascii="宋体" w:hAnsi="宋体"/>
                <w:sz w:val="24"/>
              </w:rPr>
            </w:pPr>
          </w:p>
          <w:p w14:paraId="348FD58D">
            <w:pPr>
              <w:spacing w:line="420" w:lineRule="exact"/>
              <w:rPr>
                <w:rFonts w:ascii="宋体" w:hAnsi="宋体"/>
                <w:sz w:val="24"/>
              </w:rPr>
            </w:pPr>
            <w:r>
              <w:rPr>
                <w:rFonts w:hint="eastAsia" w:ascii="宋体" w:hAnsi="宋体"/>
                <w:sz w:val="24"/>
              </w:rPr>
              <w:t>联系人：</w:t>
            </w:r>
          </w:p>
          <w:p w14:paraId="1B5F7CFF">
            <w:pPr>
              <w:spacing w:line="420" w:lineRule="exact"/>
              <w:rPr>
                <w:rFonts w:ascii="宋体" w:hAnsi="宋体"/>
                <w:sz w:val="24"/>
              </w:rPr>
            </w:pPr>
            <w:r>
              <w:rPr>
                <w:rFonts w:hint="eastAsia" w:ascii="宋体" w:hAnsi="宋体"/>
                <w:sz w:val="24"/>
              </w:rPr>
              <w:t>联系电话：</w:t>
            </w:r>
          </w:p>
          <w:p w14:paraId="4BA44B21">
            <w:pPr>
              <w:rPr>
                <w:rFonts w:ascii="宋体" w:hAnsi="宋体"/>
                <w:sz w:val="24"/>
              </w:rPr>
            </w:pPr>
          </w:p>
          <w:p w14:paraId="20BA86E3">
            <w:pPr>
              <w:rPr>
                <w:rFonts w:ascii="宋体" w:hAnsi="宋体"/>
                <w:sz w:val="24"/>
              </w:rPr>
            </w:pPr>
            <w:r>
              <w:rPr>
                <w:rFonts w:hint="eastAsia" w:ascii="宋体" w:hAnsi="宋体"/>
                <w:sz w:val="24"/>
              </w:rPr>
              <w:t xml:space="preserve">                                  单位（签章）：</w:t>
            </w:r>
          </w:p>
          <w:p w14:paraId="1E076E42">
            <w:pPr>
              <w:spacing w:line="420" w:lineRule="exact"/>
              <w:rPr>
                <w:rFonts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tc>
      </w:tr>
      <w:tr w14:paraId="7EDD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1418" w:type="dxa"/>
            <w:vAlign w:val="center"/>
          </w:tcPr>
          <w:p w14:paraId="621F7FCB">
            <w:pPr>
              <w:jc w:val="center"/>
              <w:rPr>
                <w:rFonts w:ascii="宋体" w:hAnsi="宋体"/>
                <w:sz w:val="24"/>
              </w:rPr>
            </w:pPr>
            <w:r>
              <w:rPr>
                <w:rFonts w:hint="eastAsia" w:ascii="宋体" w:hAnsi="宋体"/>
                <w:sz w:val="24"/>
              </w:rPr>
              <w:t>国有资产与实验室管理处（招标与采购管理中心）意见</w:t>
            </w:r>
          </w:p>
        </w:tc>
        <w:tc>
          <w:tcPr>
            <w:tcW w:w="7632" w:type="dxa"/>
          </w:tcPr>
          <w:p w14:paraId="1E1289A0">
            <w:pPr>
              <w:rPr>
                <w:rFonts w:ascii="宋体" w:hAnsi="宋体"/>
                <w:sz w:val="24"/>
              </w:rPr>
            </w:pPr>
          </w:p>
          <w:p w14:paraId="1A7FD315">
            <w:pPr>
              <w:rPr>
                <w:rFonts w:ascii="宋体" w:hAnsi="宋体"/>
                <w:sz w:val="24"/>
              </w:rPr>
            </w:pPr>
          </w:p>
          <w:p w14:paraId="05768357">
            <w:pPr>
              <w:rPr>
                <w:rFonts w:ascii="宋体" w:hAnsi="宋体"/>
                <w:sz w:val="24"/>
              </w:rPr>
            </w:pPr>
          </w:p>
          <w:p w14:paraId="3B583D83">
            <w:pPr>
              <w:rPr>
                <w:rFonts w:ascii="宋体" w:hAnsi="宋体"/>
                <w:sz w:val="24"/>
              </w:rPr>
            </w:pPr>
          </w:p>
          <w:p w14:paraId="0181B500">
            <w:pPr>
              <w:rPr>
                <w:rFonts w:ascii="宋体" w:hAnsi="宋体"/>
                <w:sz w:val="24"/>
              </w:rPr>
            </w:pPr>
            <w:r>
              <w:rPr>
                <w:rFonts w:hint="eastAsia" w:ascii="宋体" w:hAnsi="宋体"/>
                <w:sz w:val="24"/>
              </w:rPr>
              <w:t xml:space="preserve">                                       </w:t>
            </w:r>
          </w:p>
          <w:p w14:paraId="59322806">
            <w:pPr>
              <w:rPr>
                <w:rFonts w:ascii="宋体" w:hAnsi="宋体"/>
                <w:sz w:val="24"/>
              </w:rPr>
            </w:pPr>
          </w:p>
          <w:p w14:paraId="61BA87C9">
            <w:pPr>
              <w:ind w:firstLine="3840" w:firstLineChars="1600"/>
              <w:rPr>
                <w:rFonts w:ascii="宋体" w:hAnsi="宋体"/>
                <w:sz w:val="24"/>
              </w:rPr>
            </w:pPr>
            <w:r>
              <w:rPr>
                <w:rFonts w:hint="eastAsia" w:ascii="宋体" w:hAnsi="宋体"/>
                <w:sz w:val="24"/>
              </w:rPr>
              <w:t>单位（签章）：</w:t>
            </w:r>
          </w:p>
          <w:p w14:paraId="28DAD954">
            <w:pPr>
              <w:rPr>
                <w:rFonts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tc>
      </w:tr>
    </w:tbl>
    <w:p w14:paraId="4B1554E9">
      <w:pPr>
        <w:snapToGrid w:val="0"/>
        <w:jc w:val="center"/>
        <w:rPr>
          <w:rFonts w:ascii="宋体" w:hAnsi="宋体" w:cs="宋体"/>
          <w:bCs/>
          <w:sz w:val="32"/>
          <w:szCs w:val="32"/>
        </w:rPr>
      </w:pPr>
    </w:p>
    <w:p w14:paraId="171E30FF">
      <w:pPr>
        <w:snapToGrid w:val="0"/>
        <w:jc w:val="center"/>
        <w:rPr>
          <w:rFonts w:ascii="宋体" w:hAnsi="宋体" w:cs="宋体"/>
          <w:bCs/>
          <w:sz w:val="32"/>
          <w:szCs w:val="32"/>
        </w:rPr>
      </w:pPr>
    </w:p>
    <w:p w14:paraId="793BE240">
      <w:pPr>
        <w:pStyle w:val="3"/>
        <w:jc w:val="center"/>
        <w:rPr>
          <w:rFonts w:ascii="宋体" w:hAnsi="宋体" w:cs="宋体"/>
        </w:rPr>
      </w:pPr>
      <w:bookmarkStart w:id="165" w:name="_Toc10251"/>
      <w:bookmarkStart w:id="166" w:name="_Toc74320805"/>
      <w:r>
        <w:rPr>
          <w:rFonts w:hint="eastAsia" w:ascii="宋体" w:hAnsi="宋体" w:cs="宋体"/>
        </w:rPr>
        <w:t>第六章　投标文件格式</w:t>
      </w:r>
      <w:bookmarkEnd w:id="165"/>
      <w:bookmarkEnd w:id="166"/>
    </w:p>
    <w:p w14:paraId="7C862EE9">
      <w:pPr>
        <w:rPr>
          <w:rFonts w:ascii="宋体" w:hAnsi="宋体" w:cs="宋体"/>
          <w:b/>
          <w:sz w:val="28"/>
          <w:szCs w:val="28"/>
        </w:rPr>
      </w:pPr>
      <w:bookmarkStart w:id="167" w:name="_Toc19686836"/>
      <w:bookmarkStart w:id="168" w:name="_Toc254970698"/>
      <w:bookmarkStart w:id="169" w:name="_Toc254970557"/>
      <w:r>
        <w:rPr>
          <w:rFonts w:hint="eastAsia" w:ascii="宋体" w:hAnsi="宋体" w:cs="宋体"/>
          <w:b/>
          <w:sz w:val="28"/>
          <w:szCs w:val="28"/>
        </w:rPr>
        <w:t>一、报价文件格式</w:t>
      </w:r>
      <w:bookmarkEnd w:id="167"/>
    </w:p>
    <w:p w14:paraId="4BC488A2">
      <w:pPr>
        <w:snapToGrid w:val="0"/>
        <w:spacing w:before="120" w:beforeLines="50" w:after="50" w:line="360" w:lineRule="auto"/>
        <w:ind w:left="142"/>
        <w:jc w:val="left"/>
        <w:rPr>
          <w:rFonts w:ascii="宋体" w:hAnsi="宋体" w:cs="宋体"/>
          <w:sz w:val="24"/>
        </w:rPr>
      </w:pPr>
      <w:r>
        <w:rPr>
          <w:rFonts w:hint="eastAsia" w:ascii="宋体" w:hAnsi="宋体" w:cs="宋体"/>
          <w:b/>
          <w:sz w:val="24"/>
        </w:rPr>
        <w:t xml:space="preserve">1. 报价文件封面格式： </w:t>
      </w:r>
    </w:p>
    <w:p w14:paraId="56C9975C">
      <w:pPr>
        <w:snapToGrid w:val="0"/>
        <w:spacing w:before="120" w:beforeLines="50" w:after="50" w:line="400" w:lineRule="exact"/>
        <w:rPr>
          <w:rFonts w:ascii="宋体" w:hAnsi="宋体" w:cs="宋体"/>
          <w:bCs/>
          <w:sz w:val="24"/>
        </w:rPr>
      </w:pPr>
      <w:r>
        <w:rPr>
          <w:rFonts w:hint="eastAsia" w:ascii="宋体" w:hAnsi="宋体" w:cs="宋体"/>
          <w:sz w:val="24"/>
        </w:rPr>
        <w:t xml:space="preserve">                                                   </w:t>
      </w:r>
    </w:p>
    <w:p w14:paraId="08E81D2A">
      <w:pPr>
        <w:snapToGrid w:val="0"/>
        <w:spacing w:before="120" w:beforeLines="50" w:after="50" w:line="400" w:lineRule="exact"/>
        <w:jc w:val="center"/>
        <w:rPr>
          <w:rFonts w:ascii="宋体" w:hAnsi="宋体" w:cs="宋体"/>
          <w:bCs/>
          <w:sz w:val="24"/>
        </w:rPr>
      </w:pPr>
    </w:p>
    <w:p w14:paraId="500F3836">
      <w:pPr>
        <w:snapToGrid w:val="0"/>
        <w:spacing w:before="120" w:beforeLines="50" w:after="50"/>
        <w:jc w:val="center"/>
        <w:rPr>
          <w:rFonts w:ascii="宋体" w:hAnsi="宋体" w:cs="宋体"/>
          <w:sz w:val="84"/>
          <w:szCs w:val="84"/>
        </w:rPr>
      </w:pPr>
      <w:r>
        <w:rPr>
          <w:rFonts w:hint="eastAsia" w:ascii="宋体" w:hAnsi="宋体" w:cs="宋体"/>
          <w:sz w:val="84"/>
          <w:szCs w:val="84"/>
        </w:rPr>
        <w:t>投  标  文  件</w:t>
      </w:r>
    </w:p>
    <w:p w14:paraId="2ABBBC5E">
      <w:pPr>
        <w:snapToGrid w:val="0"/>
        <w:spacing w:before="120" w:beforeLines="50" w:after="50" w:line="400" w:lineRule="exact"/>
        <w:jc w:val="center"/>
        <w:rPr>
          <w:rFonts w:ascii="宋体" w:hAnsi="宋体" w:cs="宋体"/>
          <w:bCs/>
          <w:sz w:val="32"/>
          <w:szCs w:val="32"/>
        </w:rPr>
      </w:pPr>
    </w:p>
    <w:p w14:paraId="0E3098CE">
      <w:pPr>
        <w:snapToGrid w:val="0"/>
        <w:spacing w:before="120" w:beforeLines="50" w:after="50" w:line="400" w:lineRule="exact"/>
        <w:jc w:val="center"/>
        <w:rPr>
          <w:rFonts w:ascii="宋体" w:hAnsi="宋体" w:cs="宋体"/>
          <w:sz w:val="48"/>
          <w:szCs w:val="48"/>
        </w:rPr>
      </w:pPr>
      <w:r>
        <w:rPr>
          <w:rFonts w:hint="eastAsia" w:ascii="宋体" w:hAnsi="宋体" w:cs="宋体"/>
          <w:sz w:val="48"/>
          <w:szCs w:val="48"/>
        </w:rPr>
        <w:t>报  价  文  件</w:t>
      </w:r>
    </w:p>
    <w:p w14:paraId="67C99B4F">
      <w:pPr>
        <w:snapToGrid w:val="0"/>
        <w:spacing w:before="120" w:beforeLines="50" w:after="50" w:line="400" w:lineRule="exact"/>
        <w:rPr>
          <w:rFonts w:ascii="宋体" w:hAnsi="宋体" w:cs="宋体"/>
          <w:bCs/>
          <w:sz w:val="24"/>
          <w:szCs w:val="20"/>
        </w:rPr>
      </w:pPr>
    </w:p>
    <w:p w14:paraId="60CB31E7">
      <w:pPr>
        <w:snapToGrid w:val="0"/>
        <w:spacing w:before="120" w:beforeLines="50" w:after="50" w:line="400" w:lineRule="exact"/>
        <w:rPr>
          <w:rFonts w:ascii="宋体" w:hAnsi="宋体" w:cs="宋体"/>
          <w:bCs/>
          <w:sz w:val="24"/>
          <w:szCs w:val="20"/>
        </w:rPr>
      </w:pPr>
    </w:p>
    <w:p w14:paraId="5968B3FF">
      <w:pPr>
        <w:snapToGrid w:val="0"/>
        <w:spacing w:before="120" w:beforeLines="50" w:after="50" w:line="400" w:lineRule="exact"/>
        <w:ind w:firstLine="1960" w:firstLineChars="700"/>
        <w:rPr>
          <w:rFonts w:ascii="宋体" w:hAnsi="宋体" w:cs="宋体"/>
          <w:bCs/>
          <w:sz w:val="28"/>
          <w:szCs w:val="21"/>
        </w:rPr>
      </w:pPr>
    </w:p>
    <w:p w14:paraId="6946F9E4">
      <w:pPr>
        <w:snapToGrid w:val="0"/>
        <w:spacing w:before="120" w:beforeLines="50" w:after="50" w:line="400" w:lineRule="exact"/>
        <w:ind w:firstLine="1960" w:firstLineChars="700"/>
        <w:rPr>
          <w:rFonts w:ascii="宋体" w:hAnsi="宋体" w:cs="宋体"/>
          <w:bCs/>
          <w:sz w:val="28"/>
          <w:szCs w:val="21"/>
        </w:rPr>
      </w:pPr>
    </w:p>
    <w:p w14:paraId="0606CAEA">
      <w:pPr>
        <w:snapToGrid w:val="0"/>
        <w:spacing w:before="120" w:beforeLines="50" w:after="50" w:line="400" w:lineRule="exact"/>
        <w:ind w:firstLine="1960" w:firstLineChars="700"/>
        <w:rPr>
          <w:rFonts w:ascii="宋体" w:hAnsi="宋体" w:cs="宋体"/>
          <w:bCs/>
          <w:sz w:val="28"/>
          <w:szCs w:val="28"/>
        </w:rPr>
      </w:pPr>
      <w:r>
        <w:rPr>
          <w:rFonts w:hint="eastAsia" w:ascii="宋体" w:hAnsi="宋体" w:cs="宋体"/>
          <w:bCs/>
          <w:sz w:val="28"/>
          <w:szCs w:val="28"/>
        </w:rPr>
        <w:t xml:space="preserve">项目名称： </w:t>
      </w:r>
    </w:p>
    <w:p w14:paraId="51AB0DC4">
      <w:pPr>
        <w:snapToGrid w:val="0"/>
        <w:spacing w:before="120" w:beforeLines="50" w:after="50" w:line="400" w:lineRule="exact"/>
        <w:ind w:firstLine="1960" w:firstLineChars="700"/>
        <w:rPr>
          <w:rFonts w:ascii="宋体" w:hAnsi="宋体" w:cs="宋体"/>
          <w:bCs/>
          <w:sz w:val="28"/>
          <w:szCs w:val="28"/>
        </w:rPr>
      </w:pPr>
      <w:r>
        <w:rPr>
          <w:rFonts w:hint="eastAsia" w:ascii="宋体" w:hAnsi="宋体" w:cs="宋体"/>
          <w:bCs/>
          <w:sz w:val="28"/>
          <w:szCs w:val="28"/>
        </w:rPr>
        <w:t xml:space="preserve">项目编号： </w:t>
      </w:r>
    </w:p>
    <w:p w14:paraId="57FD902F">
      <w:pPr>
        <w:snapToGrid w:val="0"/>
        <w:spacing w:before="120" w:beforeLines="50" w:after="50" w:line="400" w:lineRule="exact"/>
        <w:ind w:firstLine="1960" w:firstLineChars="700"/>
        <w:rPr>
          <w:rFonts w:ascii="宋体" w:hAnsi="宋体" w:cs="宋体"/>
          <w:bCs/>
          <w:sz w:val="28"/>
          <w:szCs w:val="28"/>
        </w:rPr>
      </w:pPr>
      <w:r>
        <w:rPr>
          <w:rFonts w:hint="eastAsia" w:ascii="宋体" w:hAnsi="宋体" w:cs="宋体"/>
          <w:bCs/>
          <w:sz w:val="28"/>
          <w:szCs w:val="28"/>
        </w:rPr>
        <w:t>所投分标：</w:t>
      </w:r>
    </w:p>
    <w:p w14:paraId="02F12AAD">
      <w:pPr>
        <w:snapToGrid w:val="0"/>
        <w:spacing w:before="120" w:beforeLines="50" w:after="50" w:line="400" w:lineRule="exact"/>
        <w:ind w:firstLine="1960" w:firstLineChars="700"/>
        <w:rPr>
          <w:rFonts w:ascii="宋体" w:hAnsi="宋体" w:cs="宋体"/>
          <w:bCs/>
          <w:sz w:val="28"/>
          <w:szCs w:val="28"/>
        </w:rPr>
      </w:pPr>
      <w:r>
        <w:rPr>
          <w:rFonts w:hint="eastAsia" w:ascii="宋体" w:hAnsi="宋体" w:cs="宋体"/>
          <w:bCs/>
          <w:sz w:val="28"/>
          <w:szCs w:val="28"/>
        </w:rPr>
        <w:t>投标人名称：</w:t>
      </w:r>
    </w:p>
    <w:p w14:paraId="15E2CA6A">
      <w:pPr>
        <w:snapToGrid w:val="0"/>
        <w:spacing w:before="120" w:beforeLines="50" w:after="50" w:line="400" w:lineRule="exact"/>
        <w:ind w:firstLine="1960" w:firstLineChars="700"/>
        <w:rPr>
          <w:rFonts w:ascii="宋体" w:hAnsi="宋体" w:cs="宋体"/>
          <w:bCs/>
          <w:sz w:val="28"/>
          <w:szCs w:val="28"/>
        </w:rPr>
      </w:pPr>
      <w:r>
        <w:rPr>
          <w:rFonts w:hint="eastAsia" w:ascii="宋体" w:hAnsi="宋体" w:cs="宋体"/>
          <w:bCs/>
          <w:sz w:val="28"/>
          <w:szCs w:val="28"/>
        </w:rPr>
        <w:t>投标人地址：</w:t>
      </w:r>
    </w:p>
    <w:p w14:paraId="42065816">
      <w:pPr>
        <w:pStyle w:val="8"/>
        <w:snapToGrid w:val="0"/>
        <w:spacing w:before="50" w:after="50" w:line="400" w:lineRule="exact"/>
        <w:ind w:firstLine="1120" w:firstLineChars="400"/>
        <w:rPr>
          <w:rFonts w:ascii="宋体" w:hAnsi="宋体" w:cs="宋体"/>
          <w:bCs/>
          <w:sz w:val="28"/>
          <w:szCs w:val="28"/>
        </w:rPr>
      </w:pPr>
    </w:p>
    <w:p w14:paraId="2D5B9D75">
      <w:pPr>
        <w:snapToGrid w:val="0"/>
        <w:spacing w:before="120" w:beforeLines="50" w:after="50" w:line="400" w:lineRule="exact"/>
        <w:rPr>
          <w:rFonts w:ascii="宋体" w:hAnsi="宋体" w:cs="宋体"/>
          <w:sz w:val="32"/>
          <w:szCs w:val="21"/>
        </w:rPr>
      </w:pPr>
      <w:r>
        <w:rPr>
          <w:rFonts w:hint="eastAsia" w:ascii="宋体" w:hAnsi="宋体" w:cs="宋体"/>
          <w:sz w:val="24"/>
        </w:rPr>
        <w:t xml:space="preserve">                             </w:t>
      </w:r>
      <w:r>
        <w:rPr>
          <w:rFonts w:hint="eastAsia" w:ascii="宋体" w:hAnsi="宋体" w:cs="宋体"/>
          <w:sz w:val="28"/>
          <w:szCs w:val="28"/>
        </w:rPr>
        <w:t xml:space="preserve">      年  月  日</w:t>
      </w:r>
    </w:p>
    <w:p w14:paraId="617EA1A7">
      <w:pPr>
        <w:snapToGrid w:val="0"/>
        <w:spacing w:before="120" w:beforeLines="50" w:after="50" w:line="360" w:lineRule="auto"/>
        <w:jc w:val="left"/>
        <w:rPr>
          <w:rFonts w:ascii="宋体" w:hAnsi="宋体" w:cs="宋体"/>
          <w:sz w:val="24"/>
          <w:szCs w:val="20"/>
        </w:rPr>
      </w:pPr>
      <w:r>
        <w:rPr>
          <w:rFonts w:hint="eastAsia" w:ascii="宋体" w:hAnsi="宋体" w:cs="宋体"/>
          <w:b/>
          <w:sz w:val="24"/>
        </w:rPr>
        <w:br w:type="page"/>
      </w:r>
      <w:r>
        <w:rPr>
          <w:rFonts w:hint="eastAsia" w:ascii="宋体" w:hAnsi="宋体" w:cs="宋体"/>
          <w:b/>
          <w:sz w:val="24"/>
        </w:rPr>
        <w:t>2.</w:t>
      </w:r>
      <w:r>
        <w:rPr>
          <w:rFonts w:hint="eastAsia" w:ascii="宋体" w:hAnsi="宋体" w:cs="宋体"/>
          <w:b/>
          <w:bCs/>
          <w:sz w:val="24"/>
        </w:rPr>
        <w:t>报价文件目录</w:t>
      </w:r>
    </w:p>
    <w:p w14:paraId="0FDA85ED">
      <w:pPr>
        <w:snapToGrid w:val="0"/>
        <w:spacing w:before="50" w:after="120" w:afterLines="50" w:line="360" w:lineRule="auto"/>
        <w:jc w:val="left"/>
        <w:rPr>
          <w:rFonts w:ascii="宋体" w:hAnsi="宋体" w:cs="宋体"/>
          <w:b/>
          <w:sz w:val="24"/>
        </w:rPr>
      </w:pPr>
      <w:r>
        <w:rPr>
          <w:rFonts w:hint="eastAsia" w:ascii="宋体" w:hAnsi="宋体" w:cs="宋体"/>
          <w:sz w:val="24"/>
        </w:rPr>
        <w:t>根据招标文件规定及投标人提供的材料自行编写目录。</w:t>
      </w:r>
    </w:p>
    <w:p w14:paraId="6753E23E">
      <w:pPr>
        <w:snapToGrid w:val="0"/>
        <w:spacing w:before="120" w:beforeLines="50" w:after="50"/>
        <w:rPr>
          <w:rFonts w:ascii="宋体" w:hAnsi="宋体" w:cs="宋体"/>
          <w:b/>
          <w:sz w:val="24"/>
        </w:rPr>
      </w:pPr>
    </w:p>
    <w:p w14:paraId="42D8591B">
      <w:pPr>
        <w:snapToGrid w:val="0"/>
        <w:spacing w:before="120" w:beforeLines="50" w:after="50"/>
        <w:rPr>
          <w:rFonts w:ascii="宋体" w:hAnsi="宋体" w:cs="宋体"/>
          <w:b/>
          <w:sz w:val="24"/>
        </w:rPr>
      </w:pPr>
    </w:p>
    <w:p w14:paraId="246C2A21">
      <w:pPr>
        <w:snapToGrid w:val="0"/>
        <w:spacing w:before="120" w:beforeLines="50" w:after="50"/>
        <w:rPr>
          <w:rFonts w:ascii="宋体" w:hAnsi="宋体" w:cs="宋体"/>
          <w:b/>
          <w:sz w:val="24"/>
        </w:rPr>
      </w:pPr>
    </w:p>
    <w:p w14:paraId="47B7BDA0">
      <w:pPr>
        <w:snapToGrid w:val="0"/>
        <w:spacing w:before="120" w:beforeLines="50" w:after="50"/>
        <w:ind w:left="142"/>
        <w:jc w:val="left"/>
        <w:rPr>
          <w:rFonts w:ascii="宋体" w:hAnsi="宋体" w:cs="宋体"/>
          <w:b/>
          <w:sz w:val="24"/>
        </w:rPr>
      </w:pPr>
      <w:r>
        <w:rPr>
          <w:rFonts w:hint="eastAsia" w:ascii="宋体" w:hAnsi="宋体" w:cs="宋体"/>
          <w:b/>
          <w:sz w:val="24"/>
        </w:rPr>
        <w:br w:type="page"/>
      </w:r>
      <w:r>
        <w:rPr>
          <w:rFonts w:hint="eastAsia" w:ascii="宋体" w:hAnsi="宋体" w:cs="宋体"/>
          <w:b/>
          <w:sz w:val="24"/>
        </w:rPr>
        <w:t>3. 投标函格式：</w:t>
      </w:r>
    </w:p>
    <w:p w14:paraId="28484F43">
      <w:pPr>
        <w:snapToGrid w:val="0"/>
        <w:spacing w:before="120" w:beforeLines="50" w:after="50" w:line="360" w:lineRule="auto"/>
        <w:jc w:val="center"/>
        <w:rPr>
          <w:rFonts w:ascii="宋体" w:hAnsi="宋体" w:cs="宋体"/>
          <w:bCs/>
          <w:sz w:val="44"/>
          <w:szCs w:val="44"/>
        </w:rPr>
      </w:pPr>
      <w:r>
        <w:rPr>
          <w:rFonts w:hint="eastAsia" w:ascii="宋体" w:hAnsi="宋体" w:cs="宋体"/>
          <w:bCs/>
          <w:sz w:val="44"/>
          <w:szCs w:val="44"/>
        </w:rPr>
        <w:t>投 标 函</w:t>
      </w:r>
    </w:p>
    <w:p w14:paraId="3BE26901">
      <w:pPr>
        <w:spacing w:line="360" w:lineRule="auto"/>
        <w:contextualSpacing/>
        <w:rPr>
          <w:rFonts w:ascii="宋体" w:hAnsi="宋体" w:cs="宋体"/>
          <w:sz w:val="24"/>
        </w:rPr>
      </w:pPr>
      <w:r>
        <w:rPr>
          <w:rFonts w:hint="eastAsia" w:ascii="宋体" w:hAnsi="宋体" w:cs="宋体"/>
          <w:sz w:val="24"/>
        </w:rPr>
        <w:t>致：</w:t>
      </w:r>
      <w:r>
        <w:rPr>
          <w:rFonts w:hint="eastAsia" w:ascii="宋体" w:hAnsi="宋体" w:cs="宋体"/>
          <w:sz w:val="24"/>
          <w:u w:val="single"/>
        </w:rPr>
        <w:t>采购人名称</w:t>
      </w:r>
    </w:p>
    <w:p w14:paraId="63C121C6">
      <w:pPr>
        <w:spacing w:line="360" w:lineRule="auto"/>
        <w:ind w:firstLine="480"/>
        <w:contextualSpacing/>
        <w:rPr>
          <w:rFonts w:ascii="宋体" w:hAnsi="宋体" w:cs="宋体"/>
          <w:sz w:val="24"/>
        </w:rPr>
      </w:pPr>
      <w:r>
        <w:rPr>
          <w:rFonts w:hint="eastAsia" w:ascii="宋体" w:hAnsi="宋体" w:cs="宋体"/>
          <w:sz w:val="24"/>
        </w:rPr>
        <w:t>根据贵方</w:t>
      </w:r>
      <w:r>
        <w:rPr>
          <w:rFonts w:hint="eastAsia" w:ascii="宋体" w:hAnsi="宋体" w:cs="宋体"/>
          <w:sz w:val="24"/>
          <w:u w:val="single"/>
        </w:rPr>
        <w:t xml:space="preserve"> 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）的招标公告，签字代表</w:t>
      </w:r>
      <w:r>
        <w:rPr>
          <w:rFonts w:hint="eastAsia" w:ascii="宋体" w:hAnsi="宋体" w:cs="宋体"/>
          <w:sz w:val="24"/>
          <w:u w:val="single"/>
        </w:rPr>
        <w:t xml:space="preserve">         </w:t>
      </w:r>
      <w:r>
        <w:rPr>
          <w:rFonts w:hint="eastAsia" w:ascii="宋体" w:hAnsi="宋体" w:cs="宋体"/>
          <w:sz w:val="24"/>
        </w:rPr>
        <w:t>（姓名）经正式授权并代表投标人</w:t>
      </w:r>
      <w:r>
        <w:rPr>
          <w:rFonts w:hint="eastAsia" w:ascii="宋体" w:hAnsi="宋体" w:cs="宋体"/>
          <w:sz w:val="24"/>
          <w:u w:val="single"/>
        </w:rPr>
        <w:t xml:space="preserve">                 </w:t>
      </w:r>
      <w:r>
        <w:rPr>
          <w:rFonts w:hint="eastAsia" w:ascii="宋体" w:hAnsi="宋体" w:cs="宋体"/>
          <w:sz w:val="24"/>
        </w:rPr>
        <w:t>（投标人名称）提交投标文件。</w:t>
      </w:r>
    </w:p>
    <w:p w14:paraId="58207599">
      <w:pPr>
        <w:spacing w:line="360" w:lineRule="auto"/>
        <w:ind w:firstLine="480" w:firstLineChars="200"/>
        <w:contextualSpacing/>
        <w:rPr>
          <w:rFonts w:ascii="宋体" w:hAnsi="宋体" w:cs="宋体"/>
          <w:sz w:val="24"/>
        </w:rPr>
      </w:pPr>
      <w:r>
        <w:rPr>
          <w:rFonts w:hint="eastAsia" w:ascii="宋体" w:hAnsi="宋体" w:cs="宋体"/>
          <w:sz w:val="24"/>
        </w:rPr>
        <w:t>据此函，我方宣布同意如下：</w:t>
      </w:r>
    </w:p>
    <w:p w14:paraId="26D3483D">
      <w:pPr>
        <w:spacing w:line="360" w:lineRule="auto"/>
        <w:ind w:firstLine="480" w:firstLineChars="200"/>
        <w:contextualSpacing/>
        <w:rPr>
          <w:rFonts w:ascii="宋体" w:hAnsi="宋体" w:cs="宋体"/>
          <w:sz w:val="24"/>
        </w:rPr>
      </w:pPr>
      <w:r>
        <w:rPr>
          <w:rFonts w:hint="eastAsia" w:ascii="宋体" w:hAnsi="宋体" w:cs="宋体"/>
          <w:sz w:val="24"/>
        </w:rPr>
        <w:t>1.我方已详细审查全部“招标文件”，包括修改文件（如有的话）以及全部参考资料和有关附件，已经了解我方对于招标文件、采购过程、采购结果有依法进行询问、质疑、投诉的权利及相关渠道和要求。</w:t>
      </w:r>
    </w:p>
    <w:p w14:paraId="0E0E3822">
      <w:pPr>
        <w:spacing w:line="360" w:lineRule="auto"/>
        <w:ind w:firstLine="480" w:firstLineChars="200"/>
        <w:contextualSpacing/>
        <w:rPr>
          <w:rFonts w:ascii="宋体" w:hAnsi="宋体" w:cs="宋体"/>
          <w:sz w:val="24"/>
        </w:rPr>
      </w:pPr>
      <w:r>
        <w:rPr>
          <w:rFonts w:hint="eastAsia" w:ascii="宋体" w:hAnsi="宋体" w:cs="宋体"/>
          <w:sz w:val="24"/>
        </w:rPr>
        <w:t>2.我方在投标之前已经完全理解并接受招标文件的各项规定和要求，对招标文件的合理性、合法性不再有异议。</w:t>
      </w:r>
    </w:p>
    <w:p w14:paraId="3F9975B7">
      <w:pPr>
        <w:spacing w:line="360" w:lineRule="auto"/>
        <w:ind w:firstLine="480" w:firstLineChars="200"/>
        <w:contextualSpacing/>
        <w:rPr>
          <w:rFonts w:ascii="宋体" w:hAnsi="宋体" w:cs="宋体"/>
          <w:sz w:val="24"/>
        </w:rPr>
      </w:pPr>
      <w:r>
        <w:rPr>
          <w:rFonts w:hint="eastAsia" w:ascii="宋体" w:hAnsi="宋体" w:cs="宋体"/>
          <w:sz w:val="24"/>
        </w:rPr>
        <w:t>3.本投标有效期自投标截止之日起</w:t>
      </w:r>
      <w:r>
        <w:rPr>
          <w:rFonts w:hint="eastAsia" w:ascii="宋体" w:hAnsi="宋体" w:cs="宋体"/>
          <w:sz w:val="24"/>
          <w:u w:val="single"/>
        </w:rPr>
        <w:t xml:space="preserve">    </w:t>
      </w:r>
      <w:r>
        <w:rPr>
          <w:rFonts w:hint="eastAsia" w:ascii="宋体" w:hAnsi="宋体" w:cs="宋体"/>
          <w:sz w:val="24"/>
        </w:rPr>
        <w:t>日。</w:t>
      </w:r>
    </w:p>
    <w:p w14:paraId="3D8B7C2E">
      <w:pPr>
        <w:spacing w:line="360" w:lineRule="auto"/>
        <w:ind w:firstLine="480" w:firstLineChars="200"/>
        <w:contextualSpacing/>
        <w:rPr>
          <w:rFonts w:ascii="宋体" w:hAnsi="宋体" w:cs="宋体"/>
          <w:sz w:val="24"/>
        </w:rPr>
      </w:pPr>
      <w:r>
        <w:rPr>
          <w:rFonts w:hint="eastAsia" w:ascii="宋体" w:hAnsi="宋体" w:cs="宋体"/>
          <w:sz w:val="24"/>
        </w:rPr>
        <w:t>4.如中标，本投标文件至本项目合同履行完毕止均保持有效，我方将按“招标文件”及政府采购法律、法规的规定履行合同责任和义务。</w:t>
      </w:r>
    </w:p>
    <w:p w14:paraId="45EEA28D">
      <w:pPr>
        <w:spacing w:line="360" w:lineRule="auto"/>
        <w:ind w:firstLine="480" w:firstLineChars="200"/>
        <w:contextualSpacing/>
        <w:rPr>
          <w:rFonts w:ascii="宋体" w:hAnsi="宋体" w:cs="宋体"/>
          <w:sz w:val="24"/>
        </w:rPr>
      </w:pPr>
      <w:r>
        <w:rPr>
          <w:rFonts w:hint="eastAsia" w:ascii="宋体" w:hAnsi="宋体" w:cs="宋体"/>
          <w:sz w:val="24"/>
        </w:rPr>
        <w:t>5.我方同意按照贵方要求提供与投标有关的一切数据或者资料。</w:t>
      </w:r>
    </w:p>
    <w:p w14:paraId="278BF00D">
      <w:pPr>
        <w:spacing w:line="360" w:lineRule="auto"/>
        <w:ind w:firstLine="480" w:firstLineChars="200"/>
        <w:contextualSpacing/>
        <w:rPr>
          <w:rFonts w:ascii="宋体" w:hAnsi="宋体" w:cs="宋体"/>
          <w:sz w:val="24"/>
        </w:rPr>
      </w:pPr>
      <w:r>
        <w:rPr>
          <w:rFonts w:hint="eastAsia" w:ascii="宋体" w:hAnsi="宋体" w:cs="宋体"/>
          <w:sz w:val="24"/>
        </w:rPr>
        <w:t>6.我方向贵方提交的所有投标文件、资料都是准确的和真实的。</w:t>
      </w:r>
    </w:p>
    <w:p w14:paraId="2F505E6C">
      <w:pPr>
        <w:spacing w:line="360" w:lineRule="auto"/>
        <w:ind w:firstLine="480" w:firstLineChars="200"/>
        <w:contextualSpacing/>
        <w:rPr>
          <w:rFonts w:ascii="宋体" w:hAnsi="宋体" w:cs="宋体"/>
          <w:sz w:val="24"/>
        </w:rPr>
      </w:pPr>
      <w:r>
        <w:rPr>
          <w:rFonts w:hint="eastAsia" w:ascii="宋体" w:hAnsi="宋体" w:cs="宋体"/>
          <w:sz w:val="24"/>
        </w:rPr>
        <w:t>7.以上事项如有虚假或者隐瞒，我方愿意承担一切后果，并不再寻求任何旨在减轻或者免除法律责任的辩解。</w:t>
      </w:r>
    </w:p>
    <w:p w14:paraId="301DEBEB">
      <w:pPr>
        <w:spacing w:line="360" w:lineRule="auto"/>
        <w:ind w:firstLine="480" w:firstLineChars="200"/>
        <w:contextualSpacing/>
        <w:rPr>
          <w:rFonts w:ascii="宋体" w:hAnsi="宋体" w:cs="宋体"/>
          <w:sz w:val="24"/>
        </w:rPr>
      </w:pPr>
      <w:r>
        <w:rPr>
          <w:rFonts w:hint="eastAsia" w:ascii="宋体" w:hAnsi="宋体" w:cs="宋体"/>
          <w:sz w:val="24"/>
        </w:rPr>
        <w:t>8.根据《中华人民共和国政府采购法实施条例》第五十条要求对政府采购合同进行公告，但政府采购合同中涉及国家秘密、商业秘密的内容除外。我方就对本次投标文件进行注明如下：（两项内容中必须选择一项）</w:t>
      </w:r>
    </w:p>
    <w:p w14:paraId="66030732">
      <w:pPr>
        <w:spacing w:line="360" w:lineRule="auto"/>
        <w:ind w:firstLine="480" w:firstLineChars="200"/>
        <w:contextualSpacing/>
        <w:rPr>
          <w:rFonts w:ascii="宋体" w:hAnsi="宋体" w:cs="宋体"/>
          <w:sz w:val="24"/>
        </w:rPr>
      </w:pPr>
      <w:r>
        <w:rPr>
          <w:rFonts w:hint="eastAsia" w:ascii="宋体" w:hAnsi="宋体" w:cs="宋体"/>
          <w:sz w:val="24"/>
        </w:rPr>
        <w:t>□我方本次投标文件</w:t>
      </w:r>
      <w:r>
        <w:rPr>
          <w:rFonts w:hint="eastAsia" w:ascii="宋体" w:hAnsi="宋体" w:cs="宋体"/>
          <w:kern w:val="0"/>
          <w:sz w:val="24"/>
        </w:rPr>
        <w:t>内容中</w:t>
      </w:r>
      <w:r>
        <w:rPr>
          <w:rFonts w:hint="eastAsia" w:ascii="宋体" w:hAnsi="宋体" w:cs="宋体"/>
          <w:sz w:val="24"/>
        </w:rPr>
        <w:t>未</w:t>
      </w:r>
      <w:r>
        <w:rPr>
          <w:rFonts w:hint="eastAsia" w:ascii="宋体" w:hAnsi="宋体" w:cs="宋体"/>
          <w:kern w:val="0"/>
          <w:sz w:val="24"/>
        </w:rPr>
        <w:t>涉及商业秘密；</w:t>
      </w:r>
    </w:p>
    <w:p w14:paraId="4A911D04">
      <w:pPr>
        <w:spacing w:line="360" w:lineRule="auto"/>
        <w:ind w:firstLine="480" w:firstLineChars="200"/>
        <w:contextualSpacing/>
        <w:rPr>
          <w:rFonts w:ascii="宋体" w:hAnsi="宋体" w:cs="宋体"/>
          <w:kern w:val="0"/>
          <w:sz w:val="24"/>
        </w:rPr>
      </w:pPr>
      <w:r>
        <w:rPr>
          <w:rFonts w:hint="eastAsia" w:ascii="宋体" w:hAnsi="宋体" w:cs="宋体"/>
          <w:sz w:val="24"/>
        </w:rPr>
        <w:t>□我方本次投标文件</w:t>
      </w:r>
      <w:r>
        <w:rPr>
          <w:rFonts w:hint="eastAsia" w:ascii="宋体" w:hAnsi="宋体" w:cs="宋体"/>
          <w:kern w:val="0"/>
          <w:sz w:val="24"/>
        </w:rPr>
        <w:t>涉及商业秘密的内容有：</w:t>
      </w:r>
      <w:r>
        <w:rPr>
          <w:rFonts w:hint="eastAsia" w:ascii="宋体" w:hAnsi="宋体" w:cs="宋体"/>
          <w:kern w:val="0"/>
          <w:sz w:val="24"/>
          <w:u w:val="single"/>
        </w:rPr>
        <w:t xml:space="preserve">                         </w:t>
      </w:r>
      <w:r>
        <w:rPr>
          <w:rFonts w:hint="eastAsia" w:ascii="宋体" w:hAnsi="宋体" w:cs="宋体"/>
          <w:kern w:val="0"/>
          <w:sz w:val="24"/>
        </w:rPr>
        <w:t>；</w:t>
      </w:r>
    </w:p>
    <w:p w14:paraId="3136C49B">
      <w:pPr>
        <w:spacing w:line="360" w:lineRule="auto"/>
        <w:ind w:firstLine="480" w:firstLineChars="200"/>
        <w:contextualSpacing/>
        <w:rPr>
          <w:rFonts w:ascii="宋体" w:hAnsi="宋体" w:cs="宋体"/>
          <w:sz w:val="24"/>
        </w:rPr>
      </w:pPr>
      <w:r>
        <w:rPr>
          <w:rFonts w:ascii="宋体" w:hAnsi="宋体" w:cs="宋体"/>
          <w:sz w:val="24"/>
        </w:rPr>
        <w:t>9</w:t>
      </w:r>
      <w:r>
        <w:rPr>
          <w:rFonts w:hint="eastAsia" w:ascii="宋体" w:hAnsi="宋体" w:cs="宋体"/>
          <w:sz w:val="24"/>
        </w:rPr>
        <w:t>.</w:t>
      </w:r>
      <w:r>
        <w:rPr>
          <w:rFonts w:ascii="宋体" w:hAnsi="宋体" w:cs="宋体"/>
          <w:sz w:val="24"/>
        </w:rPr>
        <w:t>我方若中标，将采取      （</w:t>
      </w:r>
      <w:r>
        <w:rPr>
          <w:rFonts w:hint="eastAsia" w:ascii="宋体" w:hAnsi="宋体" w:cs="宋体"/>
          <w:sz w:val="24"/>
        </w:rPr>
        <w:t>汽车、火车、飞机等</w:t>
      </w:r>
      <w:r>
        <w:rPr>
          <w:rFonts w:ascii="宋体" w:hAnsi="宋体" w:cs="宋体"/>
          <w:sz w:val="24"/>
        </w:rPr>
        <w:t>）方式运输货物。</w:t>
      </w:r>
    </w:p>
    <w:p w14:paraId="6F13ED52">
      <w:pPr>
        <w:spacing w:line="360" w:lineRule="auto"/>
        <w:ind w:firstLine="480" w:firstLineChars="200"/>
        <w:contextualSpacing/>
      </w:pPr>
      <w:r>
        <w:rPr>
          <w:rFonts w:hint="eastAsia" w:ascii="宋体" w:hAnsi="宋体" w:cs="宋体"/>
          <w:sz w:val="24"/>
        </w:rPr>
        <w:t>1</w:t>
      </w:r>
      <w:r>
        <w:rPr>
          <w:rFonts w:ascii="宋体" w:hAnsi="宋体" w:cs="宋体"/>
          <w:sz w:val="24"/>
        </w:rPr>
        <w:t>0.</w:t>
      </w:r>
      <w:r>
        <w:rPr>
          <w:rFonts w:hint="eastAsia" w:ascii="宋体" w:hAnsi="宋体" w:cs="宋体"/>
          <w:sz w:val="24"/>
        </w:rPr>
        <w:t>我方若中标，除非发生不可抗力，承诺与采购人及时签订《采购合同》。如果放弃，自愿按照本文件之《供应商须知正文》第30.4条的要求承担法律责任和失信惩戒。</w:t>
      </w:r>
    </w:p>
    <w:p w14:paraId="29C2072F">
      <w:pPr>
        <w:spacing w:line="360" w:lineRule="auto"/>
        <w:ind w:firstLine="480" w:firstLineChars="200"/>
        <w:contextualSpacing/>
        <w:rPr>
          <w:rFonts w:ascii="宋体" w:hAnsi="宋体" w:cs="宋体"/>
          <w:sz w:val="24"/>
        </w:rPr>
      </w:pPr>
      <w:r>
        <w:rPr>
          <w:rFonts w:ascii="宋体" w:hAnsi="宋体" w:cs="宋体"/>
          <w:sz w:val="24"/>
        </w:rPr>
        <w:t>11</w:t>
      </w:r>
      <w:r>
        <w:rPr>
          <w:rFonts w:hint="eastAsia" w:ascii="宋体" w:hAnsi="宋体" w:cs="宋体"/>
          <w:sz w:val="24"/>
        </w:rPr>
        <w:t>.与本投标有关的一切正式往来信函请寄：</w:t>
      </w:r>
    </w:p>
    <w:p w14:paraId="68180C76">
      <w:pPr>
        <w:spacing w:line="360" w:lineRule="auto"/>
        <w:ind w:firstLine="480" w:firstLineChars="200"/>
        <w:contextualSpacing/>
        <w:rPr>
          <w:rFonts w:ascii="宋体" w:hAnsi="宋体" w:cs="宋体"/>
          <w:sz w:val="24"/>
          <w:u w:val="single"/>
        </w:rPr>
      </w:pPr>
      <w:r>
        <w:rPr>
          <w:rFonts w:hint="eastAsia" w:ascii="宋体" w:hAnsi="宋体" w:cs="宋体"/>
          <w:sz w:val="24"/>
        </w:rPr>
        <w:t>地址：</w:t>
      </w:r>
      <w:r>
        <w:rPr>
          <w:rFonts w:hint="eastAsia" w:ascii="宋体" w:hAnsi="宋体" w:cs="宋体"/>
          <w:sz w:val="24"/>
          <w:u w:val="single"/>
        </w:rPr>
        <w:t xml:space="preserve">          </w:t>
      </w:r>
      <w:r>
        <w:rPr>
          <w:rFonts w:hint="eastAsia" w:ascii="宋体" w:hAnsi="宋体" w:cs="宋体"/>
          <w:sz w:val="24"/>
        </w:rPr>
        <w:t>邮政编码：</w:t>
      </w:r>
      <w:r>
        <w:rPr>
          <w:rFonts w:hint="eastAsia" w:ascii="宋体" w:hAnsi="宋体" w:cs="宋体"/>
          <w:sz w:val="24"/>
          <w:u w:val="single"/>
        </w:rPr>
        <w:t xml:space="preserve">            </w:t>
      </w:r>
    </w:p>
    <w:p w14:paraId="49133010">
      <w:pPr>
        <w:spacing w:line="360" w:lineRule="auto"/>
        <w:ind w:firstLine="480" w:firstLineChars="200"/>
        <w:contextualSpacing/>
        <w:rPr>
          <w:rFonts w:ascii="宋体" w:hAnsi="宋体" w:cs="宋体"/>
          <w:sz w:val="24"/>
        </w:rPr>
      </w:pPr>
      <w:r>
        <w:rPr>
          <w:rFonts w:hint="eastAsia" w:ascii="宋体" w:hAnsi="宋体" w:cs="宋体"/>
          <w:sz w:val="24"/>
        </w:rPr>
        <w:t>电话：</w:t>
      </w:r>
      <w:r>
        <w:rPr>
          <w:rFonts w:hint="eastAsia" w:ascii="宋体" w:hAnsi="宋体" w:cs="宋体"/>
          <w:sz w:val="24"/>
          <w:u w:val="single"/>
        </w:rPr>
        <w:t xml:space="preserve">        </w:t>
      </w:r>
      <w:r>
        <w:rPr>
          <w:rFonts w:hint="eastAsia" w:ascii="宋体" w:hAnsi="宋体" w:cs="宋体"/>
          <w:sz w:val="24"/>
        </w:rPr>
        <w:t>传真：</w:t>
      </w:r>
      <w:r>
        <w:rPr>
          <w:rFonts w:hint="eastAsia" w:ascii="宋体" w:hAnsi="宋体" w:cs="宋体"/>
          <w:sz w:val="24"/>
          <w:u w:val="single"/>
        </w:rPr>
        <w:t xml:space="preserve">          </w:t>
      </w:r>
    </w:p>
    <w:p w14:paraId="0B045189">
      <w:pPr>
        <w:spacing w:line="360" w:lineRule="auto"/>
        <w:ind w:firstLine="480" w:firstLineChars="200"/>
        <w:contextualSpacing/>
        <w:rPr>
          <w:rFonts w:ascii="宋体" w:hAnsi="宋体" w:cs="宋体"/>
          <w:sz w:val="24"/>
        </w:rPr>
      </w:pPr>
      <w:r>
        <w:rPr>
          <w:rFonts w:hint="eastAsia" w:ascii="宋体" w:hAnsi="宋体" w:cs="宋体"/>
          <w:sz w:val="24"/>
        </w:rPr>
        <w:t>投标人名称：</w:t>
      </w:r>
      <w:r>
        <w:rPr>
          <w:rFonts w:hint="eastAsia" w:ascii="宋体" w:hAnsi="宋体" w:cs="宋体"/>
          <w:sz w:val="24"/>
          <w:u w:val="single"/>
        </w:rPr>
        <w:t xml:space="preserve">                </w:t>
      </w:r>
    </w:p>
    <w:p w14:paraId="3B5607CA">
      <w:pPr>
        <w:spacing w:line="360" w:lineRule="auto"/>
        <w:ind w:firstLine="480" w:firstLineChars="200"/>
        <w:contextualSpacing/>
        <w:jc w:val="left"/>
        <w:rPr>
          <w:rFonts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银行帐号：</w:t>
      </w:r>
      <w:r>
        <w:rPr>
          <w:rFonts w:hint="eastAsia" w:ascii="宋体" w:hAnsi="宋体" w:cs="宋体"/>
          <w:sz w:val="24"/>
          <w:u w:val="single"/>
        </w:rPr>
        <w:t xml:space="preserve">                    </w:t>
      </w:r>
      <w:r>
        <w:rPr>
          <w:rFonts w:hint="eastAsia" w:ascii="宋体" w:hAnsi="宋体" w:cs="宋体"/>
          <w:sz w:val="24"/>
        </w:rPr>
        <w:t xml:space="preserve"> </w:t>
      </w:r>
    </w:p>
    <w:p w14:paraId="45C9FD42">
      <w:pPr>
        <w:spacing w:line="360" w:lineRule="auto"/>
        <w:ind w:firstLine="480" w:firstLineChars="200"/>
        <w:contextualSpacing/>
        <w:jc w:val="left"/>
        <w:rPr>
          <w:rFonts w:ascii="宋体" w:hAnsi="宋体" w:cs="宋体"/>
          <w:sz w:val="24"/>
        </w:rPr>
      </w:pPr>
      <w:r>
        <w:rPr>
          <w:rFonts w:hint="eastAsia" w:ascii="宋体" w:hAnsi="宋体" w:cs="宋体"/>
          <w:sz w:val="24"/>
        </w:rPr>
        <w:t>法定代表人或者委托代理人签字：</w:t>
      </w:r>
      <w:r>
        <w:rPr>
          <w:rFonts w:hint="eastAsia" w:ascii="宋体" w:hAnsi="宋体" w:cs="宋体"/>
          <w:sz w:val="24"/>
          <w:u w:val="single"/>
        </w:rPr>
        <w:t xml:space="preserve">           </w:t>
      </w:r>
      <w:r>
        <w:rPr>
          <w:rFonts w:hint="eastAsia" w:ascii="宋体" w:hAnsi="宋体" w:cs="宋体"/>
          <w:sz w:val="24"/>
        </w:rPr>
        <w:t xml:space="preserve"> </w:t>
      </w:r>
    </w:p>
    <w:p w14:paraId="510A704A">
      <w:pPr>
        <w:pStyle w:val="26"/>
        <w:spacing w:line="360" w:lineRule="auto"/>
        <w:contextualSpacing/>
        <w:jc w:val="center"/>
        <w:rPr>
          <w:rFonts w:hAnsi="宋体" w:cs="宋体"/>
          <w:sz w:val="24"/>
          <w:szCs w:val="24"/>
          <w:u w:val="single"/>
        </w:rPr>
      </w:pPr>
      <w:r>
        <w:rPr>
          <w:rFonts w:hint="eastAsia" w:hAnsi="宋体" w:cs="宋体"/>
          <w:sz w:val="24"/>
          <w:szCs w:val="24"/>
        </w:rPr>
        <w:t xml:space="preserve">                                    投标人（公章）：</w:t>
      </w:r>
      <w:r>
        <w:rPr>
          <w:rFonts w:hint="eastAsia" w:hAnsi="宋体" w:cs="宋体"/>
          <w:sz w:val="24"/>
          <w:szCs w:val="24"/>
          <w:u w:val="single"/>
        </w:rPr>
        <w:t xml:space="preserve"> </w:t>
      </w:r>
      <w:r>
        <w:rPr>
          <w:rFonts w:hAnsi="宋体" w:cs="宋体"/>
          <w:sz w:val="24"/>
          <w:szCs w:val="24"/>
          <w:u w:val="single"/>
        </w:rPr>
        <w:t xml:space="preserve">          </w:t>
      </w:r>
    </w:p>
    <w:p w14:paraId="3C661271">
      <w:pPr>
        <w:pStyle w:val="26"/>
        <w:spacing w:line="360" w:lineRule="auto"/>
        <w:contextualSpacing/>
        <w:rPr>
          <w:rFonts w:hAnsi="宋体" w:cs="宋体"/>
          <w:sz w:val="24"/>
          <w:szCs w:val="24"/>
        </w:rPr>
      </w:pPr>
      <w:r>
        <w:rPr>
          <w:rFonts w:hint="eastAsia" w:hAnsi="宋体" w:cs="宋体"/>
          <w:sz w:val="24"/>
          <w:szCs w:val="24"/>
        </w:rPr>
        <w:t xml:space="preserve">                                                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6D869915">
      <w:pPr>
        <w:snapToGrid w:val="0"/>
        <w:spacing w:before="120" w:beforeLines="50" w:after="50" w:line="360" w:lineRule="auto"/>
        <w:jc w:val="left"/>
        <w:rPr>
          <w:rFonts w:ascii="宋体" w:hAnsi="宋体" w:cs="宋体"/>
          <w:b/>
          <w:sz w:val="24"/>
          <w:szCs w:val="20"/>
        </w:rPr>
      </w:pPr>
      <w:r>
        <w:rPr>
          <w:rFonts w:hint="eastAsia" w:ascii="宋体" w:hAnsi="宋体" w:cs="宋体"/>
          <w:sz w:val="24"/>
          <w:u w:val="single"/>
        </w:rPr>
        <w:br w:type="page"/>
      </w:r>
      <w:r>
        <w:rPr>
          <w:rFonts w:hint="eastAsia" w:ascii="宋体" w:hAnsi="宋体" w:cs="宋体"/>
          <w:b/>
          <w:sz w:val="24"/>
        </w:rPr>
        <w:t>4. 开标一览表（货物类格式）</w:t>
      </w:r>
    </w:p>
    <w:p w14:paraId="594098A8">
      <w:pPr>
        <w:snapToGrid w:val="0"/>
        <w:spacing w:before="50" w:after="50"/>
        <w:jc w:val="center"/>
        <w:rPr>
          <w:rFonts w:ascii="宋体" w:hAnsi="宋体" w:cs="宋体"/>
          <w:b/>
          <w:sz w:val="32"/>
          <w:szCs w:val="32"/>
        </w:rPr>
      </w:pPr>
      <w:r>
        <w:rPr>
          <w:rFonts w:hint="eastAsia" w:ascii="宋体" w:hAnsi="宋体" w:cs="宋体"/>
          <w:b/>
          <w:sz w:val="32"/>
          <w:szCs w:val="32"/>
        </w:rPr>
        <w:t>开标一览表</w:t>
      </w:r>
    </w:p>
    <w:p w14:paraId="786BE788">
      <w:pPr>
        <w:snapToGrid w:val="0"/>
        <w:spacing w:before="50" w:after="50"/>
        <w:jc w:val="center"/>
        <w:rPr>
          <w:rFonts w:ascii="宋体" w:hAnsi="宋体" w:cs="宋体"/>
          <w:b/>
          <w:sz w:val="24"/>
        </w:rPr>
      </w:pPr>
    </w:p>
    <w:p w14:paraId="4E8E187D">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10E1C78C">
      <w:pPr>
        <w:snapToGrid w:val="0"/>
        <w:spacing w:before="50" w:after="50" w:line="360" w:lineRule="auto"/>
        <w:rPr>
          <w:rFonts w:ascii="宋体" w:hAnsi="宋体" w:cs="宋体"/>
          <w:sz w:val="24"/>
        </w:rPr>
      </w:pPr>
      <w:r>
        <w:rPr>
          <w:rFonts w:hint="eastAsia" w:ascii="宋体" w:hAnsi="宋体" w:cs="宋体"/>
          <w:sz w:val="24"/>
        </w:rPr>
        <w:t>投标人名称：</w:t>
      </w:r>
      <w:r>
        <w:rPr>
          <w:rFonts w:hint="eastAsia" w:ascii="宋体" w:hAnsi="宋体" w:cs="宋体"/>
          <w:sz w:val="24"/>
          <w:u w:val="single"/>
        </w:rPr>
        <w:t xml:space="preserve">                     </w:t>
      </w:r>
      <w:r>
        <w:rPr>
          <w:rFonts w:hint="eastAsia" w:ascii="宋体" w:hAnsi="宋体" w:cs="宋体"/>
          <w:sz w:val="24"/>
        </w:rPr>
        <w:t xml:space="preserve">                       货币单位：人民币元</w:t>
      </w:r>
    </w:p>
    <w:p w14:paraId="5B2ABDA4">
      <w:pPr>
        <w:snapToGrid w:val="0"/>
        <w:spacing w:before="50" w:after="50"/>
        <w:jc w:val="left"/>
        <w:rPr>
          <w:rFonts w:ascii="宋体" w:hAnsi="宋体" w:cs="宋体"/>
          <w:sz w:val="24"/>
        </w:rPr>
      </w:pPr>
    </w:p>
    <w:tbl>
      <w:tblPr>
        <w:tblStyle w:val="48"/>
        <w:tblW w:w="10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34"/>
        <w:gridCol w:w="1134"/>
        <w:gridCol w:w="1276"/>
        <w:gridCol w:w="1134"/>
        <w:gridCol w:w="992"/>
        <w:gridCol w:w="709"/>
        <w:gridCol w:w="830"/>
        <w:gridCol w:w="1722"/>
        <w:gridCol w:w="1276"/>
      </w:tblGrid>
      <w:tr w14:paraId="647E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709" w:type="dxa"/>
            <w:vAlign w:val="center"/>
          </w:tcPr>
          <w:p w14:paraId="090D4FFC">
            <w:pPr>
              <w:snapToGrid w:val="0"/>
              <w:spacing w:line="460" w:lineRule="exact"/>
              <w:jc w:val="center"/>
              <w:rPr>
                <w:rFonts w:ascii="宋体" w:hAnsi="宋体" w:cs="宋体"/>
                <w:sz w:val="24"/>
              </w:rPr>
            </w:pPr>
            <w:r>
              <w:rPr>
                <w:rFonts w:hint="eastAsia" w:ascii="宋体" w:hAnsi="宋体" w:cs="宋体"/>
                <w:sz w:val="24"/>
              </w:rPr>
              <w:t>序号</w:t>
            </w:r>
          </w:p>
        </w:tc>
        <w:tc>
          <w:tcPr>
            <w:tcW w:w="1034" w:type="dxa"/>
            <w:vAlign w:val="center"/>
          </w:tcPr>
          <w:p w14:paraId="4EA2000F">
            <w:pPr>
              <w:snapToGrid w:val="0"/>
              <w:spacing w:line="460" w:lineRule="exact"/>
              <w:jc w:val="center"/>
              <w:rPr>
                <w:rFonts w:ascii="宋体" w:hAnsi="宋体" w:cs="宋体"/>
                <w:sz w:val="24"/>
              </w:rPr>
            </w:pPr>
            <w:r>
              <w:rPr>
                <w:rFonts w:hint="eastAsia" w:ascii="宋体" w:hAnsi="宋体" w:cs="宋体"/>
                <w:sz w:val="24"/>
              </w:rPr>
              <w:t>标的名称</w:t>
            </w:r>
          </w:p>
        </w:tc>
        <w:tc>
          <w:tcPr>
            <w:tcW w:w="1134" w:type="dxa"/>
            <w:vAlign w:val="center"/>
          </w:tcPr>
          <w:p w14:paraId="640AC031">
            <w:pPr>
              <w:snapToGrid w:val="0"/>
              <w:spacing w:line="460" w:lineRule="exact"/>
              <w:jc w:val="center"/>
              <w:rPr>
                <w:rFonts w:ascii="宋体" w:hAnsi="宋体" w:cs="宋体"/>
                <w:sz w:val="24"/>
              </w:rPr>
            </w:pPr>
            <w:r>
              <w:rPr>
                <w:rFonts w:hint="eastAsia" w:ascii="宋体" w:hAnsi="宋体" w:cs="宋体"/>
                <w:sz w:val="24"/>
              </w:rPr>
              <w:t>品牌</w:t>
            </w:r>
          </w:p>
        </w:tc>
        <w:tc>
          <w:tcPr>
            <w:tcW w:w="1276" w:type="dxa"/>
            <w:vAlign w:val="center"/>
          </w:tcPr>
          <w:p w14:paraId="2A641408">
            <w:pPr>
              <w:snapToGrid w:val="0"/>
              <w:spacing w:line="460" w:lineRule="exact"/>
              <w:jc w:val="center"/>
              <w:rPr>
                <w:rFonts w:ascii="宋体" w:hAnsi="宋体" w:cs="宋体"/>
                <w:sz w:val="24"/>
              </w:rPr>
            </w:pPr>
            <w:r>
              <w:rPr>
                <w:rFonts w:hint="eastAsia" w:ascii="宋体" w:hAnsi="宋体" w:cs="宋体"/>
                <w:sz w:val="24"/>
              </w:rPr>
              <w:t>型号（与铭牌一致）</w:t>
            </w:r>
          </w:p>
        </w:tc>
        <w:tc>
          <w:tcPr>
            <w:tcW w:w="1134" w:type="dxa"/>
            <w:vAlign w:val="center"/>
          </w:tcPr>
          <w:p w14:paraId="545E113E">
            <w:pPr>
              <w:snapToGrid w:val="0"/>
              <w:jc w:val="center"/>
              <w:rPr>
                <w:rFonts w:ascii="宋体" w:hAnsi="宋体" w:cs="宋体"/>
                <w:sz w:val="24"/>
              </w:rPr>
            </w:pPr>
            <w:r>
              <w:rPr>
                <w:rFonts w:hint="eastAsia" w:ascii="宋体" w:hAnsi="宋体" w:cs="宋体"/>
                <w:sz w:val="24"/>
              </w:rPr>
              <w:t>生产厂家</w:t>
            </w:r>
          </w:p>
        </w:tc>
        <w:tc>
          <w:tcPr>
            <w:tcW w:w="992" w:type="dxa"/>
            <w:vAlign w:val="center"/>
          </w:tcPr>
          <w:p w14:paraId="176F47D7">
            <w:pPr>
              <w:snapToGrid w:val="0"/>
              <w:jc w:val="center"/>
              <w:rPr>
                <w:rFonts w:ascii="宋体" w:hAnsi="宋体" w:cs="宋体"/>
                <w:sz w:val="24"/>
              </w:rPr>
            </w:pPr>
            <w:r>
              <w:rPr>
                <w:rFonts w:hint="eastAsia" w:ascii="宋体" w:hAnsi="宋体" w:cs="宋体"/>
                <w:sz w:val="24"/>
              </w:rPr>
              <w:t>产地</w:t>
            </w:r>
          </w:p>
        </w:tc>
        <w:tc>
          <w:tcPr>
            <w:tcW w:w="709" w:type="dxa"/>
            <w:vAlign w:val="center"/>
          </w:tcPr>
          <w:p w14:paraId="11FF6D0F">
            <w:pPr>
              <w:snapToGrid w:val="0"/>
              <w:spacing w:line="460" w:lineRule="exact"/>
              <w:jc w:val="center"/>
              <w:rPr>
                <w:rFonts w:ascii="宋体" w:hAnsi="宋体" w:cs="宋体"/>
                <w:sz w:val="24"/>
              </w:rPr>
            </w:pPr>
            <w:r>
              <w:rPr>
                <w:rFonts w:hint="eastAsia" w:ascii="宋体" w:hAnsi="宋体" w:cs="宋体"/>
                <w:sz w:val="24"/>
              </w:rPr>
              <w:t>数  量①</w:t>
            </w:r>
          </w:p>
        </w:tc>
        <w:tc>
          <w:tcPr>
            <w:tcW w:w="830" w:type="dxa"/>
            <w:vAlign w:val="center"/>
          </w:tcPr>
          <w:p w14:paraId="4905B648">
            <w:pPr>
              <w:snapToGrid w:val="0"/>
              <w:spacing w:line="460" w:lineRule="exact"/>
              <w:jc w:val="center"/>
              <w:rPr>
                <w:rFonts w:ascii="宋体" w:hAnsi="宋体" w:cs="宋体"/>
                <w:sz w:val="24"/>
              </w:rPr>
            </w:pPr>
            <w:r>
              <w:rPr>
                <w:rFonts w:hint="eastAsia" w:ascii="宋体" w:hAnsi="宋体" w:cs="宋体"/>
                <w:sz w:val="24"/>
              </w:rPr>
              <w:t>单位</w:t>
            </w:r>
          </w:p>
        </w:tc>
        <w:tc>
          <w:tcPr>
            <w:tcW w:w="1722" w:type="dxa"/>
            <w:vAlign w:val="center"/>
          </w:tcPr>
          <w:p w14:paraId="2561D52E">
            <w:pPr>
              <w:snapToGrid w:val="0"/>
              <w:spacing w:line="460" w:lineRule="exact"/>
              <w:jc w:val="center"/>
              <w:rPr>
                <w:rFonts w:ascii="宋体" w:hAnsi="宋体" w:cs="宋体"/>
                <w:sz w:val="24"/>
              </w:rPr>
            </w:pPr>
            <w:r>
              <w:rPr>
                <w:rFonts w:hint="eastAsia" w:ascii="宋体" w:hAnsi="宋体" w:cs="宋体"/>
                <w:sz w:val="24"/>
              </w:rPr>
              <w:t>单  价</w:t>
            </w:r>
          </w:p>
          <w:p w14:paraId="0A531803">
            <w:pPr>
              <w:snapToGrid w:val="0"/>
              <w:spacing w:line="460" w:lineRule="exact"/>
              <w:jc w:val="center"/>
              <w:rPr>
                <w:rFonts w:ascii="宋体" w:hAnsi="宋体" w:cs="宋体"/>
                <w:sz w:val="24"/>
              </w:rPr>
            </w:pPr>
            <w:r>
              <w:rPr>
                <w:rFonts w:hint="eastAsia" w:ascii="宋体" w:hAnsi="宋体" w:cs="宋体"/>
                <w:sz w:val="24"/>
              </w:rPr>
              <w:t>②</w:t>
            </w:r>
          </w:p>
        </w:tc>
        <w:tc>
          <w:tcPr>
            <w:tcW w:w="1276" w:type="dxa"/>
            <w:vAlign w:val="center"/>
          </w:tcPr>
          <w:p w14:paraId="410FFC40">
            <w:pPr>
              <w:snapToGrid w:val="0"/>
              <w:spacing w:before="50" w:after="50" w:line="460" w:lineRule="exact"/>
              <w:jc w:val="center"/>
              <w:rPr>
                <w:rFonts w:ascii="宋体" w:hAnsi="宋体" w:cs="宋体"/>
                <w:sz w:val="24"/>
              </w:rPr>
            </w:pPr>
            <w:r>
              <w:rPr>
                <w:rFonts w:hint="eastAsia" w:ascii="宋体" w:hAnsi="宋体" w:cs="宋体"/>
                <w:sz w:val="24"/>
              </w:rPr>
              <w:t>投标报价</w:t>
            </w:r>
          </w:p>
          <w:p w14:paraId="284F5484">
            <w:pPr>
              <w:snapToGrid w:val="0"/>
              <w:spacing w:line="460" w:lineRule="exact"/>
              <w:jc w:val="center"/>
              <w:rPr>
                <w:rFonts w:ascii="宋体" w:hAnsi="宋体" w:cs="宋体"/>
                <w:sz w:val="24"/>
              </w:rPr>
            </w:pPr>
            <w:r>
              <w:rPr>
                <w:rFonts w:hint="eastAsia" w:ascii="宋体" w:hAnsi="宋体" w:cs="宋体"/>
                <w:sz w:val="24"/>
              </w:rPr>
              <w:t>③=①×②</w:t>
            </w:r>
          </w:p>
        </w:tc>
      </w:tr>
      <w:tr w14:paraId="6E36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709" w:type="dxa"/>
            <w:vAlign w:val="center"/>
          </w:tcPr>
          <w:p w14:paraId="3663B56C">
            <w:pPr>
              <w:snapToGrid w:val="0"/>
              <w:spacing w:line="460" w:lineRule="exact"/>
              <w:jc w:val="center"/>
              <w:rPr>
                <w:rFonts w:ascii="宋体" w:hAnsi="宋体" w:cs="宋体"/>
                <w:sz w:val="24"/>
              </w:rPr>
            </w:pPr>
            <w:r>
              <w:rPr>
                <w:rFonts w:hint="eastAsia" w:ascii="宋体" w:hAnsi="宋体" w:cs="宋体"/>
                <w:sz w:val="24"/>
              </w:rPr>
              <w:t>1</w:t>
            </w:r>
          </w:p>
        </w:tc>
        <w:tc>
          <w:tcPr>
            <w:tcW w:w="1034" w:type="dxa"/>
            <w:vAlign w:val="center"/>
          </w:tcPr>
          <w:p w14:paraId="6DDFF32C">
            <w:pPr>
              <w:snapToGrid w:val="0"/>
              <w:spacing w:line="460" w:lineRule="exact"/>
              <w:jc w:val="center"/>
              <w:rPr>
                <w:rFonts w:ascii="宋体" w:hAnsi="宋体" w:cs="宋体"/>
                <w:sz w:val="24"/>
              </w:rPr>
            </w:pPr>
          </w:p>
        </w:tc>
        <w:tc>
          <w:tcPr>
            <w:tcW w:w="1134" w:type="dxa"/>
            <w:vAlign w:val="center"/>
          </w:tcPr>
          <w:p w14:paraId="20262003">
            <w:pPr>
              <w:snapToGrid w:val="0"/>
              <w:spacing w:line="460" w:lineRule="exact"/>
              <w:jc w:val="center"/>
              <w:rPr>
                <w:rFonts w:ascii="宋体" w:hAnsi="宋体" w:cs="宋体"/>
                <w:sz w:val="24"/>
              </w:rPr>
            </w:pPr>
          </w:p>
        </w:tc>
        <w:tc>
          <w:tcPr>
            <w:tcW w:w="1276" w:type="dxa"/>
            <w:vAlign w:val="center"/>
          </w:tcPr>
          <w:p w14:paraId="30E299B2">
            <w:pPr>
              <w:snapToGrid w:val="0"/>
              <w:spacing w:line="460" w:lineRule="exact"/>
              <w:jc w:val="center"/>
              <w:rPr>
                <w:rFonts w:ascii="宋体" w:hAnsi="宋体" w:cs="宋体"/>
                <w:sz w:val="24"/>
              </w:rPr>
            </w:pPr>
          </w:p>
        </w:tc>
        <w:tc>
          <w:tcPr>
            <w:tcW w:w="1134" w:type="dxa"/>
          </w:tcPr>
          <w:p w14:paraId="174CB62C">
            <w:pPr>
              <w:snapToGrid w:val="0"/>
              <w:spacing w:line="460" w:lineRule="exact"/>
              <w:jc w:val="center"/>
              <w:rPr>
                <w:rFonts w:ascii="宋体" w:hAnsi="宋体" w:cs="宋体"/>
                <w:sz w:val="24"/>
              </w:rPr>
            </w:pPr>
          </w:p>
        </w:tc>
        <w:tc>
          <w:tcPr>
            <w:tcW w:w="992" w:type="dxa"/>
            <w:vAlign w:val="center"/>
          </w:tcPr>
          <w:p w14:paraId="252696A4">
            <w:pPr>
              <w:snapToGrid w:val="0"/>
              <w:spacing w:line="460" w:lineRule="exact"/>
              <w:jc w:val="center"/>
              <w:rPr>
                <w:rFonts w:ascii="宋体" w:hAnsi="宋体" w:cs="宋体"/>
                <w:sz w:val="24"/>
              </w:rPr>
            </w:pPr>
          </w:p>
        </w:tc>
        <w:tc>
          <w:tcPr>
            <w:tcW w:w="709" w:type="dxa"/>
            <w:vAlign w:val="center"/>
          </w:tcPr>
          <w:p w14:paraId="73B28B03">
            <w:pPr>
              <w:pStyle w:val="123"/>
              <w:snapToGrid w:val="0"/>
              <w:spacing w:line="460" w:lineRule="exact"/>
              <w:ind w:left="360" w:firstLine="0" w:firstLineChars="0"/>
              <w:rPr>
                <w:rFonts w:ascii="宋体" w:hAnsi="宋体" w:cs="宋体"/>
                <w:sz w:val="24"/>
              </w:rPr>
            </w:pPr>
          </w:p>
        </w:tc>
        <w:tc>
          <w:tcPr>
            <w:tcW w:w="830" w:type="dxa"/>
          </w:tcPr>
          <w:p w14:paraId="6293406F">
            <w:pPr>
              <w:snapToGrid w:val="0"/>
              <w:spacing w:line="460" w:lineRule="exact"/>
              <w:jc w:val="center"/>
              <w:rPr>
                <w:rFonts w:ascii="宋体" w:hAnsi="宋体" w:cs="宋体"/>
                <w:sz w:val="24"/>
              </w:rPr>
            </w:pPr>
          </w:p>
        </w:tc>
        <w:tc>
          <w:tcPr>
            <w:tcW w:w="1722" w:type="dxa"/>
            <w:vAlign w:val="center"/>
          </w:tcPr>
          <w:p w14:paraId="7554B538">
            <w:pPr>
              <w:pStyle w:val="123"/>
              <w:snapToGrid w:val="0"/>
              <w:spacing w:line="460" w:lineRule="exact"/>
              <w:ind w:left="360" w:firstLine="0" w:firstLineChars="0"/>
              <w:rPr>
                <w:rFonts w:ascii="宋体" w:hAnsi="宋体" w:cs="宋体"/>
                <w:sz w:val="24"/>
              </w:rPr>
            </w:pPr>
          </w:p>
        </w:tc>
        <w:tc>
          <w:tcPr>
            <w:tcW w:w="1276" w:type="dxa"/>
          </w:tcPr>
          <w:p w14:paraId="1B9204F4">
            <w:pPr>
              <w:snapToGrid w:val="0"/>
              <w:spacing w:line="460" w:lineRule="exact"/>
              <w:jc w:val="center"/>
              <w:rPr>
                <w:rFonts w:ascii="宋体" w:hAnsi="宋体" w:cs="宋体"/>
                <w:sz w:val="24"/>
              </w:rPr>
            </w:pPr>
          </w:p>
        </w:tc>
      </w:tr>
      <w:tr w14:paraId="55D1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10816" w:type="dxa"/>
            <w:gridSpan w:val="10"/>
          </w:tcPr>
          <w:p w14:paraId="33481FFF">
            <w:pPr>
              <w:snapToGrid w:val="0"/>
              <w:spacing w:line="460" w:lineRule="exact"/>
              <w:jc w:val="left"/>
            </w:pPr>
            <w:r>
              <w:rPr>
                <w:rFonts w:hint="eastAsia" w:ascii="宋体" w:hAnsi="宋体" w:cs="宋体"/>
                <w:sz w:val="24"/>
              </w:rPr>
              <w:t>合计金额（人民币大写</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b/>
                <w:bCs/>
                <w:sz w:val="24"/>
                <w:u w:val="single"/>
              </w:rPr>
              <w:t xml:space="preserve"> </w:t>
            </w:r>
            <w:r>
              <w:rPr>
                <w:rFonts w:ascii="宋体" w:hAnsi="宋体" w:cs="宋体"/>
                <w:b/>
                <w:bCs/>
                <w:sz w:val="24"/>
                <w:u w:val="single"/>
              </w:rPr>
              <w:t xml:space="preserve">              </w:t>
            </w:r>
            <w:r>
              <w:rPr>
                <w:rFonts w:hint="eastAsia" w:ascii="宋体" w:hAnsi="宋体" w:cs="宋体"/>
                <w:bCs/>
                <w:sz w:val="24"/>
                <w:u w:val="single"/>
              </w:rPr>
              <w:t>元整</w:t>
            </w:r>
            <w:r>
              <w:rPr>
                <w:rFonts w:hint="eastAsia" w:ascii="宋体" w:hAnsi="宋体" w:cs="宋体"/>
                <w:bCs/>
                <w:sz w:val="24"/>
              </w:rPr>
              <w:t>（小写）</w:t>
            </w:r>
            <w:r>
              <w:rPr>
                <w:rFonts w:hint="eastAsia" w:ascii="宋体" w:hAnsi="宋体" w:cs="宋体"/>
                <w:bCs/>
                <w:sz w:val="24"/>
                <w:u w:val="single"/>
              </w:rPr>
              <w:t xml:space="preserve">¥ </w:t>
            </w:r>
            <w:r>
              <w:rPr>
                <w:rFonts w:ascii="宋体" w:hAnsi="宋体" w:cs="宋体"/>
                <w:bCs/>
                <w:sz w:val="24"/>
                <w:u w:val="single"/>
              </w:rPr>
              <w:t xml:space="preserve">         </w:t>
            </w:r>
          </w:p>
        </w:tc>
      </w:tr>
      <w:tr w14:paraId="59BBB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10816" w:type="dxa"/>
            <w:gridSpan w:val="10"/>
          </w:tcPr>
          <w:p w14:paraId="4A969B86">
            <w:pPr>
              <w:snapToGrid w:val="0"/>
              <w:spacing w:line="460" w:lineRule="exact"/>
              <w:jc w:val="left"/>
              <w:rPr>
                <w:rFonts w:ascii="宋体" w:hAnsi="宋体" w:cs="宋体"/>
                <w:sz w:val="24"/>
              </w:rPr>
            </w:pPr>
            <w:r>
              <w:rPr>
                <w:rFonts w:hint="eastAsia" w:ascii="宋体" w:hAnsi="宋体" w:cs="宋体"/>
                <w:sz w:val="24"/>
              </w:rPr>
              <w:t>交付时间：</w:t>
            </w:r>
          </w:p>
        </w:tc>
      </w:tr>
    </w:tbl>
    <w:p w14:paraId="269EFEC6">
      <w:pPr>
        <w:snapToGrid w:val="0"/>
        <w:spacing w:before="50" w:after="50"/>
        <w:jc w:val="left"/>
        <w:rPr>
          <w:rFonts w:ascii="楷体" w:hAnsi="楷体" w:eastAsia="楷体" w:cs="宋体"/>
          <w:b/>
          <w:sz w:val="24"/>
        </w:rPr>
      </w:pPr>
      <w:r>
        <w:rPr>
          <w:rFonts w:hint="eastAsia" w:ascii="楷体" w:hAnsi="楷体" w:eastAsia="楷体" w:cs="宋体"/>
          <w:b/>
          <w:sz w:val="24"/>
        </w:rPr>
        <w:t>注：</w:t>
      </w:r>
      <w:r>
        <w:rPr>
          <w:rFonts w:ascii="楷体" w:hAnsi="楷体" w:eastAsia="楷体" w:cs="宋体"/>
          <w:b/>
          <w:sz w:val="24"/>
        </w:rPr>
        <w:t xml:space="preserve"> </w:t>
      </w:r>
    </w:p>
    <w:p w14:paraId="64E3F22B">
      <w:pPr>
        <w:ind w:firstLine="480" w:firstLineChars="200"/>
        <w:contextualSpacing/>
        <w:jc w:val="left"/>
        <w:rPr>
          <w:rFonts w:ascii="楷体" w:hAnsi="楷体" w:eastAsia="楷体"/>
        </w:rPr>
      </w:pPr>
      <w:r>
        <w:rPr>
          <w:rFonts w:ascii="楷体" w:hAnsi="楷体" w:eastAsia="楷体" w:cs="宋体"/>
          <w:sz w:val="24"/>
        </w:rPr>
        <w:t>1.</w:t>
      </w:r>
      <w:r>
        <w:rPr>
          <w:rFonts w:hint="eastAsia" w:ascii="楷体" w:hAnsi="楷体" w:eastAsia="楷体" w:cs="宋体"/>
          <w:sz w:val="24"/>
        </w:rPr>
        <w:t>开标一览表中“标的名称、数量、单位、品牌、型号、生产厂家、产地”必须如实填写完整，定制产品在型号栏中填写“定制”。</w:t>
      </w:r>
      <w:r>
        <w:rPr>
          <w:rFonts w:hint="eastAsia" w:ascii="楷体" w:hAnsi="楷体" w:eastAsia="楷体" w:cs="宋体"/>
          <w:b/>
          <w:sz w:val="24"/>
        </w:rPr>
        <w:t>填写有缺漏</w:t>
      </w:r>
      <w:r>
        <w:rPr>
          <w:rFonts w:hint="eastAsia" w:ascii="楷体" w:hAnsi="楷体" w:eastAsia="楷体" w:cs="宋体"/>
          <w:b/>
          <w:bCs/>
          <w:sz w:val="24"/>
        </w:rPr>
        <w:t>的，</w:t>
      </w:r>
      <w:r>
        <w:rPr>
          <w:rFonts w:hint="eastAsia" w:ascii="楷体" w:hAnsi="楷体" w:eastAsia="楷体" w:cs="宋体"/>
          <w:b/>
          <w:sz w:val="24"/>
        </w:rPr>
        <w:t>其投标文件按无效响应处理。</w:t>
      </w:r>
    </w:p>
    <w:p w14:paraId="6F312E27">
      <w:pPr>
        <w:snapToGrid w:val="0"/>
        <w:spacing w:before="50" w:after="50"/>
        <w:ind w:firstLine="480" w:firstLineChars="200"/>
        <w:jc w:val="left"/>
        <w:rPr>
          <w:rFonts w:ascii="楷体" w:hAnsi="楷体" w:eastAsia="楷体" w:cs="宋体"/>
          <w:sz w:val="24"/>
        </w:rPr>
      </w:pPr>
      <w:r>
        <w:rPr>
          <w:rFonts w:ascii="楷体" w:hAnsi="楷体" w:eastAsia="楷体" w:cs="宋体"/>
          <w:sz w:val="24"/>
        </w:rPr>
        <w:t>2.</w:t>
      </w:r>
      <w:r>
        <w:rPr>
          <w:rFonts w:ascii="楷体" w:hAnsi="楷体" w:eastAsia="楷体" w:cs="宋体"/>
          <w:b/>
          <w:sz w:val="24"/>
        </w:rPr>
        <w:t>所填写的型号与货物铭牌一致。</w:t>
      </w:r>
    </w:p>
    <w:p w14:paraId="2A5894F1">
      <w:pPr>
        <w:snapToGrid w:val="0"/>
        <w:spacing w:before="50" w:after="50"/>
        <w:ind w:firstLine="480" w:firstLineChars="200"/>
        <w:jc w:val="left"/>
        <w:rPr>
          <w:rFonts w:ascii="楷体" w:hAnsi="楷体" w:eastAsia="楷体" w:cs="宋体"/>
          <w:b/>
          <w:sz w:val="24"/>
        </w:rPr>
      </w:pPr>
      <w:r>
        <w:rPr>
          <w:rFonts w:ascii="楷体" w:hAnsi="楷体" w:eastAsia="楷体" w:cs="宋体"/>
          <w:bCs/>
          <w:sz w:val="24"/>
        </w:rPr>
        <w:t>3.</w:t>
      </w:r>
      <w:r>
        <w:rPr>
          <w:rFonts w:hint="eastAsia" w:ascii="楷体" w:hAnsi="楷体" w:eastAsia="楷体" w:cs="宋体"/>
          <w:sz w:val="24"/>
        </w:rPr>
        <w:t>报价一经涂改，应在涂改处加盖投标人公章或者由法定代表人或者委托代理人签字或者盖章</w:t>
      </w:r>
      <w:r>
        <w:rPr>
          <w:rFonts w:hint="eastAsia" w:ascii="楷体" w:hAnsi="楷体" w:eastAsia="楷体" w:cs="宋体"/>
          <w:b/>
          <w:sz w:val="24"/>
        </w:rPr>
        <w:t>，否则其投标作无效标处理。</w:t>
      </w:r>
    </w:p>
    <w:p w14:paraId="41ECD7FF">
      <w:pPr>
        <w:snapToGrid w:val="0"/>
        <w:spacing w:before="50" w:after="50"/>
        <w:ind w:firstLine="482" w:firstLineChars="200"/>
        <w:jc w:val="left"/>
        <w:rPr>
          <w:rFonts w:ascii="楷体" w:hAnsi="楷体" w:eastAsia="楷体" w:cs="宋体"/>
          <w:sz w:val="24"/>
        </w:rPr>
      </w:pPr>
      <w:r>
        <w:rPr>
          <w:rFonts w:ascii="楷体" w:hAnsi="楷体" w:eastAsia="楷体" w:cs="宋体"/>
          <w:b/>
          <w:sz w:val="24"/>
        </w:rPr>
        <w:t>4.</w:t>
      </w:r>
      <w:r>
        <w:rPr>
          <w:rFonts w:hint="eastAsia" w:ascii="楷体" w:hAnsi="楷体" w:eastAsia="楷体" w:cs="宋体"/>
          <w:sz w:val="24"/>
        </w:rPr>
        <w:t>投标人的开标一览表必须加盖投标人公章并由法定代表人或者委托代理人签字，</w:t>
      </w:r>
      <w:r>
        <w:rPr>
          <w:rFonts w:hint="eastAsia" w:ascii="楷体" w:hAnsi="楷体" w:eastAsia="楷体" w:cs="宋体"/>
          <w:b/>
          <w:sz w:val="24"/>
        </w:rPr>
        <w:t>否则其投标作无效标处理</w:t>
      </w:r>
      <w:r>
        <w:rPr>
          <w:rFonts w:hint="eastAsia" w:ascii="楷体" w:hAnsi="楷体" w:eastAsia="楷体" w:cs="宋体"/>
          <w:sz w:val="24"/>
        </w:rPr>
        <w:t>。</w:t>
      </w:r>
    </w:p>
    <w:p w14:paraId="0A078281">
      <w:pPr>
        <w:snapToGrid w:val="0"/>
        <w:spacing w:before="50" w:after="50"/>
        <w:ind w:firstLine="480" w:firstLineChars="200"/>
        <w:jc w:val="left"/>
        <w:rPr>
          <w:rFonts w:ascii="楷体" w:hAnsi="楷体" w:eastAsia="楷体" w:cs="宋体"/>
          <w:sz w:val="24"/>
        </w:rPr>
      </w:pPr>
      <w:r>
        <w:rPr>
          <w:rFonts w:ascii="楷体" w:hAnsi="楷体" w:eastAsia="楷体" w:cs="宋体"/>
          <w:sz w:val="24"/>
        </w:rPr>
        <w:t>5.招标文件中列明采购专用耗材的，应按招标文件规定的耗材量或者按耗材的常规</w:t>
      </w:r>
      <w:r>
        <w:rPr>
          <w:rFonts w:hint="eastAsia" w:ascii="楷体" w:hAnsi="楷体" w:eastAsia="楷体" w:cs="宋体"/>
          <w:sz w:val="24"/>
        </w:rPr>
        <w:t>使用量提供报价。</w:t>
      </w:r>
    </w:p>
    <w:p w14:paraId="3146396B">
      <w:pPr>
        <w:snapToGrid w:val="0"/>
        <w:spacing w:before="50" w:after="50"/>
        <w:ind w:firstLine="480" w:firstLineChars="200"/>
        <w:jc w:val="left"/>
        <w:rPr>
          <w:rFonts w:ascii="楷体" w:hAnsi="楷体" w:eastAsia="楷体" w:cs="宋体"/>
          <w:sz w:val="24"/>
        </w:rPr>
      </w:pPr>
      <w:r>
        <w:rPr>
          <w:rFonts w:ascii="楷体" w:hAnsi="楷体" w:eastAsia="楷体" w:cs="宋体"/>
          <w:sz w:val="24"/>
        </w:rPr>
        <w:t>6.如为联合体投标，“投标人名称”处必须列明联合体各方名称，并标注联合体牵头人名称，</w:t>
      </w:r>
      <w:r>
        <w:rPr>
          <w:rFonts w:hint="eastAsia" w:ascii="楷体" w:hAnsi="楷体" w:eastAsia="楷体" w:cs="宋体"/>
          <w:b/>
          <w:sz w:val="24"/>
        </w:rPr>
        <w:t>否则其投标作无效标处理。</w:t>
      </w:r>
    </w:p>
    <w:p w14:paraId="1B3333CD">
      <w:pPr>
        <w:snapToGrid w:val="0"/>
        <w:spacing w:before="50" w:after="50"/>
        <w:ind w:firstLine="456" w:firstLineChars="200"/>
        <w:jc w:val="left"/>
        <w:rPr>
          <w:rFonts w:ascii="楷体" w:hAnsi="楷体" w:eastAsia="楷体" w:cs="宋体"/>
          <w:spacing w:val="-6"/>
          <w:sz w:val="24"/>
        </w:rPr>
      </w:pPr>
      <w:r>
        <w:rPr>
          <w:rFonts w:ascii="楷体" w:hAnsi="楷体" w:eastAsia="楷体" w:cs="宋体"/>
          <w:spacing w:val="-6"/>
          <w:sz w:val="24"/>
        </w:rPr>
        <w:t>7.如为联合体投标，盖章处须加盖联合体各方公章，</w:t>
      </w:r>
      <w:r>
        <w:rPr>
          <w:rFonts w:hint="eastAsia" w:ascii="楷体" w:hAnsi="楷体" w:eastAsia="楷体" w:cs="宋体"/>
          <w:b/>
          <w:spacing w:val="-6"/>
          <w:sz w:val="24"/>
        </w:rPr>
        <w:t>否则其投标作无效标处理。</w:t>
      </w:r>
    </w:p>
    <w:p w14:paraId="014F7D0D">
      <w:pPr>
        <w:snapToGrid w:val="0"/>
        <w:spacing w:before="50" w:after="50"/>
        <w:ind w:firstLine="480" w:firstLineChars="200"/>
        <w:rPr>
          <w:rFonts w:ascii="楷体" w:hAnsi="楷体" w:eastAsia="楷体" w:cs="宋体"/>
          <w:b/>
          <w:sz w:val="24"/>
        </w:rPr>
      </w:pPr>
      <w:r>
        <w:rPr>
          <w:rFonts w:ascii="楷体" w:hAnsi="楷体" w:eastAsia="楷体" w:cs="宋体"/>
          <w:sz w:val="24"/>
        </w:rPr>
        <w:t>8.</w:t>
      </w:r>
      <w:r>
        <w:rPr>
          <w:rFonts w:hint="eastAsia" w:ascii="楷体" w:hAnsi="楷体" w:eastAsia="楷体" w:cs="宋体"/>
          <w:sz w:val="24"/>
        </w:rPr>
        <w:t>投标人需按本表格式填写，不得自行更改，如有多分标，按分标分别提供开标一览表，必须加盖投标人公章并由法定代表人或者委托代理人签字，</w:t>
      </w:r>
      <w:r>
        <w:rPr>
          <w:rFonts w:hint="eastAsia" w:ascii="楷体" w:hAnsi="楷体" w:eastAsia="楷体" w:cs="宋体"/>
          <w:b/>
          <w:sz w:val="24"/>
        </w:rPr>
        <w:t>否则投标无效。</w:t>
      </w:r>
    </w:p>
    <w:p w14:paraId="44A60D85">
      <w:pPr>
        <w:snapToGrid w:val="0"/>
        <w:spacing w:before="120" w:beforeLines="50" w:line="360" w:lineRule="auto"/>
        <w:ind w:right="482" w:firstLine="480" w:firstLineChars="200"/>
        <w:rPr>
          <w:rFonts w:ascii="楷体" w:hAnsi="楷体" w:eastAsia="楷体" w:cs="宋体"/>
          <w:sz w:val="24"/>
        </w:rPr>
      </w:pPr>
      <w:r>
        <w:rPr>
          <w:rFonts w:ascii="楷体" w:hAnsi="楷体" w:eastAsia="楷体" w:cs="宋体"/>
          <w:sz w:val="24"/>
        </w:rPr>
        <w:t>9.特别提示：采购代理机构将对项目名称和项目编号，中标人名称、地址和中标金额，主要中标标的</w:t>
      </w:r>
      <w:r>
        <w:rPr>
          <w:rFonts w:hint="eastAsia" w:ascii="楷体" w:hAnsi="楷体" w:eastAsia="楷体" w:cs="宋体"/>
          <w:sz w:val="24"/>
        </w:rPr>
        <w:t>的名称、规格型号、品牌（如有）、数量、单价等予以公示。</w:t>
      </w:r>
    </w:p>
    <w:p w14:paraId="7E20BF74">
      <w:pPr>
        <w:snapToGrid w:val="0"/>
        <w:spacing w:before="120" w:beforeLines="50" w:line="360" w:lineRule="auto"/>
        <w:ind w:right="482" w:firstLine="2400" w:firstLineChars="1000"/>
        <w:rPr>
          <w:rFonts w:ascii="宋体" w:hAnsi="宋体" w:cs="宋体"/>
          <w:sz w:val="24"/>
          <w:u w:val="single"/>
        </w:rPr>
      </w:pPr>
      <w:r>
        <w:rPr>
          <w:rFonts w:hint="eastAsia" w:ascii="宋体" w:hAnsi="宋体" w:cs="宋体"/>
          <w:sz w:val="24"/>
        </w:rPr>
        <w:t>法定代表人或者委托代理人（签字）：</w:t>
      </w:r>
      <w:r>
        <w:rPr>
          <w:rFonts w:hint="eastAsia" w:ascii="宋体" w:hAnsi="宋体" w:cs="宋体"/>
          <w:sz w:val="24"/>
          <w:u w:val="single"/>
        </w:rPr>
        <w:t xml:space="preserve">             </w:t>
      </w:r>
    </w:p>
    <w:p w14:paraId="477D6B3A">
      <w:pPr>
        <w:snapToGrid w:val="0"/>
        <w:spacing w:before="120" w:beforeLines="50" w:after="50" w:line="360" w:lineRule="auto"/>
        <w:ind w:right="480" w:firstLine="2400" w:firstLineChars="1000"/>
        <w:rPr>
          <w:rFonts w:ascii="宋体" w:hAnsi="宋体" w:cs="宋体"/>
          <w:sz w:val="24"/>
          <w:u w:val="single"/>
        </w:rPr>
      </w:pPr>
      <w:r>
        <w:rPr>
          <w:rFonts w:hint="eastAsia" w:ascii="宋体" w:hAnsi="宋体" w:cs="宋体"/>
          <w:sz w:val="24"/>
        </w:rPr>
        <w:t>投标人（公章）：</w:t>
      </w:r>
      <w:r>
        <w:rPr>
          <w:rFonts w:hint="eastAsia" w:ascii="宋体" w:hAnsi="宋体" w:cs="宋体"/>
          <w:sz w:val="24"/>
          <w:u w:val="single"/>
        </w:rPr>
        <w:t xml:space="preserve">                 </w:t>
      </w:r>
    </w:p>
    <w:p w14:paraId="73EDD5B9">
      <w:pPr>
        <w:snapToGrid w:val="0"/>
        <w:spacing w:before="50" w:after="50"/>
        <w:ind w:left="-31" w:leftChars="-15" w:right="-817" w:rightChars="-389" w:firstLine="2160" w:firstLineChars="900"/>
        <w:rPr>
          <w:rFonts w:ascii="宋体" w:hAnsi="宋体" w:cs="宋体"/>
          <w:sz w:val="24"/>
        </w:rPr>
      </w:pP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11CC4A17">
      <w:pPr>
        <w:rPr>
          <w:rFonts w:ascii="宋体" w:hAnsi="宋体" w:cs="宋体"/>
          <w:b/>
          <w:sz w:val="28"/>
          <w:szCs w:val="28"/>
        </w:rPr>
      </w:pPr>
      <w:r>
        <w:rPr>
          <w:rFonts w:hint="eastAsia" w:ascii="宋体" w:hAnsi="宋体" w:cs="宋体"/>
          <w:b/>
          <w:bCs/>
          <w:sz w:val="24"/>
        </w:rPr>
        <w:br w:type="page"/>
      </w:r>
      <w:bookmarkStart w:id="170" w:name="_Toc19686837"/>
      <w:r>
        <w:rPr>
          <w:rFonts w:hint="eastAsia" w:ascii="宋体" w:hAnsi="宋体" w:cs="宋体"/>
          <w:b/>
          <w:sz w:val="28"/>
          <w:szCs w:val="28"/>
        </w:rPr>
        <w:t>二、资格证明文件格式</w:t>
      </w:r>
      <w:bookmarkEnd w:id="168"/>
      <w:bookmarkEnd w:id="169"/>
      <w:bookmarkEnd w:id="170"/>
    </w:p>
    <w:p w14:paraId="56B23F29">
      <w:pPr>
        <w:numPr>
          <w:ilvl w:val="2"/>
          <w:numId w:val="8"/>
        </w:numPr>
        <w:snapToGrid w:val="0"/>
        <w:spacing w:before="120" w:beforeLines="50" w:after="50" w:line="360" w:lineRule="auto"/>
        <w:ind w:left="0" w:firstLine="0"/>
        <w:jc w:val="left"/>
        <w:rPr>
          <w:rFonts w:ascii="宋体" w:hAnsi="宋体" w:cs="宋体"/>
          <w:b/>
          <w:sz w:val="24"/>
        </w:rPr>
      </w:pPr>
      <w:r>
        <w:rPr>
          <w:rFonts w:hint="eastAsia" w:ascii="宋体" w:hAnsi="宋体" w:cs="宋体"/>
          <w:b/>
          <w:sz w:val="24"/>
        </w:rPr>
        <w:t xml:space="preserve">资格证明文件封面格式： </w:t>
      </w:r>
    </w:p>
    <w:p w14:paraId="194C4309">
      <w:pPr>
        <w:snapToGrid w:val="0"/>
        <w:spacing w:before="120" w:beforeLines="50" w:after="50"/>
        <w:rPr>
          <w:rFonts w:ascii="宋体" w:hAnsi="宋体" w:cs="宋体"/>
          <w:bCs/>
          <w:sz w:val="32"/>
          <w:szCs w:val="20"/>
        </w:rPr>
      </w:pPr>
      <w:r>
        <w:rPr>
          <w:rFonts w:hint="eastAsia" w:ascii="宋体" w:hAnsi="宋体" w:cs="宋体"/>
          <w:sz w:val="24"/>
        </w:rPr>
        <w:t xml:space="preserve">                                                   </w:t>
      </w:r>
    </w:p>
    <w:p w14:paraId="185F9696">
      <w:pPr>
        <w:snapToGrid w:val="0"/>
        <w:spacing w:before="120" w:beforeLines="50" w:after="50"/>
        <w:rPr>
          <w:rFonts w:ascii="宋体" w:hAnsi="宋体" w:cs="宋体"/>
          <w:sz w:val="24"/>
          <w:szCs w:val="20"/>
        </w:rPr>
      </w:pPr>
    </w:p>
    <w:p w14:paraId="202E5BD2">
      <w:pPr>
        <w:snapToGrid w:val="0"/>
        <w:spacing w:before="120" w:beforeLines="50" w:after="50"/>
        <w:rPr>
          <w:rFonts w:ascii="宋体" w:hAnsi="宋体" w:cs="宋体"/>
          <w:sz w:val="24"/>
          <w:szCs w:val="20"/>
        </w:rPr>
      </w:pPr>
    </w:p>
    <w:p w14:paraId="3C0C692E">
      <w:pPr>
        <w:snapToGrid w:val="0"/>
        <w:spacing w:before="120" w:beforeLines="50" w:after="50"/>
        <w:jc w:val="center"/>
        <w:rPr>
          <w:rFonts w:ascii="宋体" w:hAnsi="宋体" w:cs="宋体"/>
          <w:sz w:val="84"/>
          <w:szCs w:val="84"/>
        </w:rPr>
      </w:pPr>
      <w:r>
        <w:rPr>
          <w:rFonts w:hint="eastAsia" w:ascii="宋体" w:hAnsi="宋体" w:cs="宋体"/>
          <w:sz w:val="84"/>
          <w:szCs w:val="84"/>
        </w:rPr>
        <w:t>投  标  文  件</w:t>
      </w:r>
    </w:p>
    <w:p w14:paraId="736664BE">
      <w:pPr>
        <w:snapToGrid w:val="0"/>
        <w:spacing w:before="120" w:beforeLines="50" w:after="50"/>
        <w:rPr>
          <w:rFonts w:ascii="宋体" w:hAnsi="宋体" w:cs="宋体"/>
          <w:sz w:val="24"/>
          <w:szCs w:val="20"/>
        </w:rPr>
      </w:pPr>
    </w:p>
    <w:p w14:paraId="56BC2D49">
      <w:pPr>
        <w:snapToGrid w:val="0"/>
        <w:spacing w:before="120" w:beforeLines="50" w:after="50"/>
        <w:rPr>
          <w:rFonts w:ascii="宋体" w:hAnsi="宋体" w:cs="宋体"/>
          <w:sz w:val="24"/>
          <w:szCs w:val="20"/>
        </w:rPr>
      </w:pPr>
    </w:p>
    <w:p w14:paraId="1619A676">
      <w:pPr>
        <w:snapToGrid w:val="0"/>
        <w:spacing w:before="120" w:beforeLines="50" w:after="50"/>
        <w:jc w:val="center"/>
        <w:rPr>
          <w:rFonts w:ascii="宋体" w:hAnsi="宋体" w:cs="宋体"/>
          <w:b/>
          <w:sz w:val="24"/>
          <w:szCs w:val="20"/>
        </w:rPr>
      </w:pPr>
      <w:r>
        <w:rPr>
          <w:rFonts w:hint="eastAsia" w:ascii="宋体" w:hAnsi="宋体" w:cs="宋体"/>
          <w:b/>
          <w:sz w:val="32"/>
          <w:szCs w:val="32"/>
        </w:rPr>
        <w:t>资 格 证 明 文 件</w:t>
      </w:r>
    </w:p>
    <w:p w14:paraId="5F11417E">
      <w:pPr>
        <w:snapToGrid w:val="0"/>
        <w:spacing w:before="120" w:beforeLines="50" w:after="50"/>
        <w:rPr>
          <w:rFonts w:ascii="宋体" w:hAnsi="宋体" w:cs="宋体"/>
          <w:bCs/>
          <w:sz w:val="24"/>
          <w:szCs w:val="20"/>
        </w:rPr>
      </w:pPr>
    </w:p>
    <w:p w14:paraId="694AD7D1">
      <w:pPr>
        <w:snapToGrid w:val="0"/>
        <w:spacing w:before="120" w:beforeLines="50" w:after="50"/>
        <w:rPr>
          <w:rFonts w:ascii="宋体" w:hAnsi="宋体" w:cs="宋体"/>
          <w:bCs/>
          <w:sz w:val="24"/>
          <w:szCs w:val="20"/>
        </w:rPr>
      </w:pPr>
    </w:p>
    <w:p w14:paraId="0174BF5A">
      <w:pPr>
        <w:snapToGrid w:val="0"/>
        <w:spacing w:before="120" w:beforeLines="50" w:after="50"/>
        <w:ind w:firstLine="1680" w:firstLineChars="600"/>
        <w:rPr>
          <w:rFonts w:ascii="宋体" w:hAnsi="宋体" w:cs="宋体"/>
          <w:bCs/>
          <w:sz w:val="28"/>
          <w:szCs w:val="21"/>
        </w:rPr>
      </w:pPr>
    </w:p>
    <w:p w14:paraId="212DF700">
      <w:pPr>
        <w:snapToGrid w:val="0"/>
        <w:spacing w:before="120" w:beforeLines="50" w:after="50"/>
        <w:ind w:firstLine="1680" w:firstLineChars="600"/>
        <w:rPr>
          <w:rFonts w:ascii="宋体" w:hAnsi="宋体" w:cs="宋体"/>
          <w:bCs/>
          <w:sz w:val="28"/>
          <w:szCs w:val="21"/>
        </w:rPr>
      </w:pPr>
    </w:p>
    <w:p w14:paraId="34BF8A54">
      <w:pPr>
        <w:snapToGrid w:val="0"/>
        <w:spacing w:before="120" w:beforeLines="50" w:after="50"/>
        <w:ind w:firstLine="1680" w:firstLineChars="600"/>
        <w:rPr>
          <w:rFonts w:ascii="宋体" w:hAnsi="宋体" w:cs="宋体"/>
          <w:bCs/>
          <w:sz w:val="28"/>
          <w:szCs w:val="21"/>
        </w:rPr>
      </w:pPr>
      <w:r>
        <w:rPr>
          <w:rFonts w:hint="eastAsia" w:ascii="宋体" w:hAnsi="宋体" w:cs="宋体"/>
          <w:bCs/>
          <w:sz w:val="28"/>
          <w:szCs w:val="28"/>
        </w:rPr>
        <w:t>项目名称：</w:t>
      </w:r>
    </w:p>
    <w:p w14:paraId="7DD307AF">
      <w:pPr>
        <w:snapToGrid w:val="0"/>
        <w:spacing w:before="120" w:beforeLines="50" w:after="50"/>
        <w:ind w:firstLine="1680" w:firstLineChars="600"/>
        <w:rPr>
          <w:rFonts w:ascii="宋体" w:hAnsi="宋体" w:cs="宋体"/>
          <w:bCs/>
          <w:sz w:val="28"/>
          <w:szCs w:val="28"/>
        </w:rPr>
      </w:pPr>
      <w:r>
        <w:rPr>
          <w:rFonts w:hint="eastAsia" w:ascii="宋体" w:hAnsi="宋体" w:cs="宋体"/>
          <w:bCs/>
          <w:sz w:val="28"/>
          <w:szCs w:val="28"/>
        </w:rPr>
        <w:t>项目编号：</w:t>
      </w:r>
    </w:p>
    <w:p w14:paraId="09A07493">
      <w:pPr>
        <w:snapToGrid w:val="0"/>
        <w:spacing w:before="120" w:beforeLines="50" w:after="50"/>
        <w:ind w:firstLine="1680" w:firstLineChars="600"/>
        <w:rPr>
          <w:rFonts w:ascii="宋体" w:hAnsi="宋体" w:cs="宋体"/>
          <w:bCs/>
          <w:sz w:val="28"/>
          <w:szCs w:val="28"/>
        </w:rPr>
      </w:pPr>
      <w:r>
        <w:rPr>
          <w:rFonts w:hint="eastAsia" w:ascii="宋体" w:hAnsi="宋体" w:cs="宋体"/>
          <w:bCs/>
          <w:sz w:val="28"/>
          <w:szCs w:val="28"/>
        </w:rPr>
        <w:t>所投分标：</w:t>
      </w:r>
    </w:p>
    <w:p w14:paraId="4B58467A">
      <w:pPr>
        <w:pStyle w:val="8"/>
        <w:snapToGrid w:val="0"/>
        <w:spacing w:before="50" w:after="50"/>
        <w:ind w:firstLine="1680" w:firstLineChars="600"/>
        <w:rPr>
          <w:rFonts w:ascii="宋体" w:hAnsi="宋体" w:cs="宋体"/>
          <w:bCs/>
          <w:sz w:val="28"/>
          <w:szCs w:val="28"/>
        </w:rPr>
      </w:pPr>
      <w:r>
        <w:rPr>
          <w:rFonts w:hint="eastAsia" w:ascii="宋体" w:hAnsi="宋体" w:cs="宋体"/>
          <w:bCs/>
          <w:sz w:val="28"/>
          <w:szCs w:val="28"/>
        </w:rPr>
        <w:t>投标人名称：</w:t>
      </w:r>
    </w:p>
    <w:p w14:paraId="25C47FA2">
      <w:pPr>
        <w:pStyle w:val="8"/>
        <w:snapToGrid w:val="0"/>
        <w:spacing w:before="50" w:after="50"/>
        <w:ind w:firstLine="1680" w:firstLineChars="600"/>
        <w:rPr>
          <w:rFonts w:ascii="宋体" w:hAnsi="宋体" w:cs="宋体"/>
          <w:bCs/>
          <w:sz w:val="28"/>
          <w:szCs w:val="28"/>
        </w:rPr>
      </w:pPr>
    </w:p>
    <w:p w14:paraId="409073B7">
      <w:pPr>
        <w:pStyle w:val="8"/>
        <w:snapToGrid w:val="0"/>
        <w:spacing w:before="50" w:after="50"/>
        <w:ind w:firstLine="1680" w:firstLineChars="600"/>
        <w:rPr>
          <w:rFonts w:ascii="宋体" w:hAnsi="宋体" w:cs="宋体"/>
          <w:bCs/>
          <w:sz w:val="28"/>
          <w:szCs w:val="28"/>
        </w:rPr>
      </w:pPr>
    </w:p>
    <w:p w14:paraId="65E6AC69">
      <w:pPr>
        <w:snapToGrid w:val="0"/>
        <w:spacing w:before="120" w:beforeLines="50" w:after="50"/>
        <w:ind w:firstLine="1680" w:firstLineChars="600"/>
        <w:jc w:val="center"/>
        <w:rPr>
          <w:rFonts w:ascii="宋体" w:hAnsi="宋体" w:cs="宋体"/>
          <w:sz w:val="28"/>
          <w:szCs w:val="28"/>
        </w:rPr>
      </w:pPr>
      <w:r>
        <w:rPr>
          <w:rFonts w:hint="eastAsia" w:ascii="宋体" w:hAnsi="宋体" w:cs="宋体"/>
          <w:sz w:val="28"/>
          <w:szCs w:val="28"/>
        </w:rPr>
        <w:t>年  月  日</w:t>
      </w:r>
    </w:p>
    <w:p w14:paraId="29D4C154">
      <w:pPr>
        <w:snapToGrid w:val="0"/>
        <w:spacing w:before="120" w:beforeLines="50" w:after="50"/>
        <w:rPr>
          <w:rFonts w:ascii="宋体" w:hAnsi="宋体" w:cs="宋体"/>
          <w:sz w:val="24"/>
          <w:szCs w:val="20"/>
        </w:rPr>
      </w:pPr>
      <w:r>
        <w:rPr>
          <w:rFonts w:hint="eastAsia" w:ascii="宋体" w:hAnsi="宋体" w:cs="宋体"/>
          <w:sz w:val="24"/>
          <w:szCs w:val="20"/>
        </w:rPr>
        <w:t xml:space="preserve"> </w:t>
      </w:r>
    </w:p>
    <w:p w14:paraId="0BCA58BB">
      <w:pPr>
        <w:snapToGrid w:val="0"/>
        <w:spacing w:before="120" w:beforeLines="50" w:after="50"/>
        <w:rPr>
          <w:rFonts w:ascii="宋体" w:hAnsi="宋体" w:cs="宋体"/>
          <w:sz w:val="24"/>
          <w:szCs w:val="20"/>
        </w:rPr>
      </w:pPr>
    </w:p>
    <w:p w14:paraId="599396FD">
      <w:pPr>
        <w:numPr>
          <w:ilvl w:val="2"/>
          <w:numId w:val="8"/>
        </w:numPr>
        <w:snapToGrid w:val="0"/>
        <w:spacing w:before="120" w:beforeLines="50" w:after="50" w:line="360" w:lineRule="auto"/>
        <w:ind w:left="0" w:firstLine="0"/>
        <w:jc w:val="left"/>
        <w:rPr>
          <w:rFonts w:ascii="宋体" w:hAnsi="宋体" w:cs="宋体"/>
          <w:sz w:val="24"/>
          <w:szCs w:val="20"/>
        </w:rPr>
      </w:pPr>
      <w:r>
        <w:rPr>
          <w:rFonts w:hint="eastAsia" w:ascii="宋体" w:hAnsi="宋体" w:cs="宋体"/>
          <w:b/>
          <w:bCs/>
          <w:sz w:val="24"/>
        </w:rPr>
        <w:br w:type="page"/>
      </w:r>
      <w:r>
        <w:rPr>
          <w:rFonts w:hint="eastAsia" w:ascii="宋体" w:hAnsi="宋体" w:cs="宋体"/>
          <w:b/>
          <w:bCs/>
          <w:sz w:val="24"/>
        </w:rPr>
        <w:t>资格证明文件目录</w:t>
      </w:r>
    </w:p>
    <w:p w14:paraId="2661C8CC">
      <w:pPr>
        <w:snapToGrid w:val="0"/>
        <w:spacing w:line="360" w:lineRule="auto"/>
        <w:ind w:firstLine="480" w:firstLineChars="200"/>
        <w:jc w:val="left"/>
        <w:rPr>
          <w:rFonts w:ascii="宋体" w:hAnsi="宋体" w:cs="宋体"/>
          <w:sz w:val="24"/>
        </w:rPr>
      </w:pPr>
      <w:r>
        <w:rPr>
          <w:rFonts w:hint="eastAsia" w:ascii="宋体" w:hAnsi="宋体" w:cs="宋体"/>
          <w:sz w:val="24"/>
        </w:rPr>
        <w:t>根据招标文件规定及投标人提供的材料自行编写目录。</w:t>
      </w:r>
    </w:p>
    <w:p w14:paraId="512BFE4B">
      <w:pPr>
        <w:snapToGrid w:val="0"/>
        <w:spacing w:before="50" w:after="120" w:afterLines="50"/>
        <w:jc w:val="left"/>
        <w:rPr>
          <w:rFonts w:ascii="宋体" w:hAnsi="宋体" w:cs="宋体"/>
          <w:sz w:val="24"/>
        </w:rPr>
      </w:pPr>
    </w:p>
    <w:p w14:paraId="404355C2">
      <w:pPr>
        <w:snapToGrid w:val="0"/>
        <w:spacing w:before="50" w:after="120" w:afterLines="50"/>
        <w:jc w:val="left"/>
        <w:rPr>
          <w:rFonts w:ascii="宋体" w:hAnsi="宋体" w:cs="宋体"/>
          <w:sz w:val="24"/>
        </w:rPr>
      </w:pPr>
    </w:p>
    <w:p w14:paraId="2713C36A">
      <w:pPr>
        <w:numPr>
          <w:ilvl w:val="2"/>
          <w:numId w:val="8"/>
        </w:numPr>
        <w:snapToGrid w:val="0"/>
        <w:spacing w:before="120" w:beforeLines="50" w:after="50"/>
        <w:ind w:left="0" w:firstLine="0"/>
        <w:jc w:val="left"/>
        <w:rPr>
          <w:rFonts w:ascii="宋体" w:hAnsi="宋体" w:cs="宋体"/>
          <w:b/>
          <w:sz w:val="24"/>
        </w:rPr>
      </w:pPr>
      <w:r>
        <w:rPr>
          <w:rFonts w:hint="eastAsia" w:ascii="宋体" w:hAnsi="宋体" w:cs="宋体"/>
          <w:b/>
          <w:sz w:val="24"/>
        </w:rPr>
        <w:br w:type="page"/>
      </w:r>
      <w:r>
        <w:rPr>
          <w:rFonts w:hint="eastAsia" w:ascii="宋体" w:hAnsi="宋体" w:cs="宋体"/>
          <w:b/>
          <w:sz w:val="28"/>
          <w:szCs w:val="28"/>
        </w:rPr>
        <w:t>投标人直接控股、管理关系信息表</w:t>
      </w:r>
    </w:p>
    <w:p w14:paraId="48EC8FA2">
      <w:pPr>
        <w:snapToGrid w:val="0"/>
        <w:spacing w:before="50" w:after="120" w:afterLines="50"/>
        <w:jc w:val="center"/>
        <w:rPr>
          <w:rFonts w:ascii="宋体" w:hAnsi="宋体" w:cs="宋体"/>
          <w:b/>
          <w:sz w:val="28"/>
          <w:szCs w:val="28"/>
        </w:rPr>
      </w:pPr>
    </w:p>
    <w:p w14:paraId="5419EFB0">
      <w:pPr>
        <w:snapToGrid w:val="0"/>
        <w:spacing w:before="50" w:after="120" w:afterLines="50" w:line="360" w:lineRule="auto"/>
        <w:jc w:val="center"/>
        <w:rPr>
          <w:rFonts w:ascii="宋体" w:hAnsi="宋体" w:cs="宋体"/>
          <w:b/>
          <w:sz w:val="32"/>
          <w:szCs w:val="32"/>
        </w:rPr>
      </w:pPr>
      <w:r>
        <w:rPr>
          <w:rFonts w:hint="eastAsia" w:ascii="宋体" w:hAnsi="宋体" w:cs="宋体"/>
          <w:b/>
          <w:sz w:val="32"/>
          <w:szCs w:val="32"/>
        </w:rPr>
        <w:t>投标人直接控股股东信息表</w:t>
      </w:r>
    </w:p>
    <w:tbl>
      <w:tblPr>
        <w:tblStyle w:val="48"/>
        <w:tblW w:w="9476" w:type="dxa"/>
        <w:tblInd w:w="0" w:type="dxa"/>
        <w:shd w:val="clear" w:color="auto" w:fill="FBFBFB"/>
        <w:tblLayout w:type="fixed"/>
        <w:tblCellMar>
          <w:top w:w="0" w:type="dxa"/>
          <w:left w:w="0" w:type="dxa"/>
          <w:bottom w:w="0" w:type="dxa"/>
          <w:right w:w="0" w:type="dxa"/>
        </w:tblCellMar>
      </w:tblPr>
      <w:tblGrid>
        <w:gridCol w:w="828"/>
        <w:gridCol w:w="2269"/>
        <w:gridCol w:w="1239"/>
        <w:gridCol w:w="3722"/>
        <w:gridCol w:w="1418"/>
      </w:tblGrid>
      <w:tr w14:paraId="3986F9EF">
        <w:tblPrEx>
          <w:shd w:val="clear" w:color="auto" w:fill="FBFBFB"/>
        </w:tblPrEx>
        <w:trPr>
          <w:tblHeader/>
        </w:trPr>
        <w:tc>
          <w:tcPr>
            <w:tcW w:w="82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0E1A368D">
            <w:pPr>
              <w:spacing w:line="360" w:lineRule="auto"/>
              <w:jc w:val="center"/>
              <w:rPr>
                <w:rFonts w:ascii="宋体" w:hAnsi="宋体" w:cs="宋体"/>
                <w:b/>
                <w:bCs/>
                <w:kern w:val="0"/>
                <w:sz w:val="24"/>
              </w:rPr>
            </w:pPr>
            <w:r>
              <w:rPr>
                <w:rFonts w:hint="eastAsia" w:ascii="宋体" w:hAnsi="宋体" w:cs="宋体"/>
                <w:b/>
                <w:bCs/>
                <w:kern w:val="0"/>
                <w:sz w:val="24"/>
              </w:rPr>
              <w:t>序号</w:t>
            </w:r>
          </w:p>
        </w:tc>
        <w:tc>
          <w:tcPr>
            <w:tcW w:w="226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4197447B">
            <w:pPr>
              <w:spacing w:line="360" w:lineRule="auto"/>
              <w:jc w:val="center"/>
              <w:rPr>
                <w:rFonts w:ascii="宋体" w:hAnsi="宋体" w:cs="宋体"/>
                <w:b/>
                <w:bCs/>
                <w:kern w:val="0"/>
                <w:sz w:val="24"/>
              </w:rPr>
            </w:pPr>
            <w:r>
              <w:rPr>
                <w:rFonts w:hint="eastAsia" w:ascii="宋体" w:hAnsi="宋体" w:cs="宋体"/>
                <w:b/>
                <w:bCs/>
                <w:kern w:val="0"/>
                <w:sz w:val="24"/>
              </w:rPr>
              <w:t>直接控股股东名称</w:t>
            </w:r>
          </w:p>
        </w:tc>
        <w:tc>
          <w:tcPr>
            <w:tcW w:w="1239"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307197D4">
            <w:pPr>
              <w:spacing w:line="360" w:lineRule="auto"/>
              <w:jc w:val="center"/>
              <w:rPr>
                <w:rFonts w:ascii="宋体" w:hAnsi="宋体" w:cs="宋体"/>
                <w:b/>
                <w:bCs/>
                <w:kern w:val="0"/>
                <w:sz w:val="24"/>
              </w:rPr>
            </w:pPr>
            <w:r>
              <w:rPr>
                <w:rFonts w:hint="eastAsia" w:ascii="宋体" w:hAnsi="宋体" w:cs="宋体"/>
                <w:b/>
                <w:bCs/>
                <w:kern w:val="0"/>
                <w:sz w:val="24"/>
              </w:rPr>
              <w:t>出资比例</w:t>
            </w:r>
          </w:p>
        </w:tc>
        <w:tc>
          <w:tcPr>
            <w:tcW w:w="3722"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2FB3496B">
            <w:pPr>
              <w:spacing w:line="360" w:lineRule="auto"/>
              <w:jc w:val="center"/>
              <w:rPr>
                <w:rFonts w:ascii="宋体" w:hAnsi="宋体" w:cs="宋体"/>
                <w:b/>
                <w:bCs/>
                <w:kern w:val="0"/>
                <w:sz w:val="24"/>
              </w:rPr>
            </w:pPr>
            <w:r>
              <w:rPr>
                <w:rFonts w:hint="eastAsia" w:ascii="宋体" w:hAnsi="宋体" w:cs="宋体"/>
                <w:b/>
                <w:bCs/>
                <w:kern w:val="0"/>
                <w:sz w:val="24"/>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shd w:val="clear" w:color="auto" w:fill="EAE3D8"/>
            <w:tcMar>
              <w:top w:w="120" w:type="dxa"/>
              <w:left w:w="120" w:type="dxa"/>
              <w:bottom w:w="120" w:type="dxa"/>
              <w:right w:w="120" w:type="dxa"/>
            </w:tcMar>
            <w:vAlign w:val="center"/>
          </w:tcPr>
          <w:p w14:paraId="1D960FD2">
            <w:pPr>
              <w:spacing w:line="360" w:lineRule="auto"/>
              <w:jc w:val="center"/>
              <w:rPr>
                <w:rFonts w:ascii="宋体" w:hAnsi="宋体" w:cs="宋体"/>
                <w:b/>
                <w:bCs/>
                <w:kern w:val="0"/>
                <w:sz w:val="24"/>
              </w:rPr>
            </w:pPr>
            <w:r>
              <w:rPr>
                <w:rFonts w:hint="eastAsia" w:ascii="宋体" w:hAnsi="宋体" w:cs="宋体"/>
                <w:b/>
                <w:bCs/>
                <w:kern w:val="0"/>
                <w:sz w:val="24"/>
              </w:rPr>
              <w:t>备注</w:t>
            </w:r>
          </w:p>
        </w:tc>
      </w:tr>
      <w:tr w14:paraId="535D58C0">
        <w:tblPrEx>
          <w:shd w:val="clear" w:color="auto" w:fill="FBFBFB"/>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27DD196">
            <w:pPr>
              <w:spacing w:line="360" w:lineRule="auto"/>
              <w:jc w:val="center"/>
              <w:rPr>
                <w:rFonts w:ascii="宋体" w:hAnsi="宋体" w:cs="宋体"/>
                <w:kern w:val="0"/>
                <w:sz w:val="24"/>
              </w:rPr>
            </w:pPr>
            <w:r>
              <w:rPr>
                <w:rFonts w:hint="eastAsia" w:ascii="宋体" w:hAnsi="宋体" w:cs="宋体"/>
                <w:kern w:val="0"/>
                <w:sz w:val="24"/>
              </w:rPr>
              <w:t>1</w:t>
            </w:r>
          </w:p>
        </w:tc>
        <w:tc>
          <w:tcPr>
            <w:tcW w:w="226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A0C7DCB">
            <w:pPr>
              <w:spacing w:line="360" w:lineRule="auto"/>
              <w:jc w:val="center"/>
              <w:rPr>
                <w:rFonts w:ascii="宋体" w:hAnsi="宋体" w:cs="宋体"/>
                <w:kern w:val="0"/>
                <w:sz w:val="24"/>
              </w:rPr>
            </w:pPr>
          </w:p>
        </w:tc>
        <w:tc>
          <w:tcPr>
            <w:tcW w:w="123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D0A29EF">
            <w:pPr>
              <w:spacing w:line="360" w:lineRule="auto"/>
              <w:jc w:val="center"/>
              <w:rPr>
                <w:rFonts w:ascii="宋体" w:hAnsi="宋体" w:cs="宋体"/>
                <w:kern w:val="0"/>
                <w:sz w:val="24"/>
              </w:rPr>
            </w:pPr>
          </w:p>
        </w:tc>
        <w:tc>
          <w:tcPr>
            <w:tcW w:w="372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72333C6">
            <w:pPr>
              <w:spacing w:line="360" w:lineRule="auto"/>
              <w:jc w:val="center"/>
              <w:rPr>
                <w:rFonts w:ascii="宋体" w:hAnsi="宋体" w:cs="宋体"/>
                <w:kern w:val="0"/>
                <w:sz w:val="24"/>
              </w:rPr>
            </w:pPr>
          </w:p>
        </w:tc>
        <w:tc>
          <w:tcPr>
            <w:tcW w:w="141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642BDC7">
            <w:pPr>
              <w:spacing w:line="360" w:lineRule="auto"/>
              <w:jc w:val="center"/>
              <w:rPr>
                <w:rFonts w:ascii="宋体" w:hAnsi="宋体" w:cs="宋体"/>
                <w:kern w:val="0"/>
                <w:sz w:val="24"/>
              </w:rPr>
            </w:pPr>
          </w:p>
        </w:tc>
      </w:tr>
      <w:tr w14:paraId="44081AC6">
        <w:tblPrEx>
          <w:shd w:val="clear" w:color="auto" w:fill="FBFBFB"/>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A1FEB68">
            <w:pPr>
              <w:spacing w:line="360" w:lineRule="auto"/>
              <w:jc w:val="center"/>
              <w:rPr>
                <w:rFonts w:ascii="宋体" w:hAnsi="宋体" w:cs="宋体"/>
                <w:kern w:val="0"/>
                <w:sz w:val="24"/>
              </w:rPr>
            </w:pPr>
            <w:r>
              <w:rPr>
                <w:rFonts w:hint="eastAsia" w:ascii="宋体" w:hAnsi="宋体" w:cs="宋体"/>
                <w:kern w:val="0"/>
                <w:sz w:val="24"/>
              </w:rPr>
              <w:t>2</w:t>
            </w:r>
          </w:p>
        </w:tc>
        <w:tc>
          <w:tcPr>
            <w:tcW w:w="226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0192A235">
            <w:pPr>
              <w:spacing w:line="360" w:lineRule="auto"/>
              <w:jc w:val="center"/>
              <w:rPr>
                <w:rFonts w:ascii="宋体" w:hAnsi="宋体" w:cs="宋体"/>
                <w:kern w:val="0"/>
                <w:sz w:val="24"/>
              </w:rPr>
            </w:pPr>
          </w:p>
        </w:tc>
        <w:tc>
          <w:tcPr>
            <w:tcW w:w="123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200DC13C">
            <w:pPr>
              <w:spacing w:line="360" w:lineRule="auto"/>
              <w:jc w:val="center"/>
              <w:rPr>
                <w:rFonts w:ascii="宋体" w:hAnsi="宋体" w:cs="宋体"/>
                <w:kern w:val="0"/>
                <w:sz w:val="24"/>
              </w:rPr>
            </w:pPr>
          </w:p>
        </w:tc>
        <w:tc>
          <w:tcPr>
            <w:tcW w:w="372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4A935EFA">
            <w:pPr>
              <w:spacing w:line="360" w:lineRule="auto"/>
              <w:jc w:val="center"/>
              <w:rPr>
                <w:rFonts w:ascii="宋体" w:hAnsi="宋体" w:cs="宋体"/>
                <w:kern w:val="0"/>
                <w:sz w:val="24"/>
              </w:rPr>
            </w:pPr>
          </w:p>
        </w:tc>
        <w:tc>
          <w:tcPr>
            <w:tcW w:w="141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DD0448D">
            <w:pPr>
              <w:spacing w:line="360" w:lineRule="auto"/>
              <w:jc w:val="center"/>
              <w:rPr>
                <w:rFonts w:ascii="宋体" w:hAnsi="宋体" w:cs="宋体"/>
                <w:kern w:val="0"/>
                <w:sz w:val="24"/>
              </w:rPr>
            </w:pPr>
          </w:p>
        </w:tc>
      </w:tr>
      <w:tr w14:paraId="23245F3D">
        <w:tblPrEx>
          <w:shd w:val="clear" w:color="auto" w:fill="FBFBFB"/>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1EA5A3A1">
            <w:pPr>
              <w:spacing w:line="360" w:lineRule="auto"/>
              <w:jc w:val="center"/>
              <w:rPr>
                <w:rFonts w:ascii="宋体" w:hAnsi="宋体" w:cs="宋体"/>
                <w:kern w:val="0"/>
                <w:sz w:val="24"/>
              </w:rPr>
            </w:pPr>
            <w:r>
              <w:rPr>
                <w:rFonts w:hint="eastAsia" w:ascii="宋体" w:hAnsi="宋体" w:cs="宋体"/>
                <w:kern w:val="0"/>
                <w:sz w:val="24"/>
              </w:rPr>
              <w:t>3</w:t>
            </w:r>
          </w:p>
        </w:tc>
        <w:tc>
          <w:tcPr>
            <w:tcW w:w="226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6C3C44CD">
            <w:pPr>
              <w:spacing w:line="360" w:lineRule="auto"/>
              <w:jc w:val="center"/>
              <w:rPr>
                <w:rFonts w:ascii="宋体" w:hAnsi="宋体" w:cs="宋体"/>
                <w:kern w:val="0"/>
                <w:sz w:val="24"/>
              </w:rPr>
            </w:pPr>
          </w:p>
        </w:tc>
        <w:tc>
          <w:tcPr>
            <w:tcW w:w="123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6632129">
            <w:pPr>
              <w:spacing w:line="360" w:lineRule="auto"/>
              <w:jc w:val="center"/>
              <w:rPr>
                <w:rFonts w:ascii="宋体" w:hAnsi="宋体" w:cs="宋体"/>
                <w:kern w:val="0"/>
                <w:sz w:val="24"/>
              </w:rPr>
            </w:pPr>
          </w:p>
        </w:tc>
        <w:tc>
          <w:tcPr>
            <w:tcW w:w="372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162DD79">
            <w:pPr>
              <w:spacing w:line="360" w:lineRule="auto"/>
              <w:jc w:val="center"/>
              <w:rPr>
                <w:rFonts w:ascii="宋体" w:hAnsi="宋体" w:cs="宋体"/>
                <w:kern w:val="0"/>
                <w:sz w:val="24"/>
              </w:rPr>
            </w:pPr>
          </w:p>
        </w:tc>
        <w:tc>
          <w:tcPr>
            <w:tcW w:w="141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2B55C2B">
            <w:pPr>
              <w:spacing w:line="360" w:lineRule="auto"/>
              <w:jc w:val="center"/>
              <w:rPr>
                <w:rFonts w:ascii="宋体" w:hAnsi="宋体" w:cs="宋体"/>
                <w:kern w:val="0"/>
                <w:sz w:val="24"/>
              </w:rPr>
            </w:pPr>
          </w:p>
        </w:tc>
      </w:tr>
      <w:tr w14:paraId="63C6520B">
        <w:tblPrEx>
          <w:shd w:val="clear" w:color="auto" w:fill="FBFBFB"/>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794E1236">
            <w:pPr>
              <w:spacing w:line="360" w:lineRule="auto"/>
              <w:jc w:val="center"/>
              <w:rPr>
                <w:rFonts w:ascii="宋体" w:hAnsi="宋体" w:cs="宋体"/>
                <w:kern w:val="0"/>
                <w:sz w:val="24"/>
              </w:rPr>
            </w:pPr>
            <w:r>
              <w:rPr>
                <w:rFonts w:hint="eastAsia" w:ascii="宋体" w:hAnsi="宋体" w:cs="宋体"/>
                <w:kern w:val="0"/>
                <w:sz w:val="24"/>
              </w:rPr>
              <w:t>……</w:t>
            </w:r>
          </w:p>
        </w:tc>
        <w:tc>
          <w:tcPr>
            <w:tcW w:w="226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1E9D423">
            <w:pPr>
              <w:spacing w:line="360" w:lineRule="auto"/>
              <w:jc w:val="center"/>
              <w:rPr>
                <w:rFonts w:ascii="宋体" w:hAnsi="宋体" w:cs="宋体"/>
                <w:kern w:val="0"/>
                <w:sz w:val="24"/>
              </w:rPr>
            </w:pPr>
          </w:p>
        </w:tc>
        <w:tc>
          <w:tcPr>
            <w:tcW w:w="1239"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00C31C4">
            <w:pPr>
              <w:spacing w:line="360" w:lineRule="auto"/>
              <w:jc w:val="center"/>
              <w:rPr>
                <w:rFonts w:ascii="宋体" w:hAnsi="宋体" w:cs="宋体"/>
                <w:kern w:val="0"/>
                <w:sz w:val="24"/>
              </w:rPr>
            </w:pPr>
          </w:p>
        </w:tc>
        <w:tc>
          <w:tcPr>
            <w:tcW w:w="3722"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5D483645">
            <w:pPr>
              <w:spacing w:line="360" w:lineRule="auto"/>
              <w:jc w:val="center"/>
              <w:rPr>
                <w:rFonts w:ascii="宋体" w:hAnsi="宋体" w:cs="宋体"/>
                <w:kern w:val="0"/>
                <w:sz w:val="24"/>
              </w:rPr>
            </w:pPr>
          </w:p>
        </w:tc>
        <w:tc>
          <w:tcPr>
            <w:tcW w:w="1418" w:type="dxa"/>
            <w:tcBorders>
              <w:top w:val="single" w:color="auto" w:sz="4" w:space="0"/>
              <w:left w:val="single" w:color="auto" w:sz="4" w:space="0"/>
              <w:bottom w:val="single" w:color="auto" w:sz="4" w:space="0"/>
              <w:right w:val="single" w:color="auto" w:sz="4" w:space="0"/>
            </w:tcBorders>
            <w:shd w:val="clear" w:color="auto" w:fill="F9F9F9"/>
            <w:tcMar>
              <w:top w:w="120" w:type="dxa"/>
              <w:left w:w="120" w:type="dxa"/>
              <w:bottom w:w="120" w:type="dxa"/>
              <w:right w:w="120" w:type="dxa"/>
            </w:tcMar>
            <w:vAlign w:val="center"/>
          </w:tcPr>
          <w:p w14:paraId="369F7150">
            <w:pPr>
              <w:spacing w:line="360" w:lineRule="auto"/>
              <w:jc w:val="center"/>
              <w:rPr>
                <w:rFonts w:ascii="宋体" w:hAnsi="宋体" w:cs="宋体"/>
                <w:kern w:val="0"/>
                <w:sz w:val="24"/>
              </w:rPr>
            </w:pPr>
          </w:p>
        </w:tc>
      </w:tr>
    </w:tbl>
    <w:p w14:paraId="21F43DC9">
      <w:pPr>
        <w:snapToGrid w:val="0"/>
        <w:spacing w:line="360" w:lineRule="auto"/>
        <w:jc w:val="left"/>
        <w:rPr>
          <w:rFonts w:ascii="楷体" w:hAnsi="楷体" w:eastAsia="楷体" w:cs="宋体"/>
          <w:sz w:val="24"/>
        </w:rPr>
      </w:pPr>
    </w:p>
    <w:p w14:paraId="0EA09048">
      <w:pPr>
        <w:snapToGrid w:val="0"/>
        <w:spacing w:line="360" w:lineRule="auto"/>
        <w:jc w:val="left"/>
        <w:rPr>
          <w:rFonts w:ascii="楷体" w:hAnsi="楷体" w:eastAsia="楷体" w:cs="宋体"/>
          <w:b/>
          <w:sz w:val="24"/>
        </w:rPr>
      </w:pPr>
      <w:r>
        <w:rPr>
          <w:rFonts w:hint="eastAsia" w:ascii="楷体" w:hAnsi="楷体" w:eastAsia="楷体" w:cs="宋体"/>
          <w:b/>
          <w:sz w:val="24"/>
        </w:rPr>
        <w:t>注：</w:t>
      </w:r>
    </w:p>
    <w:p w14:paraId="5817ED1C">
      <w:pPr>
        <w:snapToGrid w:val="0"/>
        <w:spacing w:line="360" w:lineRule="auto"/>
        <w:ind w:firstLine="480" w:firstLineChars="200"/>
        <w:jc w:val="left"/>
        <w:rPr>
          <w:rFonts w:ascii="楷体" w:hAnsi="楷体" w:eastAsia="楷体" w:cs="宋体"/>
          <w:sz w:val="24"/>
        </w:rPr>
      </w:pPr>
      <w:r>
        <w:rPr>
          <w:rFonts w:ascii="楷体" w:hAnsi="楷体" w:eastAsia="楷体" w:cs="宋体"/>
          <w:sz w:val="24"/>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3C5D84EA">
      <w:pPr>
        <w:snapToGrid w:val="0"/>
        <w:spacing w:line="360" w:lineRule="auto"/>
        <w:ind w:firstLine="480" w:firstLineChars="200"/>
        <w:jc w:val="left"/>
        <w:rPr>
          <w:rFonts w:ascii="楷体" w:hAnsi="楷体" w:eastAsia="楷体" w:cs="宋体"/>
          <w:sz w:val="24"/>
        </w:rPr>
      </w:pPr>
      <w:r>
        <w:rPr>
          <w:rFonts w:ascii="楷体" w:hAnsi="楷体" w:eastAsia="楷体" w:cs="宋体"/>
          <w:sz w:val="24"/>
        </w:rPr>
        <w:t>2.本表所指的控股关系仅限于直接控股关系，不包括间接的控股关系。公司实际控制人与公司之间的关系不属于本表所指的直接控股关系。</w:t>
      </w:r>
    </w:p>
    <w:p w14:paraId="43A438CE">
      <w:pPr>
        <w:snapToGrid w:val="0"/>
        <w:spacing w:line="360" w:lineRule="auto"/>
        <w:ind w:firstLine="480" w:firstLineChars="200"/>
        <w:jc w:val="left"/>
        <w:rPr>
          <w:rFonts w:ascii="楷体" w:hAnsi="楷体" w:eastAsia="楷体" w:cs="宋体"/>
          <w:sz w:val="24"/>
        </w:rPr>
      </w:pPr>
      <w:r>
        <w:rPr>
          <w:rFonts w:ascii="楷体" w:hAnsi="楷体" w:eastAsia="楷体" w:cs="宋体"/>
          <w:sz w:val="24"/>
        </w:rPr>
        <w:t>3.供应商不存在直接控股股东的，则填“无”。</w:t>
      </w:r>
    </w:p>
    <w:p w14:paraId="3DC7F77F">
      <w:pPr>
        <w:snapToGrid w:val="0"/>
        <w:spacing w:line="360" w:lineRule="auto"/>
        <w:jc w:val="left"/>
        <w:rPr>
          <w:rFonts w:ascii="宋体" w:hAnsi="宋体" w:cs="宋体"/>
          <w:sz w:val="24"/>
        </w:rPr>
      </w:pPr>
    </w:p>
    <w:p w14:paraId="2D13B20A">
      <w:pPr>
        <w:snapToGrid w:val="0"/>
        <w:spacing w:line="360" w:lineRule="auto"/>
        <w:jc w:val="left"/>
        <w:rPr>
          <w:rFonts w:ascii="宋体" w:hAnsi="宋体" w:cs="宋体"/>
          <w:sz w:val="24"/>
        </w:rPr>
      </w:pPr>
    </w:p>
    <w:p w14:paraId="58E3B3FD">
      <w:pPr>
        <w:snapToGrid w:val="0"/>
        <w:spacing w:line="360" w:lineRule="auto"/>
        <w:jc w:val="left"/>
        <w:rPr>
          <w:rFonts w:ascii="宋体" w:hAnsi="宋体" w:cs="宋体"/>
          <w:sz w:val="24"/>
        </w:rPr>
      </w:pPr>
    </w:p>
    <w:p w14:paraId="2D220FEA">
      <w:pPr>
        <w:snapToGrid w:val="0"/>
        <w:spacing w:line="360" w:lineRule="auto"/>
        <w:jc w:val="left"/>
        <w:rPr>
          <w:rFonts w:ascii="宋体" w:hAnsi="宋体" w:cs="宋体"/>
          <w:sz w:val="24"/>
        </w:rPr>
      </w:pPr>
    </w:p>
    <w:p w14:paraId="2A288AAE">
      <w:pPr>
        <w:snapToGrid w:val="0"/>
        <w:spacing w:before="120" w:beforeLines="50" w:line="360" w:lineRule="auto"/>
        <w:ind w:right="480" w:firstLine="3967" w:firstLineChars="1653"/>
        <w:rPr>
          <w:rFonts w:ascii="宋体" w:hAnsi="宋体" w:cs="宋体"/>
          <w:sz w:val="24"/>
          <w:u w:val="single"/>
        </w:rPr>
      </w:pPr>
      <w:r>
        <w:rPr>
          <w:rFonts w:hint="eastAsia" w:ascii="宋体" w:hAnsi="宋体" w:cs="宋体"/>
          <w:sz w:val="24"/>
        </w:rPr>
        <w:t>法定代表人或者委托代理人（签字）：</w:t>
      </w:r>
      <w:r>
        <w:rPr>
          <w:rFonts w:hint="eastAsia" w:ascii="宋体" w:hAnsi="宋体" w:cs="宋体"/>
          <w:sz w:val="24"/>
          <w:u w:val="single"/>
        </w:rPr>
        <w:t xml:space="preserve">             </w:t>
      </w:r>
    </w:p>
    <w:p w14:paraId="701B3BF2">
      <w:pPr>
        <w:snapToGrid w:val="0"/>
        <w:spacing w:before="120" w:beforeLines="50" w:after="50" w:line="360" w:lineRule="auto"/>
        <w:ind w:right="480" w:firstLine="4080" w:firstLineChars="1700"/>
        <w:rPr>
          <w:rFonts w:ascii="宋体" w:hAnsi="宋体" w:cs="宋体"/>
          <w:sz w:val="24"/>
          <w:u w:val="single"/>
        </w:rPr>
      </w:pPr>
      <w:r>
        <w:rPr>
          <w:rFonts w:hint="eastAsia" w:ascii="宋体" w:hAnsi="宋体" w:cs="宋体"/>
          <w:sz w:val="24"/>
        </w:rPr>
        <w:t>投标人（公章）：</w:t>
      </w:r>
      <w:r>
        <w:rPr>
          <w:rFonts w:hint="eastAsia" w:ascii="宋体" w:hAnsi="宋体" w:cs="宋体"/>
          <w:sz w:val="24"/>
          <w:u w:val="single"/>
        </w:rPr>
        <w:t xml:space="preserve">                 </w:t>
      </w:r>
    </w:p>
    <w:p w14:paraId="27257DCA">
      <w:pPr>
        <w:snapToGrid w:val="0"/>
        <w:spacing w:before="120" w:beforeLines="50" w:after="50" w:line="360" w:lineRule="auto"/>
        <w:ind w:right="480" w:firstLine="4080" w:firstLineChars="1700"/>
        <w:rPr>
          <w:rFonts w:ascii="宋体" w:hAnsi="宋体" w:cs="宋体"/>
          <w:sz w:val="24"/>
        </w:rPr>
      </w:pP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4C9149F4">
      <w:pPr>
        <w:snapToGrid w:val="0"/>
        <w:jc w:val="center"/>
        <w:rPr>
          <w:rFonts w:ascii="宋体" w:hAnsi="宋体" w:cs="宋体"/>
          <w:b/>
          <w:sz w:val="28"/>
          <w:szCs w:val="28"/>
        </w:rPr>
      </w:pPr>
    </w:p>
    <w:p w14:paraId="5AEB90D6">
      <w:pPr>
        <w:snapToGrid w:val="0"/>
        <w:spacing w:line="360" w:lineRule="auto"/>
        <w:jc w:val="center"/>
        <w:rPr>
          <w:rFonts w:ascii="宋体" w:hAnsi="宋体" w:cs="宋体"/>
          <w:sz w:val="32"/>
          <w:szCs w:val="32"/>
        </w:rPr>
      </w:pPr>
      <w:r>
        <w:rPr>
          <w:rFonts w:hint="eastAsia" w:ascii="宋体" w:hAnsi="宋体" w:cs="宋体"/>
          <w:b/>
          <w:sz w:val="32"/>
          <w:szCs w:val="32"/>
        </w:rPr>
        <w:br w:type="page"/>
      </w:r>
      <w:r>
        <w:rPr>
          <w:rFonts w:hint="eastAsia" w:ascii="宋体" w:hAnsi="宋体" w:cs="宋体"/>
          <w:b/>
          <w:sz w:val="32"/>
          <w:szCs w:val="32"/>
        </w:rPr>
        <w:t>投标人直接管理关系信息表</w:t>
      </w:r>
    </w:p>
    <w:tbl>
      <w:tblPr>
        <w:tblStyle w:val="48"/>
        <w:tblW w:w="9652" w:type="dxa"/>
        <w:tblInd w:w="0" w:type="dxa"/>
        <w:tblLayout w:type="fixed"/>
        <w:tblCellMar>
          <w:top w:w="0" w:type="dxa"/>
          <w:left w:w="0" w:type="dxa"/>
          <w:bottom w:w="0" w:type="dxa"/>
          <w:right w:w="0" w:type="dxa"/>
        </w:tblCellMar>
      </w:tblPr>
      <w:tblGrid>
        <w:gridCol w:w="1005"/>
        <w:gridCol w:w="2659"/>
        <w:gridCol w:w="3924"/>
        <w:gridCol w:w="2064"/>
      </w:tblGrid>
      <w:tr w14:paraId="3499F031">
        <w:tblPrEx>
          <w:tblCellMar>
            <w:top w:w="0" w:type="dxa"/>
            <w:left w:w="0" w:type="dxa"/>
            <w:bottom w:w="0" w:type="dxa"/>
            <w:right w:w="0" w:type="dxa"/>
          </w:tblCellMar>
        </w:tblPrEx>
        <w:trPr>
          <w:tblHeader/>
        </w:trPr>
        <w:tc>
          <w:tcPr>
            <w:tcW w:w="100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78F6471">
            <w:pPr>
              <w:spacing w:line="360" w:lineRule="auto"/>
              <w:jc w:val="center"/>
              <w:rPr>
                <w:rFonts w:ascii="宋体" w:hAnsi="宋体" w:cs="宋体"/>
                <w:b/>
                <w:bCs/>
                <w:kern w:val="0"/>
                <w:sz w:val="24"/>
              </w:rPr>
            </w:pPr>
            <w:r>
              <w:rPr>
                <w:rFonts w:hint="eastAsia" w:ascii="宋体" w:hAnsi="宋体" w:cs="宋体"/>
                <w:b/>
                <w:bCs/>
                <w:kern w:val="0"/>
                <w:sz w:val="24"/>
              </w:rPr>
              <w:t>序号</w:t>
            </w:r>
          </w:p>
        </w:tc>
        <w:tc>
          <w:tcPr>
            <w:tcW w:w="265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4283091">
            <w:pPr>
              <w:spacing w:line="360" w:lineRule="auto"/>
              <w:jc w:val="center"/>
              <w:rPr>
                <w:rFonts w:ascii="宋体" w:hAnsi="宋体" w:cs="宋体"/>
                <w:b/>
                <w:bCs/>
                <w:kern w:val="0"/>
                <w:sz w:val="24"/>
              </w:rPr>
            </w:pPr>
            <w:r>
              <w:rPr>
                <w:rFonts w:hint="eastAsia" w:ascii="宋体" w:hAnsi="宋体" w:cs="宋体"/>
                <w:b/>
                <w:bCs/>
                <w:kern w:val="0"/>
                <w:sz w:val="24"/>
              </w:rPr>
              <w:t>直接管理关系单位名称</w:t>
            </w:r>
          </w:p>
        </w:tc>
        <w:tc>
          <w:tcPr>
            <w:tcW w:w="392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A63CC41">
            <w:pPr>
              <w:spacing w:line="360" w:lineRule="auto"/>
              <w:jc w:val="center"/>
              <w:rPr>
                <w:rFonts w:ascii="宋体" w:hAnsi="宋体" w:cs="宋体"/>
                <w:b/>
                <w:bCs/>
                <w:kern w:val="0"/>
                <w:sz w:val="24"/>
              </w:rPr>
            </w:pPr>
            <w:r>
              <w:rPr>
                <w:rFonts w:hint="eastAsia" w:ascii="宋体" w:hAnsi="宋体" w:cs="宋体"/>
                <w:b/>
                <w:bCs/>
                <w:kern w:val="0"/>
                <w:sz w:val="24"/>
              </w:rPr>
              <w:t>统一社会信用代码</w:t>
            </w:r>
          </w:p>
        </w:tc>
        <w:tc>
          <w:tcPr>
            <w:tcW w:w="206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54D1D88">
            <w:pPr>
              <w:spacing w:line="360" w:lineRule="auto"/>
              <w:jc w:val="center"/>
              <w:rPr>
                <w:rFonts w:ascii="宋体" w:hAnsi="宋体" w:cs="宋体"/>
                <w:b/>
                <w:bCs/>
                <w:kern w:val="0"/>
                <w:sz w:val="24"/>
              </w:rPr>
            </w:pPr>
            <w:r>
              <w:rPr>
                <w:rFonts w:hint="eastAsia" w:ascii="宋体" w:hAnsi="宋体" w:cs="宋体"/>
                <w:b/>
                <w:bCs/>
                <w:kern w:val="0"/>
                <w:sz w:val="24"/>
              </w:rPr>
              <w:t>备注</w:t>
            </w:r>
          </w:p>
        </w:tc>
      </w:tr>
      <w:tr w14:paraId="682B4693">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FE1BBC7">
            <w:pPr>
              <w:spacing w:line="360" w:lineRule="auto"/>
              <w:jc w:val="center"/>
              <w:rPr>
                <w:rFonts w:ascii="宋体" w:hAnsi="宋体" w:cs="宋体"/>
                <w:kern w:val="0"/>
                <w:sz w:val="24"/>
              </w:rPr>
            </w:pPr>
            <w:r>
              <w:rPr>
                <w:rFonts w:hint="eastAsia" w:ascii="宋体" w:hAnsi="宋体" w:cs="宋体"/>
                <w:kern w:val="0"/>
                <w:sz w:val="24"/>
              </w:rPr>
              <w:t>1</w:t>
            </w:r>
          </w:p>
        </w:tc>
        <w:tc>
          <w:tcPr>
            <w:tcW w:w="265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95548A0">
            <w:pPr>
              <w:spacing w:line="360" w:lineRule="auto"/>
              <w:jc w:val="center"/>
              <w:rPr>
                <w:rFonts w:ascii="宋体" w:hAnsi="宋体" w:cs="宋体"/>
                <w:kern w:val="0"/>
                <w:sz w:val="24"/>
              </w:rPr>
            </w:pPr>
          </w:p>
        </w:tc>
        <w:tc>
          <w:tcPr>
            <w:tcW w:w="392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2896E81">
            <w:pPr>
              <w:spacing w:line="360" w:lineRule="auto"/>
              <w:jc w:val="center"/>
              <w:rPr>
                <w:rFonts w:ascii="宋体" w:hAnsi="宋体" w:cs="宋体"/>
                <w:kern w:val="0"/>
                <w:sz w:val="24"/>
              </w:rPr>
            </w:pPr>
          </w:p>
        </w:tc>
        <w:tc>
          <w:tcPr>
            <w:tcW w:w="206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4B627BC">
            <w:pPr>
              <w:spacing w:line="360" w:lineRule="auto"/>
              <w:jc w:val="center"/>
              <w:rPr>
                <w:rFonts w:ascii="宋体" w:hAnsi="宋体" w:cs="宋体"/>
                <w:kern w:val="0"/>
                <w:sz w:val="24"/>
              </w:rPr>
            </w:pPr>
          </w:p>
        </w:tc>
      </w:tr>
      <w:tr w14:paraId="337FA710">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CA33D3B">
            <w:pPr>
              <w:spacing w:line="360" w:lineRule="auto"/>
              <w:jc w:val="center"/>
              <w:rPr>
                <w:rFonts w:ascii="宋体" w:hAnsi="宋体" w:cs="宋体"/>
                <w:kern w:val="0"/>
                <w:sz w:val="24"/>
              </w:rPr>
            </w:pPr>
            <w:r>
              <w:rPr>
                <w:rFonts w:hint="eastAsia" w:ascii="宋体" w:hAnsi="宋体" w:cs="宋体"/>
                <w:kern w:val="0"/>
                <w:sz w:val="24"/>
              </w:rPr>
              <w:t>2</w:t>
            </w:r>
          </w:p>
        </w:tc>
        <w:tc>
          <w:tcPr>
            <w:tcW w:w="265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53A43F11">
            <w:pPr>
              <w:spacing w:line="360" w:lineRule="auto"/>
              <w:jc w:val="center"/>
              <w:rPr>
                <w:rFonts w:ascii="宋体" w:hAnsi="宋体" w:cs="宋体"/>
                <w:kern w:val="0"/>
                <w:sz w:val="24"/>
              </w:rPr>
            </w:pPr>
          </w:p>
        </w:tc>
        <w:tc>
          <w:tcPr>
            <w:tcW w:w="392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4CA6A0A">
            <w:pPr>
              <w:spacing w:line="360" w:lineRule="auto"/>
              <w:jc w:val="center"/>
              <w:rPr>
                <w:rFonts w:ascii="宋体" w:hAnsi="宋体" w:cs="宋体"/>
                <w:kern w:val="0"/>
                <w:sz w:val="24"/>
              </w:rPr>
            </w:pPr>
          </w:p>
        </w:tc>
        <w:tc>
          <w:tcPr>
            <w:tcW w:w="206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60DE3C3">
            <w:pPr>
              <w:spacing w:line="360" w:lineRule="auto"/>
              <w:jc w:val="center"/>
              <w:rPr>
                <w:rFonts w:ascii="宋体" w:hAnsi="宋体" w:cs="宋体"/>
                <w:kern w:val="0"/>
                <w:sz w:val="24"/>
              </w:rPr>
            </w:pPr>
          </w:p>
        </w:tc>
      </w:tr>
      <w:tr w14:paraId="2A7211C3">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4E8F48DE">
            <w:pPr>
              <w:spacing w:line="360" w:lineRule="auto"/>
              <w:jc w:val="center"/>
              <w:rPr>
                <w:rFonts w:ascii="宋体" w:hAnsi="宋体" w:cs="宋体"/>
                <w:kern w:val="0"/>
                <w:sz w:val="24"/>
              </w:rPr>
            </w:pPr>
            <w:r>
              <w:rPr>
                <w:rFonts w:hint="eastAsia" w:ascii="宋体" w:hAnsi="宋体" w:cs="宋体"/>
                <w:kern w:val="0"/>
                <w:sz w:val="24"/>
              </w:rPr>
              <w:t>3</w:t>
            </w:r>
          </w:p>
        </w:tc>
        <w:tc>
          <w:tcPr>
            <w:tcW w:w="265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76B2D061">
            <w:pPr>
              <w:spacing w:line="360" w:lineRule="auto"/>
              <w:jc w:val="center"/>
              <w:rPr>
                <w:rFonts w:ascii="宋体" w:hAnsi="宋体" w:cs="宋体"/>
                <w:kern w:val="0"/>
                <w:sz w:val="24"/>
              </w:rPr>
            </w:pPr>
          </w:p>
        </w:tc>
        <w:tc>
          <w:tcPr>
            <w:tcW w:w="392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BEC5E41">
            <w:pPr>
              <w:spacing w:line="360" w:lineRule="auto"/>
              <w:jc w:val="center"/>
              <w:rPr>
                <w:rFonts w:ascii="宋体" w:hAnsi="宋体" w:cs="宋体"/>
                <w:kern w:val="0"/>
                <w:sz w:val="24"/>
              </w:rPr>
            </w:pPr>
          </w:p>
        </w:tc>
        <w:tc>
          <w:tcPr>
            <w:tcW w:w="206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00F40D21">
            <w:pPr>
              <w:spacing w:line="360" w:lineRule="auto"/>
              <w:jc w:val="center"/>
              <w:rPr>
                <w:rFonts w:ascii="宋体" w:hAnsi="宋体" w:cs="宋体"/>
                <w:kern w:val="0"/>
                <w:sz w:val="24"/>
              </w:rPr>
            </w:pPr>
          </w:p>
        </w:tc>
      </w:tr>
      <w:tr w14:paraId="5D2563AD">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2628CFCA">
            <w:pPr>
              <w:spacing w:line="360" w:lineRule="auto"/>
              <w:jc w:val="center"/>
              <w:rPr>
                <w:rFonts w:ascii="宋体" w:hAnsi="宋体" w:cs="宋体"/>
                <w:kern w:val="0"/>
                <w:sz w:val="24"/>
              </w:rPr>
            </w:pPr>
            <w:r>
              <w:rPr>
                <w:rFonts w:hint="eastAsia" w:ascii="宋体" w:hAnsi="宋体" w:cs="宋体"/>
                <w:kern w:val="0"/>
                <w:sz w:val="24"/>
              </w:rPr>
              <w:t>……</w:t>
            </w:r>
          </w:p>
        </w:tc>
        <w:tc>
          <w:tcPr>
            <w:tcW w:w="2659"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CC2B5FF">
            <w:pPr>
              <w:spacing w:line="360" w:lineRule="auto"/>
              <w:jc w:val="center"/>
              <w:rPr>
                <w:rFonts w:ascii="宋体" w:hAnsi="宋体" w:cs="宋体"/>
                <w:kern w:val="0"/>
                <w:sz w:val="24"/>
              </w:rPr>
            </w:pPr>
          </w:p>
        </w:tc>
        <w:tc>
          <w:tcPr>
            <w:tcW w:w="392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31E12B7C">
            <w:pPr>
              <w:spacing w:line="360" w:lineRule="auto"/>
              <w:jc w:val="center"/>
              <w:rPr>
                <w:rFonts w:ascii="宋体" w:hAnsi="宋体" w:cs="宋体"/>
                <w:kern w:val="0"/>
                <w:sz w:val="24"/>
              </w:rPr>
            </w:pPr>
          </w:p>
        </w:tc>
        <w:tc>
          <w:tcPr>
            <w:tcW w:w="2064" w:type="dxa"/>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vAlign w:val="center"/>
          </w:tcPr>
          <w:p w14:paraId="12748970">
            <w:pPr>
              <w:spacing w:line="360" w:lineRule="auto"/>
              <w:jc w:val="center"/>
              <w:rPr>
                <w:rFonts w:ascii="宋体" w:hAnsi="宋体" w:cs="宋体"/>
                <w:kern w:val="0"/>
                <w:sz w:val="24"/>
              </w:rPr>
            </w:pPr>
          </w:p>
        </w:tc>
      </w:tr>
    </w:tbl>
    <w:p w14:paraId="4DB9B939">
      <w:pPr>
        <w:snapToGrid w:val="0"/>
        <w:spacing w:line="360" w:lineRule="auto"/>
        <w:jc w:val="left"/>
        <w:rPr>
          <w:rFonts w:ascii="楷体" w:hAnsi="楷体" w:eastAsia="楷体" w:cs="宋体"/>
          <w:sz w:val="24"/>
        </w:rPr>
      </w:pPr>
    </w:p>
    <w:p w14:paraId="5682809A">
      <w:pPr>
        <w:snapToGrid w:val="0"/>
        <w:spacing w:line="360" w:lineRule="auto"/>
        <w:jc w:val="left"/>
        <w:rPr>
          <w:rFonts w:ascii="楷体" w:hAnsi="楷体" w:eastAsia="楷体" w:cs="宋体"/>
          <w:b/>
          <w:sz w:val="24"/>
        </w:rPr>
      </w:pPr>
      <w:r>
        <w:rPr>
          <w:rFonts w:hint="eastAsia" w:ascii="楷体" w:hAnsi="楷体" w:eastAsia="楷体" w:cs="宋体"/>
          <w:b/>
          <w:sz w:val="24"/>
        </w:rPr>
        <w:t>注：</w:t>
      </w:r>
    </w:p>
    <w:p w14:paraId="7F1620DD">
      <w:pPr>
        <w:snapToGrid w:val="0"/>
        <w:spacing w:line="360" w:lineRule="auto"/>
        <w:ind w:firstLine="480" w:firstLineChars="200"/>
        <w:jc w:val="left"/>
        <w:rPr>
          <w:rFonts w:ascii="楷体" w:hAnsi="楷体" w:eastAsia="楷体" w:cs="宋体"/>
          <w:sz w:val="24"/>
        </w:rPr>
      </w:pPr>
      <w:r>
        <w:rPr>
          <w:rFonts w:ascii="楷体" w:hAnsi="楷体" w:eastAsia="楷体" w:cs="宋体"/>
          <w:sz w:val="24"/>
        </w:rPr>
        <w:t>1.管理关系：是指不具有出资持股关系的其他单位之间存在的管理与被管理关系，如一些上下级关系的事业单位和团体组织。</w:t>
      </w:r>
    </w:p>
    <w:p w14:paraId="700F9ED7">
      <w:pPr>
        <w:snapToGrid w:val="0"/>
        <w:spacing w:line="360" w:lineRule="auto"/>
        <w:ind w:firstLine="480" w:firstLineChars="200"/>
        <w:jc w:val="left"/>
        <w:rPr>
          <w:rFonts w:ascii="楷体" w:hAnsi="楷体" w:eastAsia="楷体" w:cs="宋体"/>
          <w:sz w:val="24"/>
        </w:rPr>
      </w:pPr>
      <w:r>
        <w:rPr>
          <w:rFonts w:ascii="楷体" w:hAnsi="楷体" w:eastAsia="楷体" w:cs="宋体"/>
          <w:sz w:val="24"/>
        </w:rPr>
        <w:t>2.</w:t>
      </w:r>
      <w:r>
        <w:rPr>
          <w:rFonts w:hint="eastAsia" w:ascii="楷体" w:hAnsi="楷体" w:eastAsia="楷体" w:cs="宋体"/>
          <w:spacing w:val="-6"/>
          <w:sz w:val="24"/>
        </w:rPr>
        <w:t>本表所指的管理关系仅限于直接管理关系，不包括间接的管理关系。</w:t>
      </w:r>
    </w:p>
    <w:p w14:paraId="7D512569">
      <w:pPr>
        <w:snapToGrid w:val="0"/>
        <w:spacing w:line="360" w:lineRule="auto"/>
        <w:ind w:firstLine="480" w:firstLineChars="200"/>
        <w:jc w:val="left"/>
        <w:rPr>
          <w:rFonts w:ascii="楷体" w:hAnsi="楷体" w:eastAsia="楷体" w:cs="宋体"/>
          <w:sz w:val="24"/>
        </w:rPr>
      </w:pPr>
      <w:r>
        <w:rPr>
          <w:rFonts w:ascii="楷体" w:hAnsi="楷体" w:eastAsia="楷体" w:cs="宋体"/>
          <w:sz w:val="24"/>
        </w:rPr>
        <w:t>3.供应商不存在直接管理关系的，则填“无”。</w:t>
      </w:r>
    </w:p>
    <w:p w14:paraId="52CDA4A3">
      <w:pPr>
        <w:snapToGrid w:val="0"/>
        <w:spacing w:line="360" w:lineRule="auto"/>
        <w:jc w:val="left"/>
        <w:rPr>
          <w:rFonts w:ascii="宋体" w:hAnsi="宋体" w:cs="宋体"/>
          <w:sz w:val="24"/>
        </w:rPr>
      </w:pPr>
    </w:p>
    <w:p w14:paraId="58325131">
      <w:pPr>
        <w:snapToGrid w:val="0"/>
        <w:spacing w:line="360" w:lineRule="auto"/>
        <w:jc w:val="left"/>
        <w:rPr>
          <w:rFonts w:ascii="宋体" w:hAnsi="宋体" w:cs="宋体"/>
          <w:sz w:val="24"/>
        </w:rPr>
      </w:pPr>
    </w:p>
    <w:p w14:paraId="390259E9">
      <w:pPr>
        <w:snapToGrid w:val="0"/>
        <w:spacing w:line="360" w:lineRule="auto"/>
        <w:jc w:val="left"/>
        <w:rPr>
          <w:rFonts w:ascii="宋体" w:hAnsi="宋体" w:cs="宋体"/>
          <w:sz w:val="24"/>
        </w:rPr>
      </w:pPr>
    </w:p>
    <w:p w14:paraId="50336E40">
      <w:pPr>
        <w:snapToGrid w:val="0"/>
        <w:spacing w:line="360" w:lineRule="auto"/>
        <w:jc w:val="left"/>
        <w:rPr>
          <w:rFonts w:ascii="宋体" w:hAnsi="宋体" w:cs="宋体"/>
          <w:sz w:val="24"/>
        </w:rPr>
      </w:pPr>
    </w:p>
    <w:p w14:paraId="13F90C66">
      <w:pPr>
        <w:snapToGrid w:val="0"/>
        <w:spacing w:line="360" w:lineRule="auto"/>
        <w:jc w:val="left"/>
        <w:rPr>
          <w:rFonts w:ascii="宋体" w:hAnsi="宋体" w:cs="宋体"/>
          <w:sz w:val="24"/>
        </w:rPr>
      </w:pPr>
    </w:p>
    <w:p w14:paraId="25F5DC55">
      <w:pPr>
        <w:snapToGrid w:val="0"/>
        <w:spacing w:line="360" w:lineRule="auto"/>
        <w:jc w:val="left"/>
        <w:rPr>
          <w:rFonts w:ascii="宋体" w:hAnsi="宋体" w:cs="宋体"/>
          <w:sz w:val="24"/>
        </w:rPr>
      </w:pPr>
    </w:p>
    <w:p w14:paraId="471F0A6A">
      <w:pPr>
        <w:snapToGrid w:val="0"/>
        <w:spacing w:line="360" w:lineRule="auto"/>
        <w:jc w:val="left"/>
        <w:rPr>
          <w:rFonts w:ascii="宋体" w:hAnsi="宋体" w:cs="宋体"/>
          <w:sz w:val="24"/>
        </w:rPr>
      </w:pPr>
    </w:p>
    <w:p w14:paraId="582D94BD">
      <w:pPr>
        <w:snapToGrid w:val="0"/>
        <w:spacing w:before="120" w:beforeLines="50" w:line="360" w:lineRule="auto"/>
        <w:ind w:right="480" w:firstLine="3967" w:firstLineChars="1653"/>
        <w:rPr>
          <w:rFonts w:ascii="宋体" w:hAnsi="宋体" w:cs="宋体"/>
          <w:sz w:val="24"/>
          <w:u w:val="single"/>
        </w:rPr>
      </w:pPr>
      <w:r>
        <w:rPr>
          <w:rFonts w:hint="eastAsia" w:ascii="宋体" w:hAnsi="宋体" w:cs="宋体"/>
          <w:sz w:val="24"/>
        </w:rPr>
        <w:t>法定代表人或者委托代理人（签字）：</w:t>
      </w:r>
      <w:r>
        <w:rPr>
          <w:rFonts w:hint="eastAsia" w:ascii="宋体" w:hAnsi="宋体" w:cs="宋体"/>
          <w:sz w:val="24"/>
          <w:u w:val="single"/>
        </w:rPr>
        <w:t xml:space="preserve">             </w:t>
      </w:r>
    </w:p>
    <w:p w14:paraId="00C8238A">
      <w:pPr>
        <w:snapToGrid w:val="0"/>
        <w:spacing w:before="120" w:beforeLines="50" w:after="50" w:line="360" w:lineRule="auto"/>
        <w:ind w:right="480" w:firstLine="5520" w:firstLineChars="2300"/>
        <w:rPr>
          <w:rFonts w:ascii="宋体" w:hAnsi="宋体" w:cs="宋体"/>
          <w:sz w:val="24"/>
        </w:rPr>
      </w:pPr>
      <w:r>
        <w:rPr>
          <w:rFonts w:hint="eastAsia" w:ascii="宋体" w:hAnsi="宋体" w:cs="宋体"/>
          <w:sz w:val="24"/>
        </w:rPr>
        <w:t>投标人（公章）：</w:t>
      </w:r>
      <w:r>
        <w:rPr>
          <w:rFonts w:hint="eastAsia" w:ascii="宋体" w:hAnsi="宋体" w:cs="宋体"/>
          <w:sz w:val="24"/>
          <w:u w:val="single"/>
        </w:rPr>
        <w:t xml:space="preserve">                 </w:t>
      </w:r>
    </w:p>
    <w:p w14:paraId="314C1B97">
      <w:pPr>
        <w:snapToGrid w:val="0"/>
        <w:spacing w:before="120" w:beforeLines="50" w:after="50" w:line="360" w:lineRule="auto"/>
        <w:ind w:right="480" w:firstLine="240" w:firstLineChars="100"/>
        <w:jc w:val="right"/>
        <w:rPr>
          <w:rFonts w:ascii="宋体" w:hAnsi="宋体" w:cs="宋体"/>
          <w:sz w:val="24"/>
        </w:rPr>
      </w:pPr>
      <w:r>
        <w:rPr>
          <w:rFonts w:hint="eastAsia" w:ascii="宋体" w:hAnsi="宋体" w:cs="宋体"/>
          <w:sz w:val="24"/>
        </w:rPr>
        <w:t xml:space="preserve"> </w:t>
      </w: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1244FCC2">
      <w:pPr>
        <w:snapToGrid w:val="0"/>
        <w:spacing w:before="50" w:after="120" w:afterLines="50"/>
        <w:jc w:val="left"/>
        <w:rPr>
          <w:rFonts w:ascii="宋体" w:hAnsi="宋体" w:cs="宋体"/>
          <w:szCs w:val="21"/>
        </w:rPr>
      </w:pPr>
    </w:p>
    <w:p w14:paraId="5EA4EA4C">
      <w:pPr>
        <w:snapToGrid w:val="0"/>
        <w:spacing w:before="120" w:beforeLines="50" w:after="50"/>
        <w:jc w:val="left"/>
        <w:rPr>
          <w:rFonts w:ascii="宋体" w:hAnsi="宋体" w:cs="宋体"/>
          <w:b/>
          <w:sz w:val="24"/>
          <w:szCs w:val="20"/>
        </w:rPr>
      </w:pPr>
    </w:p>
    <w:p w14:paraId="78BB0BFD">
      <w:pPr>
        <w:numPr>
          <w:ilvl w:val="2"/>
          <w:numId w:val="8"/>
        </w:numPr>
        <w:snapToGrid w:val="0"/>
        <w:spacing w:before="120" w:beforeLines="50" w:after="50"/>
        <w:ind w:left="0" w:firstLine="0"/>
        <w:jc w:val="left"/>
        <w:rPr>
          <w:rFonts w:ascii="宋体" w:hAnsi="宋体" w:cs="宋体"/>
          <w:b/>
          <w:sz w:val="24"/>
          <w:szCs w:val="20"/>
        </w:rPr>
      </w:pPr>
      <w:r>
        <w:rPr>
          <w:rFonts w:hint="eastAsia" w:ascii="宋体" w:hAnsi="宋体" w:cs="宋体"/>
          <w:b/>
          <w:sz w:val="24"/>
        </w:rPr>
        <w:br w:type="page"/>
      </w:r>
      <w:r>
        <w:rPr>
          <w:rFonts w:hint="eastAsia" w:ascii="宋体" w:hAnsi="宋体" w:cs="宋体"/>
          <w:b/>
          <w:sz w:val="24"/>
        </w:rPr>
        <w:t>投标声明格式</w:t>
      </w:r>
    </w:p>
    <w:p w14:paraId="7E54D117">
      <w:pPr>
        <w:snapToGrid w:val="0"/>
        <w:spacing w:before="50" w:after="120" w:afterLines="50"/>
        <w:jc w:val="left"/>
        <w:rPr>
          <w:rFonts w:ascii="宋体" w:hAnsi="宋体" w:cs="宋体"/>
        </w:rPr>
      </w:pPr>
    </w:p>
    <w:p w14:paraId="286EC573">
      <w:pPr>
        <w:snapToGrid w:val="0"/>
        <w:spacing w:before="50" w:after="120" w:afterLines="50"/>
        <w:jc w:val="center"/>
        <w:rPr>
          <w:rFonts w:ascii="宋体" w:hAnsi="宋体" w:cs="宋体"/>
          <w:bCs/>
          <w:sz w:val="44"/>
          <w:szCs w:val="44"/>
        </w:rPr>
      </w:pPr>
      <w:r>
        <w:rPr>
          <w:rFonts w:hint="eastAsia" w:ascii="宋体" w:hAnsi="宋体" w:cs="宋体"/>
          <w:bCs/>
          <w:sz w:val="44"/>
          <w:szCs w:val="44"/>
        </w:rPr>
        <w:t>投标声明</w:t>
      </w:r>
    </w:p>
    <w:p w14:paraId="42EB14F3">
      <w:pPr>
        <w:snapToGrid w:val="0"/>
        <w:spacing w:before="50" w:after="120" w:afterLines="50"/>
        <w:jc w:val="center"/>
        <w:rPr>
          <w:rFonts w:ascii="宋体" w:hAnsi="宋体" w:cs="宋体"/>
          <w:bCs/>
          <w:sz w:val="44"/>
          <w:szCs w:val="44"/>
        </w:rPr>
      </w:pPr>
    </w:p>
    <w:p w14:paraId="574A70C3">
      <w:pPr>
        <w:spacing w:line="400" w:lineRule="exact"/>
        <w:contextualSpacing/>
        <w:jc w:val="left"/>
        <w:rPr>
          <w:rFonts w:ascii="宋体" w:hAnsi="宋体" w:cs="宋体"/>
          <w:sz w:val="24"/>
        </w:rPr>
      </w:pPr>
      <w:r>
        <w:rPr>
          <w:rFonts w:hint="eastAsia" w:ascii="宋体" w:hAnsi="宋体" w:cs="宋体"/>
          <w:sz w:val="24"/>
        </w:rPr>
        <w:t>（采购人名称）：</w:t>
      </w:r>
    </w:p>
    <w:p w14:paraId="4FBE24C3">
      <w:pPr>
        <w:spacing w:line="400" w:lineRule="exact"/>
        <w:ind w:firstLine="523" w:firstLineChars="218"/>
        <w:contextualSpacing/>
        <w:jc w:val="left"/>
        <w:rPr>
          <w:rFonts w:ascii="宋体" w:hAnsi="宋体" w:cs="宋体"/>
          <w:sz w:val="24"/>
        </w:rPr>
      </w:pPr>
      <w:r>
        <w:rPr>
          <w:rFonts w:hint="eastAsia" w:ascii="宋体" w:hAnsi="宋体" w:cs="宋体"/>
          <w:sz w:val="24"/>
        </w:rPr>
        <w:t>我方参加贵单位组织</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）的政府采购活动。我方在此郑重声明：</w:t>
      </w:r>
    </w:p>
    <w:p w14:paraId="600270FF">
      <w:pPr>
        <w:spacing w:line="400" w:lineRule="exact"/>
        <w:ind w:firstLine="480" w:firstLineChars="200"/>
        <w:contextualSpacing/>
        <w:jc w:val="left"/>
        <w:rPr>
          <w:rFonts w:ascii="宋体" w:hAnsi="宋体" w:cs="宋体"/>
          <w:sz w:val="24"/>
        </w:rPr>
      </w:pPr>
      <w:r>
        <w:rPr>
          <w:rFonts w:hint="eastAsia" w:ascii="宋体" w:hAnsi="宋体" w:cs="宋体"/>
          <w:sz w:val="24"/>
        </w:rPr>
        <w:t>1.我方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37DA4344">
      <w:pPr>
        <w:spacing w:line="400" w:lineRule="exact"/>
        <w:ind w:firstLine="480" w:firstLineChars="200"/>
        <w:contextualSpacing/>
        <w:jc w:val="left"/>
        <w:rPr>
          <w:rFonts w:ascii="宋体" w:hAnsi="宋体" w:cs="宋体"/>
          <w:sz w:val="24"/>
        </w:rPr>
      </w:pPr>
      <w:r>
        <w:rPr>
          <w:rFonts w:hint="eastAsia" w:ascii="宋体" w:hAnsi="宋体" w:cs="宋体"/>
          <w:sz w:val="24"/>
        </w:rPr>
        <w:t>2.我方不是为本次采购项目提供整体设计、规范编制或者项目管理、监理、检测等服务的供应商。</w:t>
      </w:r>
    </w:p>
    <w:p w14:paraId="083E0664">
      <w:pPr>
        <w:spacing w:line="400" w:lineRule="exact"/>
        <w:ind w:firstLine="480" w:firstLineChars="200"/>
        <w:contextualSpacing/>
        <w:jc w:val="left"/>
        <w:rPr>
          <w:rFonts w:ascii="宋体" w:hAnsi="宋体" w:cs="宋体"/>
          <w:sz w:val="24"/>
        </w:rPr>
      </w:pPr>
      <w:r>
        <w:rPr>
          <w:rFonts w:hint="eastAsia" w:ascii="宋体" w:hAnsi="宋体" w:cs="宋体"/>
          <w:sz w:val="24"/>
        </w:rPr>
        <w:t>3.我方承诺符合《中华人民共和国政府采购法》第二十二条规定：</w:t>
      </w:r>
    </w:p>
    <w:p w14:paraId="64034D47">
      <w:pPr>
        <w:spacing w:line="400" w:lineRule="exact"/>
        <w:ind w:firstLine="480" w:firstLineChars="200"/>
        <w:contextualSpacing/>
        <w:jc w:val="left"/>
        <w:rPr>
          <w:rFonts w:ascii="宋体" w:hAnsi="宋体" w:cs="宋体"/>
          <w:sz w:val="24"/>
        </w:rPr>
      </w:pPr>
      <w:r>
        <w:rPr>
          <w:rFonts w:hint="eastAsia" w:ascii="宋体" w:hAnsi="宋体" w:cs="宋体"/>
          <w:sz w:val="24"/>
        </w:rPr>
        <w:t>（一）具有独立承担民事责任的能力；</w:t>
      </w:r>
    </w:p>
    <w:p w14:paraId="073BE65F">
      <w:pPr>
        <w:spacing w:line="400" w:lineRule="exact"/>
        <w:ind w:firstLine="480" w:firstLineChars="200"/>
        <w:contextualSpacing/>
        <w:jc w:val="left"/>
        <w:rPr>
          <w:rFonts w:ascii="宋体" w:hAnsi="宋体" w:cs="宋体"/>
          <w:sz w:val="24"/>
        </w:rPr>
      </w:pPr>
      <w:r>
        <w:rPr>
          <w:rFonts w:hint="eastAsia" w:ascii="宋体" w:hAnsi="宋体" w:cs="宋体"/>
          <w:sz w:val="24"/>
        </w:rPr>
        <w:t>（二）具有良好的商业信誉和健全的财务会计制度；</w:t>
      </w:r>
    </w:p>
    <w:p w14:paraId="59A57D18">
      <w:pPr>
        <w:spacing w:line="400" w:lineRule="exact"/>
        <w:ind w:firstLine="480" w:firstLineChars="200"/>
        <w:contextualSpacing/>
        <w:jc w:val="left"/>
        <w:rPr>
          <w:rFonts w:ascii="宋体" w:hAnsi="宋体" w:cs="宋体"/>
          <w:sz w:val="24"/>
        </w:rPr>
      </w:pPr>
      <w:r>
        <w:rPr>
          <w:rFonts w:hint="eastAsia" w:ascii="宋体" w:hAnsi="宋体" w:cs="宋体"/>
          <w:sz w:val="24"/>
        </w:rPr>
        <w:t>（三）具有履行合同所必需的设备和专业技术能力；</w:t>
      </w:r>
    </w:p>
    <w:p w14:paraId="3CFE84AE">
      <w:pPr>
        <w:spacing w:line="400" w:lineRule="exact"/>
        <w:ind w:firstLine="480" w:firstLineChars="200"/>
        <w:contextualSpacing/>
        <w:jc w:val="left"/>
        <w:rPr>
          <w:rFonts w:ascii="宋体" w:hAnsi="宋体" w:cs="宋体"/>
          <w:sz w:val="24"/>
        </w:rPr>
      </w:pPr>
      <w:r>
        <w:rPr>
          <w:rFonts w:hint="eastAsia" w:ascii="宋体" w:hAnsi="宋体" w:cs="宋体"/>
          <w:sz w:val="24"/>
        </w:rPr>
        <w:t>（四）有依法缴纳税收和社会保障资金的良好记录；</w:t>
      </w:r>
    </w:p>
    <w:p w14:paraId="2DC7750B">
      <w:pPr>
        <w:spacing w:line="400" w:lineRule="exact"/>
        <w:ind w:firstLine="480" w:firstLineChars="200"/>
        <w:contextualSpacing/>
        <w:jc w:val="left"/>
        <w:rPr>
          <w:rFonts w:ascii="宋体" w:hAnsi="宋体" w:cs="宋体"/>
          <w:sz w:val="24"/>
        </w:rPr>
      </w:pPr>
      <w:r>
        <w:rPr>
          <w:rFonts w:hint="eastAsia" w:ascii="宋体" w:hAnsi="宋体" w:cs="宋体"/>
          <w:sz w:val="24"/>
        </w:rPr>
        <w:t>（五）参加政府采购活动前三年内，在经营活动中没有重大违法记录；</w:t>
      </w:r>
    </w:p>
    <w:p w14:paraId="2C4C2E6B">
      <w:pPr>
        <w:spacing w:line="400" w:lineRule="exact"/>
        <w:ind w:firstLine="480" w:firstLineChars="200"/>
        <w:contextualSpacing/>
        <w:jc w:val="left"/>
        <w:rPr>
          <w:rFonts w:ascii="宋体" w:hAnsi="宋体" w:cs="宋体"/>
          <w:sz w:val="24"/>
        </w:rPr>
      </w:pPr>
      <w:r>
        <w:rPr>
          <w:rFonts w:hint="eastAsia" w:ascii="宋体" w:hAnsi="宋体" w:cs="宋体"/>
          <w:sz w:val="24"/>
        </w:rPr>
        <w:t>（六）法律、行政法规规定的其他条件。</w:t>
      </w:r>
    </w:p>
    <w:p w14:paraId="4D72592E">
      <w:pPr>
        <w:spacing w:line="400" w:lineRule="exact"/>
        <w:ind w:firstLine="480" w:firstLineChars="200"/>
        <w:contextualSpacing/>
        <w:jc w:val="left"/>
        <w:rPr>
          <w:rFonts w:ascii="宋体" w:hAnsi="宋体" w:cs="宋体"/>
          <w:sz w:val="24"/>
        </w:rPr>
      </w:pPr>
      <w:r>
        <w:rPr>
          <w:rFonts w:hint="eastAsia" w:ascii="宋体" w:hAnsi="宋体" w:cs="宋体"/>
          <w:sz w:val="24"/>
        </w:rPr>
        <w:t>4.以上事项如有虚假或者隐瞒，我方愿意承担一切后果，并不再寻求任何旨在减轻或者免除法律责任的辩解。</w:t>
      </w:r>
    </w:p>
    <w:p w14:paraId="23124607">
      <w:pPr>
        <w:spacing w:line="400" w:lineRule="exact"/>
        <w:ind w:firstLine="480" w:firstLineChars="200"/>
        <w:contextualSpacing/>
        <w:jc w:val="left"/>
      </w:pPr>
      <w:r>
        <w:rPr>
          <w:rFonts w:ascii="宋体" w:hAnsi="宋体" w:cs="宋体"/>
          <w:sz w:val="24"/>
        </w:rPr>
        <w:t>5</w:t>
      </w:r>
      <w:r>
        <w:rPr>
          <w:rFonts w:hint="eastAsia" w:ascii="宋体" w:hAnsi="宋体" w:cs="宋体"/>
          <w:sz w:val="24"/>
        </w:rPr>
        <w:t>.我方若中标，除非发生不可抗力，承诺与发包方及时签订《合同书》。如果弃标，自愿按照本文件之《投标人须知正文》第3</w:t>
      </w:r>
      <w:r>
        <w:rPr>
          <w:rFonts w:ascii="宋体" w:hAnsi="宋体" w:cs="宋体"/>
          <w:sz w:val="24"/>
        </w:rPr>
        <w:t>0.4</w:t>
      </w:r>
      <w:r>
        <w:rPr>
          <w:rFonts w:hint="eastAsia" w:ascii="宋体" w:hAnsi="宋体" w:cs="宋体"/>
          <w:sz w:val="24"/>
        </w:rPr>
        <w:t>条的要求承担法律责任和失信惩戒。</w:t>
      </w:r>
    </w:p>
    <w:p w14:paraId="0E24AE44">
      <w:pPr>
        <w:spacing w:line="400" w:lineRule="exact"/>
        <w:contextualSpacing/>
        <w:jc w:val="left"/>
        <w:rPr>
          <w:rFonts w:ascii="宋体" w:hAnsi="宋体" w:cs="宋体"/>
          <w:sz w:val="24"/>
        </w:rPr>
      </w:pPr>
      <w:r>
        <w:rPr>
          <w:rFonts w:hint="eastAsia" w:ascii="宋体" w:hAnsi="宋体" w:cs="宋体"/>
          <w:sz w:val="24"/>
        </w:rPr>
        <w:t xml:space="preserve">    特此承诺。</w:t>
      </w:r>
    </w:p>
    <w:p w14:paraId="29C56556">
      <w:pPr>
        <w:spacing w:line="400" w:lineRule="exact"/>
        <w:contextualSpacing/>
        <w:jc w:val="left"/>
        <w:rPr>
          <w:rFonts w:ascii="楷体" w:hAnsi="楷体" w:eastAsia="楷体" w:cs="宋体"/>
          <w:b/>
          <w:sz w:val="24"/>
        </w:rPr>
      </w:pPr>
      <w:r>
        <w:rPr>
          <w:rFonts w:hint="eastAsia" w:ascii="宋体" w:hAnsi="宋体" w:cs="宋体"/>
          <w:b/>
          <w:sz w:val="24"/>
        </w:rPr>
        <w:t xml:space="preserve">   </w:t>
      </w:r>
      <w:r>
        <w:rPr>
          <w:rFonts w:ascii="楷体" w:hAnsi="楷体" w:eastAsia="楷体" w:cs="宋体"/>
          <w:b/>
          <w:sz w:val="24"/>
        </w:rPr>
        <w:t xml:space="preserve"> 注：如为联合体投标，盖章处须加盖联合体各方公章并由联合体各方法定代表人分别签字，否则投标无效。</w:t>
      </w:r>
    </w:p>
    <w:p w14:paraId="21E15D24">
      <w:pPr>
        <w:spacing w:line="400" w:lineRule="exact"/>
        <w:contextualSpacing/>
        <w:jc w:val="left"/>
        <w:rPr>
          <w:rFonts w:ascii="宋体" w:hAnsi="宋体" w:cs="宋体"/>
          <w:sz w:val="24"/>
        </w:rPr>
      </w:pPr>
      <w:r>
        <w:rPr>
          <w:rFonts w:hint="eastAsia" w:ascii="宋体" w:hAnsi="宋体" w:cs="宋体"/>
          <w:sz w:val="24"/>
        </w:rPr>
        <w:t xml:space="preserve">                                          法定代表人（签字）：</w:t>
      </w:r>
      <w:r>
        <w:rPr>
          <w:rFonts w:hint="eastAsia" w:ascii="宋体" w:hAnsi="宋体" w:cs="宋体"/>
          <w:sz w:val="24"/>
          <w:u w:val="single"/>
        </w:rPr>
        <w:t xml:space="preserve">             </w:t>
      </w:r>
    </w:p>
    <w:p w14:paraId="799ADDE3">
      <w:pPr>
        <w:spacing w:line="400" w:lineRule="exact"/>
        <w:contextualSpacing/>
        <w:jc w:val="left"/>
        <w:rPr>
          <w:rFonts w:ascii="宋体" w:hAnsi="宋体" w:cs="宋体"/>
          <w:sz w:val="24"/>
        </w:rPr>
      </w:pPr>
      <w:r>
        <w:rPr>
          <w:rFonts w:hint="eastAsia" w:ascii="宋体" w:hAnsi="宋体" w:cs="宋体"/>
          <w:sz w:val="24"/>
        </w:rPr>
        <w:t xml:space="preserve">                                          投标人（公章）：</w:t>
      </w:r>
      <w:r>
        <w:rPr>
          <w:rFonts w:hint="eastAsia" w:ascii="宋体" w:hAnsi="宋体" w:cs="宋体"/>
          <w:sz w:val="24"/>
          <w:u w:val="single"/>
        </w:rPr>
        <w:t xml:space="preserve">                 </w:t>
      </w:r>
    </w:p>
    <w:p w14:paraId="0AAA2214">
      <w:pPr>
        <w:spacing w:line="400" w:lineRule="exact"/>
        <w:contextualSpacing/>
        <w:jc w:val="left"/>
        <w:rPr>
          <w:rFonts w:ascii="宋体" w:hAnsi="宋体" w:cs="宋体"/>
        </w:rPr>
      </w:pPr>
      <w:r>
        <w:rPr>
          <w:rFonts w:hint="eastAsia" w:ascii="宋体" w:hAnsi="宋体" w:cs="宋体"/>
          <w:sz w:val="24"/>
        </w:rPr>
        <w:t xml:space="preserve">                                         </w:t>
      </w: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0AA1A8BE">
      <w:pPr>
        <w:rPr>
          <w:rFonts w:ascii="宋体" w:hAnsi="宋体" w:cs="宋体"/>
          <w:b/>
          <w:sz w:val="28"/>
          <w:szCs w:val="28"/>
        </w:rPr>
      </w:pPr>
      <w:bookmarkStart w:id="171" w:name="_Toc19686838"/>
      <w:r>
        <w:rPr>
          <w:rFonts w:hint="eastAsia" w:ascii="宋体" w:hAnsi="宋体" w:cs="宋体"/>
          <w:b/>
          <w:sz w:val="28"/>
          <w:szCs w:val="28"/>
        </w:rPr>
        <w:br w:type="page"/>
      </w:r>
      <w:r>
        <w:rPr>
          <w:rFonts w:hint="eastAsia" w:ascii="宋体" w:hAnsi="宋体" w:cs="宋体"/>
          <w:b/>
          <w:sz w:val="28"/>
          <w:szCs w:val="28"/>
        </w:rPr>
        <w:t>三、商务文件格式</w:t>
      </w:r>
      <w:bookmarkEnd w:id="171"/>
    </w:p>
    <w:p w14:paraId="548E2C3F">
      <w:pPr>
        <w:snapToGrid w:val="0"/>
        <w:spacing w:before="120" w:beforeLines="50" w:after="50" w:line="360" w:lineRule="auto"/>
        <w:jc w:val="left"/>
        <w:rPr>
          <w:rFonts w:ascii="宋体" w:hAnsi="宋体" w:cs="宋体"/>
          <w:b/>
          <w:sz w:val="24"/>
        </w:rPr>
      </w:pPr>
      <w:r>
        <w:rPr>
          <w:rFonts w:hint="eastAsia" w:ascii="宋体" w:hAnsi="宋体" w:cs="宋体"/>
          <w:b/>
          <w:sz w:val="24"/>
        </w:rPr>
        <w:t xml:space="preserve">1.商务文件封面格式： </w:t>
      </w:r>
    </w:p>
    <w:p w14:paraId="4662EFEA">
      <w:pPr>
        <w:snapToGrid w:val="0"/>
        <w:spacing w:before="120" w:beforeLines="50" w:after="50"/>
        <w:rPr>
          <w:rFonts w:ascii="宋体" w:hAnsi="宋体" w:cs="宋体"/>
          <w:bCs/>
          <w:sz w:val="32"/>
          <w:szCs w:val="20"/>
        </w:rPr>
      </w:pPr>
      <w:r>
        <w:rPr>
          <w:rFonts w:hint="eastAsia" w:ascii="宋体" w:hAnsi="宋体" w:cs="宋体"/>
          <w:sz w:val="24"/>
        </w:rPr>
        <w:t xml:space="preserve">                                                 </w:t>
      </w:r>
    </w:p>
    <w:p w14:paraId="2329E9BB">
      <w:pPr>
        <w:snapToGrid w:val="0"/>
        <w:spacing w:before="120" w:beforeLines="50" w:after="50"/>
        <w:rPr>
          <w:rFonts w:ascii="宋体" w:hAnsi="宋体" w:cs="宋体"/>
          <w:sz w:val="24"/>
          <w:szCs w:val="20"/>
        </w:rPr>
      </w:pPr>
    </w:p>
    <w:p w14:paraId="0E206A94">
      <w:pPr>
        <w:snapToGrid w:val="0"/>
        <w:spacing w:before="120" w:beforeLines="50" w:after="50"/>
        <w:rPr>
          <w:rFonts w:ascii="宋体" w:hAnsi="宋体" w:cs="宋体"/>
          <w:sz w:val="24"/>
          <w:szCs w:val="20"/>
        </w:rPr>
      </w:pPr>
    </w:p>
    <w:p w14:paraId="50232AA5">
      <w:pPr>
        <w:snapToGrid w:val="0"/>
        <w:spacing w:before="120" w:beforeLines="50" w:after="50"/>
        <w:rPr>
          <w:rFonts w:ascii="宋体" w:hAnsi="宋体" w:cs="宋体"/>
          <w:sz w:val="24"/>
          <w:szCs w:val="20"/>
        </w:rPr>
      </w:pPr>
    </w:p>
    <w:p w14:paraId="103DD3A4">
      <w:pPr>
        <w:snapToGrid w:val="0"/>
        <w:spacing w:before="120" w:beforeLines="50" w:after="50"/>
        <w:jc w:val="center"/>
        <w:rPr>
          <w:rFonts w:ascii="宋体" w:hAnsi="宋体" w:cs="宋体"/>
          <w:sz w:val="84"/>
          <w:szCs w:val="84"/>
        </w:rPr>
      </w:pPr>
      <w:r>
        <w:rPr>
          <w:rFonts w:hint="eastAsia" w:ascii="宋体" w:hAnsi="宋体" w:cs="宋体"/>
          <w:sz w:val="84"/>
          <w:szCs w:val="84"/>
        </w:rPr>
        <w:t>投  标  文  件</w:t>
      </w:r>
    </w:p>
    <w:p w14:paraId="6F9A4D08">
      <w:pPr>
        <w:snapToGrid w:val="0"/>
        <w:spacing w:before="120" w:beforeLines="50" w:after="50"/>
        <w:rPr>
          <w:rFonts w:ascii="宋体" w:hAnsi="宋体" w:cs="宋体"/>
          <w:sz w:val="24"/>
          <w:szCs w:val="20"/>
        </w:rPr>
      </w:pPr>
    </w:p>
    <w:p w14:paraId="200BC7A0">
      <w:pPr>
        <w:snapToGrid w:val="0"/>
        <w:spacing w:before="120" w:beforeLines="50" w:after="50"/>
        <w:rPr>
          <w:rFonts w:ascii="宋体" w:hAnsi="宋体" w:cs="宋体"/>
          <w:sz w:val="24"/>
          <w:szCs w:val="20"/>
        </w:rPr>
      </w:pPr>
    </w:p>
    <w:p w14:paraId="66901731">
      <w:pPr>
        <w:snapToGrid w:val="0"/>
        <w:spacing w:before="120" w:beforeLines="50" w:after="50"/>
        <w:jc w:val="center"/>
        <w:rPr>
          <w:rFonts w:ascii="宋体" w:hAnsi="宋体" w:cs="宋体"/>
          <w:bCs/>
          <w:sz w:val="32"/>
          <w:szCs w:val="32"/>
        </w:rPr>
      </w:pPr>
      <w:r>
        <w:rPr>
          <w:rFonts w:hint="eastAsia" w:ascii="宋体" w:hAnsi="宋体" w:cs="宋体"/>
          <w:bCs/>
          <w:sz w:val="32"/>
          <w:szCs w:val="32"/>
        </w:rPr>
        <w:t>商  务  文  件</w:t>
      </w:r>
    </w:p>
    <w:p w14:paraId="71F1D0BF">
      <w:pPr>
        <w:snapToGrid w:val="0"/>
        <w:spacing w:before="120" w:beforeLines="50" w:after="50"/>
        <w:rPr>
          <w:rFonts w:ascii="宋体" w:hAnsi="宋体" w:cs="宋体"/>
          <w:bCs/>
          <w:sz w:val="24"/>
          <w:szCs w:val="20"/>
        </w:rPr>
      </w:pPr>
    </w:p>
    <w:p w14:paraId="015BEE14">
      <w:pPr>
        <w:snapToGrid w:val="0"/>
        <w:spacing w:before="120" w:beforeLines="50" w:after="50"/>
        <w:ind w:firstLine="540" w:firstLineChars="225"/>
        <w:rPr>
          <w:rFonts w:ascii="宋体" w:hAnsi="宋体" w:cs="宋体"/>
          <w:bCs/>
          <w:sz w:val="24"/>
        </w:rPr>
      </w:pPr>
    </w:p>
    <w:p w14:paraId="38CBFAE1">
      <w:pPr>
        <w:snapToGrid w:val="0"/>
        <w:spacing w:before="120" w:beforeLines="50" w:after="50"/>
        <w:ind w:firstLine="540" w:firstLineChars="225"/>
        <w:rPr>
          <w:rFonts w:ascii="宋体" w:hAnsi="宋体" w:cs="宋体"/>
          <w:bCs/>
          <w:sz w:val="24"/>
        </w:rPr>
      </w:pPr>
    </w:p>
    <w:p w14:paraId="2AEC4283">
      <w:pPr>
        <w:snapToGrid w:val="0"/>
        <w:spacing w:before="120" w:beforeLines="50" w:after="50"/>
        <w:ind w:firstLine="1680" w:firstLineChars="600"/>
        <w:rPr>
          <w:rFonts w:ascii="宋体" w:hAnsi="宋体" w:cs="宋体"/>
          <w:bCs/>
          <w:sz w:val="28"/>
          <w:szCs w:val="28"/>
        </w:rPr>
      </w:pPr>
    </w:p>
    <w:p w14:paraId="20022F4D">
      <w:pPr>
        <w:snapToGrid w:val="0"/>
        <w:spacing w:before="120" w:beforeLines="50" w:after="50"/>
        <w:ind w:firstLine="1680" w:firstLineChars="600"/>
        <w:rPr>
          <w:rFonts w:ascii="宋体" w:hAnsi="宋体" w:cs="宋体"/>
          <w:bCs/>
          <w:sz w:val="28"/>
          <w:szCs w:val="28"/>
        </w:rPr>
      </w:pPr>
      <w:r>
        <w:rPr>
          <w:rFonts w:hint="eastAsia" w:ascii="宋体" w:hAnsi="宋体" w:cs="宋体"/>
          <w:bCs/>
          <w:sz w:val="28"/>
          <w:szCs w:val="28"/>
        </w:rPr>
        <w:t>项目名称：</w:t>
      </w:r>
    </w:p>
    <w:p w14:paraId="71D7C229">
      <w:pPr>
        <w:snapToGrid w:val="0"/>
        <w:spacing w:before="120" w:beforeLines="50" w:after="50"/>
        <w:ind w:firstLine="1680" w:firstLineChars="600"/>
        <w:rPr>
          <w:rFonts w:ascii="宋体" w:hAnsi="宋体" w:cs="宋体"/>
          <w:bCs/>
          <w:sz w:val="28"/>
          <w:szCs w:val="21"/>
        </w:rPr>
      </w:pPr>
      <w:r>
        <w:rPr>
          <w:rFonts w:hint="eastAsia" w:ascii="宋体" w:hAnsi="宋体" w:cs="宋体"/>
          <w:bCs/>
          <w:sz w:val="28"/>
          <w:szCs w:val="28"/>
        </w:rPr>
        <w:t>项目编号：</w:t>
      </w:r>
    </w:p>
    <w:p w14:paraId="5A57C2F9">
      <w:pPr>
        <w:snapToGrid w:val="0"/>
        <w:spacing w:before="120" w:beforeLines="50" w:after="50"/>
        <w:ind w:firstLine="1680" w:firstLineChars="600"/>
        <w:rPr>
          <w:rFonts w:ascii="宋体" w:hAnsi="宋体" w:cs="宋体"/>
          <w:bCs/>
          <w:sz w:val="28"/>
          <w:szCs w:val="28"/>
        </w:rPr>
      </w:pPr>
      <w:r>
        <w:rPr>
          <w:rFonts w:hint="eastAsia" w:ascii="宋体" w:hAnsi="宋体" w:cs="宋体"/>
          <w:bCs/>
          <w:sz w:val="28"/>
          <w:szCs w:val="28"/>
        </w:rPr>
        <w:t>所投分标：</w:t>
      </w:r>
    </w:p>
    <w:p w14:paraId="68314B6F">
      <w:pPr>
        <w:pStyle w:val="8"/>
        <w:snapToGrid w:val="0"/>
        <w:spacing w:before="50" w:after="50"/>
        <w:ind w:firstLine="1680" w:firstLineChars="600"/>
        <w:rPr>
          <w:rFonts w:ascii="宋体" w:hAnsi="宋体" w:cs="宋体"/>
          <w:bCs/>
          <w:sz w:val="28"/>
          <w:szCs w:val="28"/>
        </w:rPr>
      </w:pPr>
      <w:r>
        <w:rPr>
          <w:rFonts w:hint="eastAsia" w:ascii="宋体" w:hAnsi="宋体" w:cs="宋体"/>
          <w:bCs/>
          <w:sz w:val="28"/>
          <w:szCs w:val="28"/>
        </w:rPr>
        <w:t>投标人名称：</w:t>
      </w:r>
    </w:p>
    <w:p w14:paraId="51C82767">
      <w:pPr>
        <w:pStyle w:val="8"/>
        <w:snapToGrid w:val="0"/>
        <w:spacing w:before="50" w:after="50"/>
        <w:ind w:firstLine="1680" w:firstLineChars="600"/>
        <w:rPr>
          <w:rFonts w:ascii="宋体" w:hAnsi="宋体" w:cs="宋体"/>
          <w:bCs/>
          <w:sz w:val="28"/>
          <w:szCs w:val="28"/>
        </w:rPr>
      </w:pPr>
      <w:r>
        <w:rPr>
          <w:rFonts w:hint="eastAsia" w:ascii="宋体" w:hAnsi="宋体" w:cs="宋体"/>
          <w:bCs/>
          <w:sz w:val="28"/>
          <w:szCs w:val="28"/>
        </w:rPr>
        <w:t>投标人地址：</w:t>
      </w:r>
    </w:p>
    <w:p w14:paraId="6ED2B391">
      <w:pPr>
        <w:pStyle w:val="8"/>
        <w:snapToGrid w:val="0"/>
        <w:spacing w:before="50" w:after="50"/>
        <w:ind w:firstLine="1680" w:firstLineChars="600"/>
        <w:rPr>
          <w:rFonts w:ascii="宋体" w:hAnsi="宋体" w:cs="宋体"/>
          <w:bCs/>
          <w:sz w:val="28"/>
          <w:szCs w:val="28"/>
        </w:rPr>
      </w:pPr>
    </w:p>
    <w:p w14:paraId="30DE4D17">
      <w:pPr>
        <w:snapToGrid w:val="0"/>
        <w:spacing w:before="120" w:beforeLines="50" w:after="50"/>
        <w:ind w:firstLine="1680" w:firstLineChars="600"/>
        <w:rPr>
          <w:rFonts w:ascii="宋体" w:hAnsi="宋体" w:cs="宋体"/>
          <w:sz w:val="28"/>
          <w:szCs w:val="28"/>
        </w:rPr>
      </w:pPr>
      <w:r>
        <w:rPr>
          <w:rFonts w:hint="eastAsia" w:ascii="宋体" w:hAnsi="宋体" w:cs="宋体"/>
          <w:sz w:val="28"/>
          <w:szCs w:val="28"/>
        </w:rPr>
        <w:t xml:space="preserve">                        年  月  日</w:t>
      </w:r>
    </w:p>
    <w:p w14:paraId="7F623E93">
      <w:pPr>
        <w:snapToGrid w:val="0"/>
        <w:spacing w:before="120" w:beforeLines="50" w:after="50"/>
        <w:rPr>
          <w:rFonts w:ascii="宋体" w:hAnsi="宋体" w:cs="宋体"/>
          <w:sz w:val="24"/>
          <w:szCs w:val="20"/>
        </w:rPr>
      </w:pPr>
      <w:r>
        <w:rPr>
          <w:rFonts w:hint="eastAsia" w:ascii="宋体" w:hAnsi="宋体" w:cs="宋体"/>
          <w:sz w:val="24"/>
          <w:szCs w:val="20"/>
        </w:rPr>
        <w:t xml:space="preserve"> </w:t>
      </w:r>
    </w:p>
    <w:p w14:paraId="558EBA27">
      <w:pPr>
        <w:snapToGrid w:val="0"/>
        <w:spacing w:line="360" w:lineRule="auto"/>
        <w:jc w:val="left"/>
        <w:rPr>
          <w:rFonts w:ascii="宋体" w:hAnsi="宋体" w:cs="宋体"/>
          <w:b/>
          <w:bCs/>
          <w:sz w:val="28"/>
          <w:szCs w:val="28"/>
        </w:rPr>
      </w:pPr>
      <w:r>
        <w:rPr>
          <w:rFonts w:hint="eastAsia" w:ascii="宋体" w:hAnsi="宋体" w:cs="宋体"/>
          <w:sz w:val="24"/>
          <w:szCs w:val="20"/>
        </w:rPr>
        <w:br w:type="page"/>
      </w:r>
      <w:r>
        <w:rPr>
          <w:rFonts w:hint="eastAsia" w:ascii="宋体" w:hAnsi="宋体" w:cs="宋体"/>
          <w:b/>
          <w:bCs/>
          <w:sz w:val="24"/>
        </w:rPr>
        <w:t>2.商务文件目录</w:t>
      </w:r>
    </w:p>
    <w:p w14:paraId="5876BD65">
      <w:pPr>
        <w:snapToGrid w:val="0"/>
        <w:spacing w:before="50" w:after="120" w:afterLines="50" w:line="360" w:lineRule="auto"/>
        <w:ind w:firstLine="480" w:firstLineChars="200"/>
        <w:jc w:val="left"/>
        <w:rPr>
          <w:rFonts w:ascii="宋体" w:hAnsi="宋体" w:cs="宋体"/>
          <w:b/>
          <w:bCs/>
          <w:sz w:val="32"/>
          <w:szCs w:val="32"/>
        </w:rPr>
      </w:pPr>
      <w:r>
        <w:rPr>
          <w:rFonts w:hint="eastAsia" w:ascii="宋体" w:hAnsi="宋体" w:cs="宋体"/>
          <w:sz w:val="24"/>
        </w:rPr>
        <w:t>根据招标文件规定及投标人提供的材料自行编写目录。</w:t>
      </w:r>
    </w:p>
    <w:p w14:paraId="112DBD7F">
      <w:pPr>
        <w:snapToGrid w:val="0"/>
        <w:spacing w:before="50" w:after="120" w:afterLines="50"/>
        <w:jc w:val="left"/>
        <w:rPr>
          <w:rFonts w:ascii="宋体" w:hAnsi="宋体" w:cs="宋体"/>
        </w:rPr>
      </w:pPr>
    </w:p>
    <w:p w14:paraId="2915F609">
      <w:pPr>
        <w:snapToGrid w:val="0"/>
        <w:spacing w:before="120" w:beforeLines="50" w:after="50"/>
        <w:jc w:val="left"/>
        <w:rPr>
          <w:rFonts w:ascii="宋体" w:hAnsi="宋体" w:cs="宋体"/>
          <w:b/>
          <w:sz w:val="24"/>
        </w:rPr>
      </w:pPr>
      <w:r>
        <w:rPr>
          <w:rFonts w:hint="eastAsia" w:ascii="宋体" w:hAnsi="宋体" w:cs="宋体"/>
          <w:b/>
          <w:sz w:val="24"/>
        </w:rPr>
        <w:br w:type="page"/>
      </w:r>
      <w:r>
        <w:rPr>
          <w:rFonts w:hint="eastAsia" w:ascii="宋体" w:hAnsi="宋体" w:cs="宋体"/>
          <w:b/>
          <w:sz w:val="24"/>
        </w:rPr>
        <w:t>3.投标人参加本项目无围标串标行为的承诺</w:t>
      </w:r>
    </w:p>
    <w:p w14:paraId="07D53461">
      <w:pPr>
        <w:snapToGrid w:val="0"/>
        <w:spacing w:before="120" w:beforeLines="50" w:after="50"/>
        <w:jc w:val="left"/>
        <w:rPr>
          <w:rFonts w:ascii="宋体" w:hAnsi="宋体" w:cs="宋体"/>
          <w:b/>
          <w:sz w:val="24"/>
        </w:rPr>
      </w:pPr>
    </w:p>
    <w:p w14:paraId="4350E608">
      <w:pPr>
        <w:spacing w:line="360" w:lineRule="auto"/>
        <w:ind w:left="420"/>
        <w:contextualSpacing/>
        <w:jc w:val="center"/>
        <w:rPr>
          <w:rFonts w:ascii="宋体" w:hAnsi="宋体" w:cs="宋体"/>
          <w:b/>
          <w:sz w:val="24"/>
        </w:rPr>
      </w:pPr>
      <w:r>
        <w:rPr>
          <w:rFonts w:hint="eastAsia" w:ascii="宋体" w:hAnsi="宋体" w:cs="宋体"/>
          <w:bCs/>
          <w:spacing w:val="-11"/>
          <w:sz w:val="44"/>
          <w:szCs w:val="44"/>
        </w:rPr>
        <w:t>投标人参加本项目无围标串标行为的承诺函</w:t>
      </w:r>
    </w:p>
    <w:p w14:paraId="5DA1572F">
      <w:pPr>
        <w:spacing w:line="440" w:lineRule="exact"/>
        <w:contextualSpacing/>
        <w:jc w:val="left"/>
        <w:rPr>
          <w:rFonts w:ascii="宋体" w:hAnsi="宋体" w:cs="宋体"/>
          <w:b/>
          <w:sz w:val="24"/>
        </w:rPr>
      </w:pPr>
      <w:r>
        <w:rPr>
          <w:rFonts w:hint="eastAsia" w:ascii="宋体" w:hAnsi="宋体" w:cs="宋体"/>
          <w:b/>
          <w:sz w:val="24"/>
        </w:rPr>
        <w:t>一、我方承诺无下列相互串通投标的情形：</w:t>
      </w:r>
    </w:p>
    <w:p w14:paraId="732975D6">
      <w:pPr>
        <w:spacing w:line="440" w:lineRule="exact"/>
        <w:ind w:firstLine="470" w:firstLineChars="196"/>
        <w:contextualSpacing/>
        <w:jc w:val="left"/>
        <w:rPr>
          <w:rFonts w:ascii="宋体" w:hAnsi="宋体" w:cs="宋体"/>
          <w:sz w:val="24"/>
        </w:rPr>
      </w:pPr>
      <w:r>
        <w:rPr>
          <w:rFonts w:hint="eastAsia" w:ascii="宋体" w:hAnsi="宋体" w:cs="宋体"/>
          <w:sz w:val="24"/>
        </w:rPr>
        <w:t>1.不同投标人的投标文件由同一单位或者个人编制；</w:t>
      </w:r>
    </w:p>
    <w:p w14:paraId="57961932">
      <w:pPr>
        <w:spacing w:line="440" w:lineRule="exact"/>
        <w:ind w:firstLine="470" w:firstLineChars="196"/>
        <w:contextualSpacing/>
        <w:jc w:val="left"/>
        <w:rPr>
          <w:rFonts w:ascii="宋体" w:hAnsi="宋体" w:cs="宋体"/>
          <w:sz w:val="24"/>
        </w:rPr>
      </w:pPr>
      <w:r>
        <w:rPr>
          <w:rFonts w:hint="eastAsia" w:ascii="宋体" w:hAnsi="宋体" w:cs="宋体"/>
          <w:sz w:val="24"/>
        </w:rPr>
        <w:t>2.不同投标人委托同一单位或者个人办理投标事宜；</w:t>
      </w:r>
    </w:p>
    <w:p w14:paraId="3D50E8C6">
      <w:pPr>
        <w:spacing w:line="440" w:lineRule="exact"/>
        <w:ind w:firstLine="470" w:firstLineChars="196"/>
        <w:contextualSpacing/>
        <w:jc w:val="left"/>
        <w:rPr>
          <w:rFonts w:ascii="宋体" w:hAnsi="宋体" w:cs="宋体"/>
          <w:sz w:val="24"/>
        </w:rPr>
      </w:pPr>
      <w:r>
        <w:rPr>
          <w:rFonts w:hint="eastAsia" w:ascii="宋体" w:hAnsi="宋体" w:cs="宋体"/>
          <w:sz w:val="24"/>
        </w:rPr>
        <w:t>3.不同的投标人的投标文件载明的项目管理员为同一个人；</w:t>
      </w:r>
    </w:p>
    <w:p w14:paraId="753CE324">
      <w:pPr>
        <w:spacing w:line="440" w:lineRule="exact"/>
        <w:ind w:firstLine="470" w:firstLineChars="196"/>
        <w:contextualSpacing/>
        <w:jc w:val="left"/>
        <w:rPr>
          <w:rFonts w:ascii="宋体" w:hAnsi="宋体" w:cs="宋体"/>
          <w:sz w:val="24"/>
        </w:rPr>
      </w:pPr>
      <w:r>
        <w:rPr>
          <w:rFonts w:hint="eastAsia" w:ascii="宋体" w:hAnsi="宋体" w:cs="宋体"/>
          <w:sz w:val="24"/>
        </w:rPr>
        <w:t>4.不同投标人的投标文件异常一致或者投标报价呈规律性差异；</w:t>
      </w:r>
    </w:p>
    <w:p w14:paraId="45F8EAE9">
      <w:pPr>
        <w:spacing w:line="440" w:lineRule="exact"/>
        <w:ind w:firstLine="470" w:firstLineChars="196"/>
        <w:contextualSpacing/>
        <w:jc w:val="left"/>
        <w:rPr>
          <w:rFonts w:ascii="宋体" w:hAnsi="宋体" w:cs="宋体"/>
          <w:sz w:val="24"/>
        </w:rPr>
      </w:pPr>
      <w:r>
        <w:rPr>
          <w:rFonts w:hint="eastAsia" w:ascii="宋体" w:hAnsi="宋体" w:cs="宋体"/>
          <w:sz w:val="24"/>
        </w:rPr>
        <w:t>5.不同投标人的投标文件相互混装；</w:t>
      </w:r>
    </w:p>
    <w:p w14:paraId="3CE233D3">
      <w:pPr>
        <w:spacing w:line="440" w:lineRule="exact"/>
        <w:ind w:firstLine="470" w:firstLineChars="196"/>
        <w:contextualSpacing/>
        <w:jc w:val="left"/>
        <w:rPr>
          <w:rFonts w:ascii="宋体" w:hAnsi="宋体" w:cs="宋体"/>
          <w:sz w:val="24"/>
        </w:rPr>
      </w:pPr>
      <w:r>
        <w:rPr>
          <w:rFonts w:hint="eastAsia" w:ascii="宋体" w:hAnsi="宋体" w:cs="宋体"/>
          <w:sz w:val="24"/>
        </w:rPr>
        <w:t>6.不同投标人的投标保证金从同一单位或者个人账户转出。</w:t>
      </w:r>
    </w:p>
    <w:p w14:paraId="4F10B3E8">
      <w:pPr>
        <w:spacing w:line="440" w:lineRule="exact"/>
        <w:contextualSpacing/>
        <w:jc w:val="left"/>
        <w:rPr>
          <w:rFonts w:ascii="宋体" w:hAnsi="宋体" w:cs="宋体"/>
          <w:sz w:val="24"/>
        </w:rPr>
      </w:pPr>
      <w:r>
        <w:rPr>
          <w:rFonts w:hint="eastAsia" w:ascii="宋体" w:hAnsi="宋体" w:cs="宋体"/>
          <w:b/>
          <w:sz w:val="24"/>
        </w:rPr>
        <w:t>二、我方承诺无下列恶意串通的情形：</w:t>
      </w:r>
    </w:p>
    <w:p w14:paraId="36D6534F">
      <w:pPr>
        <w:spacing w:line="440" w:lineRule="exact"/>
        <w:ind w:firstLine="470" w:firstLineChars="196"/>
        <w:contextualSpacing/>
        <w:jc w:val="left"/>
        <w:rPr>
          <w:rFonts w:ascii="宋体" w:hAnsi="宋体" w:cs="宋体"/>
          <w:sz w:val="24"/>
        </w:rPr>
      </w:pPr>
      <w:r>
        <w:rPr>
          <w:rFonts w:hint="eastAsia" w:ascii="宋体" w:hAnsi="宋体" w:cs="宋体"/>
          <w:sz w:val="24"/>
        </w:rPr>
        <w:t>1.投标人直接或者间接从采购人或者采购代理机构处获得其他投标人的相关信息并修改其投标文件或者响应文件；</w:t>
      </w:r>
    </w:p>
    <w:p w14:paraId="6F53A3EB">
      <w:pPr>
        <w:spacing w:line="440" w:lineRule="exact"/>
        <w:ind w:firstLine="470" w:firstLineChars="196"/>
        <w:contextualSpacing/>
        <w:jc w:val="left"/>
        <w:rPr>
          <w:rFonts w:ascii="宋体" w:hAnsi="宋体" w:cs="宋体"/>
          <w:sz w:val="24"/>
        </w:rPr>
      </w:pPr>
      <w:r>
        <w:rPr>
          <w:rFonts w:hint="eastAsia" w:ascii="宋体" w:hAnsi="宋体" w:cs="宋体"/>
          <w:sz w:val="24"/>
        </w:rPr>
        <w:t>2.投标人按照采购人或者采购代理机构的授意撤换、修改投标文件或者响应文件；</w:t>
      </w:r>
    </w:p>
    <w:p w14:paraId="5DDB5637">
      <w:pPr>
        <w:spacing w:line="440" w:lineRule="exact"/>
        <w:ind w:firstLine="470" w:firstLineChars="196"/>
        <w:contextualSpacing/>
        <w:jc w:val="left"/>
        <w:rPr>
          <w:rFonts w:ascii="宋体" w:hAnsi="宋体" w:cs="宋体"/>
          <w:sz w:val="24"/>
        </w:rPr>
      </w:pPr>
      <w:r>
        <w:rPr>
          <w:rFonts w:hint="eastAsia" w:ascii="宋体" w:hAnsi="宋体" w:cs="宋体"/>
          <w:sz w:val="24"/>
        </w:rPr>
        <w:t>3.投标人之间协商报价、技术方案等投标文件或者响应文件的实质性内容；</w:t>
      </w:r>
    </w:p>
    <w:p w14:paraId="4AB7FEDE">
      <w:pPr>
        <w:spacing w:line="440" w:lineRule="exact"/>
        <w:ind w:firstLine="470" w:firstLineChars="196"/>
        <w:contextualSpacing/>
        <w:jc w:val="left"/>
        <w:rPr>
          <w:rFonts w:ascii="宋体" w:hAnsi="宋体" w:cs="宋体"/>
          <w:sz w:val="24"/>
        </w:rPr>
      </w:pPr>
      <w:r>
        <w:rPr>
          <w:rFonts w:hint="eastAsia" w:ascii="宋体" w:hAnsi="宋体" w:cs="宋体"/>
          <w:sz w:val="24"/>
        </w:rPr>
        <w:t>4.属于同一集团、协会、商会等组织成员的投标人按照该组织要求协同参加政府采购活动；</w:t>
      </w:r>
    </w:p>
    <w:p w14:paraId="74CA4437">
      <w:pPr>
        <w:spacing w:line="440" w:lineRule="exact"/>
        <w:ind w:firstLine="470" w:firstLineChars="196"/>
        <w:contextualSpacing/>
        <w:jc w:val="left"/>
        <w:rPr>
          <w:rFonts w:ascii="宋体" w:hAnsi="宋体" w:cs="宋体"/>
          <w:sz w:val="24"/>
        </w:rPr>
      </w:pPr>
      <w:r>
        <w:rPr>
          <w:rFonts w:hint="eastAsia" w:ascii="宋体" w:hAnsi="宋体" w:cs="宋体"/>
          <w:sz w:val="24"/>
        </w:rPr>
        <w:t>5.投标人之间事先约定一致抬高或者压低投标报价，或者在招标项目中事先约定轮流以高价位或者低价位中标，或者事先约定由某一特定投标人中标，然后再参加投标；</w:t>
      </w:r>
    </w:p>
    <w:p w14:paraId="3A118E06">
      <w:pPr>
        <w:spacing w:line="440" w:lineRule="exact"/>
        <w:ind w:firstLine="470" w:firstLineChars="196"/>
        <w:contextualSpacing/>
        <w:jc w:val="left"/>
        <w:rPr>
          <w:rFonts w:ascii="宋体" w:hAnsi="宋体" w:cs="宋体"/>
          <w:sz w:val="24"/>
        </w:rPr>
      </w:pPr>
      <w:r>
        <w:rPr>
          <w:rFonts w:hint="eastAsia" w:ascii="宋体" w:hAnsi="宋体" w:cs="宋体"/>
          <w:sz w:val="24"/>
        </w:rPr>
        <w:t>6.投标人之间商定部分投标人放弃参加政府采购活动或者放弃中标；</w:t>
      </w:r>
    </w:p>
    <w:p w14:paraId="42928A26">
      <w:pPr>
        <w:spacing w:line="440" w:lineRule="exact"/>
        <w:ind w:firstLine="470" w:firstLineChars="196"/>
        <w:contextualSpacing/>
        <w:jc w:val="left"/>
        <w:rPr>
          <w:rFonts w:ascii="宋体" w:hAnsi="宋体" w:cs="宋体"/>
          <w:sz w:val="24"/>
        </w:rPr>
      </w:pPr>
      <w:r>
        <w:rPr>
          <w:rFonts w:hint="eastAsia" w:ascii="宋体" w:hAnsi="宋体" w:cs="宋体"/>
          <w:sz w:val="24"/>
        </w:rPr>
        <w:t>7.投标人与采购人或者采购代理机构之间、投标人相互之间，为谋求特定投标人中标或者排斥其他投标人的其他串通行为。</w:t>
      </w:r>
    </w:p>
    <w:p w14:paraId="7A444DB3">
      <w:pPr>
        <w:spacing w:line="440" w:lineRule="exact"/>
        <w:ind w:firstLine="472" w:firstLineChars="196"/>
        <w:contextualSpacing/>
        <w:jc w:val="left"/>
        <w:rPr>
          <w:rFonts w:ascii="宋体" w:hAnsi="宋体" w:cs="宋体"/>
          <w:b/>
          <w:sz w:val="24"/>
        </w:rPr>
      </w:pPr>
      <w:r>
        <w:rPr>
          <w:rFonts w:hint="eastAsia" w:ascii="宋体" w:hAnsi="宋体" w:cs="宋体"/>
          <w:b/>
          <w:sz w:val="24"/>
        </w:rPr>
        <w:t>以上情形一经核查属实，我方愿意承担一切后果，并不再寻求任何旨在减轻或者免除法律责任的辩解。</w:t>
      </w:r>
    </w:p>
    <w:p w14:paraId="7D5549B6">
      <w:pPr>
        <w:pStyle w:val="26"/>
        <w:spacing w:line="440" w:lineRule="exact"/>
        <w:ind w:firstLine="6840" w:firstLineChars="2850"/>
        <w:contextualSpacing/>
        <w:rPr>
          <w:rFonts w:hAnsi="宋体" w:cs="宋体"/>
          <w:sz w:val="24"/>
          <w:szCs w:val="24"/>
        </w:rPr>
      </w:pPr>
    </w:p>
    <w:p w14:paraId="33412404">
      <w:pPr>
        <w:pStyle w:val="26"/>
        <w:spacing w:line="440" w:lineRule="exact"/>
        <w:contextualSpacing/>
        <w:jc w:val="center"/>
        <w:rPr>
          <w:rFonts w:hAnsi="宋体" w:cs="宋体"/>
          <w:sz w:val="24"/>
          <w:szCs w:val="24"/>
          <w:u w:val="single"/>
        </w:rPr>
      </w:pPr>
      <w:r>
        <w:rPr>
          <w:rFonts w:hint="eastAsia" w:hAnsi="宋体" w:cs="宋体"/>
          <w:sz w:val="24"/>
          <w:szCs w:val="24"/>
        </w:rPr>
        <w:t xml:space="preserve">                                    投标人名称（公章）：</w:t>
      </w:r>
      <w:r>
        <w:rPr>
          <w:rFonts w:hint="eastAsia" w:hAnsi="宋体" w:cs="宋体"/>
          <w:sz w:val="24"/>
          <w:szCs w:val="24"/>
          <w:u w:val="single"/>
        </w:rPr>
        <w:t xml:space="preserve"> </w:t>
      </w:r>
      <w:r>
        <w:rPr>
          <w:rFonts w:hAnsi="宋体" w:cs="宋体"/>
          <w:sz w:val="24"/>
          <w:szCs w:val="24"/>
          <w:u w:val="single"/>
        </w:rPr>
        <w:t xml:space="preserve">           </w:t>
      </w:r>
      <w:r>
        <w:rPr>
          <w:rFonts w:hint="eastAsia" w:hAnsi="宋体" w:cs="宋体"/>
          <w:sz w:val="24"/>
          <w:szCs w:val="24"/>
        </w:rPr>
        <w:t xml:space="preserve"> </w:t>
      </w:r>
      <w:r>
        <w:rPr>
          <w:rFonts w:hAnsi="宋体" w:cs="宋体"/>
          <w:sz w:val="24"/>
          <w:szCs w:val="24"/>
        </w:rPr>
        <w:t xml:space="preserve">    </w:t>
      </w:r>
    </w:p>
    <w:p w14:paraId="4EF422CD">
      <w:pPr>
        <w:pStyle w:val="26"/>
        <w:spacing w:line="440" w:lineRule="exact"/>
        <w:contextualSpacing/>
        <w:rPr>
          <w:rFonts w:hAnsi="宋体" w:cs="宋体"/>
          <w:sz w:val="24"/>
        </w:rPr>
      </w:pPr>
      <w:r>
        <w:rPr>
          <w:rFonts w:hint="eastAsia" w:hAnsi="宋体" w:cs="宋体"/>
          <w:sz w:val="24"/>
        </w:rPr>
        <w:t xml:space="preserve">                                               </w:t>
      </w:r>
      <w:r>
        <w:rPr>
          <w:rFonts w:hint="eastAsia" w:hAnsi="宋体" w:cs="宋体"/>
          <w:sz w:val="24"/>
          <w:szCs w:val="24"/>
        </w:rPr>
        <w:t>日期：</w:t>
      </w:r>
      <w:r>
        <w:rPr>
          <w:rFonts w:hAnsi="宋体" w:cs="宋体"/>
          <w:sz w:val="24"/>
          <w:szCs w:val="24"/>
          <w:u w:val="single"/>
        </w:rPr>
        <w:t xml:space="preserve">      </w:t>
      </w:r>
      <w:r>
        <w:rPr>
          <w:rFonts w:hint="eastAsia" w:hAnsi="宋体" w:cs="宋体"/>
          <w:sz w:val="24"/>
          <w:szCs w:val="24"/>
        </w:rPr>
        <w:t>年</w:t>
      </w:r>
      <w:r>
        <w:rPr>
          <w:rFonts w:hAnsi="宋体" w:cs="宋体"/>
          <w:sz w:val="24"/>
          <w:szCs w:val="24"/>
          <w:u w:val="single"/>
        </w:rPr>
        <w:t xml:space="preserve">    </w:t>
      </w:r>
      <w:r>
        <w:rPr>
          <w:rFonts w:hint="eastAsia" w:hAnsi="宋体" w:cs="宋体"/>
          <w:sz w:val="24"/>
          <w:szCs w:val="24"/>
        </w:rPr>
        <w:t>月</w:t>
      </w:r>
      <w:r>
        <w:rPr>
          <w:rFonts w:hAnsi="宋体" w:cs="宋体"/>
          <w:sz w:val="24"/>
          <w:szCs w:val="24"/>
          <w:u w:val="single"/>
        </w:rPr>
        <w:t xml:space="preserve">     </w:t>
      </w:r>
      <w:r>
        <w:rPr>
          <w:rFonts w:hint="eastAsia" w:hAnsi="宋体" w:cs="宋体"/>
          <w:sz w:val="24"/>
          <w:szCs w:val="24"/>
        </w:rPr>
        <w:t>日</w:t>
      </w:r>
    </w:p>
    <w:p w14:paraId="255CBAEE">
      <w:pPr>
        <w:snapToGrid w:val="0"/>
        <w:spacing w:before="120" w:beforeLines="50" w:after="50"/>
        <w:jc w:val="left"/>
        <w:rPr>
          <w:rFonts w:ascii="宋体" w:hAnsi="宋体" w:cs="宋体"/>
          <w:b/>
          <w:sz w:val="24"/>
          <w:szCs w:val="20"/>
        </w:rPr>
      </w:pPr>
      <w:r>
        <w:rPr>
          <w:rFonts w:hint="eastAsia" w:ascii="宋体" w:hAnsi="宋体" w:cs="宋体"/>
          <w:b/>
          <w:sz w:val="24"/>
        </w:rPr>
        <w:br w:type="page"/>
      </w:r>
      <w:r>
        <w:rPr>
          <w:rFonts w:hint="eastAsia" w:ascii="宋体" w:hAnsi="宋体" w:cs="宋体"/>
          <w:b/>
          <w:sz w:val="24"/>
        </w:rPr>
        <w:t>4.法定代表人身份证明</w:t>
      </w:r>
    </w:p>
    <w:p w14:paraId="33B35167">
      <w:pPr>
        <w:spacing w:before="240" w:beforeLines="100" w:after="120" w:afterLines="50"/>
        <w:ind w:left="540"/>
        <w:jc w:val="center"/>
        <w:rPr>
          <w:rFonts w:ascii="宋体" w:hAnsi="宋体" w:cs="宋体"/>
          <w:bCs/>
          <w:sz w:val="44"/>
          <w:szCs w:val="44"/>
        </w:rPr>
      </w:pPr>
    </w:p>
    <w:p w14:paraId="123C3D45">
      <w:pPr>
        <w:spacing w:before="240" w:beforeLines="100" w:after="120" w:afterLines="50"/>
        <w:ind w:left="540"/>
        <w:jc w:val="center"/>
        <w:rPr>
          <w:rFonts w:ascii="宋体" w:hAnsi="宋体" w:cs="宋体"/>
          <w:bCs/>
          <w:sz w:val="44"/>
          <w:szCs w:val="44"/>
        </w:rPr>
      </w:pPr>
      <w:r>
        <w:rPr>
          <w:rFonts w:hint="eastAsia" w:ascii="宋体" w:hAnsi="宋体" w:cs="宋体"/>
          <w:bCs/>
          <w:sz w:val="44"/>
          <w:szCs w:val="44"/>
        </w:rPr>
        <w:t>法定代表人身份证明</w:t>
      </w:r>
    </w:p>
    <w:p w14:paraId="21E2A0B4">
      <w:pPr>
        <w:spacing w:line="500" w:lineRule="exact"/>
        <w:ind w:left="540"/>
        <w:rPr>
          <w:rFonts w:ascii="宋体" w:hAnsi="宋体" w:cs="宋体"/>
          <w:sz w:val="24"/>
        </w:rPr>
      </w:pPr>
      <w:r>
        <w:rPr>
          <w:rFonts w:hint="eastAsia" w:ascii="宋体" w:hAnsi="宋体" w:cs="宋体"/>
          <w:sz w:val="24"/>
        </w:rPr>
        <w:t>投 标 人：</w:t>
      </w:r>
      <w:r>
        <w:rPr>
          <w:rFonts w:hint="eastAsia" w:ascii="宋体" w:hAnsi="宋体" w:cs="宋体"/>
          <w:sz w:val="24"/>
          <w:u w:val="single"/>
        </w:rPr>
        <w:t xml:space="preserve">                                                        </w:t>
      </w:r>
    </w:p>
    <w:p w14:paraId="413D3D4F">
      <w:pPr>
        <w:spacing w:line="500" w:lineRule="exact"/>
        <w:ind w:left="540"/>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w:t>
      </w:r>
    </w:p>
    <w:p w14:paraId="27755CFF">
      <w:pPr>
        <w:spacing w:line="500" w:lineRule="exact"/>
        <w:ind w:left="540"/>
        <w:rPr>
          <w:rFonts w:ascii="宋体" w:hAnsi="宋体" w:cs="宋体"/>
          <w:sz w:val="24"/>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      别：</w:t>
      </w:r>
      <w:r>
        <w:rPr>
          <w:rFonts w:hint="eastAsia" w:ascii="宋体" w:hAnsi="宋体" w:cs="宋体"/>
          <w:sz w:val="24"/>
          <w:u w:val="single"/>
        </w:rPr>
        <w:t xml:space="preserve">                </w:t>
      </w:r>
    </w:p>
    <w:p w14:paraId="5A5D15F0">
      <w:pPr>
        <w:spacing w:line="500" w:lineRule="exact"/>
        <w:ind w:left="540"/>
        <w:rPr>
          <w:rFonts w:ascii="宋体" w:hAnsi="宋体" w:cs="宋体"/>
          <w:sz w:val="24"/>
          <w:u w:val="single"/>
        </w:rPr>
      </w:pPr>
      <w:r>
        <w:rPr>
          <w:rFonts w:hint="eastAsia" w:ascii="宋体" w:hAnsi="宋体" w:cs="宋体"/>
          <w:sz w:val="24"/>
        </w:rPr>
        <w:t>年    龄：</w:t>
      </w:r>
      <w:r>
        <w:rPr>
          <w:rFonts w:hint="eastAsia" w:ascii="宋体" w:hAnsi="宋体" w:cs="宋体"/>
          <w:sz w:val="24"/>
          <w:u w:val="single"/>
        </w:rPr>
        <w:t xml:space="preserve">                          </w:t>
      </w:r>
      <w:r>
        <w:rPr>
          <w:rFonts w:hint="eastAsia" w:ascii="宋体" w:hAnsi="宋体" w:cs="宋体"/>
          <w:sz w:val="24"/>
        </w:rPr>
        <w:t>职      务：</w:t>
      </w:r>
      <w:r>
        <w:rPr>
          <w:rFonts w:hint="eastAsia" w:ascii="宋体" w:hAnsi="宋体" w:cs="宋体"/>
          <w:sz w:val="24"/>
          <w:u w:val="single"/>
        </w:rPr>
        <w:t xml:space="preserve">                </w:t>
      </w:r>
    </w:p>
    <w:p w14:paraId="48E635C9">
      <w:pPr>
        <w:spacing w:line="500" w:lineRule="exact"/>
        <w:ind w:left="540"/>
        <w:rPr>
          <w:rFonts w:ascii="宋体" w:hAnsi="宋体" w:cs="宋体"/>
          <w:sz w:val="24"/>
        </w:rPr>
      </w:pPr>
      <w:r>
        <w:rPr>
          <w:rFonts w:hint="eastAsia" w:ascii="宋体" w:hAnsi="宋体" w:cs="宋体"/>
          <w:sz w:val="24"/>
        </w:rPr>
        <w:t>身份证号码：</w:t>
      </w:r>
      <w:r>
        <w:rPr>
          <w:rFonts w:hint="eastAsia" w:ascii="宋体" w:hAnsi="宋体" w:cs="宋体"/>
          <w:sz w:val="24"/>
          <w:u w:val="single"/>
        </w:rPr>
        <w:t xml:space="preserve">                                 </w:t>
      </w:r>
    </w:p>
    <w:p w14:paraId="61579621">
      <w:pPr>
        <w:spacing w:line="500" w:lineRule="exact"/>
        <w:ind w:left="54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（投标人名称）              </w:t>
      </w:r>
      <w:r>
        <w:rPr>
          <w:rFonts w:hint="eastAsia" w:ascii="宋体" w:hAnsi="宋体" w:cs="宋体"/>
          <w:sz w:val="24"/>
        </w:rPr>
        <w:t>的法定代表人。</w:t>
      </w:r>
    </w:p>
    <w:p w14:paraId="43AF5EE0">
      <w:pPr>
        <w:spacing w:line="500" w:lineRule="exact"/>
        <w:ind w:left="540"/>
        <w:rPr>
          <w:rFonts w:ascii="宋体" w:hAnsi="宋体" w:cs="宋体"/>
          <w:sz w:val="24"/>
        </w:rPr>
      </w:pPr>
      <w:r>
        <w:rPr>
          <w:rFonts w:hint="eastAsia" w:ascii="宋体" w:hAnsi="宋体" w:cs="宋体"/>
          <w:sz w:val="24"/>
        </w:rPr>
        <w:t>特此证明。</w:t>
      </w:r>
    </w:p>
    <w:p w14:paraId="62C84939">
      <w:pPr>
        <w:spacing w:line="500" w:lineRule="exact"/>
        <w:ind w:left="540"/>
        <w:rPr>
          <w:rFonts w:ascii="宋体" w:hAnsi="宋体" w:cs="宋体"/>
          <w:sz w:val="24"/>
        </w:rPr>
      </w:pPr>
    </w:p>
    <w:p w14:paraId="10F9A1C6">
      <w:pPr>
        <w:spacing w:line="500" w:lineRule="exact"/>
        <w:ind w:left="540"/>
        <w:rPr>
          <w:rFonts w:ascii="宋体" w:hAnsi="宋体" w:cs="宋体"/>
          <w:sz w:val="24"/>
        </w:rPr>
      </w:pPr>
    </w:p>
    <w:p w14:paraId="79A88691">
      <w:pPr>
        <w:spacing w:line="500" w:lineRule="exact"/>
        <w:ind w:left="540"/>
        <w:rPr>
          <w:rFonts w:ascii="宋体" w:hAnsi="宋体" w:cs="宋体"/>
          <w:sz w:val="24"/>
        </w:rPr>
      </w:pPr>
      <w:r>
        <w:rPr>
          <w:rFonts w:hint="eastAsia" w:ascii="宋体" w:hAnsi="宋体" w:cs="宋体"/>
          <w:sz w:val="24"/>
        </w:rPr>
        <w:t>附件：法定代表人有效身份证正反面复印件</w:t>
      </w:r>
    </w:p>
    <w:p w14:paraId="176103E5">
      <w:pPr>
        <w:spacing w:line="500" w:lineRule="exact"/>
        <w:ind w:left="540"/>
        <w:rPr>
          <w:rFonts w:ascii="宋体" w:hAnsi="宋体" w:cs="宋体"/>
          <w:sz w:val="24"/>
        </w:rPr>
      </w:pPr>
    </w:p>
    <w:p w14:paraId="62E2C0D3">
      <w:pPr>
        <w:wordWrap w:val="0"/>
        <w:spacing w:line="500" w:lineRule="exact"/>
        <w:ind w:left="540"/>
        <w:jc w:val="right"/>
        <w:rPr>
          <w:rFonts w:ascii="宋体" w:hAnsi="宋体" w:cs="宋体"/>
          <w:sz w:val="24"/>
          <w:u w:val="single"/>
        </w:rPr>
      </w:pPr>
      <w:r>
        <w:rPr>
          <w:rFonts w:hint="eastAsia" w:ascii="宋体" w:hAnsi="宋体" w:cs="宋体"/>
          <w:sz w:val="24"/>
        </w:rPr>
        <w:t>投标人名称（公章）：</w:t>
      </w:r>
      <w:r>
        <w:rPr>
          <w:rFonts w:hint="eastAsia" w:ascii="宋体" w:hAnsi="宋体" w:cs="宋体"/>
          <w:sz w:val="24"/>
          <w:u w:val="single"/>
        </w:rPr>
        <w:t xml:space="preserve"> </w:t>
      </w:r>
      <w:r>
        <w:rPr>
          <w:rFonts w:ascii="宋体" w:hAnsi="宋体" w:cs="宋体"/>
          <w:sz w:val="24"/>
          <w:u w:val="single"/>
        </w:rPr>
        <w:t xml:space="preserve">      </w:t>
      </w:r>
    </w:p>
    <w:p w14:paraId="74CF232E">
      <w:pPr>
        <w:spacing w:line="500" w:lineRule="exact"/>
        <w:ind w:left="540"/>
        <w:jc w:val="right"/>
        <w:rPr>
          <w:rFonts w:ascii="宋体" w:hAnsi="宋体" w:cs="宋体"/>
          <w:sz w:val="24"/>
        </w:rPr>
      </w:pPr>
    </w:p>
    <w:p w14:paraId="665794F6">
      <w:pPr>
        <w:snapToGrid w:val="0"/>
        <w:spacing w:before="120" w:beforeLines="50" w:after="50"/>
        <w:ind w:left="540"/>
        <w:jc w:val="right"/>
        <w:rPr>
          <w:rFonts w:ascii="宋体" w:hAnsi="宋体" w:cs="宋体"/>
          <w:sz w:val="24"/>
        </w:rPr>
      </w:pPr>
      <w:r>
        <w:rPr>
          <w:rFonts w:hint="eastAsia" w:hAnsi="宋体" w:cs="宋体"/>
          <w:sz w:val="24"/>
        </w:rPr>
        <w:t>日期：</w:t>
      </w:r>
      <w:r>
        <w:rPr>
          <w:rFonts w:hAnsi="宋体" w:cs="宋体"/>
          <w:sz w:val="24"/>
          <w:u w:val="single"/>
        </w:rPr>
        <w:t xml:space="preserve">      </w:t>
      </w:r>
      <w:r>
        <w:rPr>
          <w:rFonts w:hint="eastAsia" w:hAnsi="宋体" w:cs="宋体"/>
          <w:sz w:val="24"/>
        </w:rPr>
        <w:t>年</w:t>
      </w:r>
      <w:r>
        <w:rPr>
          <w:rFonts w:hAnsi="宋体" w:cs="宋体"/>
          <w:sz w:val="24"/>
          <w:u w:val="single"/>
        </w:rPr>
        <w:t xml:space="preserve">    </w:t>
      </w:r>
      <w:r>
        <w:rPr>
          <w:rFonts w:hint="eastAsia" w:hAnsi="宋体" w:cs="宋体"/>
          <w:sz w:val="24"/>
        </w:rPr>
        <w:t>月</w:t>
      </w:r>
      <w:r>
        <w:rPr>
          <w:rFonts w:hAnsi="宋体" w:cs="宋体"/>
          <w:sz w:val="24"/>
          <w:u w:val="single"/>
        </w:rPr>
        <w:t xml:space="preserve">     </w:t>
      </w:r>
      <w:r>
        <w:rPr>
          <w:rFonts w:hint="eastAsia" w:hAnsi="宋体" w:cs="宋体"/>
          <w:sz w:val="24"/>
        </w:rPr>
        <w:t>日</w:t>
      </w:r>
    </w:p>
    <w:p w14:paraId="7BD54118">
      <w:pPr>
        <w:snapToGrid w:val="0"/>
        <w:spacing w:before="120" w:beforeLines="50" w:after="50"/>
        <w:jc w:val="center"/>
        <w:rPr>
          <w:rFonts w:ascii="宋体" w:hAnsi="宋体" w:cs="宋体"/>
          <w:b/>
          <w:sz w:val="24"/>
        </w:rPr>
      </w:pPr>
    </w:p>
    <w:p w14:paraId="16A0964B">
      <w:pPr>
        <w:snapToGrid w:val="0"/>
        <w:spacing w:before="120" w:beforeLines="50" w:after="50"/>
        <w:jc w:val="left"/>
        <w:rPr>
          <w:rFonts w:ascii="楷体" w:hAnsi="楷体" w:eastAsia="楷体" w:cs="宋体"/>
          <w:b/>
          <w:sz w:val="24"/>
          <w:szCs w:val="20"/>
        </w:rPr>
      </w:pPr>
      <w:r>
        <w:rPr>
          <w:rFonts w:hint="eastAsia" w:ascii="楷体" w:hAnsi="楷体" w:eastAsia="楷体" w:cs="宋体"/>
          <w:b/>
          <w:sz w:val="24"/>
        </w:rPr>
        <w:t>注：</w:t>
      </w:r>
      <w:r>
        <w:rPr>
          <w:rFonts w:hint="eastAsia" w:ascii="楷体" w:hAnsi="楷体" w:eastAsia="楷体" w:cs="宋体"/>
          <w:sz w:val="24"/>
        </w:rPr>
        <w:t>自然人投标的无需提供</w:t>
      </w:r>
    </w:p>
    <w:p w14:paraId="0B4C5C3E">
      <w:pPr>
        <w:snapToGrid w:val="0"/>
        <w:spacing w:before="120" w:beforeLines="50" w:after="50"/>
        <w:jc w:val="left"/>
        <w:rPr>
          <w:rFonts w:ascii="宋体" w:hAnsi="宋体" w:cs="宋体"/>
          <w:b/>
          <w:sz w:val="24"/>
          <w:szCs w:val="20"/>
        </w:rPr>
      </w:pPr>
      <w:r>
        <w:rPr>
          <w:rFonts w:hint="eastAsia" w:ascii="宋体" w:hAnsi="宋体" w:cs="宋体"/>
          <w:b/>
          <w:sz w:val="24"/>
        </w:rPr>
        <w:br w:type="page"/>
      </w:r>
      <w:r>
        <w:rPr>
          <w:rFonts w:hint="eastAsia" w:ascii="宋体" w:hAnsi="宋体" w:cs="宋体"/>
          <w:b/>
          <w:sz w:val="24"/>
        </w:rPr>
        <w:t>5.授权委托书格式</w:t>
      </w:r>
    </w:p>
    <w:p w14:paraId="32C6439B">
      <w:pPr>
        <w:snapToGrid w:val="0"/>
        <w:spacing w:before="120" w:beforeLines="50" w:after="50"/>
        <w:jc w:val="center"/>
        <w:rPr>
          <w:rFonts w:ascii="宋体" w:hAnsi="宋体" w:cs="宋体"/>
          <w:b/>
          <w:sz w:val="44"/>
          <w:szCs w:val="44"/>
        </w:rPr>
      </w:pPr>
    </w:p>
    <w:p w14:paraId="456F3BEF">
      <w:pPr>
        <w:spacing w:line="360" w:lineRule="auto"/>
        <w:contextualSpacing/>
        <w:jc w:val="center"/>
        <w:rPr>
          <w:rFonts w:ascii="宋体" w:hAnsi="宋体" w:cs="宋体"/>
          <w:bCs/>
          <w:sz w:val="44"/>
          <w:szCs w:val="44"/>
        </w:rPr>
      </w:pPr>
      <w:r>
        <w:rPr>
          <w:rFonts w:hint="eastAsia" w:ascii="宋体" w:hAnsi="宋体" w:cs="宋体"/>
          <w:bCs/>
          <w:sz w:val="44"/>
          <w:szCs w:val="44"/>
        </w:rPr>
        <w:t>授权委托书</w:t>
      </w:r>
    </w:p>
    <w:p w14:paraId="6803AD70">
      <w:pPr>
        <w:spacing w:line="360" w:lineRule="auto"/>
        <w:contextualSpacing/>
        <w:jc w:val="center"/>
        <w:rPr>
          <w:rFonts w:ascii="宋体" w:hAnsi="宋体" w:cs="宋体"/>
          <w:bCs/>
          <w:sz w:val="32"/>
          <w:szCs w:val="32"/>
        </w:rPr>
      </w:pPr>
      <w:r>
        <w:rPr>
          <w:rFonts w:hint="eastAsia" w:ascii="宋体" w:hAnsi="宋体" w:cs="宋体"/>
          <w:bCs/>
          <w:sz w:val="32"/>
          <w:szCs w:val="32"/>
        </w:rPr>
        <w:t>（非联合体投标格式）</w:t>
      </w:r>
    </w:p>
    <w:p w14:paraId="2F33B7D1">
      <w:pPr>
        <w:spacing w:line="360" w:lineRule="auto"/>
        <w:contextualSpacing/>
        <w:jc w:val="center"/>
        <w:rPr>
          <w:rFonts w:ascii="宋体" w:hAnsi="宋体" w:cs="宋体"/>
          <w:bCs/>
          <w:sz w:val="24"/>
        </w:rPr>
      </w:pPr>
      <w:r>
        <w:rPr>
          <w:rFonts w:hint="eastAsia" w:ascii="宋体" w:hAnsi="宋体" w:cs="宋体"/>
          <w:bCs/>
          <w:sz w:val="32"/>
          <w:szCs w:val="32"/>
        </w:rPr>
        <w:t>（如有委托时）</w:t>
      </w:r>
    </w:p>
    <w:p w14:paraId="62E7531F">
      <w:pPr>
        <w:spacing w:line="440" w:lineRule="exact"/>
        <w:contextualSpacing/>
        <w:jc w:val="center"/>
        <w:rPr>
          <w:rFonts w:ascii="宋体" w:hAnsi="宋体" w:cs="宋体"/>
          <w:b/>
          <w:sz w:val="24"/>
        </w:rPr>
      </w:pPr>
    </w:p>
    <w:p w14:paraId="6782ACCE">
      <w:pPr>
        <w:spacing w:line="440" w:lineRule="exact"/>
        <w:contextualSpacing/>
        <w:rPr>
          <w:rFonts w:ascii="宋体" w:hAnsi="宋体" w:cs="宋体"/>
          <w:b/>
          <w:bCs/>
          <w:sz w:val="24"/>
        </w:rPr>
      </w:pPr>
      <w:r>
        <w:rPr>
          <w:rFonts w:hint="eastAsia" w:ascii="宋体" w:hAnsi="宋体" w:cs="宋体"/>
          <w:bCs/>
          <w:sz w:val="24"/>
        </w:rPr>
        <w:t>致：</w:t>
      </w:r>
      <w:r>
        <w:rPr>
          <w:rFonts w:hint="eastAsia" w:ascii="宋体" w:hAnsi="宋体" w:cs="宋体"/>
          <w:sz w:val="24"/>
          <w:u w:val="single"/>
        </w:rPr>
        <w:t>采购人名称</w:t>
      </w:r>
      <w:r>
        <w:rPr>
          <w:rFonts w:hint="eastAsia" w:ascii="宋体" w:hAnsi="宋体" w:cs="宋体"/>
          <w:sz w:val="24"/>
        </w:rPr>
        <w:t>：</w:t>
      </w:r>
    </w:p>
    <w:p w14:paraId="420AD3AB">
      <w:pPr>
        <w:spacing w:line="440" w:lineRule="exact"/>
        <w:ind w:firstLine="566" w:firstLineChars="236"/>
        <w:contextualSpacing/>
        <w:rPr>
          <w:rFonts w:ascii="宋体" w:hAnsi="宋体" w:cs="宋体"/>
          <w:sz w:val="24"/>
        </w:rPr>
      </w:pPr>
      <w:r>
        <w:rPr>
          <w:rFonts w:hint="eastAsia" w:ascii="宋体" w:hAnsi="宋体" w:cs="宋体"/>
          <w:sz w:val="24"/>
        </w:rPr>
        <w:t>我</w:t>
      </w:r>
      <w:r>
        <w:rPr>
          <w:rFonts w:hint="eastAsia" w:ascii="宋体" w:hAnsi="宋体" w:cs="宋体"/>
          <w:sz w:val="24"/>
          <w:u w:val="single"/>
        </w:rPr>
        <w:t xml:space="preserve">       </w:t>
      </w:r>
      <w:r>
        <w:rPr>
          <w:rFonts w:hint="eastAsia" w:ascii="宋体" w:hAnsi="宋体" w:cs="宋体"/>
          <w:sz w:val="24"/>
        </w:rPr>
        <w:t>（姓名）系</w:t>
      </w:r>
      <w:r>
        <w:rPr>
          <w:rFonts w:hint="eastAsia" w:ascii="宋体" w:hAnsi="宋体" w:cs="宋体"/>
          <w:sz w:val="24"/>
          <w:u w:val="single"/>
        </w:rPr>
        <w:t xml:space="preserve">      </w:t>
      </w:r>
      <w:r>
        <w:rPr>
          <w:rFonts w:hint="eastAsia" w:ascii="宋体" w:hAnsi="宋体" w:cs="宋体"/>
          <w:sz w:val="24"/>
        </w:rPr>
        <w:t>（投标人名称）的法定代表人，现授权委托</w:t>
      </w:r>
      <w:r>
        <w:rPr>
          <w:rFonts w:hint="eastAsia" w:ascii="宋体" w:hAnsi="宋体" w:cs="宋体"/>
          <w:sz w:val="24"/>
          <w:u w:val="single"/>
        </w:rPr>
        <w:t xml:space="preserve">              （姓名）</w:t>
      </w:r>
      <w:r>
        <w:rPr>
          <w:rFonts w:hint="eastAsia" w:ascii="宋体" w:hAnsi="宋体" w:cs="宋体"/>
          <w:sz w:val="24"/>
        </w:rPr>
        <w:t>以我方的名义参加</w:t>
      </w:r>
      <w:r>
        <w:rPr>
          <w:rFonts w:hint="eastAsia" w:ascii="宋体" w:hAnsi="宋体" w:cs="宋体"/>
          <w:sz w:val="24"/>
          <w:u w:val="single"/>
        </w:rPr>
        <w:t xml:space="preserve">              </w:t>
      </w:r>
      <w:r>
        <w:rPr>
          <w:rFonts w:hint="eastAsia" w:ascii="宋体" w:hAnsi="宋体" w:cs="宋体"/>
          <w:sz w:val="24"/>
        </w:rPr>
        <w:t>项目的投标活动，并代表我方全权办理针对上述项目的所有采购程序和环节的具体事务和签署相关文件。</w:t>
      </w:r>
    </w:p>
    <w:p w14:paraId="09749E06">
      <w:pPr>
        <w:spacing w:line="440" w:lineRule="exact"/>
        <w:contextualSpacing/>
        <w:rPr>
          <w:rFonts w:ascii="宋体" w:hAnsi="宋体" w:cs="宋体"/>
          <w:sz w:val="24"/>
        </w:rPr>
      </w:pPr>
      <w:r>
        <w:rPr>
          <w:rFonts w:hint="eastAsia" w:ascii="宋体" w:hAnsi="宋体" w:cs="宋体"/>
          <w:sz w:val="24"/>
        </w:rPr>
        <w:t xml:space="preserve">    我方对委托代理人的签字事项负全部责任。</w:t>
      </w:r>
    </w:p>
    <w:p w14:paraId="43418A45">
      <w:pPr>
        <w:spacing w:line="440" w:lineRule="exact"/>
        <w:ind w:firstLine="480"/>
        <w:contextualSpacing/>
        <w:rPr>
          <w:rFonts w:ascii="宋体" w:hAnsi="宋体" w:cs="宋体"/>
          <w:sz w:val="24"/>
        </w:rPr>
      </w:pPr>
      <w:r>
        <w:rPr>
          <w:rFonts w:hint="eastAsia" w:ascii="宋体" w:hAnsi="宋体" w:cs="宋体"/>
          <w:sz w:val="24"/>
          <w:u w:val="single"/>
        </w:rPr>
        <w:t>本授权书自签署之日起生效，在撤销授权的书面通知以前，本授权书一直有效。委托代理人在授权书有效期内签署的所有文件不因授权的撤销而失效。</w:t>
      </w:r>
    </w:p>
    <w:p w14:paraId="789B7F14">
      <w:pPr>
        <w:spacing w:line="440" w:lineRule="exact"/>
        <w:ind w:firstLine="480"/>
        <w:contextualSpacing/>
        <w:rPr>
          <w:rFonts w:ascii="宋体" w:hAnsi="宋体" w:cs="宋体"/>
          <w:sz w:val="24"/>
        </w:rPr>
      </w:pPr>
      <w:r>
        <w:rPr>
          <w:rFonts w:hint="eastAsia" w:ascii="宋体" w:hAnsi="宋体" w:cs="宋体"/>
          <w:sz w:val="24"/>
        </w:rPr>
        <w:t>委托代理人无转委托权，特此委托。</w:t>
      </w:r>
    </w:p>
    <w:p w14:paraId="5375D399">
      <w:pPr>
        <w:spacing w:line="440" w:lineRule="exact"/>
        <w:ind w:firstLine="480"/>
        <w:contextualSpacing/>
        <w:rPr>
          <w:rFonts w:ascii="宋体" w:hAnsi="宋体" w:cs="宋体"/>
          <w:sz w:val="24"/>
        </w:rPr>
      </w:pPr>
      <w:r>
        <w:rPr>
          <w:rFonts w:hint="eastAsia" w:ascii="宋体" w:hAnsi="宋体" w:cs="宋体"/>
          <w:sz w:val="24"/>
        </w:rPr>
        <w:t>附：法定代表人身份证明及委托代理人有效身份证正反面复印件</w:t>
      </w:r>
    </w:p>
    <w:p w14:paraId="6B718ADB">
      <w:pPr>
        <w:spacing w:line="440" w:lineRule="exact"/>
        <w:contextualSpacing/>
        <w:rPr>
          <w:rFonts w:ascii="宋体" w:hAnsi="宋体" w:cs="宋体"/>
          <w:sz w:val="24"/>
        </w:rPr>
      </w:pPr>
    </w:p>
    <w:p w14:paraId="395BDE28">
      <w:pPr>
        <w:spacing w:line="440" w:lineRule="exact"/>
        <w:contextualSpacing/>
        <w:rPr>
          <w:rFonts w:ascii="宋体" w:hAnsi="宋体" w:cs="宋体"/>
          <w:sz w:val="24"/>
          <w:u w:val="single"/>
        </w:rPr>
      </w:pPr>
      <w:r>
        <w:rPr>
          <w:rFonts w:hint="eastAsia" w:ascii="宋体" w:hAnsi="宋体" w:cs="宋体"/>
          <w:sz w:val="24"/>
        </w:rPr>
        <w:t>委托代理人（签字）：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p>
    <w:p w14:paraId="2C1A401B">
      <w:pPr>
        <w:spacing w:line="440" w:lineRule="exact"/>
        <w:contextualSpacing/>
        <w:rPr>
          <w:rFonts w:ascii="宋体" w:hAnsi="宋体" w:cs="宋体"/>
          <w:sz w:val="24"/>
        </w:rPr>
      </w:pPr>
      <w:r>
        <w:rPr>
          <w:rFonts w:hint="eastAsia" w:ascii="宋体" w:hAnsi="宋体" w:cs="宋体"/>
          <w:sz w:val="24"/>
        </w:rPr>
        <w:t>委托代理人身份证号码：</w:t>
      </w:r>
      <w:r>
        <w:rPr>
          <w:rFonts w:hint="eastAsia" w:ascii="宋体" w:hAnsi="宋体" w:cs="宋体"/>
          <w:sz w:val="24"/>
          <w:u w:val="single"/>
        </w:rPr>
        <w:t xml:space="preserve">                             </w:t>
      </w:r>
      <w:r>
        <w:rPr>
          <w:rFonts w:hint="eastAsia" w:ascii="宋体" w:hAnsi="宋体" w:cs="宋体"/>
          <w:sz w:val="24"/>
        </w:rPr>
        <w:t xml:space="preserve"> </w:t>
      </w:r>
    </w:p>
    <w:p w14:paraId="34D70676">
      <w:pPr>
        <w:spacing w:line="440" w:lineRule="exact"/>
        <w:contextualSpacing/>
        <w:jc w:val="center"/>
        <w:rPr>
          <w:rFonts w:ascii="宋体" w:hAnsi="宋体" w:cs="宋体"/>
          <w:sz w:val="24"/>
          <w:u w:val="single"/>
        </w:rPr>
      </w:pPr>
      <w:r>
        <w:rPr>
          <w:rFonts w:hint="eastAsia" w:ascii="宋体" w:hAnsi="宋体" w:cs="宋体"/>
          <w:sz w:val="24"/>
        </w:rPr>
        <w:t xml:space="preserve">                                                投标人（公章）：</w:t>
      </w:r>
      <w:r>
        <w:rPr>
          <w:rFonts w:hint="eastAsia" w:ascii="宋体" w:hAnsi="宋体" w:cs="宋体"/>
          <w:sz w:val="24"/>
          <w:u w:val="single"/>
        </w:rPr>
        <w:t xml:space="preserve"> </w:t>
      </w:r>
      <w:r>
        <w:rPr>
          <w:rFonts w:ascii="宋体" w:hAnsi="宋体" w:cs="宋体"/>
          <w:sz w:val="24"/>
          <w:u w:val="single"/>
        </w:rPr>
        <w:t xml:space="preserve">      </w:t>
      </w:r>
    </w:p>
    <w:p w14:paraId="21BD0736">
      <w:pPr>
        <w:spacing w:line="440" w:lineRule="exact"/>
        <w:contextualSpacing/>
        <w:jc w:val="center"/>
        <w:rPr>
          <w:rFonts w:ascii="宋体" w:hAnsi="宋体" w:cs="宋体"/>
          <w:sz w:val="24"/>
        </w:rPr>
      </w:pPr>
      <w:r>
        <w:rPr>
          <w:rFonts w:hint="eastAsia" w:ascii="宋体" w:hAnsi="宋体" w:cs="宋体"/>
          <w:sz w:val="24"/>
        </w:rPr>
        <w:t xml:space="preserve">                                             </w:t>
      </w:r>
      <w:r>
        <w:rPr>
          <w:rFonts w:hint="eastAsia" w:hAnsi="宋体" w:cs="宋体"/>
          <w:sz w:val="24"/>
        </w:rPr>
        <w:t>日期：</w:t>
      </w:r>
      <w:r>
        <w:rPr>
          <w:rFonts w:hint="eastAsia" w:hAnsi="宋体" w:cs="宋体"/>
          <w:sz w:val="24"/>
          <w:u w:val="single"/>
        </w:rPr>
        <w:t xml:space="preserve">      </w:t>
      </w:r>
      <w:r>
        <w:rPr>
          <w:rFonts w:hint="eastAsia" w:hAnsi="宋体" w:cs="宋体"/>
          <w:sz w:val="24"/>
        </w:rPr>
        <w:t>年</w:t>
      </w:r>
      <w:r>
        <w:rPr>
          <w:rFonts w:hint="eastAsia" w:hAnsi="宋体" w:cs="宋体"/>
          <w:sz w:val="24"/>
          <w:u w:val="single"/>
        </w:rPr>
        <w:t xml:space="preserve">    </w:t>
      </w:r>
      <w:r>
        <w:rPr>
          <w:rFonts w:hint="eastAsia" w:hAnsi="宋体" w:cs="宋体"/>
          <w:sz w:val="24"/>
        </w:rPr>
        <w:t>月</w:t>
      </w:r>
      <w:r>
        <w:rPr>
          <w:rFonts w:hint="eastAsia" w:hAnsi="宋体" w:cs="宋体"/>
          <w:sz w:val="24"/>
          <w:u w:val="single"/>
        </w:rPr>
        <w:t xml:space="preserve">     </w:t>
      </w:r>
      <w:r>
        <w:rPr>
          <w:rFonts w:hint="eastAsia" w:hAnsi="宋体" w:cs="宋体"/>
          <w:sz w:val="24"/>
        </w:rPr>
        <w:t>日</w:t>
      </w:r>
    </w:p>
    <w:p w14:paraId="21CBCD80">
      <w:pPr>
        <w:spacing w:line="440" w:lineRule="exact"/>
        <w:contextualSpacing/>
        <w:rPr>
          <w:rFonts w:ascii="楷体" w:hAnsi="楷体" w:eastAsia="楷体" w:cs="宋体"/>
          <w:b/>
          <w:sz w:val="24"/>
        </w:rPr>
      </w:pPr>
      <w:r>
        <w:rPr>
          <w:rFonts w:hint="eastAsia" w:ascii="楷体" w:hAnsi="楷体" w:eastAsia="楷体" w:cs="宋体"/>
          <w:b/>
          <w:sz w:val="24"/>
        </w:rPr>
        <w:t>注：</w:t>
      </w:r>
    </w:p>
    <w:p w14:paraId="316BFFF0">
      <w:pPr>
        <w:spacing w:line="440" w:lineRule="exact"/>
        <w:ind w:firstLine="480" w:firstLineChars="200"/>
        <w:contextualSpacing/>
        <w:rPr>
          <w:rFonts w:ascii="楷体" w:hAnsi="楷体" w:eastAsia="楷体" w:cs="宋体"/>
          <w:sz w:val="24"/>
        </w:rPr>
      </w:pPr>
      <w:r>
        <w:rPr>
          <w:rFonts w:ascii="楷体" w:hAnsi="楷体" w:eastAsia="楷体" w:cs="宋体"/>
          <w:sz w:val="24"/>
        </w:rPr>
        <w:t>1.</w:t>
      </w:r>
      <w:bookmarkStart w:id="172" w:name="_Hlk65851555"/>
      <w:bookmarkStart w:id="173" w:name="_Hlk65851620"/>
      <w:r>
        <w:rPr>
          <w:rFonts w:hint="eastAsia" w:ascii="楷体" w:hAnsi="楷体" w:eastAsia="楷体" w:cs="宋体"/>
          <w:sz w:val="24"/>
        </w:rPr>
        <w:t>法定代表人必须在授权委托书上亲笔签字或者盖章，</w:t>
      </w:r>
      <w:bookmarkEnd w:id="172"/>
      <w:r>
        <w:rPr>
          <w:rFonts w:hint="eastAsia" w:ascii="楷体" w:hAnsi="楷体" w:eastAsia="楷体" w:cs="宋体"/>
          <w:sz w:val="24"/>
        </w:rPr>
        <w:t>委托代理人必须在授权委托书上亲笔签字，</w:t>
      </w:r>
      <w:r>
        <w:rPr>
          <w:rFonts w:hint="eastAsia" w:ascii="楷体" w:hAnsi="楷体" w:eastAsia="楷体" w:cs="宋体"/>
          <w:b/>
          <w:bCs/>
          <w:sz w:val="24"/>
        </w:rPr>
        <w:t>否则按无效投标处理</w:t>
      </w:r>
      <w:r>
        <w:rPr>
          <w:rFonts w:hint="eastAsia" w:ascii="楷体" w:hAnsi="楷体" w:eastAsia="楷体" w:cs="宋体"/>
          <w:sz w:val="24"/>
        </w:rPr>
        <w:t>；</w:t>
      </w:r>
      <w:bookmarkEnd w:id="173"/>
    </w:p>
    <w:p w14:paraId="1A602124">
      <w:pPr>
        <w:spacing w:line="440" w:lineRule="exact"/>
        <w:ind w:firstLine="480" w:firstLineChars="200"/>
        <w:contextualSpacing/>
        <w:jc w:val="left"/>
        <w:rPr>
          <w:rFonts w:ascii="楷体" w:hAnsi="楷体" w:eastAsia="楷体" w:cs="宋体"/>
          <w:sz w:val="24"/>
        </w:rPr>
      </w:pPr>
      <w:r>
        <w:rPr>
          <w:rFonts w:ascii="楷体" w:hAnsi="楷体" w:eastAsia="楷体" w:cs="宋体"/>
          <w:sz w:val="24"/>
        </w:rPr>
        <w:t>2.法人、其他组织投标时“我方”是指“我单位”，自然人投标时“我方”是指“本人”。</w:t>
      </w:r>
    </w:p>
    <w:p w14:paraId="2CFBD359">
      <w:pPr>
        <w:snapToGrid w:val="0"/>
        <w:spacing w:before="120" w:beforeLines="50" w:after="50"/>
        <w:ind w:firstLine="566" w:firstLineChars="236"/>
        <w:jc w:val="center"/>
        <w:rPr>
          <w:rFonts w:ascii="宋体" w:hAnsi="宋体" w:cs="宋体"/>
          <w:sz w:val="44"/>
          <w:szCs w:val="44"/>
        </w:rPr>
      </w:pPr>
      <w:r>
        <w:rPr>
          <w:rFonts w:hint="eastAsia" w:ascii="宋体" w:hAnsi="宋体" w:cs="宋体"/>
          <w:sz w:val="24"/>
        </w:rPr>
        <w:br w:type="page"/>
      </w:r>
      <w:r>
        <w:rPr>
          <w:rFonts w:hint="eastAsia" w:ascii="宋体" w:hAnsi="宋体" w:cs="宋体"/>
          <w:sz w:val="44"/>
          <w:szCs w:val="44"/>
        </w:rPr>
        <w:t>授权委托书</w:t>
      </w:r>
    </w:p>
    <w:p w14:paraId="0BE439AC">
      <w:pPr>
        <w:snapToGrid w:val="0"/>
        <w:spacing w:before="120" w:beforeLines="50" w:after="50"/>
        <w:ind w:firstLine="755" w:firstLineChars="236"/>
        <w:jc w:val="center"/>
        <w:rPr>
          <w:rFonts w:ascii="宋体" w:hAnsi="宋体" w:cs="宋体"/>
          <w:sz w:val="32"/>
          <w:szCs w:val="32"/>
        </w:rPr>
      </w:pPr>
      <w:r>
        <w:rPr>
          <w:rFonts w:hint="eastAsia" w:ascii="宋体" w:hAnsi="宋体" w:cs="宋体"/>
          <w:sz w:val="32"/>
          <w:szCs w:val="32"/>
        </w:rPr>
        <w:t>（联合体投标格式）</w:t>
      </w:r>
    </w:p>
    <w:p w14:paraId="385C42BA">
      <w:pPr>
        <w:snapToGrid w:val="0"/>
        <w:spacing w:before="120" w:beforeLines="50" w:after="50"/>
        <w:ind w:firstLine="755" w:firstLineChars="236"/>
        <w:jc w:val="center"/>
        <w:rPr>
          <w:rFonts w:ascii="宋体" w:hAnsi="宋体" w:cs="宋体"/>
          <w:sz w:val="24"/>
        </w:rPr>
      </w:pPr>
      <w:r>
        <w:rPr>
          <w:rFonts w:hint="eastAsia" w:ascii="宋体" w:hAnsi="宋体" w:cs="宋体"/>
          <w:sz w:val="32"/>
          <w:szCs w:val="32"/>
        </w:rPr>
        <w:t>（如有委托时）</w:t>
      </w:r>
    </w:p>
    <w:p w14:paraId="3F323E28">
      <w:pPr>
        <w:spacing w:line="360" w:lineRule="auto"/>
        <w:contextualSpacing/>
        <w:jc w:val="left"/>
        <w:rPr>
          <w:rFonts w:ascii="宋体" w:hAnsi="宋体" w:cs="宋体"/>
          <w:sz w:val="24"/>
        </w:rPr>
      </w:pPr>
      <w:r>
        <w:rPr>
          <w:rFonts w:hint="eastAsia" w:ascii="宋体" w:hAnsi="宋体" w:cs="宋体"/>
          <w:bCs/>
          <w:sz w:val="24"/>
        </w:rPr>
        <w:t>致：</w:t>
      </w:r>
      <w:r>
        <w:rPr>
          <w:rFonts w:hint="eastAsia" w:ascii="宋体" w:hAnsi="宋体" w:cs="宋体"/>
          <w:sz w:val="24"/>
          <w:u w:val="single"/>
        </w:rPr>
        <w:t>采购人名称</w:t>
      </w:r>
      <w:r>
        <w:rPr>
          <w:rFonts w:hint="eastAsia" w:ascii="宋体" w:hAnsi="宋体" w:cs="宋体"/>
          <w:sz w:val="24"/>
        </w:rPr>
        <w:t>：</w:t>
      </w:r>
    </w:p>
    <w:p w14:paraId="4DCF8059">
      <w:pPr>
        <w:spacing w:line="360" w:lineRule="auto"/>
        <w:ind w:firstLine="566" w:firstLineChars="236"/>
        <w:contextualSpacing/>
        <w:rPr>
          <w:rFonts w:ascii="宋体" w:hAnsi="宋体" w:cs="宋体"/>
          <w:sz w:val="24"/>
        </w:rPr>
      </w:pPr>
      <w:r>
        <w:rPr>
          <w:rFonts w:hint="eastAsia" w:ascii="宋体" w:hAnsi="宋体" w:cs="宋体"/>
          <w:sz w:val="24"/>
        </w:rPr>
        <w:t xml:space="preserve">根据 </w:t>
      </w:r>
      <w:r>
        <w:rPr>
          <w:rFonts w:hint="eastAsia" w:ascii="宋体" w:hAnsi="宋体" w:cs="宋体"/>
          <w:sz w:val="24"/>
          <w:u w:val="single"/>
        </w:rPr>
        <w:t xml:space="preserve"> （牵头人名称）</w:t>
      </w:r>
      <w:r>
        <w:rPr>
          <w:rFonts w:hint="eastAsia" w:ascii="宋体" w:hAnsi="宋体" w:cs="宋体"/>
          <w:sz w:val="24"/>
        </w:rPr>
        <w:t>与</w:t>
      </w:r>
      <w:r>
        <w:rPr>
          <w:rFonts w:hint="eastAsia" w:ascii="宋体" w:hAnsi="宋体" w:cs="宋体"/>
          <w:sz w:val="24"/>
          <w:u w:val="single"/>
        </w:rPr>
        <w:t>（联合体其他成员名称）</w:t>
      </w:r>
      <w:r>
        <w:rPr>
          <w:rFonts w:hint="eastAsia" w:ascii="宋体" w:hAnsi="宋体" w:cs="宋体"/>
          <w:sz w:val="24"/>
        </w:rPr>
        <w:t>签订的《联合体投标协议书》的内容，</w:t>
      </w:r>
      <w:r>
        <w:rPr>
          <w:rFonts w:hint="eastAsia" w:ascii="宋体" w:hAnsi="宋体" w:cs="宋体"/>
          <w:sz w:val="24"/>
          <w:u w:val="single"/>
        </w:rPr>
        <w:t>（牵头人名称）</w:t>
      </w:r>
      <w:r>
        <w:rPr>
          <w:rFonts w:hint="eastAsia" w:ascii="宋体" w:hAnsi="宋体" w:cs="宋体"/>
          <w:sz w:val="24"/>
        </w:rPr>
        <w:t>的法定代表人</w:t>
      </w:r>
      <w:r>
        <w:rPr>
          <w:rFonts w:hint="eastAsia" w:ascii="宋体" w:hAnsi="宋体" w:cs="宋体"/>
          <w:sz w:val="24"/>
          <w:u w:val="single"/>
        </w:rPr>
        <w:t>（姓名）</w:t>
      </w:r>
      <w:r>
        <w:rPr>
          <w:rFonts w:hint="eastAsia" w:ascii="宋体" w:hAnsi="宋体" w:cs="宋体"/>
          <w:sz w:val="24"/>
        </w:rPr>
        <w:t>现授权委托</w:t>
      </w:r>
      <w:r>
        <w:rPr>
          <w:rFonts w:hint="eastAsia" w:ascii="宋体" w:hAnsi="宋体" w:cs="宋体"/>
          <w:sz w:val="24"/>
          <w:u w:val="single"/>
        </w:rPr>
        <w:t xml:space="preserve">              （姓名）</w:t>
      </w:r>
      <w:r>
        <w:rPr>
          <w:rFonts w:hint="eastAsia" w:ascii="宋体" w:hAnsi="宋体" w:cs="宋体"/>
          <w:sz w:val="24"/>
        </w:rPr>
        <w:t>以我方的名义参加</w:t>
      </w:r>
      <w:r>
        <w:rPr>
          <w:rFonts w:hint="eastAsia" w:ascii="宋体" w:hAnsi="宋体" w:cs="宋体"/>
          <w:sz w:val="24"/>
          <w:u w:val="single"/>
        </w:rPr>
        <w:t xml:space="preserve">              </w:t>
      </w:r>
      <w:r>
        <w:rPr>
          <w:rFonts w:hint="eastAsia" w:ascii="宋体" w:hAnsi="宋体" w:cs="宋体"/>
          <w:sz w:val="24"/>
        </w:rPr>
        <w:t>项目的投标活动，并代表我方全权办理针对上述项目的所有采购程序和环节的具体事务和签署相关文件。</w:t>
      </w:r>
    </w:p>
    <w:p w14:paraId="24A94137">
      <w:pPr>
        <w:spacing w:line="360" w:lineRule="auto"/>
        <w:ind w:firstLine="566" w:firstLineChars="236"/>
        <w:contextualSpacing/>
        <w:rPr>
          <w:rFonts w:ascii="宋体" w:hAnsi="宋体" w:cs="宋体"/>
          <w:sz w:val="24"/>
        </w:rPr>
      </w:pPr>
      <w:r>
        <w:rPr>
          <w:rFonts w:hint="eastAsia" w:ascii="宋体" w:hAnsi="宋体" w:cs="宋体"/>
          <w:sz w:val="24"/>
        </w:rPr>
        <w:t>我方对委托代理人的签字事项负全部责任。</w:t>
      </w:r>
    </w:p>
    <w:p w14:paraId="1FF3DF62">
      <w:pPr>
        <w:spacing w:line="360" w:lineRule="auto"/>
        <w:ind w:firstLine="566" w:firstLineChars="236"/>
        <w:contextualSpacing/>
        <w:rPr>
          <w:rFonts w:ascii="宋体" w:hAnsi="宋体" w:cs="宋体"/>
          <w:sz w:val="24"/>
        </w:rPr>
      </w:pPr>
      <w:r>
        <w:rPr>
          <w:rFonts w:hint="eastAsia" w:ascii="宋体" w:hAnsi="宋体" w:cs="宋体"/>
          <w:sz w:val="24"/>
        </w:rPr>
        <w:t>本授权书自签署之日起生效，在撤销授权的书面通知以前，本授权书一直有效。委托代理人在授权书有效期内签署的所有文件不因授权的撤销而失效。</w:t>
      </w:r>
    </w:p>
    <w:p w14:paraId="47F29C8E">
      <w:pPr>
        <w:spacing w:line="360" w:lineRule="auto"/>
        <w:ind w:firstLine="566" w:firstLineChars="236"/>
        <w:contextualSpacing/>
        <w:rPr>
          <w:rFonts w:ascii="宋体" w:hAnsi="宋体" w:cs="宋体"/>
          <w:sz w:val="24"/>
        </w:rPr>
      </w:pPr>
      <w:r>
        <w:rPr>
          <w:rFonts w:hint="eastAsia" w:ascii="宋体" w:hAnsi="宋体" w:cs="宋体"/>
          <w:sz w:val="24"/>
        </w:rPr>
        <w:t>委托代理人无转委托权，特此委托。</w:t>
      </w:r>
    </w:p>
    <w:p w14:paraId="7B166755">
      <w:pPr>
        <w:spacing w:line="360" w:lineRule="auto"/>
        <w:ind w:firstLine="566" w:firstLineChars="236"/>
        <w:contextualSpacing/>
        <w:rPr>
          <w:rFonts w:ascii="宋体" w:hAnsi="宋体" w:cs="宋体"/>
          <w:sz w:val="24"/>
        </w:rPr>
      </w:pPr>
      <w:r>
        <w:rPr>
          <w:rFonts w:hint="eastAsia" w:ascii="宋体" w:hAnsi="宋体" w:cs="宋体"/>
          <w:sz w:val="24"/>
        </w:rPr>
        <w:t>附：牵头人法定代表人身份证明及委托代理人有效身份证正反面复印件</w:t>
      </w:r>
    </w:p>
    <w:p w14:paraId="04330C0C">
      <w:pPr>
        <w:spacing w:line="360" w:lineRule="auto"/>
        <w:ind w:firstLine="566" w:firstLineChars="236"/>
        <w:contextualSpacing/>
        <w:rPr>
          <w:rFonts w:ascii="宋体" w:hAnsi="宋体" w:cs="宋体"/>
          <w:sz w:val="24"/>
        </w:rPr>
      </w:pPr>
    </w:p>
    <w:p w14:paraId="472F9E8D">
      <w:pPr>
        <w:spacing w:line="360" w:lineRule="auto"/>
        <w:ind w:firstLine="566" w:firstLineChars="236"/>
        <w:contextualSpacing/>
        <w:rPr>
          <w:rFonts w:ascii="宋体" w:hAnsi="宋体" w:cs="宋体"/>
          <w:sz w:val="24"/>
          <w:u w:val="single"/>
        </w:rPr>
      </w:pPr>
      <w:r>
        <w:rPr>
          <w:rFonts w:hint="eastAsia" w:ascii="宋体" w:hAnsi="宋体" w:cs="宋体"/>
          <w:sz w:val="24"/>
        </w:rPr>
        <w:t>牵头人法定代表人（签字）：</w:t>
      </w:r>
      <w:r>
        <w:rPr>
          <w:rFonts w:hint="eastAsia" w:ascii="宋体" w:hAnsi="宋体" w:cs="宋体"/>
          <w:sz w:val="24"/>
          <w:u w:val="single"/>
        </w:rPr>
        <w:t xml:space="preserve">  </w:t>
      </w:r>
      <w:r>
        <w:rPr>
          <w:rFonts w:ascii="宋体" w:hAnsi="宋体" w:cs="宋体"/>
          <w:sz w:val="24"/>
          <w:u w:val="single"/>
        </w:rPr>
        <w:t xml:space="preserve">       </w:t>
      </w:r>
    </w:p>
    <w:p w14:paraId="1CD8F8A5">
      <w:pPr>
        <w:spacing w:line="360" w:lineRule="auto"/>
        <w:ind w:firstLine="566" w:firstLineChars="236"/>
        <w:contextualSpacing/>
        <w:rPr>
          <w:rFonts w:ascii="宋体" w:hAnsi="宋体" w:cs="宋体"/>
          <w:sz w:val="24"/>
          <w:u w:val="single"/>
        </w:rPr>
      </w:pPr>
      <w:r>
        <w:rPr>
          <w:rFonts w:hint="eastAsia" w:ascii="宋体" w:hAnsi="宋体" w:cs="宋体"/>
          <w:sz w:val="24"/>
        </w:rPr>
        <w:t>牵头人（公章）：</w:t>
      </w:r>
      <w:r>
        <w:rPr>
          <w:rFonts w:hint="eastAsia" w:ascii="宋体" w:hAnsi="宋体" w:cs="宋体"/>
          <w:sz w:val="24"/>
          <w:u w:val="single"/>
        </w:rPr>
        <w:t xml:space="preserve">  </w:t>
      </w:r>
      <w:r>
        <w:rPr>
          <w:rFonts w:ascii="宋体" w:hAnsi="宋体" w:cs="宋体"/>
          <w:sz w:val="24"/>
          <w:u w:val="single"/>
        </w:rPr>
        <w:t xml:space="preserve">       </w:t>
      </w:r>
    </w:p>
    <w:p w14:paraId="166778D4">
      <w:pPr>
        <w:spacing w:line="360" w:lineRule="auto"/>
        <w:ind w:firstLine="566" w:firstLineChars="236"/>
        <w:contextualSpacing/>
        <w:rPr>
          <w:rFonts w:ascii="宋体" w:hAnsi="宋体" w:cs="宋体"/>
          <w:sz w:val="24"/>
        </w:rPr>
      </w:pPr>
      <w:r>
        <w:rPr>
          <w:rFonts w:hint="eastAsia" w:hAnsi="宋体" w:cs="宋体"/>
          <w:sz w:val="24"/>
        </w:rPr>
        <w:t>日期：</w:t>
      </w:r>
      <w:r>
        <w:rPr>
          <w:rFonts w:hAnsi="宋体" w:cs="宋体"/>
          <w:sz w:val="24"/>
          <w:u w:val="single"/>
        </w:rPr>
        <w:t xml:space="preserve">      </w:t>
      </w:r>
      <w:r>
        <w:rPr>
          <w:rFonts w:hint="eastAsia" w:hAnsi="宋体" w:cs="宋体"/>
          <w:sz w:val="24"/>
        </w:rPr>
        <w:t>年</w:t>
      </w:r>
      <w:r>
        <w:rPr>
          <w:rFonts w:hAnsi="宋体" w:cs="宋体"/>
          <w:sz w:val="24"/>
          <w:u w:val="single"/>
        </w:rPr>
        <w:t xml:space="preserve">    </w:t>
      </w:r>
      <w:r>
        <w:rPr>
          <w:rFonts w:hint="eastAsia" w:hAnsi="宋体" w:cs="宋体"/>
          <w:sz w:val="24"/>
        </w:rPr>
        <w:t>月</w:t>
      </w:r>
      <w:r>
        <w:rPr>
          <w:rFonts w:hAnsi="宋体" w:cs="宋体"/>
          <w:sz w:val="24"/>
          <w:u w:val="single"/>
        </w:rPr>
        <w:t xml:space="preserve">     </w:t>
      </w:r>
      <w:r>
        <w:rPr>
          <w:rFonts w:hint="eastAsia" w:hAnsi="宋体" w:cs="宋体"/>
          <w:sz w:val="24"/>
        </w:rPr>
        <w:t>日</w:t>
      </w:r>
    </w:p>
    <w:p w14:paraId="708109A8">
      <w:pPr>
        <w:spacing w:line="360" w:lineRule="auto"/>
        <w:ind w:firstLine="566" w:firstLineChars="236"/>
        <w:contextualSpacing/>
        <w:rPr>
          <w:rFonts w:ascii="宋体" w:hAnsi="宋体" w:cs="宋体"/>
          <w:sz w:val="24"/>
          <w:u w:val="single"/>
        </w:rPr>
      </w:pPr>
      <w:r>
        <w:rPr>
          <w:rFonts w:hint="eastAsia" w:ascii="宋体" w:hAnsi="宋体" w:cs="宋体"/>
          <w:sz w:val="24"/>
        </w:rPr>
        <w:t>被授权人（签字）：</w:t>
      </w:r>
      <w:r>
        <w:rPr>
          <w:rFonts w:hint="eastAsia" w:ascii="宋体" w:hAnsi="宋体" w:cs="宋体"/>
          <w:sz w:val="24"/>
          <w:u w:val="single"/>
        </w:rPr>
        <w:t xml:space="preserve">   </w:t>
      </w:r>
      <w:r>
        <w:rPr>
          <w:rFonts w:ascii="宋体" w:hAnsi="宋体" w:cs="宋体"/>
          <w:sz w:val="24"/>
          <w:u w:val="single"/>
        </w:rPr>
        <w:t xml:space="preserve">           </w:t>
      </w:r>
    </w:p>
    <w:p w14:paraId="194B9338">
      <w:pPr>
        <w:spacing w:line="360" w:lineRule="auto"/>
        <w:ind w:firstLine="566" w:firstLineChars="236"/>
        <w:contextualSpacing/>
        <w:rPr>
          <w:rFonts w:ascii="宋体" w:hAnsi="宋体" w:cs="宋体"/>
          <w:sz w:val="24"/>
        </w:rPr>
      </w:pPr>
      <w:r>
        <w:rPr>
          <w:rFonts w:hint="eastAsia" w:hAnsi="宋体" w:cs="宋体"/>
          <w:sz w:val="24"/>
        </w:rPr>
        <w:t>日期：</w:t>
      </w:r>
      <w:r>
        <w:rPr>
          <w:rFonts w:hAnsi="宋体" w:cs="宋体"/>
          <w:sz w:val="24"/>
          <w:u w:val="single"/>
        </w:rPr>
        <w:t xml:space="preserve">      </w:t>
      </w:r>
      <w:r>
        <w:rPr>
          <w:rFonts w:hint="eastAsia" w:hAnsi="宋体" w:cs="宋体"/>
          <w:sz w:val="24"/>
        </w:rPr>
        <w:t>年</w:t>
      </w:r>
      <w:r>
        <w:rPr>
          <w:rFonts w:hAnsi="宋体" w:cs="宋体"/>
          <w:sz w:val="24"/>
          <w:u w:val="single"/>
        </w:rPr>
        <w:t xml:space="preserve">    </w:t>
      </w:r>
      <w:r>
        <w:rPr>
          <w:rFonts w:hint="eastAsia" w:hAnsi="宋体" w:cs="宋体"/>
          <w:sz w:val="24"/>
        </w:rPr>
        <w:t>月</w:t>
      </w:r>
      <w:r>
        <w:rPr>
          <w:rFonts w:hAnsi="宋体" w:cs="宋体"/>
          <w:sz w:val="24"/>
          <w:u w:val="single"/>
        </w:rPr>
        <w:t xml:space="preserve">     </w:t>
      </w:r>
      <w:r>
        <w:rPr>
          <w:rFonts w:hint="eastAsia" w:hAnsi="宋体" w:cs="宋体"/>
          <w:sz w:val="24"/>
        </w:rPr>
        <w:t>日</w:t>
      </w:r>
    </w:p>
    <w:p w14:paraId="3EE8FAF7">
      <w:pPr>
        <w:pStyle w:val="2"/>
      </w:pPr>
    </w:p>
    <w:p w14:paraId="329B1B65">
      <w:pPr>
        <w:spacing w:line="360" w:lineRule="auto"/>
        <w:contextualSpacing/>
        <w:rPr>
          <w:rFonts w:ascii="楷体" w:hAnsi="楷体" w:eastAsia="楷体" w:cs="宋体"/>
          <w:b/>
          <w:sz w:val="24"/>
        </w:rPr>
      </w:pPr>
      <w:r>
        <w:rPr>
          <w:rFonts w:hint="eastAsia" w:ascii="楷体" w:hAnsi="楷体" w:eastAsia="楷体" w:cs="宋体"/>
          <w:b/>
          <w:sz w:val="24"/>
        </w:rPr>
        <w:t>注：</w:t>
      </w:r>
    </w:p>
    <w:p w14:paraId="3C71E3C4">
      <w:pPr>
        <w:spacing w:line="360" w:lineRule="auto"/>
        <w:ind w:firstLine="480" w:firstLineChars="200"/>
        <w:contextualSpacing/>
        <w:rPr>
          <w:rFonts w:ascii="楷体" w:hAnsi="楷体" w:eastAsia="楷体" w:cs="宋体"/>
          <w:sz w:val="24"/>
        </w:rPr>
      </w:pPr>
      <w:r>
        <w:rPr>
          <w:rFonts w:ascii="楷体" w:hAnsi="楷体" w:eastAsia="楷体" w:cs="宋体"/>
          <w:sz w:val="24"/>
        </w:rPr>
        <w:t>1.</w:t>
      </w:r>
      <w:r>
        <w:rPr>
          <w:rFonts w:hint="eastAsia" w:ascii="楷体" w:hAnsi="楷体" w:eastAsia="楷体" w:cs="宋体"/>
          <w:sz w:val="24"/>
        </w:rPr>
        <w:t>法定代表人必须在授权委托书上亲笔签字或者盖章，委托代理人必须在授权委托书上亲笔签字，</w:t>
      </w:r>
      <w:r>
        <w:rPr>
          <w:rFonts w:hint="eastAsia" w:ascii="楷体" w:hAnsi="楷体" w:eastAsia="楷体" w:cs="宋体"/>
          <w:b/>
          <w:bCs/>
          <w:sz w:val="24"/>
        </w:rPr>
        <w:t>否则按无效投标处理</w:t>
      </w:r>
      <w:r>
        <w:rPr>
          <w:rFonts w:hint="eastAsia" w:ascii="楷体" w:hAnsi="楷体" w:eastAsia="楷体" w:cs="宋体"/>
          <w:sz w:val="24"/>
        </w:rPr>
        <w:t>；</w:t>
      </w:r>
    </w:p>
    <w:p w14:paraId="14B2AC0B">
      <w:pPr>
        <w:spacing w:line="360" w:lineRule="auto"/>
        <w:ind w:firstLine="480" w:firstLineChars="200"/>
        <w:contextualSpacing/>
        <w:jc w:val="left"/>
        <w:rPr>
          <w:rFonts w:ascii="楷体" w:hAnsi="楷体" w:eastAsia="楷体" w:cs="宋体"/>
          <w:sz w:val="24"/>
        </w:rPr>
      </w:pPr>
      <w:r>
        <w:rPr>
          <w:rFonts w:ascii="楷体" w:hAnsi="楷体" w:eastAsia="楷体" w:cs="宋体"/>
          <w:sz w:val="24"/>
        </w:rPr>
        <w:t>2.本授权委托书应由联合体牵头人的法定代表人按上述规定签字。</w:t>
      </w:r>
    </w:p>
    <w:p w14:paraId="61C77AA0">
      <w:pPr>
        <w:spacing w:line="360" w:lineRule="auto"/>
        <w:ind w:firstLine="480" w:firstLineChars="200"/>
        <w:contextualSpacing/>
        <w:jc w:val="left"/>
        <w:rPr>
          <w:rFonts w:ascii="楷体" w:hAnsi="楷体" w:eastAsia="楷体" w:cs="宋体"/>
          <w:sz w:val="24"/>
        </w:rPr>
      </w:pPr>
      <w:r>
        <w:rPr>
          <w:rFonts w:ascii="楷体" w:hAnsi="楷体" w:eastAsia="楷体" w:cs="宋体"/>
          <w:sz w:val="24"/>
        </w:rPr>
        <w:t>3.法人、其他组织投标时“我方”是指“我单位”，自然人投标时“我方”是指“本人”。</w:t>
      </w:r>
    </w:p>
    <w:p w14:paraId="4677206A">
      <w:pPr>
        <w:snapToGrid w:val="0"/>
        <w:spacing w:before="50" w:after="120" w:afterLines="50" w:line="360" w:lineRule="auto"/>
        <w:ind w:firstLine="480" w:firstLineChars="200"/>
        <w:jc w:val="left"/>
        <w:rPr>
          <w:rFonts w:ascii="宋体" w:hAnsi="宋体" w:cs="宋体"/>
          <w:sz w:val="24"/>
        </w:rPr>
        <w:sectPr>
          <w:footerReference r:id="rId8" w:type="first"/>
          <w:headerReference r:id="rId5" w:type="default"/>
          <w:footerReference r:id="rId6" w:type="default"/>
          <w:footerReference r:id="rId7" w:type="even"/>
          <w:pgSz w:w="11906" w:h="16838"/>
          <w:pgMar w:top="1417" w:right="1417" w:bottom="1417" w:left="1417" w:header="851" w:footer="567" w:gutter="0"/>
          <w:cols w:space="720" w:num="1"/>
          <w:titlePg/>
          <w:docGrid w:linePitch="312" w:charSpace="0"/>
        </w:sectPr>
      </w:pPr>
    </w:p>
    <w:p w14:paraId="6B0339DC">
      <w:pPr>
        <w:rPr>
          <w:rFonts w:ascii="宋体" w:hAnsi="宋体" w:cs="宋体"/>
          <w:sz w:val="24"/>
        </w:rPr>
      </w:pPr>
    </w:p>
    <w:p w14:paraId="47C23559">
      <w:pPr>
        <w:rPr>
          <w:rFonts w:ascii="宋体" w:hAnsi="宋体" w:cs="宋体"/>
          <w:b/>
          <w:sz w:val="24"/>
          <w:szCs w:val="20"/>
        </w:rPr>
      </w:pPr>
      <w:r>
        <w:rPr>
          <w:rFonts w:hint="eastAsia" w:ascii="宋体" w:hAnsi="宋体" w:cs="宋体"/>
          <w:b/>
          <w:sz w:val="24"/>
        </w:rPr>
        <w:t>6.商务要求偏离表格式（注：按采购需求表具体项目修改）</w:t>
      </w:r>
    </w:p>
    <w:p w14:paraId="4CD40E20">
      <w:pPr>
        <w:snapToGrid w:val="0"/>
        <w:spacing w:before="50"/>
        <w:jc w:val="left"/>
        <w:rPr>
          <w:rFonts w:ascii="宋体" w:hAnsi="宋体" w:cs="宋体"/>
          <w:sz w:val="24"/>
        </w:rPr>
      </w:pPr>
    </w:p>
    <w:p w14:paraId="21400DA4">
      <w:pPr>
        <w:jc w:val="center"/>
        <w:rPr>
          <w:rFonts w:ascii="宋体" w:hAnsi="宋体" w:cs="宋体"/>
          <w:b/>
          <w:sz w:val="32"/>
          <w:szCs w:val="32"/>
        </w:rPr>
      </w:pPr>
      <w:r>
        <w:rPr>
          <w:rFonts w:hint="eastAsia" w:ascii="宋体" w:hAnsi="宋体" w:cs="宋体"/>
          <w:b/>
          <w:sz w:val="32"/>
          <w:szCs w:val="32"/>
        </w:rPr>
        <w:t>商务要求偏离表</w:t>
      </w:r>
    </w:p>
    <w:p w14:paraId="7C34F950">
      <w:pPr>
        <w:snapToGrid w:val="0"/>
        <w:spacing w:before="50" w:after="50" w:line="360" w:lineRule="auto"/>
        <w:rPr>
          <w:rFonts w:ascii="宋体" w:hAnsi="宋体" w:cs="宋体"/>
          <w:sz w:val="24"/>
        </w:rPr>
      </w:pPr>
    </w:p>
    <w:p w14:paraId="046C2AFE">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453896E3">
      <w:pPr>
        <w:rPr>
          <w:rFonts w:ascii="宋体" w:hAnsi="宋体" w:cs="宋体"/>
          <w:kern w:val="0"/>
          <w:sz w:val="24"/>
        </w:rPr>
      </w:pPr>
      <w:r>
        <w:rPr>
          <w:rFonts w:hint="eastAsia" w:ascii="宋体" w:hAnsi="宋体" w:cs="宋体"/>
          <w:kern w:val="0"/>
          <w:sz w:val="24"/>
          <w:szCs w:val="21"/>
        </w:rPr>
        <w:t>投标人名称：</w:t>
      </w:r>
      <w:r>
        <w:rPr>
          <w:rFonts w:hint="eastAsia" w:ascii="宋体" w:hAnsi="宋体" w:cs="宋体"/>
          <w:kern w:val="0"/>
          <w:sz w:val="24"/>
          <w:szCs w:val="21"/>
          <w:u w:val="single"/>
        </w:rPr>
        <w:t xml:space="preserve">                     </w:t>
      </w:r>
      <w:r>
        <w:rPr>
          <w:rFonts w:hint="eastAsia" w:ascii="宋体" w:hAnsi="宋体" w:cs="宋体"/>
          <w:kern w:val="0"/>
          <w:sz w:val="24"/>
          <w:szCs w:val="21"/>
        </w:rPr>
        <w:t xml:space="preserve">                      </w:t>
      </w:r>
    </w:p>
    <w:p w14:paraId="7CC323EF">
      <w:pPr>
        <w:snapToGrid w:val="0"/>
        <w:spacing w:before="50"/>
        <w:jc w:val="left"/>
        <w:rPr>
          <w:rFonts w:ascii="宋体" w:hAnsi="宋体" w:cs="宋体"/>
          <w:sz w:val="24"/>
          <w:u w:val="single"/>
        </w:rPr>
      </w:pPr>
    </w:p>
    <w:tbl>
      <w:tblPr>
        <w:tblStyle w:val="48"/>
        <w:tblW w:w="8641" w:type="dxa"/>
        <w:tblInd w:w="-1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10"/>
        <w:gridCol w:w="3336"/>
        <w:gridCol w:w="1760"/>
        <w:gridCol w:w="2035"/>
      </w:tblGrid>
      <w:tr w14:paraId="624082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10" w:type="dxa"/>
            <w:tcBorders>
              <w:top w:val="single" w:color="auto" w:sz="4" w:space="0"/>
              <w:left w:val="single" w:color="auto" w:sz="4" w:space="0"/>
              <w:bottom w:val="single" w:color="auto" w:sz="4" w:space="0"/>
              <w:right w:val="single" w:color="auto" w:sz="4" w:space="0"/>
            </w:tcBorders>
          </w:tcPr>
          <w:p w14:paraId="2B81991F">
            <w:pPr>
              <w:snapToGrid w:val="0"/>
              <w:spacing w:before="120" w:beforeLines="50"/>
              <w:jc w:val="center"/>
              <w:rPr>
                <w:rFonts w:ascii="宋体" w:hAnsi="宋体" w:cs="宋体"/>
                <w:sz w:val="24"/>
              </w:rPr>
            </w:pPr>
            <w:r>
              <w:rPr>
                <w:rFonts w:hint="eastAsia" w:ascii="宋体" w:hAnsi="宋体" w:cs="宋体"/>
                <w:sz w:val="24"/>
              </w:rPr>
              <w:t>项目</w:t>
            </w:r>
          </w:p>
        </w:tc>
        <w:tc>
          <w:tcPr>
            <w:tcW w:w="3336" w:type="dxa"/>
            <w:tcBorders>
              <w:top w:val="single" w:color="auto" w:sz="4" w:space="0"/>
              <w:left w:val="single" w:color="auto" w:sz="4" w:space="0"/>
              <w:bottom w:val="single" w:color="auto" w:sz="4" w:space="0"/>
              <w:right w:val="single" w:color="auto" w:sz="4" w:space="0"/>
            </w:tcBorders>
          </w:tcPr>
          <w:p w14:paraId="322936F2">
            <w:pPr>
              <w:snapToGrid w:val="0"/>
              <w:spacing w:before="120" w:beforeLines="50"/>
              <w:jc w:val="center"/>
              <w:rPr>
                <w:rFonts w:ascii="宋体" w:hAnsi="宋体" w:cs="宋体"/>
                <w:sz w:val="24"/>
              </w:rPr>
            </w:pPr>
            <w:r>
              <w:rPr>
                <w:rFonts w:hint="eastAsia" w:ascii="宋体" w:hAnsi="宋体" w:cs="宋体"/>
                <w:sz w:val="24"/>
              </w:rPr>
              <w:t>招标文件商务要求</w:t>
            </w:r>
          </w:p>
        </w:tc>
        <w:tc>
          <w:tcPr>
            <w:tcW w:w="1760" w:type="dxa"/>
            <w:tcBorders>
              <w:top w:val="single" w:color="auto" w:sz="4" w:space="0"/>
              <w:left w:val="single" w:color="auto" w:sz="4" w:space="0"/>
              <w:bottom w:val="single" w:color="auto" w:sz="4" w:space="0"/>
              <w:right w:val="single" w:color="auto" w:sz="4" w:space="0"/>
            </w:tcBorders>
          </w:tcPr>
          <w:p w14:paraId="53FC57E1">
            <w:pPr>
              <w:snapToGrid w:val="0"/>
              <w:spacing w:before="120" w:beforeLines="50"/>
              <w:jc w:val="center"/>
              <w:rPr>
                <w:rFonts w:ascii="宋体" w:hAnsi="宋体" w:cs="宋体"/>
                <w:sz w:val="24"/>
              </w:rPr>
            </w:pPr>
            <w:r>
              <w:rPr>
                <w:rFonts w:hint="eastAsia" w:ascii="宋体" w:hAnsi="宋体" w:cs="宋体"/>
                <w:sz w:val="24"/>
              </w:rPr>
              <w:t>投标人的承诺</w:t>
            </w:r>
          </w:p>
        </w:tc>
        <w:tc>
          <w:tcPr>
            <w:tcW w:w="2035" w:type="dxa"/>
            <w:tcBorders>
              <w:top w:val="single" w:color="auto" w:sz="4" w:space="0"/>
              <w:left w:val="single" w:color="auto" w:sz="4" w:space="0"/>
              <w:bottom w:val="single" w:color="auto" w:sz="4" w:space="0"/>
              <w:right w:val="single" w:color="auto" w:sz="4" w:space="0"/>
            </w:tcBorders>
          </w:tcPr>
          <w:p w14:paraId="06F0E5D8">
            <w:pPr>
              <w:snapToGrid w:val="0"/>
              <w:spacing w:before="120" w:beforeLines="50"/>
              <w:jc w:val="center"/>
              <w:rPr>
                <w:rFonts w:ascii="宋体" w:hAnsi="宋体" w:cs="宋体"/>
                <w:sz w:val="24"/>
              </w:rPr>
            </w:pPr>
            <w:r>
              <w:rPr>
                <w:rFonts w:hint="eastAsia" w:ascii="宋体" w:hAnsi="宋体" w:cs="宋体"/>
                <w:sz w:val="24"/>
              </w:rPr>
              <w:t>偏离说明</w:t>
            </w:r>
          </w:p>
        </w:tc>
      </w:tr>
      <w:tr w14:paraId="55E2E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1510" w:type="dxa"/>
            <w:tcBorders>
              <w:top w:val="single" w:color="auto" w:sz="4" w:space="0"/>
              <w:left w:val="single" w:color="auto" w:sz="4" w:space="0"/>
              <w:bottom w:val="single" w:color="auto" w:sz="4" w:space="0"/>
              <w:right w:val="single" w:color="auto" w:sz="4" w:space="0"/>
            </w:tcBorders>
            <w:vAlign w:val="center"/>
          </w:tcPr>
          <w:p w14:paraId="3E38DB56">
            <w:pPr>
              <w:jc w:val="center"/>
              <w:rPr>
                <w:rFonts w:ascii="宋体" w:hAnsi="宋体" w:cs="宋体"/>
                <w:sz w:val="24"/>
              </w:rPr>
            </w:pPr>
          </w:p>
        </w:tc>
        <w:tc>
          <w:tcPr>
            <w:tcW w:w="3336" w:type="dxa"/>
            <w:tcBorders>
              <w:top w:val="single" w:color="auto" w:sz="4" w:space="0"/>
              <w:left w:val="single" w:color="auto" w:sz="4" w:space="0"/>
              <w:bottom w:val="single" w:color="auto" w:sz="4" w:space="0"/>
              <w:right w:val="single" w:color="auto" w:sz="4" w:space="0"/>
            </w:tcBorders>
          </w:tcPr>
          <w:p w14:paraId="37819C2C">
            <w:pPr>
              <w:snapToGrid w:val="0"/>
              <w:spacing w:before="120" w:beforeLines="50"/>
              <w:jc w:val="center"/>
              <w:rPr>
                <w:rFonts w:ascii="宋体" w:hAnsi="宋体" w:cs="宋体"/>
                <w:sz w:val="24"/>
              </w:rPr>
            </w:pPr>
          </w:p>
        </w:tc>
        <w:tc>
          <w:tcPr>
            <w:tcW w:w="1760" w:type="dxa"/>
            <w:tcBorders>
              <w:top w:val="single" w:color="auto" w:sz="4" w:space="0"/>
              <w:left w:val="single" w:color="auto" w:sz="4" w:space="0"/>
              <w:bottom w:val="single" w:color="auto" w:sz="4" w:space="0"/>
              <w:right w:val="single" w:color="auto" w:sz="4" w:space="0"/>
            </w:tcBorders>
          </w:tcPr>
          <w:p w14:paraId="2FE92FCE">
            <w:pPr>
              <w:snapToGrid w:val="0"/>
              <w:spacing w:before="120" w:beforeLines="50"/>
              <w:jc w:val="center"/>
              <w:rPr>
                <w:rFonts w:ascii="宋体" w:hAnsi="宋体" w:cs="宋体"/>
                <w:sz w:val="24"/>
              </w:rPr>
            </w:pPr>
          </w:p>
        </w:tc>
        <w:tc>
          <w:tcPr>
            <w:tcW w:w="2035" w:type="dxa"/>
            <w:tcBorders>
              <w:top w:val="single" w:color="auto" w:sz="4" w:space="0"/>
              <w:left w:val="single" w:color="auto" w:sz="4" w:space="0"/>
              <w:bottom w:val="single" w:color="auto" w:sz="4" w:space="0"/>
              <w:right w:val="single" w:color="auto" w:sz="4" w:space="0"/>
            </w:tcBorders>
          </w:tcPr>
          <w:p w14:paraId="6E7C127D">
            <w:pPr>
              <w:snapToGrid w:val="0"/>
              <w:spacing w:before="120" w:beforeLines="50"/>
              <w:jc w:val="center"/>
              <w:rPr>
                <w:rFonts w:ascii="宋体" w:hAnsi="宋体" w:cs="宋体"/>
                <w:sz w:val="24"/>
              </w:rPr>
            </w:pPr>
          </w:p>
        </w:tc>
      </w:tr>
      <w:tr w14:paraId="587CCA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510" w:type="dxa"/>
            <w:tcBorders>
              <w:top w:val="single" w:color="auto" w:sz="4" w:space="0"/>
              <w:left w:val="single" w:color="auto" w:sz="4" w:space="0"/>
              <w:bottom w:val="single" w:color="auto" w:sz="4" w:space="0"/>
              <w:right w:val="single" w:color="auto" w:sz="4" w:space="0"/>
            </w:tcBorders>
            <w:vAlign w:val="center"/>
          </w:tcPr>
          <w:p w14:paraId="19FB1ADA">
            <w:pPr>
              <w:jc w:val="center"/>
              <w:rPr>
                <w:rFonts w:ascii="宋体" w:hAnsi="宋体" w:cs="宋体"/>
                <w:sz w:val="24"/>
              </w:rPr>
            </w:pPr>
          </w:p>
        </w:tc>
        <w:tc>
          <w:tcPr>
            <w:tcW w:w="3336" w:type="dxa"/>
            <w:tcBorders>
              <w:top w:val="single" w:color="auto" w:sz="4" w:space="0"/>
              <w:left w:val="single" w:color="auto" w:sz="4" w:space="0"/>
              <w:bottom w:val="single" w:color="auto" w:sz="4" w:space="0"/>
              <w:right w:val="single" w:color="auto" w:sz="4" w:space="0"/>
            </w:tcBorders>
          </w:tcPr>
          <w:p w14:paraId="1C9B0B7B">
            <w:pPr>
              <w:snapToGrid w:val="0"/>
              <w:spacing w:before="120" w:beforeLines="50"/>
              <w:rPr>
                <w:rFonts w:ascii="宋体" w:hAnsi="宋体" w:cs="宋体"/>
                <w:sz w:val="24"/>
                <w:u w:val="single"/>
              </w:rPr>
            </w:pPr>
          </w:p>
        </w:tc>
        <w:tc>
          <w:tcPr>
            <w:tcW w:w="1760" w:type="dxa"/>
            <w:tcBorders>
              <w:top w:val="single" w:color="auto" w:sz="4" w:space="0"/>
              <w:left w:val="single" w:color="auto" w:sz="4" w:space="0"/>
              <w:bottom w:val="single" w:color="auto" w:sz="4" w:space="0"/>
              <w:right w:val="single" w:color="auto" w:sz="4" w:space="0"/>
            </w:tcBorders>
          </w:tcPr>
          <w:p w14:paraId="20C87CBE">
            <w:pPr>
              <w:snapToGrid w:val="0"/>
              <w:spacing w:before="120" w:beforeLines="50"/>
              <w:ind w:left="43"/>
              <w:jc w:val="center"/>
              <w:rPr>
                <w:rFonts w:ascii="宋体" w:hAnsi="宋体" w:cs="宋体"/>
                <w:sz w:val="24"/>
              </w:rPr>
            </w:pPr>
          </w:p>
        </w:tc>
        <w:tc>
          <w:tcPr>
            <w:tcW w:w="2035" w:type="dxa"/>
            <w:tcBorders>
              <w:top w:val="single" w:color="auto" w:sz="4" w:space="0"/>
              <w:left w:val="single" w:color="auto" w:sz="4" w:space="0"/>
              <w:bottom w:val="single" w:color="auto" w:sz="4" w:space="0"/>
              <w:right w:val="single" w:color="auto" w:sz="4" w:space="0"/>
            </w:tcBorders>
          </w:tcPr>
          <w:p w14:paraId="55470D2E">
            <w:pPr>
              <w:snapToGrid w:val="0"/>
              <w:spacing w:before="120" w:beforeLines="50"/>
              <w:ind w:left="43"/>
              <w:jc w:val="center"/>
              <w:rPr>
                <w:rFonts w:ascii="宋体" w:hAnsi="宋体" w:cs="宋体"/>
                <w:sz w:val="24"/>
              </w:rPr>
            </w:pPr>
          </w:p>
        </w:tc>
      </w:tr>
      <w:tr w14:paraId="62B31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10" w:type="dxa"/>
            <w:tcBorders>
              <w:top w:val="single" w:color="auto" w:sz="4" w:space="0"/>
              <w:left w:val="single" w:color="auto" w:sz="4" w:space="0"/>
              <w:bottom w:val="single" w:color="auto" w:sz="4" w:space="0"/>
              <w:right w:val="single" w:color="auto" w:sz="4" w:space="0"/>
            </w:tcBorders>
          </w:tcPr>
          <w:p w14:paraId="62A8FA4A">
            <w:pPr>
              <w:snapToGrid w:val="0"/>
              <w:spacing w:before="120" w:beforeLines="50"/>
              <w:jc w:val="center"/>
              <w:rPr>
                <w:rFonts w:ascii="宋体" w:hAnsi="宋体" w:cs="宋体"/>
                <w:sz w:val="24"/>
              </w:rPr>
            </w:pPr>
            <w:r>
              <w:rPr>
                <w:rFonts w:hint="eastAsia" w:ascii="宋体" w:hAnsi="宋体" w:cs="宋体"/>
                <w:sz w:val="24"/>
              </w:rPr>
              <w:t>…</w:t>
            </w:r>
          </w:p>
        </w:tc>
        <w:tc>
          <w:tcPr>
            <w:tcW w:w="3336" w:type="dxa"/>
            <w:tcBorders>
              <w:top w:val="single" w:color="auto" w:sz="4" w:space="0"/>
              <w:left w:val="single" w:color="auto" w:sz="4" w:space="0"/>
              <w:bottom w:val="single" w:color="auto" w:sz="4" w:space="0"/>
              <w:right w:val="single" w:color="auto" w:sz="4" w:space="0"/>
            </w:tcBorders>
          </w:tcPr>
          <w:p w14:paraId="2700BD3B">
            <w:pPr>
              <w:snapToGrid w:val="0"/>
              <w:spacing w:before="120" w:beforeLines="50"/>
              <w:jc w:val="center"/>
              <w:rPr>
                <w:rFonts w:ascii="宋体" w:hAnsi="宋体" w:cs="宋体"/>
                <w:sz w:val="24"/>
              </w:rPr>
            </w:pPr>
          </w:p>
        </w:tc>
        <w:tc>
          <w:tcPr>
            <w:tcW w:w="1760" w:type="dxa"/>
            <w:tcBorders>
              <w:top w:val="single" w:color="auto" w:sz="4" w:space="0"/>
              <w:left w:val="single" w:color="auto" w:sz="4" w:space="0"/>
              <w:bottom w:val="single" w:color="auto" w:sz="4" w:space="0"/>
              <w:right w:val="single" w:color="auto" w:sz="4" w:space="0"/>
            </w:tcBorders>
          </w:tcPr>
          <w:p w14:paraId="25D1E991">
            <w:pPr>
              <w:snapToGrid w:val="0"/>
              <w:spacing w:before="120" w:beforeLines="50"/>
              <w:jc w:val="center"/>
              <w:rPr>
                <w:rFonts w:ascii="宋体" w:hAnsi="宋体" w:cs="宋体"/>
                <w:sz w:val="24"/>
              </w:rPr>
            </w:pPr>
          </w:p>
        </w:tc>
        <w:tc>
          <w:tcPr>
            <w:tcW w:w="2035" w:type="dxa"/>
            <w:tcBorders>
              <w:top w:val="single" w:color="auto" w:sz="4" w:space="0"/>
              <w:left w:val="single" w:color="auto" w:sz="4" w:space="0"/>
              <w:bottom w:val="single" w:color="auto" w:sz="4" w:space="0"/>
              <w:right w:val="single" w:color="auto" w:sz="4" w:space="0"/>
            </w:tcBorders>
          </w:tcPr>
          <w:p w14:paraId="73809EE4">
            <w:pPr>
              <w:snapToGrid w:val="0"/>
              <w:spacing w:before="120" w:beforeLines="50"/>
              <w:jc w:val="center"/>
              <w:rPr>
                <w:rFonts w:ascii="宋体" w:hAnsi="宋体" w:cs="宋体"/>
                <w:sz w:val="24"/>
              </w:rPr>
            </w:pPr>
          </w:p>
        </w:tc>
      </w:tr>
    </w:tbl>
    <w:p w14:paraId="69167D0C">
      <w:pPr>
        <w:pStyle w:val="18"/>
        <w:rPr>
          <w:rFonts w:ascii="楷体" w:hAnsi="楷体" w:eastAsia="楷体" w:cs="宋体"/>
        </w:rPr>
      </w:pPr>
    </w:p>
    <w:p w14:paraId="34BFB427">
      <w:pPr>
        <w:pStyle w:val="18"/>
        <w:rPr>
          <w:rFonts w:ascii="楷体" w:hAnsi="楷体" w:eastAsia="楷体" w:cs="宋体"/>
        </w:rPr>
      </w:pPr>
      <w:r>
        <w:rPr>
          <w:rFonts w:hint="eastAsia" w:ascii="楷体" w:hAnsi="楷体" w:eastAsia="楷体" w:cs="宋体"/>
        </w:rPr>
        <w:t>注：</w:t>
      </w:r>
    </w:p>
    <w:p w14:paraId="5B189655">
      <w:pPr>
        <w:pStyle w:val="21"/>
        <w:spacing w:line="520" w:lineRule="exact"/>
        <w:ind w:firstLine="480" w:firstLineChars="200"/>
        <w:rPr>
          <w:rFonts w:ascii="楷体" w:hAnsi="楷体" w:eastAsia="楷体" w:cs="宋体"/>
          <w:szCs w:val="32"/>
        </w:rPr>
      </w:pPr>
      <w:r>
        <w:rPr>
          <w:rFonts w:ascii="楷体" w:hAnsi="楷体" w:eastAsia="楷体" w:cs="宋体"/>
          <w:sz w:val="24"/>
          <w:szCs w:val="24"/>
        </w:rPr>
        <w:t>1.</w:t>
      </w:r>
      <w:r>
        <w:rPr>
          <w:rFonts w:hint="eastAsia" w:ascii="楷体" w:hAnsi="楷体" w:eastAsia="楷体" w:cs="宋体"/>
          <w:sz w:val="24"/>
          <w:szCs w:val="24"/>
        </w:rPr>
        <w:t>说明：应对照招标文件“第二章</w:t>
      </w:r>
      <w:r>
        <w:rPr>
          <w:rFonts w:ascii="楷体" w:hAnsi="楷体" w:eastAsia="楷体" w:cs="宋体"/>
          <w:sz w:val="24"/>
          <w:szCs w:val="24"/>
        </w:rPr>
        <w:t xml:space="preserve"> </w:t>
      </w:r>
      <w:r>
        <w:rPr>
          <w:rFonts w:hint="eastAsia" w:ascii="楷体" w:hAnsi="楷体" w:eastAsia="楷体" w:cs="宋体"/>
          <w:sz w:val="24"/>
          <w:szCs w:val="24"/>
        </w:rPr>
        <w:t>采购需求”中的商务要求逐条作明确的投标响应，并作出偏离说明。</w:t>
      </w:r>
    </w:p>
    <w:p w14:paraId="5FB2CC0C">
      <w:pPr>
        <w:pStyle w:val="18"/>
        <w:ind w:firstLine="480" w:firstLineChars="200"/>
        <w:rPr>
          <w:rFonts w:ascii="楷体" w:hAnsi="楷体" w:eastAsia="楷体" w:cs="宋体"/>
          <w:b w:val="0"/>
          <w:bCs w:val="0"/>
        </w:rPr>
      </w:pPr>
      <w:r>
        <w:rPr>
          <w:rFonts w:ascii="楷体" w:hAnsi="楷体" w:eastAsia="楷体" w:cs="宋体"/>
          <w:b w:val="0"/>
          <w:bCs w:val="0"/>
        </w:rPr>
        <w:t>2.投标人应根据自身的承诺，对照招标文件要求在“偏离说明”中注明“</w:t>
      </w:r>
      <w:r>
        <w:rPr>
          <w:rFonts w:hint="eastAsia" w:ascii="楷体" w:hAnsi="楷体" w:eastAsia="楷体" w:cs="宋体"/>
        </w:rPr>
        <w:t>正偏离</w:t>
      </w:r>
      <w:r>
        <w:rPr>
          <w:rFonts w:hint="eastAsia" w:ascii="楷体" w:hAnsi="楷体" w:eastAsia="楷体" w:cs="宋体"/>
          <w:b w:val="0"/>
          <w:bCs w:val="0"/>
        </w:rPr>
        <w:t>”、“</w:t>
      </w:r>
      <w:r>
        <w:rPr>
          <w:rFonts w:hint="eastAsia" w:ascii="楷体" w:hAnsi="楷体" w:eastAsia="楷体" w:cs="宋体"/>
        </w:rPr>
        <w:t>负偏离</w:t>
      </w:r>
      <w:r>
        <w:rPr>
          <w:rFonts w:hint="eastAsia" w:ascii="楷体" w:hAnsi="楷体" w:eastAsia="楷体" w:cs="宋体"/>
          <w:b w:val="0"/>
          <w:bCs w:val="0"/>
        </w:rPr>
        <w:t>”或者“</w:t>
      </w:r>
      <w:r>
        <w:rPr>
          <w:rFonts w:hint="eastAsia" w:ascii="楷体" w:hAnsi="楷体" w:eastAsia="楷体" w:cs="宋体"/>
        </w:rPr>
        <w:t>无偏离</w:t>
      </w:r>
      <w:r>
        <w:rPr>
          <w:rFonts w:hint="eastAsia" w:ascii="楷体" w:hAnsi="楷体" w:eastAsia="楷体" w:cs="宋体"/>
          <w:b w:val="0"/>
          <w:bCs w:val="0"/>
        </w:rPr>
        <w:t>”。既不属于“</w:t>
      </w:r>
      <w:r>
        <w:rPr>
          <w:rFonts w:hint="eastAsia" w:ascii="楷体" w:hAnsi="楷体" w:eastAsia="楷体" w:cs="宋体"/>
        </w:rPr>
        <w:t>正偏离</w:t>
      </w:r>
      <w:r>
        <w:rPr>
          <w:rFonts w:hint="eastAsia" w:ascii="楷体" w:hAnsi="楷体" w:eastAsia="楷体" w:cs="宋体"/>
          <w:b w:val="0"/>
          <w:bCs w:val="0"/>
        </w:rPr>
        <w:t>”也不属于“</w:t>
      </w:r>
      <w:r>
        <w:rPr>
          <w:rFonts w:hint="eastAsia" w:ascii="楷体" w:hAnsi="楷体" w:eastAsia="楷体" w:cs="宋体"/>
        </w:rPr>
        <w:t>负偏离</w:t>
      </w:r>
      <w:r>
        <w:rPr>
          <w:rFonts w:hint="eastAsia" w:ascii="楷体" w:hAnsi="楷体" w:eastAsia="楷体" w:cs="宋体"/>
          <w:b w:val="0"/>
          <w:bCs w:val="0"/>
        </w:rPr>
        <w:t>”即为“</w:t>
      </w:r>
      <w:r>
        <w:rPr>
          <w:rFonts w:hint="eastAsia" w:ascii="楷体" w:hAnsi="楷体" w:eastAsia="楷体" w:cs="宋体"/>
        </w:rPr>
        <w:t>无偏离</w:t>
      </w:r>
      <w:r>
        <w:rPr>
          <w:rFonts w:hint="eastAsia" w:ascii="楷体" w:hAnsi="楷体" w:eastAsia="楷体" w:cs="宋体"/>
          <w:b w:val="0"/>
          <w:bCs w:val="0"/>
        </w:rPr>
        <w:t>”。</w:t>
      </w:r>
    </w:p>
    <w:p w14:paraId="205DF20B">
      <w:pPr>
        <w:snapToGrid w:val="0"/>
        <w:spacing w:before="50" w:after="50"/>
        <w:rPr>
          <w:rFonts w:ascii="宋体" w:hAnsi="宋体" w:cs="宋体"/>
          <w:sz w:val="24"/>
        </w:rPr>
      </w:pPr>
    </w:p>
    <w:p w14:paraId="2FDE65AF">
      <w:pPr>
        <w:pStyle w:val="2"/>
      </w:pPr>
    </w:p>
    <w:p w14:paraId="7FD9FF7F">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407293A2">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w:t>
      </w:r>
      <w:r>
        <w:rPr>
          <w:rFonts w:hint="eastAsia" w:ascii="黑体" w:hAnsi="黑体" w:eastAsia="黑体" w:cs="宋体"/>
          <w:kern w:val="0"/>
          <w:sz w:val="24"/>
        </w:rPr>
        <w:t>（</w:t>
      </w:r>
      <w:r>
        <w:rPr>
          <w:rFonts w:hint="eastAsia" w:ascii="宋体" w:hAnsi="宋体" w:cs="宋体"/>
          <w:kern w:val="0"/>
          <w:sz w:val="24"/>
        </w:rPr>
        <w:t>公章</w:t>
      </w:r>
      <w:r>
        <w:rPr>
          <w:rFonts w:hint="eastAsia" w:ascii="黑体" w:hAnsi="黑体" w:eastAsia="黑体" w:cs="宋体"/>
          <w:kern w:val="0"/>
          <w:sz w:val="24"/>
        </w:rPr>
        <w:t>）</w:t>
      </w:r>
      <w:r>
        <w:rPr>
          <w:rFonts w:hint="eastAsia" w:ascii="宋体" w:hAnsi="宋体" w:cs="宋体"/>
          <w:kern w:val="0"/>
          <w:sz w:val="24"/>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7558174D">
      <w:pPr>
        <w:snapToGrid w:val="0"/>
        <w:spacing w:before="120" w:beforeLines="50"/>
        <w:ind w:firstLine="3360" w:firstLineChars="1400"/>
        <w:rPr>
          <w:rFonts w:ascii="宋体" w:hAnsi="宋体" w:cs="宋体"/>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hint="eastAsia" w:ascii="黑体" w:hAnsi="黑体" w:eastAsia="黑体" w:cs="宋体"/>
          <w:b/>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0E2BCCE8">
      <w:pPr>
        <w:snapToGrid w:val="0"/>
        <w:spacing w:before="120" w:beforeLines="50"/>
        <w:ind w:firstLine="2640" w:firstLineChars="1100"/>
        <w:jc w:val="left"/>
        <w:rPr>
          <w:rFonts w:ascii="宋体" w:hAnsi="宋体" w:cs="宋体"/>
          <w:sz w:val="24"/>
          <w:szCs w:val="20"/>
        </w:rPr>
      </w:pPr>
    </w:p>
    <w:p w14:paraId="0A18A029">
      <w:pPr>
        <w:snapToGrid w:val="0"/>
        <w:spacing w:before="120" w:beforeLines="50"/>
        <w:rPr>
          <w:rFonts w:ascii="宋体" w:hAnsi="宋体" w:cs="宋体"/>
          <w:sz w:val="24"/>
          <w:szCs w:val="20"/>
        </w:rPr>
      </w:pPr>
    </w:p>
    <w:p w14:paraId="37661588">
      <w:pPr>
        <w:snapToGrid w:val="0"/>
        <w:spacing w:before="120" w:beforeLines="50" w:after="50"/>
        <w:jc w:val="left"/>
        <w:rPr>
          <w:rFonts w:ascii="宋体" w:hAnsi="宋体" w:cs="宋体"/>
          <w:sz w:val="24"/>
          <w:szCs w:val="20"/>
        </w:rPr>
      </w:pPr>
    </w:p>
    <w:p w14:paraId="615F4C83">
      <w:pPr>
        <w:snapToGrid w:val="0"/>
        <w:spacing w:before="120" w:beforeLines="50" w:after="50"/>
        <w:jc w:val="left"/>
        <w:rPr>
          <w:rFonts w:ascii="宋体" w:hAnsi="宋体" w:cs="宋体"/>
          <w:b/>
          <w:sz w:val="24"/>
        </w:rPr>
      </w:pPr>
      <w:r>
        <w:rPr>
          <w:rFonts w:hint="eastAsia" w:ascii="宋体" w:hAnsi="宋体" w:cs="宋体"/>
          <w:sz w:val="24"/>
          <w:szCs w:val="20"/>
        </w:rPr>
        <w:br w:type="page"/>
      </w:r>
      <w:r>
        <w:rPr>
          <w:rFonts w:hint="eastAsia" w:ascii="宋体" w:hAnsi="宋体" w:cs="宋体"/>
          <w:b/>
          <w:sz w:val="24"/>
        </w:rPr>
        <w:t>7.投标人业绩及证明材料</w:t>
      </w:r>
    </w:p>
    <w:p w14:paraId="7F52783F">
      <w:pPr>
        <w:pStyle w:val="36"/>
        <w:snapToGrid w:val="0"/>
        <w:ind w:left="480" w:hanging="480"/>
        <w:rPr>
          <w:rFonts w:ascii="宋体" w:hAnsi="宋体" w:cs="宋体"/>
          <w:sz w:val="24"/>
        </w:rPr>
      </w:pPr>
    </w:p>
    <w:p w14:paraId="6269E573">
      <w:pPr>
        <w:pStyle w:val="36"/>
        <w:snapToGrid w:val="0"/>
        <w:ind w:left="-420" w:leftChars="-200" w:firstLine="0" w:firstLineChars="0"/>
        <w:jc w:val="center"/>
        <w:rPr>
          <w:rFonts w:ascii="宋体" w:hAnsi="宋体" w:cs="宋体"/>
          <w:b/>
          <w:sz w:val="32"/>
          <w:szCs w:val="32"/>
        </w:rPr>
      </w:pPr>
      <w:r>
        <w:rPr>
          <w:rFonts w:hint="eastAsia" w:ascii="宋体" w:hAnsi="宋体" w:cs="宋体"/>
          <w:b/>
          <w:sz w:val="32"/>
          <w:szCs w:val="32"/>
        </w:rPr>
        <w:t>投标人业绩情况一览表</w:t>
      </w:r>
    </w:p>
    <w:p w14:paraId="310AD803">
      <w:pPr>
        <w:pStyle w:val="36"/>
        <w:snapToGrid w:val="0"/>
        <w:ind w:left="-420" w:leftChars="-200" w:firstLine="0" w:firstLineChars="0"/>
        <w:jc w:val="center"/>
        <w:rPr>
          <w:rFonts w:ascii="宋体" w:hAnsi="宋体" w:cs="宋体"/>
          <w:b/>
          <w:bCs/>
          <w:sz w:val="24"/>
        </w:rPr>
      </w:pPr>
    </w:p>
    <w:p w14:paraId="7B9FD7ED">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2ACC06A4">
      <w:pPr>
        <w:rPr>
          <w:rFonts w:ascii="宋体" w:hAnsi="宋体" w:cs="宋体"/>
          <w:kern w:val="0"/>
          <w:sz w:val="24"/>
          <w:szCs w:val="21"/>
          <w:u w:val="single"/>
        </w:rPr>
      </w:pPr>
      <w:r>
        <w:rPr>
          <w:rFonts w:hint="eastAsia" w:ascii="宋体" w:hAnsi="宋体" w:cs="宋体"/>
          <w:kern w:val="0"/>
          <w:sz w:val="24"/>
          <w:szCs w:val="21"/>
        </w:rPr>
        <w:t>投标人名称：</w:t>
      </w:r>
      <w:r>
        <w:rPr>
          <w:rFonts w:hint="eastAsia" w:ascii="宋体" w:hAnsi="宋体" w:cs="宋体"/>
          <w:kern w:val="0"/>
          <w:sz w:val="24"/>
          <w:szCs w:val="21"/>
          <w:u w:val="single"/>
        </w:rPr>
        <w:t xml:space="preserve"> </w:t>
      </w:r>
      <w:r>
        <w:rPr>
          <w:rFonts w:ascii="宋体" w:hAnsi="宋体" w:cs="宋体"/>
          <w:kern w:val="0"/>
          <w:sz w:val="24"/>
          <w:szCs w:val="21"/>
          <w:u w:val="single"/>
        </w:rPr>
        <w:t xml:space="preserve">            </w:t>
      </w:r>
    </w:p>
    <w:p w14:paraId="0094A61E">
      <w:pPr>
        <w:pStyle w:val="2"/>
      </w:pPr>
    </w:p>
    <w:tbl>
      <w:tblPr>
        <w:tblStyle w:val="48"/>
        <w:tblW w:w="92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22"/>
        <w:gridCol w:w="1928"/>
        <w:gridCol w:w="1928"/>
        <w:gridCol w:w="3110"/>
      </w:tblGrid>
      <w:tr w14:paraId="2BB63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atLeast"/>
        </w:trPr>
        <w:tc>
          <w:tcPr>
            <w:tcW w:w="2322" w:type="dxa"/>
            <w:vMerge w:val="restart"/>
            <w:tcBorders>
              <w:top w:val="single" w:color="auto" w:sz="4" w:space="0"/>
              <w:left w:val="single" w:color="auto" w:sz="4" w:space="0"/>
              <w:bottom w:val="single" w:color="auto" w:sz="4" w:space="0"/>
              <w:right w:val="single" w:color="auto" w:sz="4" w:space="0"/>
            </w:tcBorders>
            <w:vAlign w:val="center"/>
          </w:tcPr>
          <w:p w14:paraId="40D3F019">
            <w:pPr>
              <w:snapToGrid w:val="0"/>
              <w:spacing w:line="240" w:lineRule="exact"/>
              <w:jc w:val="center"/>
              <w:rPr>
                <w:rFonts w:ascii="宋体" w:hAnsi="宋体" w:cs="宋体"/>
                <w:sz w:val="24"/>
              </w:rPr>
            </w:pPr>
            <w:r>
              <w:rPr>
                <w:rFonts w:hint="eastAsia" w:ascii="宋体" w:hAnsi="宋体" w:cs="宋体"/>
                <w:sz w:val="24"/>
              </w:rPr>
              <w:t>采购人名称</w:t>
            </w:r>
          </w:p>
        </w:tc>
        <w:tc>
          <w:tcPr>
            <w:tcW w:w="1928" w:type="dxa"/>
            <w:vMerge w:val="restart"/>
            <w:tcBorders>
              <w:top w:val="single" w:color="auto" w:sz="4" w:space="0"/>
              <w:left w:val="single" w:color="auto" w:sz="4" w:space="0"/>
              <w:bottom w:val="single" w:color="auto" w:sz="4" w:space="0"/>
              <w:right w:val="single" w:color="auto" w:sz="4" w:space="0"/>
            </w:tcBorders>
            <w:vAlign w:val="center"/>
          </w:tcPr>
          <w:p w14:paraId="2A30CB11">
            <w:pPr>
              <w:snapToGrid w:val="0"/>
              <w:spacing w:line="240" w:lineRule="exact"/>
              <w:jc w:val="center"/>
              <w:rPr>
                <w:rFonts w:ascii="宋体" w:hAnsi="宋体" w:cs="宋体"/>
                <w:sz w:val="24"/>
              </w:rPr>
            </w:pPr>
            <w:r>
              <w:rPr>
                <w:rFonts w:hint="eastAsia" w:ascii="宋体" w:hAnsi="宋体" w:cs="宋体"/>
                <w:sz w:val="24"/>
              </w:rPr>
              <w:t>项目名称</w:t>
            </w:r>
          </w:p>
        </w:tc>
        <w:tc>
          <w:tcPr>
            <w:tcW w:w="1928" w:type="dxa"/>
            <w:vMerge w:val="restart"/>
            <w:tcBorders>
              <w:top w:val="single" w:color="auto" w:sz="4" w:space="0"/>
              <w:left w:val="single" w:color="auto" w:sz="4" w:space="0"/>
              <w:bottom w:val="single" w:color="auto" w:sz="4" w:space="0"/>
              <w:right w:val="single" w:color="auto" w:sz="4" w:space="0"/>
            </w:tcBorders>
            <w:vAlign w:val="center"/>
          </w:tcPr>
          <w:p w14:paraId="22A8C58B">
            <w:pPr>
              <w:snapToGrid w:val="0"/>
              <w:spacing w:line="240" w:lineRule="exact"/>
              <w:jc w:val="center"/>
              <w:rPr>
                <w:rFonts w:ascii="宋体" w:hAnsi="宋体" w:cs="宋体"/>
                <w:sz w:val="24"/>
              </w:rPr>
            </w:pPr>
            <w:r>
              <w:rPr>
                <w:rFonts w:hint="eastAsia" w:ascii="宋体" w:hAnsi="宋体" w:cs="宋体"/>
                <w:sz w:val="24"/>
              </w:rPr>
              <w:t>合同金额</w:t>
            </w:r>
          </w:p>
          <w:p w14:paraId="39D91ED2">
            <w:pPr>
              <w:snapToGrid w:val="0"/>
              <w:spacing w:line="240" w:lineRule="exact"/>
              <w:jc w:val="center"/>
              <w:rPr>
                <w:rFonts w:ascii="宋体" w:hAnsi="宋体" w:cs="宋体"/>
                <w:sz w:val="24"/>
              </w:rPr>
            </w:pPr>
            <w:r>
              <w:rPr>
                <w:rFonts w:hint="eastAsia" w:ascii="宋体" w:hAnsi="宋体" w:cs="宋体"/>
                <w:sz w:val="24"/>
              </w:rPr>
              <w:t>（人民币万元）</w:t>
            </w:r>
          </w:p>
        </w:tc>
        <w:tc>
          <w:tcPr>
            <w:tcW w:w="3110" w:type="dxa"/>
            <w:vMerge w:val="restart"/>
            <w:tcBorders>
              <w:top w:val="single" w:color="auto" w:sz="4" w:space="0"/>
              <w:left w:val="single" w:color="auto" w:sz="4" w:space="0"/>
              <w:bottom w:val="single" w:color="auto" w:sz="4" w:space="0"/>
              <w:right w:val="single" w:color="auto" w:sz="4" w:space="0"/>
            </w:tcBorders>
            <w:vAlign w:val="center"/>
          </w:tcPr>
          <w:p w14:paraId="409697A0">
            <w:pPr>
              <w:snapToGrid w:val="0"/>
              <w:spacing w:line="240" w:lineRule="exact"/>
              <w:jc w:val="center"/>
              <w:rPr>
                <w:rFonts w:ascii="宋体" w:hAnsi="宋体" w:cs="宋体"/>
                <w:sz w:val="24"/>
              </w:rPr>
            </w:pPr>
            <w:r>
              <w:rPr>
                <w:rFonts w:hint="eastAsia" w:ascii="宋体" w:hAnsi="宋体" w:cs="宋体"/>
                <w:sz w:val="24"/>
              </w:rPr>
              <w:t>采购人联系人及</w:t>
            </w:r>
          </w:p>
          <w:p w14:paraId="5F960251">
            <w:pPr>
              <w:snapToGrid w:val="0"/>
              <w:spacing w:line="240" w:lineRule="exact"/>
              <w:jc w:val="center"/>
              <w:rPr>
                <w:rFonts w:ascii="宋体" w:hAnsi="宋体" w:cs="宋体"/>
                <w:sz w:val="24"/>
              </w:rPr>
            </w:pPr>
            <w:r>
              <w:rPr>
                <w:rFonts w:hint="eastAsia" w:ascii="宋体" w:hAnsi="宋体" w:cs="宋体"/>
                <w:sz w:val="24"/>
              </w:rPr>
              <w:t>联系电话</w:t>
            </w:r>
          </w:p>
        </w:tc>
      </w:tr>
      <w:tr w14:paraId="245F7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36" w:hRule="atLeast"/>
        </w:trPr>
        <w:tc>
          <w:tcPr>
            <w:tcW w:w="2322" w:type="dxa"/>
            <w:vMerge w:val="continue"/>
            <w:tcBorders>
              <w:top w:val="single" w:color="auto" w:sz="4" w:space="0"/>
              <w:left w:val="single" w:color="auto" w:sz="4" w:space="0"/>
              <w:bottom w:val="single" w:color="auto" w:sz="4" w:space="0"/>
              <w:right w:val="single" w:color="auto" w:sz="4" w:space="0"/>
            </w:tcBorders>
            <w:vAlign w:val="center"/>
          </w:tcPr>
          <w:p w14:paraId="2FF3494E">
            <w:pPr>
              <w:jc w:val="left"/>
              <w:rPr>
                <w:rFonts w:ascii="宋体" w:hAnsi="宋体" w:cs="宋体"/>
                <w:sz w:val="24"/>
              </w:rPr>
            </w:pPr>
          </w:p>
        </w:tc>
        <w:tc>
          <w:tcPr>
            <w:tcW w:w="1928" w:type="dxa"/>
            <w:vMerge w:val="continue"/>
            <w:tcBorders>
              <w:top w:val="single" w:color="auto" w:sz="4" w:space="0"/>
              <w:left w:val="single" w:color="auto" w:sz="4" w:space="0"/>
              <w:bottom w:val="single" w:color="auto" w:sz="4" w:space="0"/>
              <w:right w:val="single" w:color="auto" w:sz="4" w:space="0"/>
            </w:tcBorders>
            <w:vAlign w:val="center"/>
          </w:tcPr>
          <w:p w14:paraId="11D146DA">
            <w:pPr>
              <w:jc w:val="left"/>
              <w:rPr>
                <w:rFonts w:ascii="宋体" w:hAnsi="宋体" w:cs="宋体"/>
                <w:sz w:val="24"/>
              </w:rPr>
            </w:pPr>
          </w:p>
        </w:tc>
        <w:tc>
          <w:tcPr>
            <w:tcW w:w="1928" w:type="dxa"/>
            <w:vMerge w:val="continue"/>
            <w:tcBorders>
              <w:top w:val="single" w:color="auto" w:sz="4" w:space="0"/>
              <w:left w:val="single" w:color="auto" w:sz="4" w:space="0"/>
              <w:bottom w:val="single" w:color="auto" w:sz="4" w:space="0"/>
              <w:right w:val="single" w:color="auto" w:sz="4" w:space="0"/>
            </w:tcBorders>
            <w:vAlign w:val="center"/>
          </w:tcPr>
          <w:p w14:paraId="3BBA4E7A">
            <w:pPr>
              <w:jc w:val="left"/>
              <w:rPr>
                <w:rFonts w:ascii="宋体" w:hAnsi="宋体" w:cs="宋体"/>
                <w:sz w:val="24"/>
              </w:rPr>
            </w:pPr>
          </w:p>
        </w:tc>
        <w:tc>
          <w:tcPr>
            <w:tcW w:w="3110" w:type="dxa"/>
            <w:vMerge w:val="continue"/>
            <w:tcBorders>
              <w:top w:val="single" w:color="auto" w:sz="4" w:space="0"/>
              <w:left w:val="single" w:color="auto" w:sz="4" w:space="0"/>
              <w:bottom w:val="single" w:color="auto" w:sz="4" w:space="0"/>
              <w:right w:val="single" w:color="auto" w:sz="4" w:space="0"/>
            </w:tcBorders>
            <w:vAlign w:val="center"/>
          </w:tcPr>
          <w:p w14:paraId="070563A8">
            <w:pPr>
              <w:jc w:val="left"/>
              <w:rPr>
                <w:rFonts w:ascii="宋体" w:hAnsi="宋体" w:cs="宋体"/>
                <w:sz w:val="24"/>
              </w:rPr>
            </w:pPr>
          </w:p>
        </w:tc>
      </w:tr>
      <w:tr w14:paraId="693558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2322" w:type="dxa"/>
            <w:tcBorders>
              <w:top w:val="single" w:color="auto" w:sz="4" w:space="0"/>
              <w:left w:val="single" w:color="auto" w:sz="4" w:space="0"/>
              <w:bottom w:val="single" w:color="auto" w:sz="4" w:space="0"/>
              <w:right w:val="single" w:color="auto" w:sz="4" w:space="0"/>
            </w:tcBorders>
          </w:tcPr>
          <w:p w14:paraId="677F1A4B">
            <w:pPr>
              <w:snapToGrid w:val="0"/>
              <w:spacing w:line="24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2737D178">
            <w:pPr>
              <w:snapToGrid w:val="0"/>
              <w:spacing w:line="24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685C4148">
            <w:pPr>
              <w:snapToGrid w:val="0"/>
              <w:spacing w:line="240" w:lineRule="exact"/>
              <w:jc w:val="left"/>
              <w:rPr>
                <w:rFonts w:ascii="宋体" w:hAnsi="宋体" w:cs="宋体"/>
                <w:sz w:val="24"/>
              </w:rPr>
            </w:pPr>
          </w:p>
        </w:tc>
        <w:tc>
          <w:tcPr>
            <w:tcW w:w="3110" w:type="dxa"/>
            <w:tcBorders>
              <w:top w:val="single" w:color="auto" w:sz="4" w:space="0"/>
              <w:left w:val="single" w:color="auto" w:sz="4" w:space="0"/>
              <w:bottom w:val="single" w:color="auto" w:sz="4" w:space="0"/>
              <w:right w:val="single" w:color="auto" w:sz="4" w:space="0"/>
            </w:tcBorders>
          </w:tcPr>
          <w:p w14:paraId="610C223E">
            <w:pPr>
              <w:snapToGrid w:val="0"/>
              <w:spacing w:line="240" w:lineRule="exact"/>
              <w:jc w:val="left"/>
              <w:rPr>
                <w:rFonts w:ascii="宋体" w:hAnsi="宋体" w:cs="宋体"/>
                <w:sz w:val="24"/>
              </w:rPr>
            </w:pPr>
          </w:p>
        </w:tc>
      </w:tr>
      <w:tr w14:paraId="0110D3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auto" w:sz="4" w:space="0"/>
              <w:left w:val="single" w:color="auto" w:sz="4" w:space="0"/>
              <w:bottom w:val="single" w:color="auto" w:sz="4" w:space="0"/>
              <w:right w:val="single" w:color="auto" w:sz="4" w:space="0"/>
            </w:tcBorders>
          </w:tcPr>
          <w:p w14:paraId="0391A1B6">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31FAA05F">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1BB7CD5B">
            <w:pPr>
              <w:snapToGrid w:val="0"/>
              <w:spacing w:before="50" w:after="120" w:afterLines="50" w:line="400" w:lineRule="exact"/>
              <w:jc w:val="left"/>
              <w:rPr>
                <w:rFonts w:ascii="宋体" w:hAnsi="宋体" w:cs="宋体"/>
                <w:sz w:val="24"/>
              </w:rPr>
            </w:pPr>
          </w:p>
        </w:tc>
        <w:tc>
          <w:tcPr>
            <w:tcW w:w="3110" w:type="dxa"/>
            <w:tcBorders>
              <w:top w:val="single" w:color="auto" w:sz="4" w:space="0"/>
              <w:left w:val="single" w:color="auto" w:sz="4" w:space="0"/>
              <w:bottom w:val="single" w:color="auto" w:sz="4" w:space="0"/>
              <w:right w:val="single" w:color="auto" w:sz="4" w:space="0"/>
            </w:tcBorders>
          </w:tcPr>
          <w:p w14:paraId="5ADC8F1A">
            <w:pPr>
              <w:snapToGrid w:val="0"/>
              <w:spacing w:before="50" w:after="120" w:afterLines="50" w:line="400" w:lineRule="exact"/>
              <w:jc w:val="left"/>
              <w:rPr>
                <w:rFonts w:ascii="宋体" w:hAnsi="宋体" w:cs="宋体"/>
                <w:sz w:val="24"/>
              </w:rPr>
            </w:pPr>
          </w:p>
        </w:tc>
      </w:tr>
      <w:tr w14:paraId="70445F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322" w:type="dxa"/>
            <w:tcBorders>
              <w:top w:val="single" w:color="auto" w:sz="4" w:space="0"/>
              <w:left w:val="single" w:color="auto" w:sz="4" w:space="0"/>
              <w:bottom w:val="single" w:color="auto" w:sz="4" w:space="0"/>
              <w:right w:val="single" w:color="auto" w:sz="4" w:space="0"/>
            </w:tcBorders>
          </w:tcPr>
          <w:p w14:paraId="75BB9DFC">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0CC53102">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278523BE">
            <w:pPr>
              <w:snapToGrid w:val="0"/>
              <w:spacing w:before="50" w:after="120" w:afterLines="50" w:line="400" w:lineRule="exact"/>
              <w:jc w:val="left"/>
              <w:rPr>
                <w:rFonts w:ascii="宋体" w:hAnsi="宋体" w:cs="宋体"/>
                <w:sz w:val="24"/>
              </w:rPr>
            </w:pPr>
          </w:p>
        </w:tc>
        <w:tc>
          <w:tcPr>
            <w:tcW w:w="3110" w:type="dxa"/>
            <w:tcBorders>
              <w:top w:val="single" w:color="auto" w:sz="4" w:space="0"/>
              <w:left w:val="single" w:color="auto" w:sz="4" w:space="0"/>
              <w:bottom w:val="single" w:color="auto" w:sz="4" w:space="0"/>
              <w:right w:val="single" w:color="auto" w:sz="4" w:space="0"/>
            </w:tcBorders>
          </w:tcPr>
          <w:p w14:paraId="182DA745">
            <w:pPr>
              <w:snapToGrid w:val="0"/>
              <w:spacing w:before="50" w:after="120" w:afterLines="50" w:line="400" w:lineRule="exact"/>
              <w:jc w:val="left"/>
              <w:rPr>
                <w:rFonts w:ascii="宋体" w:hAnsi="宋体" w:cs="宋体"/>
                <w:sz w:val="24"/>
              </w:rPr>
            </w:pPr>
          </w:p>
        </w:tc>
      </w:tr>
      <w:tr w14:paraId="62FE55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auto" w:sz="4" w:space="0"/>
              <w:left w:val="single" w:color="auto" w:sz="4" w:space="0"/>
              <w:bottom w:val="single" w:color="auto" w:sz="4" w:space="0"/>
              <w:right w:val="single" w:color="auto" w:sz="4" w:space="0"/>
            </w:tcBorders>
          </w:tcPr>
          <w:p w14:paraId="085307E5">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7537A94F">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21990526">
            <w:pPr>
              <w:snapToGrid w:val="0"/>
              <w:spacing w:before="50" w:after="120" w:afterLines="50" w:line="400" w:lineRule="exact"/>
              <w:jc w:val="left"/>
              <w:rPr>
                <w:rFonts w:ascii="宋体" w:hAnsi="宋体" w:cs="宋体"/>
                <w:sz w:val="24"/>
              </w:rPr>
            </w:pPr>
          </w:p>
        </w:tc>
        <w:tc>
          <w:tcPr>
            <w:tcW w:w="3110" w:type="dxa"/>
            <w:tcBorders>
              <w:top w:val="single" w:color="auto" w:sz="4" w:space="0"/>
              <w:left w:val="single" w:color="auto" w:sz="4" w:space="0"/>
              <w:bottom w:val="single" w:color="auto" w:sz="4" w:space="0"/>
              <w:right w:val="single" w:color="auto" w:sz="4" w:space="0"/>
            </w:tcBorders>
          </w:tcPr>
          <w:p w14:paraId="410D4DCA">
            <w:pPr>
              <w:snapToGrid w:val="0"/>
              <w:spacing w:before="50" w:after="120" w:afterLines="50" w:line="400" w:lineRule="exact"/>
              <w:jc w:val="left"/>
              <w:rPr>
                <w:rFonts w:ascii="宋体" w:hAnsi="宋体" w:cs="宋体"/>
                <w:sz w:val="24"/>
              </w:rPr>
            </w:pPr>
          </w:p>
        </w:tc>
      </w:tr>
      <w:tr w14:paraId="332FB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322" w:type="dxa"/>
            <w:tcBorders>
              <w:top w:val="single" w:color="auto" w:sz="4" w:space="0"/>
              <w:left w:val="single" w:color="auto" w:sz="4" w:space="0"/>
              <w:bottom w:val="single" w:color="auto" w:sz="4" w:space="0"/>
              <w:right w:val="single" w:color="auto" w:sz="4" w:space="0"/>
            </w:tcBorders>
          </w:tcPr>
          <w:p w14:paraId="59F09770">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3D64E3BB">
            <w:pPr>
              <w:snapToGrid w:val="0"/>
              <w:spacing w:before="50" w:after="120" w:afterLines="50" w:line="400" w:lineRule="exact"/>
              <w:jc w:val="left"/>
              <w:rPr>
                <w:rFonts w:ascii="宋体" w:hAnsi="宋体" w:cs="宋体"/>
                <w:sz w:val="24"/>
              </w:rPr>
            </w:pPr>
          </w:p>
        </w:tc>
        <w:tc>
          <w:tcPr>
            <w:tcW w:w="1928" w:type="dxa"/>
            <w:tcBorders>
              <w:top w:val="single" w:color="auto" w:sz="4" w:space="0"/>
              <w:left w:val="single" w:color="auto" w:sz="4" w:space="0"/>
              <w:bottom w:val="single" w:color="auto" w:sz="4" w:space="0"/>
              <w:right w:val="single" w:color="auto" w:sz="4" w:space="0"/>
            </w:tcBorders>
          </w:tcPr>
          <w:p w14:paraId="0E671BC4">
            <w:pPr>
              <w:snapToGrid w:val="0"/>
              <w:spacing w:before="50" w:after="120" w:afterLines="50" w:line="400" w:lineRule="exact"/>
              <w:jc w:val="left"/>
              <w:rPr>
                <w:rFonts w:ascii="宋体" w:hAnsi="宋体" w:cs="宋体"/>
                <w:sz w:val="24"/>
              </w:rPr>
            </w:pPr>
          </w:p>
        </w:tc>
        <w:tc>
          <w:tcPr>
            <w:tcW w:w="3110" w:type="dxa"/>
            <w:tcBorders>
              <w:top w:val="single" w:color="auto" w:sz="4" w:space="0"/>
              <w:left w:val="single" w:color="auto" w:sz="4" w:space="0"/>
              <w:bottom w:val="single" w:color="auto" w:sz="4" w:space="0"/>
              <w:right w:val="single" w:color="auto" w:sz="4" w:space="0"/>
            </w:tcBorders>
          </w:tcPr>
          <w:p w14:paraId="50EE3A9A">
            <w:pPr>
              <w:snapToGrid w:val="0"/>
              <w:spacing w:before="50" w:after="120" w:afterLines="50" w:line="400" w:lineRule="exact"/>
              <w:jc w:val="left"/>
              <w:rPr>
                <w:rFonts w:ascii="宋体" w:hAnsi="宋体" w:cs="宋体"/>
                <w:sz w:val="24"/>
              </w:rPr>
            </w:pPr>
          </w:p>
        </w:tc>
      </w:tr>
    </w:tbl>
    <w:p w14:paraId="14E76403">
      <w:pPr>
        <w:pStyle w:val="15"/>
        <w:spacing w:before="0" w:after="0" w:line="360" w:lineRule="auto"/>
        <w:contextualSpacing/>
        <w:rPr>
          <w:rFonts w:ascii="宋体" w:hAnsi="宋体" w:eastAsia="宋体" w:cs="宋体"/>
          <w:sz w:val="24"/>
          <w:szCs w:val="24"/>
        </w:rPr>
      </w:pPr>
    </w:p>
    <w:p w14:paraId="7277EEDB">
      <w:pPr>
        <w:pStyle w:val="15"/>
        <w:spacing w:before="0" w:after="0" w:line="360" w:lineRule="auto"/>
        <w:contextualSpacing/>
        <w:rPr>
          <w:rFonts w:ascii="楷体" w:hAnsi="楷体" w:eastAsia="楷体" w:cs="宋体"/>
          <w:sz w:val="24"/>
        </w:rPr>
      </w:pPr>
      <w:r>
        <w:rPr>
          <w:rFonts w:hint="eastAsia" w:ascii="楷体" w:hAnsi="楷体" w:eastAsia="楷体" w:cs="宋体"/>
          <w:sz w:val="24"/>
          <w:szCs w:val="24"/>
        </w:rPr>
        <w:t>注：</w:t>
      </w:r>
      <w:r>
        <w:rPr>
          <w:rFonts w:hint="eastAsia" w:ascii="楷体" w:hAnsi="楷体" w:eastAsia="楷体" w:cs="宋体"/>
          <w:sz w:val="24"/>
        </w:rPr>
        <w:t>投标人根据评标标准具体要求附业绩证明材料。</w:t>
      </w:r>
    </w:p>
    <w:p w14:paraId="24A9254E"/>
    <w:p w14:paraId="36E1DEE3">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15064450">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w:t>
      </w:r>
      <w:r>
        <w:rPr>
          <w:rFonts w:hint="eastAsia" w:ascii="黑体" w:hAnsi="黑体" w:eastAsia="黑体" w:cs="宋体"/>
          <w:kern w:val="0"/>
          <w:sz w:val="24"/>
        </w:rPr>
        <w:t>（</w:t>
      </w:r>
      <w:r>
        <w:rPr>
          <w:rFonts w:hint="eastAsia" w:ascii="宋体" w:hAnsi="宋体" w:cs="宋体"/>
          <w:kern w:val="0"/>
          <w:sz w:val="24"/>
        </w:rPr>
        <w:t>公章</w:t>
      </w:r>
      <w:r>
        <w:rPr>
          <w:rFonts w:hint="eastAsia" w:ascii="黑体" w:hAnsi="黑体" w:eastAsia="黑体" w:cs="宋体"/>
          <w:kern w:val="0"/>
          <w:sz w:val="24"/>
        </w:rPr>
        <w:t>）</w:t>
      </w:r>
      <w:r>
        <w:rPr>
          <w:rFonts w:hint="eastAsia" w:ascii="宋体" w:hAnsi="宋体" w:cs="宋体"/>
          <w:kern w:val="0"/>
          <w:sz w:val="24"/>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3EA6BFBE">
      <w:pPr>
        <w:snapToGrid w:val="0"/>
        <w:spacing w:before="120" w:beforeLines="50"/>
        <w:ind w:firstLine="3360" w:firstLineChars="1400"/>
        <w:rPr>
          <w:rFonts w:cs="宋体" w:asciiTheme="minorEastAsia" w:hAnsiTheme="minorEastAsia" w:eastAsiaTheme="minorEastAsia"/>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hint="eastAsia" w:ascii="黑体" w:hAnsi="黑体" w:eastAsia="黑体" w:cs="宋体"/>
          <w:b/>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1C024886">
      <w:pPr>
        <w:snapToGrid w:val="0"/>
        <w:spacing w:before="50"/>
        <w:ind w:firstLine="480" w:firstLineChars="200"/>
        <w:jc w:val="left"/>
        <w:rPr>
          <w:rFonts w:ascii="宋体" w:hAnsi="宋体" w:cs="宋体"/>
          <w:sz w:val="24"/>
          <w:szCs w:val="20"/>
        </w:rPr>
      </w:pPr>
    </w:p>
    <w:p w14:paraId="226819DB">
      <w:pPr>
        <w:snapToGrid w:val="0"/>
        <w:spacing w:before="50"/>
        <w:jc w:val="left"/>
        <w:rPr>
          <w:rFonts w:ascii="宋体" w:hAnsi="宋体" w:cs="宋体"/>
          <w:sz w:val="24"/>
        </w:rPr>
      </w:pPr>
    </w:p>
    <w:p w14:paraId="7C5B603A">
      <w:pPr>
        <w:snapToGrid w:val="0"/>
        <w:spacing w:before="120" w:beforeLines="50"/>
        <w:rPr>
          <w:rFonts w:ascii="宋体" w:hAnsi="宋体" w:cs="宋体"/>
          <w:sz w:val="24"/>
          <w:szCs w:val="20"/>
        </w:rPr>
        <w:sectPr>
          <w:pgSz w:w="11906" w:h="16838"/>
          <w:pgMar w:top="1417" w:right="1417" w:bottom="1417" w:left="1417" w:header="851" w:footer="567" w:gutter="0"/>
          <w:cols w:space="720" w:num="1"/>
          <w:titlePg/>
          <w:docGrid w:linePitch="312" w:charSpace="0"/>
        </w:sectPr>
      </w:pPr>
    </w:p>
    <w:p w14:paraId="289A9B22">
      <w:pPr>
        <w:rPr>
          <w:rFonts w:ascii="宋体" w:hAnsi="宋体" w:cs="宋体"/>
          <w:b/>
          <w:sz w:val="28"/>
          <w:szCs w:val="28"/>
        </w:rPr>
      </w:pPr>
      <w:r>
        <w:rPr>
          <w:rFonts w:hint="eastAsia" w:ascii="宋体" w:hAnsi="宋体" w:cs="宋体"/>
          <w:b/>
          <w:sz w:val="28"/>
          <w:szCs w:val="28"/>
        </w:rPr>
        <w:t>四、技术文件格式</w:t>
      </w:r>
    </w:p>
    <w:p w14:paraId="1B690269">
      <w:pPr>
        <w:snapToGrid w:val="0"/>
        <w:spacing w:before="120" w:beforeLines="50" w:after="50"/>
        <w:ind w:left="142"/>
        <w:jc w:val="left"/>
        <w:rPr>
          <w:rFonts w:ascii="宋体" w:hAnsi="宋体" w:cs="宋体"/>
          <w:b/>
          <w:sz w:val="24"/>
        </w:rPr>
      </w:pPr>
      <w:r>
        <w:rPr>
          <w:rFonts w:hint="eastAsia" w:ascii="宋体" w:hAnsi="宋体" w:cs="宋体"/>
          <w:b/>
          <w:sz w:val="24"/>
        </w:rPr>
        <w:t xml:space="preserve">1. 技术文件封面格式： </w:t>
      </w:r>
    </w:p>
    <w:p w14:paraId="09CFE5DF">
      <w:pPr>
        <w:snapToGrid w:val="0"/>
        <w:spacing w:before="120" w:beforeLines="50" w:after="50"/>
        <w:rPr>
          <w:rFonts w:ascii="宋体" w:hAnsi="宋体" w:cs="宋体"/>
          <w:b/>
          <w:bCs/>
          <w:sz w:val="32"/>
          <w:szCs w:val="20"/>
        </w:rPr>
      </w:pPr>
      <w:r>
        <w:rPr>
          <w:rFonts w:hint="eastAsia" w:ascii="宋体" w:hAnsi="宋体" w:cs="宋体"/>
          <w:sz w:val="24"/>
        </w:rPr>
        <w:t xml:space="preserve">                                                   </w:t>
      </w:r>
    </w:p>
    <w:p w14:paraId="27C49852">
      <w:pPr>
        <w:snapToGrid w:val="0"/>
        <w:spacing w:before="120" w:beforeLines="50" w:after="50"/>
        <w:rPr>
          <w:rFonts w:ascii="宋体" w:hAnsi="宋体" w:cs="宋体"/>
          <w:sz w:val="24"/>
          <w:szCs w:val="20"/>
        </w:rPr>
      </w:pPr>
    </w:p>
    <w:p w14:paraId="04B80BB1">
      <w:pPr>
        <w:snapToGrid w:val="0"/>
        <w:spacing w:before="120" w:beforeLines="50" w:after="50"/>
        <w:rPr>
          <w:rFonts w:ascii="宋体" w:hAnsi="宋体" w:cs="宋体"/>
          <w:sz w:val="24"/>
          <w:szCs w:val="20"/>
        </w:rPr>
      </w:pPr>
    </w:p>
    <w:p w14:paraId="1181E024">
      <w:pPr>
        <w:snapToGrid w:val="0"/>
        <w:spacing w:before="120" w:beforeLines="50" w:after="50"/>
        <w:jc w:val="center"/>
        <w:rPr>
          <w:rFonts w:ascii="宋体" w:hAnsi="宋体" w:cs="宋体"/>
          <w:sz w:val="84"/>
          <w:szCs w:val="84"/>
        </w:rPr>
      </w:pPr>
      <w:r>
        <w:rPr>
          <w:rFonts w:hint="eastAsia" w:ascii="宋体" w:hAnsi="宋体" w:cs="宋体"/>
          <w:sz w:val="84"/>
          <w:szCs w:val="84"/>
        </w:rPr>
        <w:t>投  标  文  件</w:t>
      </w:r>
    </w:p>
    <w:p w14:paraId="76328F20">
      <w:pPr>
        <w:snapToGrid w:val="0"/>
        <w:spacing w:before="120" w:beforeLines="50" w:after="50"/>
        <w:rPr>
          <w:rFonts w:ascii="宋体" w:hAnsi="宋体" w:cs="宋体"/>
          <w:sz w:val="24"/>
          <w:szCs w:val="20"/>
        </w:rPr>
      </w:pPr>
    </w:p>
    <w:p w14:paraId="7BFB98A5">
      <w:pPr>
        <w:snapToGrid w:val="0"/>
        <w:spacing w:before="120" w:beforeLines="50" w:after="50"/>
        <w:rPr>
          <w:rFonts w:ascii="宋体" w:hAnsi="宋体" w:cs="宋体"/>
          <w:sz w:val="24"/>
          <w:szCs w:val="20"/>
        </w:rPr>
      </w:pPr>
    </w:p>
    <w:p w14:paraId="7EC76954">
      <w:pPr>
        <w:snapToGrid w:val="0"/>
        <w:spacing w:before="120" w:beforeLines="50" w:after="50"/>
        <w:jc w:val="center"/>
        <w:rPr>
          <w:rFonts w:ascii="宋体" w:hAnsi="宋体" w:cs="宋体"/>
          <w:b/>
          <w:bCs/>
          <w:sz w:val="32"/>
          <w:szCs w:val="32"/>
        </w:rPr>
      </w:pPr>
      <w:r>
        <w:rPr>
          <w:rFonts w:hint="eastAsia" w:ascii="宋体" w:hAnsi="宋体" w:cs="宋体"/>
          <w:b/>
          <w:bCs/>
          <w:sz w:val="32"/>
          <w:szCs w:val="32"/>
        </w:rPr>
        <w:t>技  术  文  件</w:t>
      </w:r>
    </w:p>
    <w:p w14:paraId="4DE04F92">
      <w:pPr>
        <w:snapToGrid w:val="0"/>
        <w:spacing w:before="120" w:beforeLines="50" w:after="50"/>
        <w:rPr>
          <w:rFonts w:ascii="宋体" w:hAnsi="宋体" w:cs="宋体"/>
          <w:bCs/>
          <w:sz w:val="24"/>
          <w:szCs w:val="20"/>
        </w:rPr>
      </w:pPr>
    </w:p>
    <w:p w14:paraId="4F8C633B">
      <w:pPr>
        <w:snapToGrid w:val="0"/>
        <w:spacing w:before="120" w:beforeLines="50" w:after="50"/>
        <w:rPr>
          <w:rFonts w:ascii="宋体" w:hAnsi="宋体" w:cs="宋体"/>
          <w:bCs/>
          <w:sz w:val="24"/>
          <w:szCs w:val="20"/>
        </w:rPr>
      </w:pPr>
    </w:p>
    <w:p w14:paraId="493585DD">
      <w:pPr>
        <w:snapToGrid w:val="0"/>
        <w:spacing w:before="120" w:beforeLines="50" w:after="50" w:line="400" w:lineRule="exact"/>
        <w:ind w:firstLine="360" w:firstLineChars="150"/>
        <w:rPr>
          <w:rFonts w:ascii="宋体" w:hAnsi="宋体" w:cs="宋体"/>
          <w:bCs/>
          <w:sz w:val="24"/>
        </w:rPr>
      </w:pPr>
      <w:r>
        <w:rPr>
          <w:rFonts w:hint="eastAsia" w:ascii="宋体" w:hAnsi="宋体" w:cs="宋体"/>
          <w:bCs/>
          <w:sz w:val="24"/>
        </w:rPr>
        <w:t xml:space="preserve">项目名称： </w:t>
      </w:r>
    </w:p>
    <w:p w14:paraId="4F45E29D">
      <w:pPr>
        <w:snapToGrid w:val="0"/>
        <w:spacing w:before="120" w:beforeLines="50" w:after="50" w:line="400" w:lineRule="exact"/>
        <w:ind w:firstLine="360" w:firstLineChars="150"/>
        <w:rPr>
          <w:rFonts w:ascii="宋体" w:hAnsi="宋体" w:cs="宋体"/>
          <w:bCs/>
          <w:sz w:val="24"/>
          <w:szCs w:val="20"/>
        </w:rPr>
      </w:pPr>
    </w:p>
    <w:p w14:paraId="137194F8">
      <w:pPr>
        <w:snapToGrid w:val="0"/>
        <w:spacing w:before="120" w:beforeLines="50" w:after="50" w:line="400" w:lineRule="exact"/>
        <w:ind w:firstLine="360" w:firstLineChars="150"/>
        <w:rPr>
          <w:rFonts w:ascii="宋体" w:hAnsi="宋体" w:cs="宋体"/>
          <w:bCs/>
          <w:sz w:val="24"/>
        </w:rPr>
      </w:pPr>
      <w:r>
        <w:rPr>
          <w:rFonts w:hint="eastAsia" w:ascii="宋体" w:hAnsi="宋体" w:cs="宋体"/>
          <w:bCs/>
          <w:sz w:val="24"/>
        </w:rPr>
        <w:t xml:space="preserve">项目编号： </w:t>
      </w:r>
    </w:p>
    <w:p w14:paraId="1AED63FF">
      <w:pPr>
        <w:snapToGrid w:val="0"/>
        <w:spacing w:before="120" w:beforeLines="50" w:after="50" w:line="400" w:lineRule="exact"/>
        <w:ind w:firstLine="360" w:firstLineChars="150"/>
        <w:rPr>
          <w:rFonts w:ascii="宋体" w:hAnsi="宋体" w:cs="宋体"/>
          <w:bCs/>
          <w:sz w:val="24"/>
        </w:rPr>
      </w:pPr>
    </w:p>
    <w:p w14:paraId="280683E0">
      <w:pPr>
        <w:snapToGrid w:val="0"/>
        <w:spacing w:before="120" w:beforeLines="50" w:after="50" w:line="400" w:lineRule="exact"/>
        <w:ind w:firstLine="360" w:firstLineChars="150"/>
        <w:rPr>
          <w:rFonts w:ascii="宋体" w:hAnsi="宋体" w:cs="宋体"/>
          <w:bCs/>
          <w:sz w:val="24"/>
        </w:rPr>
      </w:pPr>
      <w:r>
        <w:rPr>
          <w:rFonts w:hint="eastAsia" w:ascii="宋体" w:hAnsi="宋体" w:cs="宋体"/>
          <w:bCs/>
          <w:sz w:val="24"/>
        </w:rPr>
        <w:t>所投分标：</w:t>
      </w:r>
    </w:p>
    <w:p w14:paraId="635274B2">
      <w:pPr>
        <w:snapToGrid w:val="0"/>
        <w:spacing w:before="120" w:beforeLines="50" w:after="50" w:line="400" w:lineRule="exact"/>
        <w:ind w:firstLine="360" w:firstLineChars="150"/>
        <w:rPr>
          <w:rFonts w:ascii="宋体" w:hAnsi="宋体" w:cs="宋体"/>
          <w:bCs/>
          <w:sz w:val="24"/>
        </w:rPr>
      </w:pPr>
    </w:p>
    <w:p w14:paraId="52516941">
      <w:pPr>
        <w:snapToGrid w:val="0"/>
        <w:spacing w:before="120" w:beforeLines="50" w:after="50" w:line="400" w:lineRule="exact"/>
        <w:ind w:firstLine="360" w:firstLineChars="150"/>
        <w:rPr>
          <w:rFonts w:ascii="宋体" w:hAnsi="宋体" w:cs="宋体"/>
          <w:bCs/>
          <w:sz w:val="24"/>
        </w:rPr>
      </w:pPr>
      <w:r>
        <w:rPr>
          <w:rFonts w:hint="eastAsia" w:ascii="宋体" w:hAnsi="宋体" w:cs="宋体"/>
          <w:bCs/>
          <w:sz w:val="24"/>
        </w:rPr>
        <w:t>投标人名称：</w:t>
      </w:r>
    </w:p>
    <w:p w14:paraId="7FB60BC7">
      <w:pPr>
        <w:snapToGrid w:val="0"/>
        <w:spacing w:before="120" w:beforeLines="50" w:after="50" w:line="400" w:lineRule="exact"/>
        <w:ind w:firstLine="360" w:firstLineChars="150"/>
        <w:rPr>
          <w:rFonts w:ascii="宋体" w:hAnsi="宋体" w:cs="宋体"/>
          <w:bCs/>
          <w:sz w:val="24"/>
        </w:rPr>
      </w:pPr>
    </w:p>
    <w:p w14:paraId="2C1540D4">
      <w:pPr>
        <w:snapToGrid w:val="0"/>
        <w:spacing w:before="120" w:beforeLines="50" w:after="50" w:line="400" w:lineRule="exact"/>
        <w:ind w:firstLine="360" w:firstLineChars="150"/>
        <w:rPr>
          <w:rFonts w:ascii="宋体" w:hAnsi="宋体" w:cs="宋体"/>
          <w:bCs/>
          <w:sz w:val="24"/>
        </w:rPr>
      </w:pPr>
      <w:r>
        <w:rPr>
          <w:rFonts w:hint="eastAsia" w:ascii="宋体" w:hAnsi="宋体" w:cs="宋体"/>
          <w:bCs/>
          <w:sz w:val="24"/>
        </w:rPr>
        <w:t>投标人地址：</w:t>
      </w:r>
    </w:p>
    <w:p w14:paraId="4E57F979">
      <w:pPr>
        <w:snapToGrid w:val="0"/>
        <w:spacing w:before="120" w:beforeLines="50" w:after="50" w:line="400" w:lineRule="exact"/>
        <w:ind w:firstLine="360" w:firstLineChars="150"/>
        <w:rPr>
          <w:rFonts w:ascii="宋体" w:hAnsi="宋体" w:cs="宋体"/>
          <w:bCs/>
          <w:sz w:val="24"/>
        </w:rPr>
      </w:pPr>
    </w:p>
    <w:p w14:paraId="3C1B1CA0">
      <w:pPr>
        <w:snapToGrid w:val="0"/>
        <w:spacing w:before="120" w:beforeLines="50" w:after="50"/>
        <w:ind w:firstLine="645"/>
        <w:jc w:val="center"/>
        <w:rPr>
          <w:rFonts w:ascii="宋体" w:hAnsi="宋体" w:cs="宋体"/>
          <w:sz w:val="24"/>
        </w:rPr>
      </w:pPr>
      <w:r>
        <w:rPr>
          <w:rFonts w:hint="eastAsia" w:ascii="宋体" w:hAnsi="宋体" w:cs="宋体"/>
          <w:sz w:val="24"/>
        </w:rPr>
        <w:t xml:space="preserve">               </w:t>
      </w:r>
    </w:p>
    <w:p w14:paraId="47B28B3D">
      <w:pPr>
        <w:snapToGrid w:val="0"/>
        <w:spacing w:before="120" w:beforeLines="50" w:after="50"/>
        <w:ind w:firstLine="645"/>
        <w:jc w:val="center"/>
        <w:rPr>
          <w:rFonts w:ascii="宋体" w:hAnsi="宋体" w:cs="宋体"/>
          <w:sz w:val="24"/>
        </w:rPr>
      </w:pPr>
    </w:p>
    <w:p w14:paraId="6D29D453">
      <w:pPr>
        <w:snapToGrid w:val="0"/>
        <w:spacing w:before="120" w:beforeLines="50" w:after="50"/>
        <w:ind w:firstLine="645"/>
        <w:jc w:val="center"/>
        <w:rPr>
          <w:rFonts w:ascii="宋体" w:hAnsi="宋体" w:cs="宋体"/>
          <w:sz w:val="24"/>
        </w:rPr>
      </w:pPr>
      <w:r>
        <w:rPr>
          <w:rFonts w:hint="eastAsia" w:ascii="宋体" w:hAnsi="宋体" w:cs="宋体"/>
          <w:sz w:val="24"/>
        </w:rPr>
        <w:t>年    月    日</w:t>
      </w:r>
    </w:p>
    <w:p w14:paraId="3BF9A057">
      <w:pPr>
        <w:snapToGrid w:val="0"/>
        <w:spacing w:before="120" w:beforeLines="50" w:after="50"/>
        <w:ind w:firstLine="645"/>
        <w:jc w:val="center"/>
        <w:rPr>
          <w:rFonts w:ascii="宋体" w:hAnsi="宋体" w:cs="宋体"/>
          <w:sz w:val="24"/>
          <w:szCs w:val="20"/>
        </w:rPr>
      </w:pPr>
    </w:p>
    <w:p w14:paraId="6243C36D">
      <w:pPr>
        <w:snapToGrid w:val="0"/>
        <w:spacing w:before="120" w:beforeLines="50" w:after="50"/>
        <w:ind w:left="142"/>
        <w:jc w:val="left"/>
        <w:rPr>
          <w:rFonts w:ascii="宋体" w:hAnsi="宋体" w:cs="宋体"/>
          <w:b/>
          <w:bCs/>
          <w:sz w:val="24"/>
        </w:rPr>
      </w:pPr>
      <w:r>
        <w:rPr>
          <w:rFonts w:hint="eastAsia" w:ascii="宋体" w:hAnsi="宋体" w:cs="宋体"/>
          <w:b/>
          <w:bCs/>
          <w:sz w:val="24"/>
        </w:rPr>
        <w:br w:type="page"/>
      </w:r>
      <w:r>
        <w:rPr>
          <w:rFonts w:hint="eastAsia" w:ascii="宋体" w:hAnsi="宋体" w:cs="宋体"/>
          <w:b/>
          <w:bCs/>
          <w:sz w:val="24"/>
        </w:rPr>
        <w:t>2.技术文件目录</w:t>
      </w:r>
    </w:p>
    <w:p w14:paraId="71CA8C2A">
      <w:pPr>
        <w:snapToGrid w:val="0"/>
        <w:spacing w:before="50" w:after="120" w:afterLines="50" w:line="360" w:lineRule="auto"/>
        <w:ind w:firstLine="480" w:firstLineChars="200"/>
        <w:jc w:val="left"/>
        <w:rPr>
          <w:rFonts w:ascii="宋体" w:hAnsi="宋体" w:cs="宋体"/>
          <w:sz w:val="24"/>
        </w:rPr>
      </w:pPr>
      <w:r>
        <w:rPr>
          <w:rFonts w:hint="eastAsia" w:ascii="宋体" w:hAnsi="宋体" w:cs="宋体"/>
          <w:sz w:val="24"/>
        </w:rPr>
        <w:t>根据招标文件规定及投标人提供的材料自行编写目录。</w:t>
      </w:r>
    </w:p>
    <w:p w14:paraId="68AB3885">
      <w:pPr>
        <w:snapToGrid w:val="0"/>
        <w:spacing w:before="120" w:beforeLines="50" w:after="50"/>
        <w:ind w:left="142"/>
        <w:jc w:val="left"/>
        <w:rPr>
          <w:rFonts w:ascii="宋体" w:hAnsi="宋体" w:cs="宋体"/>
          <w:b/>
          <w:sz w:val="24"/>
        </w:rPr>
      </w:pPr>
      <w:r>
        <w:rPr>
          <w:rFonts w:hint="eastAsia" w:ascii="宋体" w:hAnsi="宋体" w:cs="宋体"/>
          <w:b/>
          <w:sz w:val="24"/>
        </w:rPr>
        <w:br w:type="page"/>
      </w:r>
      <w:r>
        <w:rPr>
          <w:rFonts w:hint="eastAsia" w:ascii="宋体" w:hAnsi="宋体" w:cs="宋体"/>
          <w:b/>
          <w:sz w:val="24"/>
        </w:rPr>
        <w:t>3. 设备性能配置清单格式</w:t>
      </w:r>
    </w:p>
    <w:p w14:paraId="795724FC">
      <w:pPr>
        <w:snapToGrid w:val="0"/>
        <w:spacing w:before="120" w:beforeLines="50" w:after="50"/>
        <w:ind w:left="142"/>
        <w:jc w:val="left"/>
        <w:rPr>
          <w:rFonts w:ascii="宋体" w:hAnsi="宋体" w:cs="宋体"/>
          <w:b/>
          <w:sz w:val="24"/>
        </w:rPr>
      </w:pPr>
    </w:p>
    <w:p w14:paraId="1B6678F9">
      <w:pPr>
        <w:snapToGrid w:val="0"/>
        <w:spacing w:before="120" w:beforeLines="50" w:after="50"/>
        <w:ind w:left="142"/>
        <w:jc w:val="center"/>
        <w:rPr>
          <w:rFonts w:ascii="宋体" w:hAnsi="宋体" w:cs="宋体"/>
          <w:b/>
          <w:sz w:val="32"/>
          <w:szCs w:val="32"/>
        </w:rPr>
      </w:pPr>
      <w:r>
        <w:rPr>
          <w:rFonts w:hint="eastAsia" w:ascii="宋体" w:hAnsi="宋体" w:cs="宋体"/>
          <w:b/>
          <w:sz w:val="32"/>
          <w:szCs w:val="32"/>
        </w:rPr>
        <w:t>设备性能配置清单</w:t>
      </w:r>
    </w:p>
    <w:p w14:paraId="04EBCD48">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75FAEAC2">
      <w:pPr>
        <w:pStyle w:val="26"/>
        <w:rPr>
          <w:rFonts w:hAnsi="宋体" w:cs="宋体"/>
          <w:sz w:val="24"/>
          <w:u w:val="single"/>
        </w:rPr>
      </w:pPr>
      <w:r>
        <w:rPr>
          <w:rFonts w:hint="eastAsia" w:hAnsi="宋体" w:cs="宋体"/>
          <w:sz w:val="24"/>
        </w:rPr>
        <w:t>投标人名称：</w:t>
      </w:r>
      <w:r>
        <w:rPr>
          <w:rFonts w:hint="eastAsia" w:hAnsi="宋体" w:cs="宋体"/>
          <w:sz w:val="24"/>
          <w:u w:val="single"/>
        </w:rPr>
        <w:t xml:space="preserve">                     </w:t>
      </w:r>
    </w:p>
    <w:p w14:paraId="18F5983F">
      <w:pPr>
        <w:pStyle w:val="6"/>
      </w:pPr>
    </w:p>
    <w:tbl>
      <w:tblPr>
        <w:tblStyle w:val="48"/>
        <w:tblW w:w="108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7"/>
        <w:gridCol w:w="1293"/>
        <w:gridCol w:w="929"/>
        <w:gridCol w:w="1854"/>
        <w:gridCol w:w="1293"/>
        <w:gridCol w:w="765"/>
        <w:gridCol w:w="797"/>
        <w:gridCol w:w="971"/>
        <w:gridCol w:w="2147"/>
      </w:tblGrid>
      <w:tr w14:paraId="11F05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75B1AA6">
            <w:pPr>
              <w:snapToGrid w:val="0"/>
              <w:spacing w:before="50" w:after="50"/>
              <w:jc w:val="center"/>
              <w:rPr>
                <w:rFonts w:ascii="宋体" w:hAnsi="宋体" w:cs="宋体"/>
                <w:sz w:val="24"/>
              </w:rPr>
            </w:pPr>
            <w:r>
              <w:rPr>
                <w:rFonts w:hint="eastAsia" w:ascii="宋体" w:hAnsi="宋体" w:cs="宋体"/>
                <w:sz w:val="24"/>
              </w:rPr>
              <w:t>序号</w:t>
            </w:r>
          </w:p>
        </w:tc>
        <w:tc>
          <w:tcPr>
            <w:tcW w:w="1293" w:type="dxa"/>
            <w:tcBorders>
              <w:top w:val="single" w:color="auto" w:sz="4" w:space="0"/>
              <w:left w:val="single" w:color="auto" w:sz="4" w:space="0"/>
              <w:bottom w:val="single" w:color="auto" w:sz="4" w:space="0"/>
              <w:right w:val="single" w:color="auto" w:sz="4" w:space="0"/>
            </w:tcBorders>
            <w:vAlign w:val="center"/>
          </w:tcPr>
          <w:p w14:paraId="22F3229B">
            <w:pPr>
              <w:snapToGrid w:val="0"/>
              <w:spacing w:before="50" w:after="50"/>
              <w:jc w:val="center"/>
              <w:rPr>
                <w:rFonts w:ascii="宋体" w:hAnsi="宋体" w:cs="宋体"/>
                <w:sz w:val="24"/>
              </w:rPr>
            </w:pPr>
            <w:r>
              <w:rPr>
                <w:rFonts w:hint="eastAsia" w:ascii="宋体" w:hAnsi="宋体" w:cs="宋体"/>
                <w:sz w:val="24"/>
              </w:rPr>
              <w:t>标的名称</w:t>
            </w:r>
          </w:p>
        </w:tc>
        <w:tc>
          <w:tcPr>
            <w:tcW w:w="929" w:type="dxa"/>
            <w:tcBorders>
              <w:top w:val="single" w:color="auto" w:sz="4" w:space="0"/>
              <w:left w:val="single" w:color="auto" w:sz="4" w:space="0"/>
              <w:bottom w:val="single" w:color="auto" w:sz="4" w:space="0"/>
              <w:right w:val="single" w:color="auto" w:sz="4" w:space="0"/>
            </w:tcBorders>
            <w:vAlign w:val="center"/>
          </w:tcPr>
          <w:p w14:paraId="43FF3130">
            <w:pPr>
              <w:snapToGrid w:val="0"/>
              <w:spacing w:before="50" w:after="50"/>
              <w:jc w:val="center"/>
              <w:rPr>
                <w:rFonts w:ascii="宋体" w:hAnsi="宋体" w:cs="宋体"/>
                <w:sz w:val="24"/>
              </w:rPr>
            </w:pPr>
            <w:r>
              <w:rPr>
                <w:rFonts w:hint="eastAsia" w:ascii="宋体" w:hAnsi="宋体" w:cs="宋体"/>
                <w:sz w:val="24"/>
              </w:rPr>
              <w:t>品牌</w:t>
            </w:r>
          </w:p>
        </w:tc>
        <w:tc>
          <w:tcPr>
            <w:tcW w:w="1854" w:type="dxa"/>
            <w:tcBorders>
              <w:top w:val="single" w:color="auto" w:sz="4" w:space="0"/>
              <w:left w:val="single" w:color="auto" w:sz="4" w:space="0"/>
              <w:bottom w:val="single" w:color="auto" w:sz="4" w:space="0"/>
              <w:right w:val="single" w:color="auto" w:sz="4" w:space="0"/>
            </w:tcBorders>
            <w:vAlign w:val="center"/>
          </w:tcPr>
          <w:p w14:paraId="537FA130">
            <w:pPr>
              <w:snapToGrid w:val="0"/>
              <w:spacing w:before="50" w:after="50"/>
              <w:jc w:val="center"/>
              <w:rPr>
                <w:rFonts w:ascii="宋体" w:hAnsi="宋体" w:cs="宋体"/>
                <w:sz w:val="24"/>
              </w:rPr>
            </w:pPr>
            <w:r>
              <w:rPr>
                <w:rFonts w:hint="eastAsia" w:ascii="宋体" w:hAnsi="宋体" w:cs="宋体"/>
                <w:sz w:val="24"/>
              </w:rPr>
              <w:t>型号</w:t>
            </w:r>
          </w:p>
        </w:tc>
        <w:tc>
          <w:tcPr>
            <w:tcW w:w="1293" w:type="dxa"/>
            <w:tcBorders>
              <w:top w:val="single" w:color="auto" w:sz="4" w:space="0"/>
              <w:left w:val="single" w:color="auto" w:sz="4" w:space="0"/>
              <w:bottom w:val="single" w:color="auto" w:sz="4" w:space="0"/>
              <w:right w:val="single" w:color="auto" w:sz="4" w:space="0"/>
            </w:tcBorders>
            <w:vAlign w:val="center"/>
          </w:tcPr>
          <w:p w14:paraId="3E8B9C18">
            <w:pPr>
              <w:snapToGrid w:val="0"/>
              <w:spacing w:before="50" w:after="50"/>
              <w:jc w:val="center"/>
              <w:rPr>
                <w:rFonts w:ascii="宋体" w:hAnsi="宋体" w:cs="宋体"/>
                <w:sz w:val="24"/>
              </w:rPr>
            </w:pPr>
            <w:r>
              <w:rPr>
                <w:rFonts w:hint="eastAsia" w:ascii="宋体" w:hAnsi="宋体" w:cs="宋体"/>
                <w:sz w:val="24"/>
              </w:rPr>
              <w:t>生产厂家</w:t>
            </w:r>
          </w:p>
        </w:tc>
        <w:tc>
          <w:tcPr>
            <w:tcW w:w="765" w:type="dxa"/>
            <w:tcBorders>
              <w:top w:val="single" w:color="auto" w:sz="4" w:space="0"/>
              <w:left w:val="single" w:color="auto" w:sz="4" w:space="0"/>
              <w:bottom w:val="single" w:color="auto" w:sz="4" w:space="0"/>
              <w:right w:val="single" w:color="auto" w:sz="4" w:space="0"/>
            </w:tcBorders>
            <w:vAlign w:val="center"/>
          </w:tcPr>
          <w:p w14:paraId="1FBB6B20">
            <w:pPr>
              <w:snapToGrid w:val="0"/>
              <w:spacing w:before="50" w:after="50"/>
              <w:jc w:val="center"/>
              <w:rPr>
                <w:rFonts w:ascii="宋体" w:hAnsi="宋体" w:cs="宋体"/>
                <w:sz w:val="24"/>
              </w:rPr>
            </w:pPr>
            <w:r>
              <w:rPr>
                <w:rFonts w:hint="eastAsia" w:ascii="宋体" w:hAnsi="宋体" w:cs="宋体"/>
                <w:sz w:val="24"/>
              </w:rPr>
              <w:t>产地</w:t>
            </w:r>
          </w:p>
        </w:tc>
        <w:tc>
          <w:tcPr>
            <w:tcW w:w="797" w:type="dxa"/>
            <w:tcBorders>
              <w:top w:val="single" w:color="auto" w:sz="4" w:space="0"/>
              <w:left w:val="single" w:color="auto" w:sz="4" w:space="0"/>
              <w:bottom w:val="single" w:color="auto" w:sz="4" w:space="0"/>
              <w:right w:val="single" w:color="auto" w:sz="4" w:space="0"/>
            </w:tcBorders>
            <w:vAlign w:val="center"/>
          </w:tcPr>
          <w:p w14:paraId="23EF4BC2">
            <w:pPr>
              <w:snapToGrid w:val="0"/>
              <w:spacing w:before="50" w:after="50"/>
              <w:jc w:val="center"/>
              <w:rPr>
                <w:rFonts w:ascii="宋体" w:hAnsi="宋体" w:cs="宋体"/>
                <w:sz w:val="24"/>
              </w:rPr>
            </w:pPr>
            <w:r>
              <w:rPr>
                <w:rFonts w:hint="eastAsia" w:ascii="宋体" w:hAnsi="宋体" w:cs="宋体"/>
                <w:sz w:val="24"/>
              </w:rPr>
              <w:t>数量</w:t>
            </w:r>
          </w:p>
        </w:tc>
        <w:tc>
          <w:tcPr>
            <w:tcW w:w="971" w:type="dxa"/>
            <w:tcBorders>
              <w:top w:val="single" w:color="auto" w:sz="4" w:space="0"/>
              <w:left w:val="single" w:color="auto" w:sz="4" w:space="0"/>
              <w:bottom w:val="single" w:color="auto" w:sz="4" w:space="0"/>
              <w:right w:val="single" w:color="auto" w:sz="4" w:space="0"/>
            </w:tcBorders>
            <w:vAlign w:val="center"/>
          </w:tcPr>
          <w:p w14:paraId="30CA4D76">
            <w:pPr>
              <w:snapToGrid w:val="0"/>
              <w:spacing w:before="50" w:after="50"/>
              <w:jc w:val="center"/>
              <w:rPr>
                <w:rFonts w:ascii="宋体" w:hAnsi="宋体" w:cs="宋体"/>
                <w:sz w:val="24"/>
              </w:rPr>
            </w:pPr>
            <w:r>
              <w:rPr>
                <w:rFonts w:hint="eastAsia" w:ascii="宋体" w:hAnsi="宋体" w:cs="宋体"/>
                <w:sz w:val="24"/>
              </w:rPr>
              <w:t>单位</w:t>
            </w:r>
          </w:p>
        </w:tc>
        <w:tc>
          <w:tcPr>
            <w:tcW w:w="2147" w:type="dxa"/>
            <w:tcBorders>
              <w:top w:val="single" w:color="auto" w:sz="4" w:space="0"/>
              <w:left w:val="single" w:color="auto" w:sz="4" w:space="0"/>
              <w:bottom w:val="single" w:color="auto" w:sz="4" w:space="0"/>
              <w:right w:val="single" w:color="auto" w:sz="4" w:space="0"/>
            </w:tcBorders>
            <w:vAlign w:val="center"/>
          </w:tcPr>
          <w:p w14:paraId="0208F770">
            <w:pPr>
              <w:snapToGrid w:val="0"/>
              <w:spacing w:before="50" w:after="50"/>
              <w:jc w:val="center"/>
              <w:rPr>
                <w:rFonts w:ascii="宋体" w:hAnsi="宋体" w:cs="宋体"/>
                <w:sz w:val="24"/>
              </w:rPr>
            </w:pPr>
            <w:r>
              <w:rPr>
                <w:rFonts w:hint="eastAsia" w:ascii="宋体" w:hAnsi="宋体" w:cs="宋体"/>
                <w:sz w:val="24"/>
              </w:rPr>
              <w:t>参数性能、指标及配置</w:t>
            </w:r>
          </w:p>
        </w:tc>
      </w:tr>
      <w:tr w14:paraId="250DA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3D2CD8F7">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0CCF94A3">
            <w:pPr>
              <w:snapToGrid w:val="0"/>
              <w:spacing w:before="50" w:after="50"/>
              <w:jc w:val="center"/>
              <w:rPr>
                <w:rFonts w:ascii="宋体" w:hAnsi="宋体" w:cs="宋体"/>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251DD945">
            <w:pPr>
              <w:snapToGrid w:val="0"/>
              <w:spacing w:before="50" w:after="50"/>
              <w:jc w:val="center"/>
              <w:rPr>
                <w:rFonts w:ascii="宋体" w:hAnsi="宋体" w:cs="宋体"/>
                <w:sz w:val="24"/>
              </w:rPr>
            </w:pPr>
          </w:p>
        </w:tc>
        <w:tc>
          <w:tcPr>
            <w:tcW w:w="1854" w:type="dxa"/>
            <w:tcBorders>
              <w:top w:val="single" w:color="auto" w:sz="4" w:space="0"/>
              <w:left w:val="single" w:color="auto" w:sz="4" w:space="0"/>
              <w:bottom w:val="single" w:color="auto" w:sz="4" w:space="0"/>
              <w:right w:val="single" w:color="auto" w:sz="4" w:space="0"/>
            </w:tcBorders>
          </w:tcPr>
          <w:p w14:paraId="413AC054">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34BDF970">
            <w:pPr>
              <w:snapToGrid w:val="0"/>
              <w:spacing w:before="50" w:after="50"/>
              <w:jc w:val="center"/>
              <w:rPr>
                <w:rFonts w:ascii="宋体" w:hAnsi="宋体" w:cs="宋体"/>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77529E18">
            <w:pPr>
              <w:snapToGrid w:val="0"/>
              <w:spacing w:before="50" w:after="50"/>
              <w:jc w:val="center"/>
              <w:rPr>
                <w:rFonts w:ascii="宋体" w:hAnsi="宋体" w:cs="宋体"/>
                <w:sz w:val="24"/>
              </w:rPr>
            </w:pPr>
          </w:p>
        </w:tc>
        <w:tc>
          <w:tcPr>
            <w:tcW w:w="797" w:type="dxa"/>
            <w:tcBorders>
              <w:top w:val="single" w:color="auto" w:sz="4" w:space="0"/>
              <w:left w:val="single" w:color="auto" w:sz="4" w:space="0"/>
              <w:bottom w:val="single" w:color="auto" w:sz="4" w:space="0"/>
              <w:right w:val="single" w:color="auto" w:sz="4" w:space="0"/>
            </w:tcBorders>
          </w:tcPr>
          <w:p w14:paraId="6D4F9CCA">
            <w:pPr>
              <w:snapToGrid w:val="0"/>
              <w:spacing w:before="50" w:after="50"/>
              <w:jc w:val="center"/>
              <w:rPr>
                <w:rFonts w:ascii="宋体" w:hAnsi="宋体" w:cs="宋体"/>
                <w:sz w:val="24"/>
              </w:rPr>
            </w:pPr>
          </w:p>
        </w:tc>
        <w:tc>
          <w:tcPr>
            <w:tcW w:w="971" w:type="dxa"/>
            <w:tcBorders>
              <w:top w:val="single" w:color="auto" w:sz="4" w:space="0"/>
              <w:left w:val="single" w:color="auto" w:sz="4" w:space="0"/>
              <w:bottom w:val="single" w:color="auto" w:sz="4" w:space="0"/>
              <w:right w:val="single" w:color="auto" w:sz="4" w:space="0"/>
            </w:tcBorders>
          </w:tcPr>
          <w:p w14:paraId="4FBF9CA7">
            <w:pPr>
              <w:snapToGrid w:val="0"/>
              <w:spacing w:before="50" w:after="50"/>
              <w:jc w:val="center"/>
              <w:rPr>
                <w:rFonts w:ascii="宋体" w:hAnsi="宋体" w:cs="宋体"/>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2CB3AB6E">
            <w:pPr>
              <w:snapToGrid w:val="0"/>
              <w:spacing w:before="50" w:after="50"/>
              <w:jc w:val="center"/>
              <w:rPr>
                <w:rFonts w:ascii="宋体" w:hAnsi="宋体" w:cs="宋体"/>
                <w:sz w:val="24"/>
              </w:rPr>
            </w:pPr>
          </w:p>
        </w:tc>
      </w:tr>
      <w:tr w14:paraId="68CA4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01A8BCD8">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55E36B21">
            <w:pPr>
              <w:snapToGrid w:val="0"/>
              <w:spacing w:before="50" w:after="50"/>
              <w:jc w:val="center"/>
              <w:rPr>
                <w:rFonts w:ascii="宋体" w:hAnsi="宋体" w:cs="宋体"/>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413A7F74">
            <w:pPr>
              <w:snapToGrid w:val="0"/>
              <w:spacing w:before="50" w:after="50"/>
              <w:jc w:val="center"/>
              <w:rPr>
                <w:rFonts w:ascii="宋体" w:hAnsi="宋体" w:cs="宋体"/>
                <w:sz w:val="24"/>
              </w:rPr>
            </w:pPr>
          </w:p>
        </w:tc>
        <w:tc>
          <w:tcPr>
            <w:tcW w:w="1854" w:type="dxa"/>
            <w:tcBorders>
              <w:top w:val="single" w:color="auto" w:sz="4" w:space="0"/>
              <w:left w:val="single" w:color="auto" w:sz="4" w:space="0"/>
              <w:bottom w:val="single" w:color="auto" w:sz="4" w:space="0"/>
              <w:right w:val="single" w:color="auto" w:sz="4" w:space="0"/>
            </w:tcBorders>
          </w:tcPr>
          <w:p w14:paraId="137EC7BA">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2CF2264C">
            <w:pPr>
              <w:snapToGrid w:val="0"/>
              <w:spacing w:before="50" w:after="50"/>
              <w:jc w:val="center"/>
              <w:rPr>
                <w:rFonts w:ascii="宋体" w:hAnsi="宋体" w:cs="宋体"/>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24298D20">
            <w:pPr>
              <w:snapToGrid w:val="0"/>
              <w:spacing w:before="50" w:after="50"/>
              <w:jc w:val="center"/>
              <w:rPr>
                <w:rFonts w:ascii="宋体" w:hAnsi="宋体" w:cs="宋体"/>
                <w:sz w:val="24"/>
              </w:rPr>
            </w:pPr>
          </w:p>
        </w:tc>
        <w:tc>
          <w:tcPr>
            <w:tcW w:w="797" w:type="dxa"/>
            <w:tcBorders>
              <w:top w:val="single" w:color="auto" w:sz="4" w:space="0"/>
              <w:left w:val="single" w:color="auto" w:sz="4" w:space="0"/>
              <w:bottom w:val="single" w:color="auto" w:sz="4" w:space="0"/>
              <w:right w:val="single" w:color="auto" w:sz="4" w:space="0"/>
            </w:tcBorders>
          </w:tcPr>
          <w:p w14:paraId="7E2674A4">
            <w:pPr>
              <w:snapToGrid w:val="0"/>
              <w:spacing w:before="50" w:after="50"/>
              <w:jc w:val="center"/>
              <w:rPr>
                <w:rFonts w:ascii="宋体" w:hAnsi="宋体" w:cs="宋体"/>
                <w:sz w:val="24"/>
              </w:rPr>
            </w:pPr>
          </w:p>
        </w:tc>
        <w:tc>
          <w:tcPr>
            <w:tcW w:w="971" w:type="dxa"/>
            <w:tcBorders>
              <w:top w:val="single" w:color="auto" w:sz="4" w:space="0"/>
              <w:left w:val="single" w:color="auto" w:sz="4" w:space="0"/>
              <w:bottom w:val="single" w:color="auto" w:sz="4" w:space="0"/>
              <w:right w:val="single" w:color="auto" w:sz="4" w:space="0"/>
            </w:tcBorders>
          </w:tcPr>
          <w:p w14:paraId="7670EE3C">
            <w:pPr>
              <w:snapToGrid w:val="0"/>
              <w:spacing w:before="50" w:after="50"/>
              <w:jc w:val="center"/>
              <w:rPr>
                <w:rFonts w:ascii="宋体" w:hAnsi="宋体" w:cs="宋体"/>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5523F294">
            <w:pPr>
              <w:snapToGrid w:val="0"/>
              <w:spacing w:before="50" w:after="50"/>
              <w:jc w:val="center"/>
              <w:rPr>
                <w:rFonts w:ascii="宋体" w:hAnsi="宋体" w:cs="宋体"/>
                <w:sz w:val="24"/>
              </w:rPr>
            </w:pPr>
          </w:p>
        </w:tc>
      </w:tr>
      <w:tr w14:paraId="46280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767" w:type="dxa"/>
            <w:tcBorders>
              <w:top w:val="single" w:color="auto" w:sz="4" w:space="0"/>
              <w:left w:val="single" w:color="auto" w:sz="4" w:space="0"/>
              <w:bottom w:val="single" w:color="auto" w:sz="4" w:space="0"/>
              <w:right w:val="single" w:color="auto" w:sz="4" w:space="0"/>
            </w:tcBorders>
            <w:vAlign w:val="center"/>
          </w:tcPr>
          <w:p w14:paraId="5FEC5155">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48154F5D">
            <w:pPr>
              <w:snapToGrid w:val="0"/>
              <w:spacing w:before="50" w:after="50"/>
              <w:jc w:val="center"/>
              <w:rPr>
                <w:rFonts w:ascii="宋体" w:hAnsi="宋体" w:cs="宋体"/>
                <w:sz w:val="24"/>
              </w:rPr>
            </w:pPr>
          </w:p>
        </w:tc>
        <w:tc>
          <w:tcPr>
            <w:tcW w:w="929" w:type="dxa"/>
            <w:tcBorders>
              <w:top w:val="single" w:color="auto" w:sz="4" w:space="0"/>
              <w:left w:val="single" w:color="auto" w:sz="4" w:space="0"/>
              <w:bottom w:val="single" w:color="auto" w:sz="4" w:space="0"/>
              <w:right w:val="single" w:color="auto" w:sz="4" w:space="0"/>
            </w:tcBorders>
            <w:vAlign w:val="center"/>
          </w:tcPr>
          <w:p w14:paraId="0D593292">
            <w:pPr>
              <w:snapToGrid w:val="0"/>
              <w:spacing w:before="50" w:after="50"/>
              <w:jc w:val="center"/>
              <w:rPr>
                <w:rFonts w:ascii="宋体" w:hAnsi="宋体" w:cs="宋体"/>
                <w:sz w:val="24"/>
              </w:rPr>
            </w:pPr>
          </w:p>
        </w:tc>
        <w:tc>
          <w:tcPr>
            <w:tcW w:w="1854" w:type="dxa"/>
            <w:tcBorders>
              <w:top w:val="single" w:color="auto" w:sz="4" w:space="0"/>
              <w:left w:val="single" w:color="auto" w:sz="4" w:space="0"/>
              <w:bottom w:val="single" w:color="auto" w:sz="4" w:space="0"/>
              <w:right w:val="single" w:color="auto" w:sz="4" w:space="0"/>
            </w:tcBorders>
          </w:tcPr>
          <w:p w14:paraId="5860200E">
            <w:pPr>
              <w:snapToGrid w:val="0"/>
              <w:spacing w:before="50" w:after="50"/>
              <w:jc w:val="center"/>
              <w:rPr>
                <w:rFonts w:ascii="宋体" w:hAnsi="宋体" w:cs="宋体"/>
                <w:sz w:val="24"/>
              </w:rPr>
            </w:pPr>
          </w:p>
        </w:tc>
        <w:tc>
          <w:tcPr>
            <w:tcW w:w="1293" w:type="dxa"/>
            <w:tcBorders>
              <w:top w:val="single" w:color="auto" w:sz="4" w:space="0"/>
              <w:left w:val="single" w:color="auto" w:sz="4" w:space="0"/>
              <w:bottom w:val="single" w:color="auto" w:sz="4" w:space="0"/>
              <w:right w:val="single" w:color="auto" w:sz="4" w:space="0"/>
            </w:tcBorders>
            <w:vAlign w:val="center"/>
          </w:tcPr>
          <w:p w14:paraId="3323199A">
            <w:pPr>
              <w:snapToGrid w:val="0"/>
              <w:spacing w:before="50" w:after="50"/>
              <w:jc w:val="center"/>
              <w:rPr>
                <w:rFonts w:ascii="宋体" w:hAnsi="宋体" w:cs="宋体"/>
                <w:sz w:val="24"/>
              </w:rPr>
            </w:pPr>
          </w:p>
        </w:tc>
        <w:tc>
          <w:tcPr>
            <w:tcW w:w="765" w:type="dxa"/>
            <w:tcBorders>
              <w:top w:val="single" w:color="auto" w:sz="4" w:space="0"/>
              <w:left w:val="single" w:color="auto" w:sz="4" w:space="0"/>
              <w:bottom w:val="single" w:color="auto" w:sz="4" w:space="0"/>
              <w:right w:val="single" w:color="auto" w:sz="4" w:space="0"/>
            </w:tcBorders>
            <w:vAlign w:val="center"/>
          </w:tcPr>
          <w:p w14:paraId="7F33EBE2">
            <w:pPr>
              <w:snapToGrid w:val="0"/>
              <w:spacing w:before="50" w:after="50"/>
              <w:jc w:val="center"/>
              <w:rPr>
                <w:rFonts w:ascii="宋体" w:hAnsi="宋体" w:cs="宋体"/>
                <w:sz w:val="24"/>
              </w:rPr>
            </w:pPr>
          </w:p>
        </w:tc>
        <w:tc>
          <w:tcPr>
            <w:tcW w:w="797" w:type="dxa"/>
            <w:tcBorders>
              <w:top w:val="single" w:color="auto" w:sz="4" w:space="0"/>
              <w:left w:val="single" w:color="auto" w:sz="4" w:space="0"/>
              <w:bottom w:val="single" w:color="auto" w:sz="4" w:space="0"/>
              <w:right w:val="single" w:color="auto" w:sz="4" w:space="0"/>
            </w:tcBorders>
          </w:tcPr>
          <w:p w14:paraId="20BB723E">
            <w:pPr>
              <w:snapToGrid w:val="0"/>
              <w:spacing w:before="50" w:after="50"/>
              <w:jc w:val="center"/>
              <w:rPr>
                <w:rFonts w:ascii="宋体" w:hAnsi="宋体" w:cs="宋体"/>
                <w:sz w:val="24"/>
              </w:rPr>
            </w:pPr>
          </w:p>
        </w:tc>
        <w:tc>
          <w:tcPr>
            <w:tcW w:w="971" w:type="dxa"/>
            <w:tcBorders>
              <w:top w:val="single" w:color="auto" w:sz="4" w:space="0"/>
              <w:left w:val="single" w:color="auto" w:sz="4" w:space="0"/>
              <w:bottom w:val="single" w:color="auto" w:sz="4" w:space="0"/>
              <w:right w:val="single" w:color="auto" w:sz="4" w:space="0"/>
            </w:tcBorders>
          </w:tcPr>
          <w:p w14:paraId="5EB7FE38">
            <w:pPr>
              <w:snapToGrid w:val="0"/>
              <w:spacing w:before="50" w:after="50"/>
              <w:jc w:val="center"/>
              <w:rPr>
                <w:rFonts w:ascii="宋体" w:hAnsi="宋体" w:cs="宋体"/>
                <w:sz w:val="24"/>
              </w:rPr>
            </w:pPr>
          </w:p>
        </w:tc>
        <w:tc>
          <w:tcPr>
            <w:tcW w:w="2147" w:type="dxa"/>
            <w:tcBorders>
              <w:top w:val="single" w:color="auto" w:sz="4" w:space="0"/>
              <w:left w:val="single" w:color="auto" w:sz="4" w:space="0"/>
              <w:bottom w:val="single" w:color="auto" w:sz="4" w:space="0"/>
              <w:right w:val="single" w:color="auto" w:sz="4" w:space="0"/>
            </w:tcBorders>
            <w:vAlign w:val="center"/>
          </w:tcPr>
          <w:p w14:paraId="312BB1BB">
            <w:pPr>
              <w:snapToGrid w:val="0"/>
              <w:spacing w:before="50" w:after="50"/>
              <w:jc w:val="center"/>
              <w:rPr>
                <w:rFonts w:ascii="宋体" w:hAnsi="宋体" w:cs="宋体"/>
                <w:sz w:val="24"/>
              </w:rPr>
            </w:pPr>
          </w:p>
        </w:tc>
      </w:tr>
    </w:tbl>
    <w:p w14:paraId="39E8D743">
      <w:pPr>
        <w:spacing w:line="360" w:lineRule="auto"/>
        <w:contextualSpacing/>
        <w:rPr>
          <w:rFonts w:ascii="宋体" w:hAnsi="宋体" w:cs="宋体"/>
          <w:sz w:val="24"/>
        </w:rPr>
      </w:pPr>
    </w:p>
    <w:p w14:paraId="2422F86B">
      <w:pPr>
        <w:spacing w:line="360" w:lineRule="auto"/>
        <w:contextualSpacing/>
        <w:rPr>
          <w:rFonts w:ascii="楷体" w:hAnsi="楷体" w:eastAsia="楷体" w:cs="宋体"/>
          <w:b/>
          <w:sz w:val="24"/>
        </w:rPr>
      </w:pPr>
      <w:r>
        <w:rPr>
          <w:rFonts w:hint="eastAsia" w:ascii="楷体" w:hAnsi="楷体" w:eastAsia="楷体" w:cs="宋体"/>
          <w:b/>
          <w:sz w:val="24"/>
        </w:rPr>
        <w:t>备注：</w:t>
      </w:r>
    </w:p>
    <w:p w14:paraId="66F85E89">
      <w:pPr>
        <w:spacing w:line="360" w:lineRule="auto"/>
        <w:ind w:firstLine="480" w:firstLineChars="200"/>
        <w:contextualSpacing/>
        <w:rPr>
          <w:rFonts w:ascii="楷体" w:hAnsi="楷体" w:eastAsia="楷体" w:cs="宋体"/>
          <w:b/>
          <w:sz w:val="24"/>
        </w:rPr>
      </w:pPr>
      <w:r>
        <w:rPr>
          <w:rFonts w:hint="eastAsia" w:ascii="楷体" w:hAnsi="楷体" w:eastAsia="楷体" w:cs="宋体"/>
          <w:sz w:val="24"/>
        </w:rPr>
        <w:t>以上设备性能配置清单中“标的名称、数量及单位、品牌、规格型号、制造商、原产地、参数性能、指标及配置”必须如实填写完整，定制产品在型号栏中填写“定制”。填写有缺漏</w:t>
      </w:r>
      <w:r>
        <w:rPr>
          <w:rFonts w:hint="eastAsia" w:ascii="楷体" w:hAnsi="楷体" w:eastAsia="楷体" w:cs="宋体"/>
          <w:bCs/>
          <w:sz w:val="24"/>
        </w:rPr>
        <w:t>的，</w:t>
      </w:r>
      <w:r>
        <w:rPr>
          <w:rFonts w:hint="eastAsia" w:ascii="楷体" w:hAnsi="楷体" w:eastAsia="楷体" w:cs="宋体"/>
          <w:b/>
          <w:sz w:val="24"/>
        </w:rPr>
        <w:t>作无效投标处理。标的</w:t>
      </w:r>
      <w:r>
        <w:rPr>
          <w:rFonts w:hint="eastAsia" w:ascii="楷体" w:hAnsi="楷体" w:eastAsia="楷体" w:cs="宋体"/>
          <w:sz w:val="24"/>
        </w:rPr>
        <w:t>名称、数量、单位、品牌等必须与“开标一览表”一致，</w:t>
      </w:r>
      <w:r>
        <w:rPr>
          <w:rFonts w:hint="eastAsia" w:ascii="楷体" w:hAnsi="楷体" w:eastAsia="楷体" w:cs="宋体"/>
          <w:b/>
          <w:sz w:val="24"/>
        </w:rPr>
        <w:t>否则按无效投标处理。</w:t>
      </w:r>
    </w:p>
    <w:p w14:paraId="6A9DA006">
      <w:pPr>
        <w:spacing w:line="360" w:lineRule="auto"/>
        <w:ind w:firstLine="480" w:firstLineChars="200"/>
        <w:contextualSpacing/>
        <w:rPr>
          <w:rFonts w:ascii="宋体" w:hAnsi="宋体" w:cs="宋体"/>
          <w:sz w:val="24"/>
        </w:rPr>
      </w:pPr>
    </w:p>
    <w:p w14:paraId="02077E4E">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721B9C3F">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w:t>
      </w:r>
      <w:r>
        <w:rPr>
          <w:rFonts w:hint="eastAsia" w:ascii="黑体" w:hAnsi="黑体" w:eastAsia="黑体" w:cs="宋体"/>
          <w:kern w:val="0"/>
          <w:sz w:val="24"/>
        </w:rPr>
        <w:t>（</w:t>
      </w:r>
      <w:r>
        <w:rPr>
          <w:rFonts w:hint="eastAsia" w:ascii="宋体" w:hAnsi="宋体" w:cs="宋体"/>
          <w:kern w:val="0"/>
          <w:sz w:val="24"/>
        </w:rPr>
        <w:t>公章</w:t>
      </w:r>
      <w:r>
        <w:rPr>
          <w:rFonts w:hint="eastAsia" w:ascii="黑体" w:hAnsi="黑体" w:eastAsia="黑体" w:cs="宋体"/>
          <w:kern w:val="0"/>
          <w:sz w:val="24"/>
        </w:rPr>
        <w:t>）</w:t>
      </w:r>
      <w:r>
        <w:rPr>
          <w:rFonts w:hint="eastAsia" w:ascii="宋体" w:hAnsi="宋体" w:cs="宋体"/>
          <w:kern w:val="0"/>
          <w:sz w:val="24"/>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4F3B162F">
      <w:pPr>
        <w:snapToGrid w:val="0"/>
        <w:spacing w:before="120" w:beforeLines="50"/>
        <w:ind w:firstLine="3360" w:firstLineChars="1400"/>
        <w:rPr>
          <w:rFonts w:cs="宋体" w:asciiTheme="minorEastAsia" w:hAnsiTheme="minorEastAsia" w:eastAsiaTheme="minorEastAsia"/>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hint="eastAsia" w:ascii="黑体" w:hAnsi="黑体" w:eastAsia="黑体" w:cs="宋体"/>
          <w:b/>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7BB77C4E">
      <w:pPr>
        <w:snapToGrid w:val="0"/>
        <w:spacing w:before="50" w:after="120" w:afterLines="50"/>
        <w:jc w:val="left"/>
        <w:rPr>
          <w:rFonts w:ascii="宋体" w:hAnsi="宋体" w:cs="宋体"/>
          <w:sz w:val="24"/>
          <w:szCs w:val="20"/>
        </w:rPr>
      </w:pPr>
    </w:p>
    <w:p w14:paraId="39D3FBC8">
      <w:pPr>
        <w:snapToGrid w:val="0"/>
        <w:spacing w:before="50" w:after="120" w:afterLines="50"/>
        <w:jc w:val="left"/>
        <w:rPr>
          <w:rFonts w:ascii="宋体" w:hAnsi="宋体" w:cs="宋体"/>
          <w:sz w:val="24"/>
          <w:szCs w:val="20"/>
        </w:rPr>
      </w:pPr>
    </w:p>
    <w:p w14:paraId="7FF59D42">
      <w:pPr>
        <w:snapToGrid w:val="0"/>
        <w:spacing w:before="120" w:beforeLines="50" w:after="50"/>
        <w:ind w:left="142"/>
        <w:jc w:val="left"/>
        <w:rPr>
          <w:rFonts w:ascii="宋体" w:hAnsi="宋体" w:cs="宋体"/>
          <w:b/>
          <w:sz w:val="24"/>
        </w:rPr>
      </w:pPr>
      <w:r>
        <w:rPr>
          <w:rFonts w:hint="eastAsia" w:ascii="宋体" w:hAnsi="宋体" w:cs="宋体"/>
          <w:b/>
          <w:sz w:val="24"/>
        </w:rPr>
        <w:br w:type="page"/>
      </w:r>
      <w:r>
        <w:rPr>
          <w:rFonts w:hint="eastAsia" w:ascii="宋体" w:hAnsi="宋体" w:cs="宋体"/>
          <w:b/>
          <w:sz w:val="24"/>
        </w:rPr>
        <w:t>4. 技术要求偏离表格式（注：按采购需求具体项目修改）</w:t>
      </w:r>
    </w:p>
    <w:p w14:paraId="5051FF89">
      <w:pPr>
        <w:snapToGrid w:val="0"/>
        <w:spacing w:before="120" w:beforeLines="50" w:after="50"/>
        <w:ind w:left="142"/>
        <w:jc w:val="left"/>
        <w:rPr>
          <w:rFonts w:ascii="宋体" w:hAnsi="宋体" w:cs="宋体"/>
          <w:b/>
          <w:sz w:val="24"/>
        </w:rPr>
      </w:pPr>
    </w:p>
    <w:p w14:paraId="1E2A3941">
      <w:pPr>
        <w:snapToGrid w:val="0"/>
        <w:spacing w:before="120" w:beforeLines="50" w:after="50"/>
        <w:ind w:left="142"/>
        <w:jc w:val="center"/>
        <w:rPr>
          <w:rFonts w:ascii="宋体" w:hAnsi="宋体" w:cs="宋体"/>
          <w:b/>
          <w:sz w:val="32"/>
          <w:szCs w:val="32"/>
        </w:rPr>
      </w:pPr>
      <w:r>
        <w:rPr>
          <w:rFonts w:hint="eastAsia" w:ascii="宋体" w:hAnsi="宋体" w:cs="宋体"/>
          <w:b/>
          <w:sz w:val="32"/>
          <w:szCs w:val="32"/>
        </w:rPr>
        <w:t>技术要求偏离表</w:t>
      </w:r>
    </w:p>
    <w:p w14:paraId="44A7E2E9">
      <w:pPr>
        <w:pStyle w:val="2"/>
      </w:pPr>
    </w:p>
    <w:p w14:paraId="244BB47B">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2669F26A">
      <w:pPr>
        <w:pStyle w:val="26"/>
        <w:rPr>
          <w:rFonts w:hAnsi="宋体" w:cs="宋体"/>
          <w:sz w:val="24"/>
        </w:rPr>
      </w:pPr>
      <w:r>
        <w:rPr>
          <w:rFonts w:hint="eastAsia" w:hAnsi="宋体" w:cs="宋体"/>
          <w:sz w:val="24"/>
        </w:rPr>
        <w:t>投标人名称：</w:t>
      </w:r>
      <w:r>
        <w:rPr>
          <w:rFonts w:hint="eastAsia" w:hAnsi="宋体" w:cs="宋体"/>
          <w:sz w:val="24"/>
          <w:u w:val="single"/>
        </w:rPr>
        <w:t xml:space="preserve">                     </w:t>
      </w:r>
      <w:r>
        <w:rPr>
          <w:rFonts w:hint="eastAsia" w:hAnsi="宋体" w:cs="宋体"/>
          <w:sz w:val="24"/>
        </w:rPr>
        <w:t xml:space="preserve"> </w:t>
      </w:r>
    </w:p>
    <w:p w14:paraId="3452F63D">
      <w:pPr>
        <w:pStyle w:val="6"/>
      </w:pPr>
    </w:p>
    <w:tbl>
      <w:tblPr>
        <w:tblStyle w:val="48"/>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143"/>
        <w:gridCol w:w="1834"/>
        <w:gridCol w:w="2181"/>
        <w:gridCol w:w="1934"/>
      </w:tblGrid>
      <w:tr w14:paraId="3075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52" w:type="dxa"/>
            <w:vAlign w:val="center"/>
          </w:tcPr>
          <w:p w14:paraId="7FD38A7A">
            <w:pPr>
              <w:pStyle w:val="26"/>
              <w:spacing w:line="400" w:lineRule="exact"/>
              <w:jc w:val="center"/>
              <w:rPr>
                <w:rFonts w:hAnsi="宋体" w:cs="宋体"/>
                <w:kern w:val="2"/>
                <w:sz w:val="24"/>
                <w:szCs w:val="24"/>
              </w:rPr>
            </w:pPr>
            <w:r>
              <w:rPr>
                <w:rFonts w:hint="eastAsia" w:hAnsi="宋体" w:cs="宋体"/>
                <w:kern w:val="2"/>
                <w:sz w:val="24"/>
                <w:szCs w:val="24"/>
              </w:rPr>
              <w:t>序号</w:t>
            </w:r>
          </w:p>
        </w:tc>
        <w:tc>
          <w:tcPr>
            <w:tcW w:w="2143" w:type="dxa"/>
            <w:vAlign w:val="center"/>
          </w:tcPr>
          <w:p w14:paraId="19435A4B">
            <w:pPr>
              <w:pStyle w:val="26"/>
              <w:spacing w:line="400" w:lineRule="exact"/>
              <w:jc w:val="center"/>
              <w:rPr>
                <w:rFonts w:hAnsi="宋体" w:cs="宋体"/>
                <w:kern w:val="2"/>
                <w:sz w:val="24"/>
                <w:szCs w:val="24"/>
              </w:rPr>
            </w:pPr>
            <w:r>
              <w:rPr>
                <w:rFonts w:hint="eastAsia" w:hAnsi="宋体" w:cs="宋体"/>
                <w:kern w:val="2"/>
                <w:sz w:val="24"/>
                <w:szCs w:val="24"/>
              </w:rPr>
              <w:t>标的名称</w:t>
            </w:r>
          </w:p>
        </w:tc>
        <w:tc>
          <w:tcPr>
            <w:tcW w:w="1834" w:type="dxa"/>
            <w:vAlign w:val="center"/>
          </w:tcPr>
          <w:p w14:paraId="44BCBD31">
            <w:pPr>
              <w:pStyle w:val="26"/>
              <w:spacing w:line="400" w:lineRule="exact"/>
              <w:jc w:val="center"/>
              <w:rPr>
                <w:rFonts w:hAnsi="宋体" w:cs="宋体"/>
                <w:kern w:val="2"/>
                <w:sz w:val="24"/>
                <w:szCs w:val="24"/>
              </w:rPr>
            </w:pPr>
            <w:r>
              <w:rPr>
                <w:rFonts w:hint="eastAsia" w:hAnsi="宋体" w:cs="宋体"/>
                <w:kern w:val="2"/>
                <w:sz w:val="24"/>
                <w:szCs w:val="24"/>
              </w:rPr>
              <w:t>技术要求</w:t>
            </w:r>
          </w:p>
        </w:tc>
        <w:tc>
          <w:tcPr>
            <w:tcW w:w="2181" w:type="dxa"/>
            <w:vAlign w:val="center"/>
          </w:tcPr>
          <w:p w14:paraId="01ECDA04">
            <w:pPr>
              <w:pStyle w:val="26"/>
              <w:spacing w:line="400" w:lineRule="exact"/>
              <w:jc w:val="center"/>
              <w:rPr>
                <w:rFonts w:hAnsi="宋体" w:cs="宋体"/>
                <w:kern w:val="2"/>
                <w:sz w:val="24"/>
                <w:szCs w:val="24"/>
              </w:rPr>
            </w:pPr>
            <w:r>
              <w:rPr>
                <w:rFonts w:hint="eastAsia" w:hAnsi="宋体" w:cs="宋体"/>
                <w:kern w:val="2"/>
                <w:sz w:val="24"/>
                <w:szCs w:val="24"/>
              </w:rPr>
              <w:t>投标响应</w:t>
            </w:r>
          </w:p>
        </w:tc>
        <w:tc>
          <w:tcPr>
            <w:tcW w:w="1934" w:type="dxa"/>
            <w:vAlign w:val="center"/>
          </w:tcPr>
          <w:p w14:paraId="52F08E92">
            <w:pPr>
              <w:pStyle w:val="26"/>
              <w:spacing w:line="400" w:lineRule="exact"/>
              <w:jc w:val="center"/>
              <w:rPr>
                <w:rFonts w:hAnsi="宋体" w:cs="宋体"/>
                <w:kern w:val="2"/>
                <w:sz w:val="24"/>
                <w:szCs w:val="24"/>
              </w:rPr>
            </w:pPr>
            <w:r>
              <w:rPr>
                <w:rFonts w:hint="eastAsia" w:hAnsi="宋体" w:cs="宋体"/>
                <w:kern w:val="2"/>
                <w:sz w:val="24"/>
                <w:szCs w:val="24"/>
              </w:rPr>
              <w:t>偏离说明</w:t>
            </w:r>
          </w:p>
        </w:tc>
      </w:tr>
      <w:tr w14:paraId="149AB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5EF5CC6B">
            <w:pPr>
              <w:pStyle w:val="26"/>
              <w:spacing w:line="600" w:lineRule="exact"/>
              <w:jc w:val="center"/>
              <w:rPr>
                <w:rFonts w:hAnsi="宋体" w:cs="宋体"/>
                <w:kern w:val="2"/>
                <w:sz w:val="24"/>
                <w:szCs w:val="24"/>
              </w:rPr>
            </w:pPr>
          </w:p>
        </w:tc>
        <w:tc>
          <w:tcPr>
            <w:tcW w:w="2143" w:type="dxa"/>
            <w:vAlign w:val="center"/>
          </w:tcPr>
          <w:p w14:paraId="752049C3">
            <w:pPr>
              <w:pStyle w:val="26"/>
              <w:spacing w:line="600" w:lineRule="exact"/>
              <w:jc w:val="center"/>
              <w:rPr>
                <w:rFonts w:hAnsi="宋体" w:cs="宋体"/>
                <w:kern w:val="2"/>
                <w:sz w:val="24"/>
                <w:szCs w:val="24"/>
              </w:rPr>
            </w:pPr>
          </w:p>
        </w:tc>
        <w:tc>
          <w:tcPr>
            <w:tcW w:w="1834" w:type="dxa"/>
            <w:vAlign w:val="center"/>
          </w:tcPr>
          <w:p w14:paraId="66268BCE">
            <w:pPr>
              <w:pStyle w:val="26"/>
              <w:spacing w:line="600" w:lineRule="exact"/>
              <w:jc w:val="center"/>
              <w:rPr>
                <w:rFonts w:hAnsi="宋体" w:cs="宋体"/>
                <w:kern w:val="2"/>
                <w:sz w:val="24"/>
                <w:szCs w:val="24"/>
              </w:rPr>
            </w:pPr>
          </w:p>
        </w:tc>
        <w:tc>
          <w:tcPr>
            <w:tcW w:w="2181" w:type="dxa"/>
            <w:vAlign w:val="center"/>
          </w:tcPr>
          <w:p w14:paraId="7DAADD53">
            <w:pPr>
              <w:pStyle w:val="26"/>
              <w:spacing w:line="600" w:lineRule="exact"/>
              <w:jc w:val="center"/>
              <w:rPr>
                <w:rFonts w:hAnsi="宋体" w:cs="宋体"/>
                <w:kern w:val="2"/>
                <w:sz w:val="24"/>
                <w:szCs w:val="24"/>
              </w:rPr>
            </w:pPr>
          </w:p>
        </w:tc>
        <w:tc>
          <w:tcPr>
            <w:tcW w:w="1934" w:type="dxa"/>
            <w:vAlign w:val="center"/>
          </w:tcPr>
          <w:p w14:paraId="56A11F76">
            <w:pPr>
              <w:pStyle w:val="26"/>
              <w:spacing w:line="600" w:lineRule="exact"/>
              <w:jc w:val="center"/>
              <w:rPr>
                <w:rFonts w:hAnsi="宋体" w:cs="宋体"/>
                <w:kern w:val="2"/>
                <w:sz w:val="24"/>
                <w:szCs w:val="24"/>
              </w:rPr>
            </w:pPr>
          </w:p>
        </w:tc>
      </w:tr>
      <w:tr w14:paraId="6021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384F7535">
            <w:pPr>
              <w:pStyle w:val="26"/>
              <w:spacing w:line="600" w:lineRule="exact"/>
              <w:rPr>
                <w:rFonts w:hAnsi="宋体" w:cs="宋体"/>
                <w:kern w:val="2"/>
                <w:sz w:val="24"/>
                <w:szCs w:val="24"/>
              </w:rPr>
            </w:pPr>
          </w:p>
        </w:tc>
        <w:tc>
          <w:tcPr>
            <w:tcW w:w="2143" w:type="dxa"/>
          </w:tcPr>
          <w:p w14:paraId="2434E5F4">
            <w:pPr>
              <w:pStyle w:val="26"/>
              <w:spacing w:line="600" w:lineRule="exact"/>
              <w:rPr>
                <w:rFonts w:hAnsi="宋体" w:cs="宋体"/>
                <w:kern w:val="2"/>
                <w:sz w:val="24"/>
                <w:szCs w:val="24"/>
              </w:rPr>
            </w:pPr>
          </w:p>
        </w:tc>
        <w:tc>
          <w:tcPr>
            <w:tcW w:w="1834" w:type="dxa"/>
          </w:tcPr>
          <w:p w14:paraId="16408792">
            <w:pPr>
              <w:pStyle w:val="26"/>
              <w:spacing w:line="600" w:lineRule="exact"/>
              <w:rPr>
                <w:rFonts w:hAnsi="宋体" w:cs="宋体"/>
                <w:kern w:val="2"/>
                <w:sz w:val="24"/>
                <w:szCs w:val="24"/>
              </w:rPr>
            </w:pPr>
          </w:p>
        </w:tc>
        <w:tc>
          <w:tcPr>
            <w:tcW w:w="2181" w:type="dxa"/>
          </w:tcPr>
          <w:p w14:paraId="2D6D425F">
            <w:pPr>
              <w:pStyle w:val="26"/>
              <w:spacing w:line="600" w:lineRule="exact"/>
              <w:rPr>
                <w:rFonts w:hAnsi="宋体" w:cs="宋体"/>
                <w:kern w:val="2"/>
                <w:sz w:val="24"/>
                <w:szCs w:val="24"/>
              </w:rPr>
            </w:pPr>
          </w:p>
        </w:tc>
        <w:tc>
          <w:tcPr>
            <w:tcW w:w="1934" w:type="dxa"/>
          </w:tcPr>
          <w:p w14:paraId="02BA3EBD">
            <w:pPr>
              <w:pStyle w:val="26"/>
              <w:spacing w:line="600" w:lineRule="exact"/>
              <w:rPr>
                <w:rFonts w:hAnsi="宋体" w:cs="宋体"/>
                <w:kern w:val="2"/>
                <w:sz w:val="24"/>
                <w:szCs w:val="24"/>
              </w:rPr>
            </w:pPr>
          </w:p>
        </w:tc>
      </w:tr>
      <w:tr w14:paraId="5C82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3F69EDE5">
            <w:pPr>
              <w:pStyle w:val="26"/>
              <w:spacing w:line="600" w:lineRule="exact"/>
              <w:rPr>
                <w:rFonts w:hAnsi="宋体" w:cs="宋体"/>
                <w:kern w:val="2"/>
                <w:sz w:val="24"/>
                <w:szCs w:val="24"/>
              </w:rPr>
            </w:pPr>
          </w:p>
        </w:tc>
        <w:tc>
          <w:tcPr>
            <w:tcW w:w="2143" w:type="dxa"/>
          </w:tcPr>
          <w:p w14:paraId="40CED07D">
            <w:pPr>
              <w:pStyle w:val="26"/>
              <w:spacing w:line="600" w:lineRule="exact"/>
              <w:rPr>
                <w:rFonts w:hAnsi="宋体" w:cs="宋体"/>
                <w:kern w:val="2"/>
                <w:sz w:val="24"/>
                <w:szCs w:val="24"/>
              </w:rPr>
            </w:pPr>
          </w:p>
        </w:tc>
        <w:tc>
          <w:tcPr>
            <w:tcW w:w="1834" w:type="dxa"/>
          </w:tcPr>
          <w:p w14:paraId="28690B75">
            <w:pPr>
              <w:pStyle w:val="26"/>
              <w:spacing w:line="600" w:lineRule="exact"/>
              <w:rPr>
                <w:rFonts w:hAnsi="宋体" w:cs="宋体"/>
                <w:kern w:val="2"/>
                <w:sz w:val="24"/>
                <w:szCs w:val="24"/>
              </w:rPr>
            </w:pPr>
          </w:p>
        </w:tc>
        <w:tc>
          <w:tcPr>
            <w:tcW w:w="2181" w:type="dxa"/>
          </w:tcPr>
          <w:p w14:paraId="24925F53">
            <w:pPr>
              <w:pStyle w:val="26"/>
              <w:spacing w:line="600" w:lineRule="exact"/>
              <w:rPr>
                <w:rFonts w:hAnsi="宋体" w:cs="宋体"/>
                <w:kern w:val="2"/>
                <w:sz w:val="24"/>
                <w:szCs w:val="24"/>
              </w:rPr>
            </w:pPr>
          </w:p>
        </w:tc>
        <w:tc>
          <w:tcPr>
            <w:tcW w:w="1934" w:type="dxa"/>
          </w:tcPr>
          <w:p w14:paraId="3F005101">
            <w:pPr>
              <w:pStyle w:val="26"/>
              <w:spacing w:line="600" w:lineRule="exact"/>
              <w:rPr>
                <w:rFonts w:hAnsi="宋体" w:cs="宋体"/>
                <w:kern w:val="2"/>
                <w:sz w:val="24"/>
                <w:szCs w:val="24"/>
              </w:rPr>
            </w:pPr>
          </w:p>
        </w:tc>
      </w:tr>
      <w:tr w14:paraId="284A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0E49CEE1">
            <w:pPr>
              <w:pStyle w:val="26"/>
              <w:spacing w:line="600" w:lineRule="exact"/>
              <w:rPr>
                <w:rFonts w:hAnsi="宋体" w:cs="宋体"/>
                <w:kern w:val="2"/>
                <w:sz w:val="24"/>
                <w:szCs w:val="24"/>
              </w:rPr>
            </w:pPr>
          </w:p>
        </w:tc>
        <w:tc>
          <w:tcPr>
            <w:tcW w:w="2143" w:type="dxa"/>
          </w:tcPr>
          <w:p w14:paraId="30195982">
            <w:pPr>
              <w:pStyle w:val="26"/>
              <w:spacing w:line="600" w:lineRule="exact"/>
              <w:rPr>
                <w:rFonts w:hAnsi="宋体" w:cs="宋体"/>
                <w:kern w:val="2"/>
                <w:sz w:val="24"/>
                <w:szCs w:val="24"/>
              </w:rPr>
            </w:pPr>
          </w:p>
        </w:tc>
        <w:tc>
          <w:tcPr>
            <w:tcW w:w="1834" w:type="dxa"/>
          </w:tcPr>
          <w:p w14:paraId="23D8350E">
            <w:pPr>
              <w:pStyle w:val="26"/>
              <w:spacing w:line="600" w:lineRule="exact"/>
              <w:rPr>
                <w:rFonts w:hAnsi="宋体" w:cs="宋体"/>
                <w:kern w:val="2"/>
                <w:sz w:val="24"/>
                <w:szCs w:val="24"/>
              </w:rPr>
            </w:pPr>
          </w:p>
        </w:tc>
        <w:tc>
          <w:tcPr>
            <w:tcW w:w="2181" w:type="dxa"/>
          </w:tcPr>
          <w:p w14:paraId="043ABDC7">
            <w:pPr>
              <w:pStyle w:val="26"/>
              <w:spacing w:line="600" w:lineRule="exact"/>
              <w:rPr>
                <w:rFonts w:hAnsi="宋体" w:cs="宋体"/>
                <w:kern w:val="2"/>
                <w:sz w:val="24"/>
                <w:szCs w:val="24"/>
              </w:rPr>
            </w:pPr>
          </w:p>
        </w:tc>
        <w:tc>
          <w:tcPr>
            <w:tcW w:w="1934" w:type="dxa"/>
          </w:tcPr>
          <w:p w14:paraId="28195BC1">
            <w:pPr>
              <w:pStyle w:val="26"/>
              <w:spacing w:line="600" w:lineRule="exact"/>
              <w:rPr>
                <w:rFonts w:hAnsi="宋体" w:cs="宋体"/>
                <w:kern w:val="2"/>
                <w:sz w:val="24"/>
                <w:szCs w:val="24"/>
              </w:rPr>
            </w:pPr>
          </w:p>
        </w:tc>
      </w:tr>
      <w:tr w14:paraId="4BE7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759DD5D0">
            <w:pPr>
              <w:pStyle w:val="26"/>
              <w:spacing w:line="600" w:lineRule="exact"/>
              <w:rPr>
                <w:rFonts w:hAnsi="宋体" w:cs="宋体"/>
                <w:kern w:val="2"/>
                <w:sz w:val="24"/>
                <w:szCs w:val="24"/>
              </w:rPr>
            </w:pPr>
          </w:p>
        </w:tc>
        <w:tc>
          <w:tcPr>
            <w:tcW w:w="2143" w:type="dxa"/>
          </w:tcPr>
          <w:p w14:paraId="40063FFA">
            <w:pPr>
              <w:pStyle w:val="26"/>
              <w:spacing w:line="600" w:lineRule="exact"/>
              <w:rPr>
                <w:rFonts w:hAnsi="宋体" w:cs="宋体"/>
                <w:kern w:val="2"/>
                <w:sz w:val="24"/>
                <w:szCs w:val="24"/>
              </w:rPr>
            </w:pPr>
          </w:p>
        </w:tc>
        <w:tc>
          <w:tcPr>
            <w:tcW w:w="1834" w:type="dxa"/>
          </w:tcPr>
          <w:p w14:paraId="1E99E6A0">
            <w:pPr>
              <w:pStyle w:val="26"/>
              <w:spacing w:line="600" w:lineRule="exact"/>
              <w:rPr>
                <w:rFonts w:hAnsi="宋体" w:cs="宋体"/>
                <w:kern w:val="2"/>
                <w:sz w:val="24"/>
                <w:szCs w:val="24"/>
              </w:rPr>
            </w:pPr>
          </w:p>
        </w:tc>
        <w:tc>
          <w:tcPr>
            <w:tcW w:w="2181" w:type="dxa"/>
          </w:tcPr>
          <w:p w14:paraId="72172AA9">
            <w:pPr>
              <w:pStyle w:val="26"/>
              <w:spacing w:line="600" w:lineRule="exact"/>
              <w:rPr>
                <w:rFonts w:hAnsi="宋体" w:cs="宋体"/>
                <w:kern w:val="2"/>
                <w:sz w:val="24"/>
                <w:szCs w:val="24"/>
              </w:rPr>
            </w:pPr>
          </w:p>
        </w:tc>
        <w:tc>
          <w:tcPr>
            <w:tcW w:w="1934" w:type="dxa"/>
          </w:tcPr>
          <w:p w14:paraId="44690819">
            <w:pPr>
              <w:pStyle w:val="26"/>
              <w:spacing w:line="600" w:lineRule="exact"/>
              <w:rPr>
                <w:rFonts w:hAnsi="宋体" w:cs="宋体"/>
                <w:kern w:val="2"/>
                <w:sz w:val="24"/>
                <w:szCs w:val="24"/>
              </w:rPr>
            </w:pPr>
          </w:p>
        </w:tc>
      </w:tr>
      <w:tr w14:paraId="653A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00B6BA99">
            <w:pPr>
              <w:pStyle w:val="26"/>
              <w:spacing w:line="600" w:lineRule="exact"/>
              <w:rPr>
                <w:rFonts w:hAnsi="宋体" w:cs="宋体"/>
                <w:kern w:val="2"/>
                <w:sz w:val="24"/>
                <w:szCs w:val="24"/>
              </w:rPr>
            </w:pPr>
          </w:p>
        </w:tc>
        <w:tc>
          <w:tcPr>
            <w:tcW w:w="2143" w:type="dxa"/>
          </w:tcPr>
          <w:p w14:paraId="5F57C1A6">
            <w:pPr>
              <w:pStyle w:val="26"/>
              <w:spacing w:line="600" w:lineRule="exact"/>
              <w:rPr>
                <w:rFonts w:hAnsi="宋体" w:cs="宋体"/>
                <w:kern w:val="2"/>
                <w:sz w:val="24"/>
                <w:szCs w:val="24"/>
              </w:rPr>
            </w:pPr>
          </w:p>
        </w:tc>
        <w:tc>
          <w:tcPr>
            <w:tcW w:w="1834" w:type="dxa"/>
          </w:tcPr>
          <w:p w14:paraId="636C3198">
            <w:pPr>
              <w:pStyle w:val="26"/>
              <w:spacing w:line="600" w:lineRule="exact"/>
              <w:rPr>
                <w:rFonts w:hAnsi="宋体" w:cs="宋体"/>
                <w:kern w:val="2"/>
                <w:sz w:val="24"/>
                <w:szCs w:val="24"/>
              </w:rPr>
            </w:pPr>
          </w:p>
        </w:tc>
        <w:tc>
          <w:tcPr>
            <w:tcW w:w="2181" w:type="dxa"/>
          </w:tcPr>
          <w:p w14:paraId="30278C35">
            <w:pPr>
              <w:pStyle w:val="26"/>
              <w:spacing w:line="600" w:lineRule="exact"/>
              <w:rPr>
                <w:rFonts w:hAnsi="宋体" w:cs="宋体"/>
                <w:kern w:val="2"/>
                <w:sz w:val="24"/>
                <w:szCs w:val="24"/>
              </w:rPr>
            </w:pPr>
          </w:p>
        </w:tc>
        <w:tc>
          <w:tcPr>
            <w:tcW w:w="1934" w:type="dxa"/>
          </w:tcPr>
          <w:p w14:paraId="7C40E614">
            <w:pPr>
              <w:pStyle w:val="26"/>
              <w:spacing w:line="600" w:lineRule="exact"/>
              <w:rPr>
                <w:rFonts w:hAnsi="宋体" w:cs="宋体"/>
                <w:kern w:val="2"/>
                <w:sz w:val="24"/>
                <w:szCs w:val="24"/>
              </w:rPr>
            </w:pPr>
          </w:p>
        </w:tc>
      </w:tr>
    </w:tbl>
    <w:p w14:paraId="7E81ADC7">
      <w:pPr>
        <w:pStyle w:val="18"/>
        <w:rPr>
          <w:rFonts w:ascii="楷体" w:hAnsi="楷体" w:eastAsia="楷体" w:cs="宋体"/>
        </w:rPr>
      </w:pPr>
      <w:r>
        <w:rPr>
          <w:rFonts w:hint="eastAsia" w:ascii="楷体" w:hAnsi="楷体" w:eastAsia="楷体" w:cs="宋体"/>
        </w:rPr>
        <w:t>注：</w:t>
      </w:r>
    </w:p>
    <w:p w14:paraId="1D8262E6">
      <w:pPr>
        <w:pStyle w:val="21"/>
        <w:spacing w:line="360" w:lineRule="auto"/>
        <w:ind w:firstLine="480" w:firstLineChars="200"/>
        <w:rPr>
          <w:rFonts w:ascii="楷体" w:hAnsi="楷体" w:eastAsia="楷体" w:cs="宋体"/>
          <w:szCs w:val="32"/>
        </w:rPr>
      </w:pPr>
      <w:r>
        <w:rPr>
          <w:rFonts w:ascii="楷体" w:hAnsi="楷体" w:eastAsia="楷体" w:cs="宋体"/>
          <w:sz w:val="24"/>
          <w:szCs w:val="24"/>
        </w:rPr>
        <w:t>1.</w:t>
      </w:r>
      <w:r>
        <w:rPr>
          <w:rFonts w:hint="eastAsia" w:ascii="楷体" w:hAnsi="楷体" w:eastAsia="楷体" w:cs="宋体"/>
          <w:sz w:val="24"/>
          <w:szCs w:val="24"/>
        </w:rPr>
        <w:t>说明：应对照招标文件“第二章</w:t>
      </w:r>
      <w:r>
        <w:rPr>
          <w:rFonts w:ascii="楷体" w:hAnsi="楷体" w:eastAsia="楷体" w:cs="宋体"/>
          <w:sz w:val="24"/>
          <w:szCs w:val="24"/>
        </w:rPr>
        <w:t xml:space="preserve"> </w:t>
      </w:r>
      <w:r>
        <w:rPr>
          <w:rFonts w:hint="eastAsia" w:ascii="楷体" w:hAnsi="楷体" w:eastAsia="楷体" w:cs="宋体"/>
          <w:sz w:val="24"/>
          <w:szCs w:val="24"/>
        </w:rPr>
        <w:t>采购需求”中的“技术参数及性能（配置）要求”逐条作明确的投标响应，并作出偏离说明。</w:t>
      </w:r>
    </w:p>
    <w:p w14:paraId="2DDC3A38">
      <w:pPr>
        <w:pStyle w:val="18"/>
        <w:spacing w:line="360" w:lineRule="auto"/>
        <w:ind w:firstLine="480" w:firstLineChars="200"/>
        <w:rPr>
          <w:rFonts w:ascii="楷体" w:hAnsi="楷体" w:eastAsia="楷体" w:cs="宋体"/>
          <w:b w:val="0"/>
          <w:bCs w:val="0"/>
        </w:rPr>
      </w:pPr>
      <w:r>
        <w:rPr>
          <w:rFonts w:ascii="楷体" w:hAnsi="楷体" w:eastAsia="楷体" w:cs="宋体"/>
          <w:b w:val="0"/>
          <w:bCs w:val="0"/>
        </w:rPr>
        <w:t>2.投标人根据投标货物的性能指标，对照招标文件技术要求，在“偏离说明”中注明“</w:t>
      </w:r>
      <w:r>
        <w:rPr>
          <w:rFonts w:hint="eastAsia" w:ascii="楷体" w:hAnsi="楷体" w:eastAsia="楷体" w:cs="宋体"/>
        </w:rPr>
        <w:t>正偏离</w:t>
      </w:r>
      <w:r>
        <w:rPr>
          <w:rFonts w:hint="eastAsia" w:ascii="楷体" w:hAnsi="楷体" w:eastAsia="楷体" w:cs="宋体"/>
          <w:b w:val="0"/>
          <w:bCs w:val="0"/>
        </w:rPr>
        <w:t>”、“</w:t>
      </w:r>
      <w:r>
        <w:rPr>
          <w:rFonts w:hint="eastAsia" w:ascii="楷体" w:hAnsi="楷体" w:eastAsia="楷体" w:cs="宋体"/>
        </w:rPr>
        <w:t>负偏离</w:t>
      </w:r>
      <w:r>
        <w:rPr>
          <w:rFonts w:hint="eastAsia" w:ascii="楷体" w:hAnsi="楷体" w:eastAsia="楷体" w:cs="宋体"/>
          <w:b w:val="0"/>
          <w:bCs w:val="0"/>
        </w:rPr>
        <w:t>”或者“</w:t>
      </w:r>
      <w:r>
        <w:rPr>
          <w:rFonts w:hint="eastAsia" w:ascii="楷体" w:hAnsi="楷体" w:eastAsia="楷体" w:cs="宋体"/>
        </w:rPr>
        <w:t>无偏离</w:t>
      </w:r>
      <w:r>
        <w:rPr>
          <w:rFonts w:hint="eastAsia" w:ascii="楷体" w:hAnsi="楷体" w:eastAsia="楷体" w:cs="宋体"/>
          <w:b w:val="0"/>
          <w:bCs w:val="0"/>
        </w:rPr>
        <w:t>”。既不属于“</w:t>
      </w:r>
      <w:r>
        <w:rPr>
          <w:rFonts w:hint="eastAsia" w:ascii="楷体" w:hAnsi="楷体" w:eastAsia="楷体" w:cs="宋体"/>
        </w:rPr>
        <w:t>正偏离</w:t>
      </w:r>
      <w:r>
        <w:rPr>
          <w:rFonts w:hint="eastAsia" w:ascii="楷体" w:hAnsi="楷体" w:eastAsia="楷体" w:cs="宋体"/>
          <w:b w:val="0"/>
          <w:bCs w:val="0"/>
        </w:rPr>
        <w:t>”也不属于“</w:t>
      </w:r>
      <w:r>
        <w:rPr>
          <w:rFonts w:hint="eastAsia" w:ascii="楷体" w:hAnsi="楷体" w:eastAsia="楷体" w:cs="宋体"/>
        </w:rPr>
        <w:t>负偏离</w:t>
      </w:r>
      <w:r>
        <w:rPr>
          <w:rFonts w:hint="eastAsia" w:ascii="楷体" w:hAnsi="楷体" w:eastAsia="楷体" w:cs="宋体"/>
          <w:b w:val="0"/>
          <w:bCs w:val="0"/>
        </w:rPr>
        <w:t>”即为“</w:t>
      </w:r>
      <w:r>
        <w:rPr>
          <w:rFonts w:hint="eastAsia" w:ascii="楷体" w:hAnsi="楷体" w:eastAsia="楷体" w:cs="宋体"/>
        </w:rPr>
        <w:t>无偏离</w:t>
      </w:r>
      <w:r>
        <w:rPr>
          <w:rFonts w:hint="eastAsia" w:ascii="楷体" w:hAnsi="楷体" w:eastAsia="楷体" w:cs="宋体"/>
          <w:b w:val="0"/>
          <w:bCs w:val="0"/>
        </w:rPr>
        <w:t>”。</w:t>
      </w:r>
    </w:p>
    <w:p w14:paraId="0BC90AA4">
      <w:pPr>
        <w:pStyle w:val="21"/>
        <w:spacing w:line="360" w:lineRule="auto"/>
        <w:ind w:firstLine="480" w:firstLineChars="200"/>
        <w:rPr>
          <w:rFonts w:ascii="楷体" w:hAnsi="楷体" w:eastAsia="楷体" w:cs="宋体"/>
          <w:sz w:val="24"/>
          <w:szCs w:val="24"/>
        </w:rPr>
      </w:pPr>
      <w:r>
        <w:rPr>
          <w:rFonts w:ascii="楷体" w:hAnsi="楷体" w:eastAsia="楷体" w:cs="宋体"/>
          <w:sz w:val="24"/>
          <w:szCs w:val="24"/>
        </w:rPr>
        <w:t>3.投标人认为其投标响应有正偏离的，请在技术要求偏离表中列明，且在投标文件中提供投标产品的彩页或国家认可的有资质的第三方检测机构出具的检测报告复印件或产品生产厂家出具的技术参数说明证明作为佐证，以上佐证材料均需加盖生产厂家或代理商（</w:t>
      </w:r>
      <w:r>
        <w:rPr>
          <w:rFonts w:hint="eastAsia" w:ascii="楷体" w:hAnsi="楷体" w:eastAsia="楷体" w:cs="宋体"/>
          <w:sz w:val="24"/>
          <w:szCs w:val="24"/>
        </w:rPr>
        <w:t>附生产厂家授权资料）公章。</w:t>
      </w:r>
    </w:p>
    <w:p w14:paraId="36AE4136">
      <w:pPr>
        <w:pStyle w:val="21"/>
        <w:spacing w:line="360" w:lineRule="auto"/>
        <w:ind w:firstLine="480" w:firstLineChars="200"/>
        <w:rPr>
          <w:rFonts w:ascii="楷体" w:hAnsi="楷体" w:eastAsia="楷体" w:cs="宋体"/>
          <w:sz w:val="24"/>
          <w:szCs w:val="24"/>
        </w:rPr>
      </w:pPr>
      <w:r>
        <w:rPr>
          <w:rFonts w:ascii="楷体" w:hAnsi="楷体" w:eastAsia="楷体" w:cs="宋体"/>
          <w:sz w:val="24"/>
          <w:szCs w:val="24"/>
        </w:rPr>
        <w:t>4.</w:t>
      </w:r>
      <w:r>
        <w:rPr>
          <w:rFonts w:hint="eastAsia" w:ascii="楷体" w:hAnsi="楷体" w:eastAsia="楷体" w:cs="宋体"/>
          <w:sz w:val="24"/>
          <w:szCs w:val="24"/>
        </w:rPr>
        <w:t>如技术要求偏离表中的投标响应与佐证材料不一致的，以佐证材料为准。</w:t>
      </w:r>
    </w:p>
    <w:p w14:paraId="3938EDD3">
      <w:pPr>
        <w:snapToGrid w:val="0"/>
        <w:spacing w:before="50" w:after="50" w:line="360" w:lineRule="auto"/>
        <w:rPr>
          <w:rFonts w:ascii="宋体" w:hAnsi="宋体" w:cs="宋体"/>
          <w:sz w:val="24"/>
        </w:rPr>
      </w:pPr>
    </w:p>
    <w:p w14:paraId="5C3C751E">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1160558E">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w:t>
      </w:r>
      <w:r>
        <w:rPr>
          <w:rFonts w:hint="eastAsia" w:ascii="黑体" w:hAnsi="黑体" w:eastAsia="黑体" w:cs="宋体"/>
          <w:kern w:val="0"/>
          <w:sz w:val="24"/>
        </w:rPr>
        <w:t>（</w:t>
      </w:r>
      <w:r>
        <w:rPr>
          <w:rFonts w:hint="eastAsia" w:ascii="宋体" w:hAnsi="宋体" w:cs="宋体"/>
          <w:kern w:val="0"/>
          <w:sz w:val="24"/>
        </w:rPr>
        <w:t>公章</w:t>
      </w:r>
      <w:r>
        <w:rPr>
          <w:rFonts w:hint="eastAsia" w:ascii="黑体" w:hAnsi="黑体" w:eastAsia="黑体" w:cs="宋体"/>
          <w:kern w:val="0"/>
          <w:sz w:val="24"/>
        </w:rPr>
        <w:t>）</w:t>
      </w:r>
      <w:r>
        <w:rPr>
          <w:rFonts w:hint="eastAsia" w:ascii="宋体" w:hAnsi="宋体" w:cs="宋体"/>
          <w:kern w:val="0"/>
          <w:sz w:val="24"/>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684B57CC">
      <w:pPr>
        <w:snapToGrid w:val="0"/>
        <w:spacing w:before="120" w:beforeLines="50"/>
        <w:ind w:firstLine="3360" w:firstLineChars="1400"/>
        <w:rPr>
          <w:rFonts w:ascii="宋体" w:hAnsi="宋体" w:cs="宋体"/>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hint="eastAsia" w:ascii="黑体" w:hAnsi="黑体" w:eastAsia="黑体" w:cs="宋体"/>
          <w:b/>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386EC2CE">
      <w:pPr>
        <w:snapToGrid w:val="0"/>
        <w:spacing w:before="50" w:after="50" w:line="360" w:lineRule="auto"/>
        <w:rPr>
          <w:rFonts w:ascii="宋体" w:hAnsi="宋体" w:cs="宋体"/>
          <w:sz w:val="24"/>
          <w:szCs w:val="20"/>
        </w:rPr>
      </w:pPr>
    </w:p>
    <w:p w14:paraId="2B86C839">
      <w:pPr>
        <w:snapToGrid w:val="0"/>
        <w:spacing w:before="120" w:beforeLines="50" w:after="50"/>
        <w:ind w:left="142"/>
        <w:jc w:val="left"/>
        <w:rPr>
          <w:rFonts w:ascii="宋体" w:hAnsi="宋体" w:cs="宋体"/>
          <w:b/>
          <w:sz w:val="24"/>
        </w:rPr>
      </w:pPr>
      <w:r>
        <w:rPr>
          <w:rFonts w:hint="eastAsia" w:ascii="宋体" w:hAnsi="宋体" w:cs="宋体"/>
          <w:b/>
          <w:sz w:val="24"/>
        </w:rPr>
        <w:br w:type="page"/>
      </w:r>
      <w:r>
        <w:rPr>
          <w:rFonts w:hint="eastAsia" w:ascii="宋体" w:hAnsi="宋体" w:cs="宋体"/>
          <w:b/>
          <w:sz w:val="24"/>
        </w:rPr>
        <w:t>5. 项目实施人员一览表格式</w:t>
      </w:r>
    </w:p>
    <w:p w14:paraId="781274E7">
      <w:pPr>
        <w:snapToGrid w:val="0"/>
        <w:spacing w:before="120" w:beforeLines="50" w:after="50"/>
        <w:ind w:left="142"/>
        <w:jc w:val="left"/>
        <w:rPr>
          <w:rFonts w:ascii="宋体" w:hAnsi="宋体" w:cs="宋体"/>
          <w:b/>
          <w:sz w:val="24"/>
        </w:rPr>
      </w:pPr>
    </w:p>
    <w:p w14:paraId="13884400">
      <w:pPr>
        <w:snapToGrid w:val="0"/>
        <w:spacing w:before="120" w:beforeLines="50" w:after="50"/>
        <w:ind w:left="142"/>
        <w:jc w:val="center"/>
        <w:rPr>
          <w:rFonts w:ascii="宋体" w:hAnsi="宋体" w:cs="宋体"/>
          <w:b/>
          <w:sz w:val="32"/>
          <w:szCs w:val="32"/>
        </w:rPr>
      </w:pPr>
      <w:r>
        <w:rPr>
          <w:rFonts w:hint="eastAsia" w:ascii="宋体" w:hAnsi="宋体" w:cs="宋体"/>
          <w:b/>
          <w:sz w:val="32"/>
          <w:szCs w:val="32"/>
        </w:rPr>
        <w:t>项目实施人员一览表</w:t>
      </w:r>
    </w:p>
    <w:p w14:paraId="1FA9CDC2">
      <w:pPr>
        <w:pStyle w:val="2"/>
      </w:pPr>
    </w:p>
    <w:p w14:paraId="47F09F10">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1CC26077">
      <w:pPr>
        <w:pStyle w:val="26"/>
        <w:rPr>
          <w:rFonts w:hAnsi="宋体" w:cs="宋体"/>
          <w:sz w:val="24"/>
          <w:u w:val="single"/>
        </w:rPr>
      </w:pPr>
      <w:r>
        <w:rPr>
          <w:rFonts w:hint="eastAsia" w:hAnsi="宋体" w:cs="宋体"/>
          <w:sz w:val="24"/>
        </w:rPr>
        <w:t>投标人名称：</w:t>
      </w:r>
      <w:r>
        <w:rPr>
          <w:rFonts w:hint="eastAsia" w:hAnsi="宋体" w:cs="宋体"/>
          <w:sz w:val="24"/>
          <w:u w:val="single"/>
        </w:rPr>
        <w:t xml:space="preserve">                    </w:t>
      </w:r>
    </w:p>
    <w:p w14:paraId="208A72AF">
      <w:pPr>
        <w:pStyle w:val="6"/>
      </w:pPr>
    </w:p>
    <w:tbl>
      <w:tblPr>
        <w:tblStyle w:val="48"/>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1701"/>
        <w:gridCol w:w="1420"/>
        <w:gridCol w:w="1698"/>
        <w:gridCol w:w="1843"/>
      </w:tblGrid>
      <w:tr w14:paraId="6552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Align w:val="center"/>
          </w:tcPr>
          <w:p w14:paraId="54C52AD5">
            <w:pPr>
              <w:snapToGrid w:val="0"/>
              <w:spacing w:before="50" w:after="120" w:afterLines="50"/>
              <w:jc w:val="center"/>
              <w:rPr>
                <w:rFonts w:ascii="宋体" w:hAnsi="宋体" w:cs="宋体"/>
                <w:sz w:val="24"/>
                <w:szCs w:val="20"/>
              </w:rPr>
            </w:pPr>
            <w:r>
              <w:rPr>
                <w:rFonts w:hint="eastAsia" w:ascii="宋体" w:hAnsi="宋体" w:cs="宋体"/>
                <w:sz w:val="24"/>
                <w:szCs w:val="20"/>
              </w:rPr>
              <w:t>姓名</w:t>
            </w:r>
          </w:p>
        </w:tc>
        <w:tc>
          <w:tcPr>
            <w:tcW w:w="709" w:type="dxa"/>
            <w:vAlign w:val="center"/>
          </w:tcPr>
          <w:p w14:paraId="62CC9DCB">
            <w:pPr>
              <w:snapToGrid w:val="0"/>
              <w:spacing w:before="50" w:after="120" w:afterLines="50"/>
              <w:jc w:val="center"/>
              <w:rPr>
                <w:rFonts w:ascii="宋体" w:hAnsi="宋体" w:cs="宋体"/>
                <w:sz w:val="24"/>
                <w:szCs w:val="20"/>
              </w:rPr>
            </w:pPr>
            <w:r>
              <w:rPr>
                <w:rFonts w:hint="eastAsia" w:ascii="宋体" w:hAnsi="宋体" w:cs="宋体"/>
                <w:sz w:val="24"/>
                <w:szCs w:val="20"/>
              </w:rPr>
              <w:t>职务</w:t>
            </w:r>
          </w:p>
        </w:tc>
        <w:tc>
          <w:tcPr>
            <w:tcW w:w="1701" w:type="dxa"/>
            <w:vAlign w:val="center"/>
          </w:tcPr>
          <w:p w14:paraId="45DD2414">
            <w:pPr>
              <w:snapToGrid w:val="0"/>
              <w:spacing w:before="50" w:after="120" w:afterLines="50"/>
              <w:jc w:val="center"/>
              <w:rPr>
                <w:rFonts w:ascii="宋体" w:hAnsi="宋体" w:cs="宋体"/>
                <w:sz w:val="24"/>
                <w:szCs w:val="20"/>
              </w:rPr>
            </w:pPr>
            <w:r>
              <w:rPr>
                <w:rFonts w:hint="eastAsia" w:ascii="宋体" w:hAnsi="宋体" w:cs="宋体"/>
                <w:sz w:val="24"/>
                <w:szCs w:val="20"/>
              </w:rPr>
              <w:t>专业技术资格（职称）或者职业资格或者执业资格证或者其他证书</w:t>
            </w:r>
          </w:p>
        </w:tc>
        <w:tc>
          <w:tcPr>
            <w:tcW w:w="1420" w:type="dxa"/>
            <w:vAlign w:val="center"/>
          </w:tcPr>
          <w:p w14:paraId="3CDDC26C">
            <w:pPr>
              <w:snapToGrid w:val="0"/>
              <w:spacing w:before="50" w:after="120" w:afterLines="50"/>
              <w:jc w:val="center"/>
              <w:rPr>
                <w:rFonts w:ascii="宋体" w:hAnsi="宋体" w:cs="宋体"/>
                <w:sz w:val="24"/>
                <w:szCs w:val="20"/>
              </w:rPr>
            </w:pPr>
            <w:r>
              <w:rPr>
                <w:rFonts w:hint="eastAsia" w:ascii="宋体" w:hAnsi="宋体" w:cs="宋体"/>
                <w:sz w:val="24"/>
                <w:szCs w:val="20"/>
              </w:rPr>
              <w:t>证书编号</w:t>
            </w:r>
          </w:p>
        </w:tc>
        <w:tc>
          <w:tcPr>
            <w:tcW w:w="1698" w:type="dxa"/>
            <w:vAlign w:val="center"/>
          </w:tcPr>
          <w:p w14:paraId="294F07E2">
            <w:pPr>
              <w:snapToGrid w:val="0"/>
              <w:spacing w:before="50" w:after="120" w:afterLines="50"/>
              <w:jc w:val="center"/>
              <w:rPr>
                <w:rFonts w:ascii="宋体" w:hAnsi="宋体" w:cs="宋体"/>
                <w:sz w:val="24"/>
                <w:szCs w:val="20"/>
              </w:rPr>
            </w:pPr>
            <w:r>
              <w:rPr>
                <w:rFonts w:hint="eastAsia" w:ascii="宋体" w:hAnsi="宋体" w:cs="宋体"/>
                <w:sz w:val="24"/>
                <w:szCs w:val="20"/>
              </w:rPr>
              <w:t>参加本单位</w:t>
            </w:r>
          </w:p>
          <w:p w14:paraId="49FBAE69">
            <w:pPr>
              <w:snapToGrid w:val="0"/>
              <w:spacing w:before="50" w:after="120" w:afterLines="50"/>
              <w:jc w:val="center"/>
              <w:rPr>
                <w:rFonts w:ascii="宋体" w:hAnsi="宋体" w:cs="宋体"/>
                <w:sz w:val="24"/>
                <w:szCs w:val="20"/>
              </w:rPr>
            </w:pPr>
            <w:r>
              <w:rPr>
                <w:rFonts w:hint="eastAsia" w:ascii="宋体" w:hAnsi="宋体" w:cs="宋体"/>
                <w:sz w:val="24"/>
                <w:szCs w:val="20"/>
              </w:rPr>
              <w:t>工作时间</w:t>
            </w:r>
          </w:p>
        </w:tc>
        <w:tc>
          <w:tcPr>
            <w:tcW w:w="1843" w:type="dxa"/>
            <w:vAlign w:val="center"/>
          </w:tcPr>
          <w:p w14:paraId="7CA20997">
            <w:pPr>
              <w:snapToGrid w:val="0"/>
              <w:spacing w:before="50" w:after="120" w:afterLines="50"/>
              <w:jc w:val="center"/>
              <w:rPr>
                <w:rFonts w:ascii="宋体" w:hAnsi="宋体" w:cs="宋体"/>
                <w:sz w:val="24"/>
                <w:szCs w:val="20"/>
              </w:rPr>
            </w:pPr>
            <w:r>
              <w:rPr>
                <w:rFonts w:hint="eastAsia" w:ascii="宋体" w:hAnsi="宋体" w:cs="宋体"/>
                <w:sz w:val="24"/>
                <w:szCs w:val="20"/>
              </w:rPr>
              <w:t>劳动合同编号</w:t>
            </w:r>
          </w:p>
        </w:tc>
      </w:tr>
      <w:tr w14:paraId="1261D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669D7D6">
            <w:pPr>
              <w:snapToGrid w:val="0"/>
              <w:spacing w:before="50" w:after="120" w:afterLines="50"/>
              <w:jc w:val="center"/>
              <w:rPr>
                <w:rFonts w:ascii="宋体" w:hAnsi="宋体" w:cs="宋体"/>
                <w:sz w:val="24"/>
                <w:szCs w:val="20"/>
              </w:rPr>
            </w:pPr>
          </w:p>
        </w:tc>
        <w:tc>
          <w:tcPr>
            <w:tcW w:w="709" w:type="dxa"/>
            <w:vAlign w:val="center"/>
          </w:tcPr>
          <w:p w14:paraId="20E49D20">
            <w:pPr>
              <w:snapToGrid w:val="0"/>
              <w:spacing w:before="50" w:after="120" w:afterLines="50"/>
              <w:jc w:val="center"/>
              <w:rPr>
                <w:rFonts w:ascii="宋体" w:hAnsi="宋体" w:cs="宋体"/>
                <w:sz w:val="24"/>
                <w:szCs w:val="20"/>
              </w:rPr>
            </w:pPr>
          </w:p>
        </w:tc>
        <w:tc>
          <w:tcPr>
            <w:tcW w:w="1701" w:type="dxa"/>
            <w:vAlign w:val="center"/>
          </w:tcPr>
          <w:p w14:paraId="26479B6B">
            <w:pPr>
              <w:snapToGrid w:val="0"/>
              <w:spacing w:before="50" w:after="120" w:afterLines="50"/>
              <w:jc w:val="center"/>
              <w:rPr>
                <w:rFonts w:ascii="宋体" w:hAnsi="宋体" w:cs="宋体"/>
                <w:sz w:val="24"/>
                <w:szCs w:val="20"/>
              </w:rPr>
            </w:pPr>
          </w:p>
        </w:tc>
        <w:tc>
          <w:tcPr>
            <w:tcW w:w="1420" w:type="dxa"/>
            <w:vAlign w:val="center"/>
          </w:tcPr>
          <w:p w14:paraId="7590AB9D">
            <w:pPr>
              <w:snapToGrid w:val="0"/>
              <w:spacing w:before="50" w:after="120" w:afterLines="50"/>
              <w:jc w:val="center"/>
              <w:rPr>
                <w:rFonts w:ascii="宋体" w:hAnsi="宋体" w:cs="宋体"/>
                <w:sz w:val="24"/>
                <w:szCs w:val="20"/>
              </w:rPr>
            </w:pPr>
          </w:p>
        </w:tc>
        <w:tc>
          <w:tcPr>
            <w:tcW w:w="1698" w:type="dxa"/>
            <w:vAlign w:val="center"/>
          </w:tcPr>
          <w:p w14:paraId="09328648">
            <w:pPr>
              <w:snapToGrid w:val="0"/>
              <w:spacing w:before="50" w:after="120" w:afterLines="50"/>
              <w:jc w:val="center"/>
              <w:rPr>
                <w:rFonts w:ascii="宋体" w:hAnsi="宋体" w:cs="宋体"/>
                <w:sz w:val="24"/>
                <w:szCs w:val="20"/>
              </w:rPr>
            </w:pPr>
          </w:p>
        </w:tc>
        <w:tc>
          <w:tcPr>
            <w:tcW w:w="1843" w:type="dxa"/>
            <w:vAlign w:val="center"/>
          </w:tcPr>
          <w:p w14:paraId="291952BA">
            <w:pPr>
              <w:snapToGrid w:val="0"/>
              <w:spacing w:before="50" w:after="120" w:afterLines="50"/>
              <w:jc w:val="center"/>
              <w:rPr>
                <w:rFonts w:ascii="宋体" w:hAnsi="宋体" w:cs="宋体"/>
                <w:sz w:val="24"/>
                <w:szCs w:val="20"/>
              </w:rPr>
            </w:pPr>
          </w:p>
        </w:tc>
      </w:tr>
      <w:tr w14:paraId="3A5C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009EEF2">
            <w:pPr>
              <w:snapToGrid w:val="0"/>
              <w:spacing w:before="50" w:after="120" w:afterLines="50"/>
              <w:jc w:val="center"/>
              <w:rPr>
                <w:rFonts w:ascii="宋体" w:hAnsi="宋体" w:cs="宋体"/>
                <w:sz w:val="24"/>
                <w:szCs w:val="20"/>
              </w:rPr>
            </w:pPr>
          </w:p>
        </w:tc>
        <w:tc>
          <w:tcPr>
            <w:tcW w:w="709" w:type="dxa"/>
            <w:vAlign w:val="center"/>
          </w:tcPr>
          <w:p w14:paraId="5FAB244A">
            <w:pPr>
              <w:snapToGrid w:val="0"/>
              <w:spacing w:before="50" w:after="120" w:afterLines="50"/>
              <w:jc w:val="center"/>
              <w:rPr>
                <w:rFonts w:ascii="宋体" w:hAnsi="宋体" w:cs="宋体"/>
                <w:sz w:val="24"/>
                <w:szCs w:val="20"/>
              </w:rPr>
            </w:pPr>
          </w:p>
        </w:tc>
        <w:tc>
          <w:tcPr>
            <w:tcW w:w="1701" w:type="dxa"/>
            <w:vAlign w:val="center"/>
          </w:tcPr>
          <w:p w14:paraId="7E1E344F">
            <w:pPr>
              <w:snapToGrid w:val="0"/>
              <w:spacing w:before="50" w:after="120" w:afterLines="50"/>
              <w:jc w:val="center"/>
              <w:rPr>
                <w:rFonts w:ascii="宋体" w:hAnsi="宋体" w:cs="宋体"/>
                <w:sz w:val="24"/>
                <w:szCs w:val="20"/>
              </w:rPr>
            </w:pPr>
          </w:p>
        </w:tc>
        <w:tc>
          <w:tcPr>
            <w:tcW w:w="1420" w:type="dxa"/>
            <w:vAlign w:val="center"/>
          </w:tcPr>
          <w:p w14:paraId="18C33333">
            <w:pPr>
              <w:snapToGrid w:val="0"/>
              <w:spacing w:before="50" w:after="120" w:afterLines="50"/>
              <w:jc w:val="center"/>
              <w:rPr>
                <w:rFonts w:ascii="宋体" w:hAnsi="宋体" w:cs="宋体"/>
                <w:sz w:val="24"/>
                <w:szCs w:val="20"/>
              </w:rPr>
            </w:pPr>
          </w:p>
        </w:tc>
        <w:tc>
          <w:tcPr>
            <w:tcW w:w="1698" w:type="dxa"/>
            <w:vAlign w:val="center"/>
          </w:tcPr>
          <w:p w14:paraId="336A0FB7">
            <w:pPr>
              <w:snapToGrid w:val="0"/>
              <w:spacing w:before="50" w:after="120" w:afterLines="50"/>
              <w:jc w:val="center"/>
              <w:rPr>
                <w:rFonts w:ascii="宋体" w:hAnsi="宋体" w:cs="宋体"/>
                <w:sz w:val="24"/>
                <w:szCs w:val="20"/>
              </w:rPr>
            </w:pPr>
          </w:p>
        </w:tc>
        <w:tc>
          <w:tcPr>
            <w:tcW w:w="1843" w:type="dxa"/>
            <w:vAlign w:val="center"/>
          </w:tcPr>
          <w:p w14:paraId="3FEB4F5B">
            <w:pPr>
              <w:snapToGrid w:val="0"/>
              <w:spacing w:before="50" w:after="120" w:afterLines="50"/>
              <w:jc w:val="center"/>
              <w:rPr>
                <w:rFonts w:ascii="宋体" w:hAnsi="宋体" w:cs="宋体"/>
                <w:sz w:val="24"/>
                <w:szCs w:val="20"/>
              </w:rPr>
            </w:pPr>
          </w:p>
        </w:tc>
      </w:tr>
      <w:tr w14:paraId="67DD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4CA0A09">
            <w:pPr>
              <w:snapToGrid w:val="0"/>
              <w:spacing w:before="50" w:after="120" w:afterLines="50"/>
              <w:jc w:val="center"/>
              <w:rPr>
                <w:rFonts w:ascii="宋体" w:hAnsi="宋体" w:cs="宋体"/>
                <w:sz w:val="24"/>
                <w:szCs w:val="20"/>
              </w:rPr>
            </w:pPr>
          </w:p>
        </w:tc>
        <w:tc>
          <w:tcPr>
            <w:tcW w:w="709" w:type="dxa"/>
            <w:vAlign w:val="center"/>
          </w:tcPr>
          <w:p w14:paraId="2857D320">
            <w:pPr>
              <w:snapToGrid w:val="0"/>
              <w:spacing w:before="50" w:after="120" w:afterLines="50"/>
              <w:jc w:val="center"/>
              <w:rPr>
                <w:rFonts w:ascii="宋体" w:hAnsi="宋体" w:cs="宋体"/>
                <w:sz w:val="24"/>
                <w:szCs w:val="20"/>
              </w:rPr>
            </w:pPr>
          </w:p>
        </w:tc>
        <w:tc>
          <w:tcPr>
            <w:tcW w:w="1701" w:type="dxa"/>
            <w:vAlign w:val="center"/>
          </w:tcPr>
          <w:p w14:paraId="22DF52CC">
            <w:pPr>
              <w:snapToGrid w:val="0"/>
              <w:spacing w:before="50" w:after="120" w:afterLines="50"/>
              <w:jc w:val="center"/>
              <w:rPr>
                <w:rFonts w:ascii="宋体" w:hAnsi="宋体" w:cs="宋体"/>
                <w:sz w:val="24"/>
                <w:szCs w:val="20"/>
              </w:rPr>
            </w:pPr>
          </w:p>
        </w:tc>
        <w:tc>
          <w:tcPr>
            <w:tcW w:w="1420" w:type="dxa"/>
            <w:vAlign w:val="center"/>
          </w:tcPr>
          <w:p w14:paraId="15540B4C">
            <w:pPr>
              <w:snapToGrid w:val="0"/>
              <w:spacing w:before="50" w:after="120" w:afterLines="50"/>
              <w:jc w:val="center"/>
              <w:rPr>
                <w:rFonts w:ascii="宋体" w:hAnsi="宋体" w:cs="宋体"/>
                <w:sz w:val="24"/>
                <w:szCs w:val="20"/>
              </w:rPr>
            </w:pPr>
          </w:p>
        </w:tc>
        <w:tc>
          <w:tcPr>
            <w:tcW w:w="1698" w:type="dxa"/>
            <w:vAlign w:val="center"/>
          </w:tcPr>
          <w:p w14:paraId="4D218E4F">
            <w:pPr>
              <w:snapToGrid w:val="0"/>
              <w:spacing w:before="50" w:after="120" w:afterLines="50"/>
              <w:jc w:val="center"/>
              <w:rPr>
                <w:rFonts w:ascii="宋体" w:hAnsi="宋体" w:cs="宋体"/>
                <w:sz w:val="24"/>
                <w:szCs w:val="20"/>
              </w:rPr>
            </w:pPr>
          </w:p>
        </w:tc>
        <w:tc>
          <w:tcPr>
            <w:tcW w:w="1843" w:type="dxa"/>
            <w:vAlign w:val="center"/>
          </w:tcPr>
          <w:p w14:paraId="2CD456B1">
            <w:pPr>
              <w:snapToGrid w:val="0"/>
              <w:spacing w:before="50" w:after="120" w:afterLines="50"/>
              <w:jc w:val="center"/>
              <w:rPr>
                <w:rFonts w:ascii="宋体" w:hAnsi="宋体" w:cs="宋体"/>
                <w:sz w:val="24"/>
                <w:szCs w:val="20"/>
              </w:rPr>
            </w:pPr>
          </w:p>
        </w:tc>
      </w:tr>
    </w:tbl>
    <w:p w14:paraId="0784BCEA">
      <w:pPr>
        <w:snapToGrid w:val="0"/>
        <w:spacing w:before="50" w:after="120" w:afterLines="50"/>
        <w:jc w:val="left"/>
        <w:rPr>
          <w:rFonts w:ascii="宋体" w:hAnsi="宋体" w:cs="宋体"/>
          <w:sz w:val="24"/>
          <w:szCs w:val="20"/>
        </w:rPr>
      </w:pPr>
    </w:p>
    <w:p w14:paraId="516A14FD">
      <w:pPr>
        <w:spacing w:line="360" w:lineRule="auto"/>
        <w:contextualSpacing/>
        <w:jc w:val="left"/>
        <w:rPr>
          <w:rFonts w:ascii="楷体" w:hAnsi="楷体" w:eastAsia="楷体" w:cs="宋体"/>
          <w:sz w:val="24"/>
          <w:szCs w:val="20"/>
        </w:rPr>
      </w:pPr>
      <w:r>
        <w:rPr>
          <w:rFonts w:hint="eastAsia" w:ascii="楷体" w:hAnsi="楷体" w:eastAsia="楷体" w:cs="宋体"/>
          <w:sz w:val="24"/>
          <w:szCs w:val="20"/>
        </w:rPr>
        <w:t>注：</w:t>
      </w:r>
    </w:p>
    <w:p w14:paraId="4B0A43FE">
      <w:pPr>
        <w:spacing w:line="360" w:lineRule="auto"/>
        <w:ind w:firstLine="480" w:firstLineChars="200"/>
        <w:contextualSpacing/>
        <w:jc w:val="left"/>
        <w:rPr>
          <w:rFonts w:ascii="楷体" w:hAnsi="楷体" w:eastAsia="楷体" w:cs="宋体"/>
          <w:sz w:val="24"/>
          <w:szCs w:val="20"/>
        </w:rPr>
      </w:pPr>
      <w:r>
        <w:rPr>
          <w:rFonts w:ascii="楷体" w:hAnsi="楷体" w:eastAsia="楷体" w:cs="宋体"/>
          <w:sz w:val="24"/>
          <w:szCs w:val="20"/>
        </w:rPr>
        <w:t>1.在填写时，如本表格不适合投标单位的实际情况，可根据本表格式自行制表填写。</w:t>
      </w:r>
    </w:p>
    <w:p w14:paraId="10F2D99C">
      <w:pPr>
        <w:spacing w:line="360" w:lineRule="auto"/>
        <w:ind w:firstLine="480" w:firstLineChars="200"/>
        <w:contextualSpacing/>
        <w:jc w:val="left"/>
        <w:rPr>
          <w:rFonts w:ascii="楷体" w:hAnsi="楷体" w:eastAsia="楷体" w:cs="宋体"/>
          <w:sz w:val="24"/>
          <w:szCs w:val="20"/>
        </w:rPr>
      </w:pPr>
      <w:r>
        <w:rPr>
          <w:rFonts w:ascii="楷体" w:hAnsi="楷体" w:eastAsia="楷体" w:cs="宋体"/>
          <w:sz w:val="24"/>
          <w:szCs w:val="20"/>
        </w:rPr>
        <w:t>2.投标人应当附本表所</w:t>
      </w:r>
      <w:r>
        <w:rPr>
          <w:rFonts w:hint="eastAsia" w:ascii="楷体" w:hAnsi="楷体" w:eastAsia="楷体" w:cs="宋体"/>
          <w:sz w:val="24"/>
          <w:szCs w:val="20"/>
        </w:rPr>
        <w:t>列证书的复印件并加盖投标人公章。</w:t>
      </w:r>
    </w:p>
    <w:p w14:paraId="5826EEF0">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0FD14F49">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投标人（公章）：</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261DA925">
      <w:pPr>
        <w:snapToGrid w:val="0"/>
        <w:spacing w:before="120" w:beforeLines="50"/>
        <w:ind w:firstLine="3360" w:firstLineChars="1400"/>
        <w:rPr>
          <w:rFonts w:cs="宋体" w:asciiTheme="minorEastAsia" w:hAnsiTheme="minorEastAsia" w:eastAsiaTheme="minorEastAsia"/>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30CBFDDE">
      <w:pPr>
        <w:snapToGrid w:val="0"/>
        <w:spacing w:before="50" w:after="120" w:afterLines="50"/>
        <w:jc w:val="left"/>
        <w:rPr>
          <w:rFonts w:ascii="宋体" w:hAnsi="宋体" w:cs="宋体"/>
          <w:sz w:val="24"/>
          <w:szCs w:val="20"/>
        </w:rPr>
      </w:pPr>
    </w:p>
    <w:p w14:paraId="781BADBC">
      <w:pPr>
        <w:snapToGrid w:val="0"/>
        <w:spacing w:before="120" w:beforeLines="50" w:after="50"/>
        <w:ind w:left="142"/>
        <w:jc w:val="left"/>
        <w:rPr>
          <w:rFonts w:ascii="宋体" w:hAnsi="宋体" w:cs="宋体"/>
          <w:b/>
          <w:sz w:val="24"/>
        </w:rPr>
      </w:pPr>
      <w:r>
        <w:rPr>
          <w:rFonts w:hint="eastAsia" w:ascii="宋体" w:hAnsi="宋体" w:cs="宋体"/>
          <w:b/>
          <w:sz w:val="24"/>
        </w:rPr>
        <w:br w:type="page"/>
      </w:r>
      <w:r>
        <w:rPr>
          <w:rFonts w:hint="eastAsia" w:ascii="宋体" w:hAnsi="宋体" w:cs="宋体"/>
          <w:b/>
          <w:sz w:val="24"/>
        </w:rPr>
        <w:t>6. 选配件、专用耗材、售后服务优惠表格式（注：按项目需求表具体项目修改）</w:t>
      </w:r>
    </w:p>
    <w:p w14:paraId="1DDE9358">
      <w:pPr>
        <w:snapToGrid w:val="0"/>
        <w:spacing w:before="120" w:beforeLines="50" w:after="50"/>
        <w:ind w:left="142"/>
        <w:jc w:val="left"/>
        <w:rPr>
          <w:rFonts w:ascii="宋体" w:hAnsi="宋体" w:cs="宋体"/>
          <w:b/>
          <w:sz w:val="24"/>
        </w:rPr>
      </w:pPr>
    </w:p>
    <w:p w14:paraId="37EE8FDC">
      <w:pPr>
        <w:snapToGrid w:val="0"/>
        <w:spacing w:before="120" w:beforeLines="50" w:after="50"/>
        <w:ind w:left="142"/>
        <w:jc w:val="center"/>
        <w:rPr>
          <w:rFonts w:ascii="宋体" w:hAnsi="宋体" w:cs="宋体"/>
          <w:b/>
          <w:sz w:val="32"/>
          <w:szCs w:val="32"/>
        </w:rPr>
      </w:pPr>
      <w:r>
        <w:rPr>
          <w:rFonts w:hint="eastAsia" w:ascii="宋体" w:hAnsi="宋体" w:cs="宋体"/>
          <w:b/>
          <w:sz w:val="32"/>
          <w:szCs w:val="32"/>
        </w:rPr>
        <w:t>选配件、专用耗材、售后服务优惠表</w:t>
      </w:r>
    </w:p>
    <w:p w14:paraId="23D6BBF0">
      <w:pPr>
        <w:pStyle w:val="2"/>
      </w:pPr>
    </w:p>
    <w:p w14:paraId="4E22B902">
      <w:pPr>
        <w:snapToGrid w:val="0"/>
        <w:spacing w:before="50" w:after="50" w:line="360" w:lineRule="auto"/>
        <w:rPr>
          <w:rFonts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分标：</w:t>
      </w:r>
      <w:r>
        <w:rPr>
          <w:rFonts w:hint="eastAsia" w:ascii="宋体" w:hAnsi="宋体" w:cs="宋体"/>
          <w:sz w:val="24"/>
          <w:u w:val="single"/>
        </w:rPr>
        <w:t xml:space="preserve">  </w:t>
      </w:r>
    </w:p>
    <w:p w14:paraId="5698D151">
      <w:pPr>
        <w:pStyle w:val="26"/>
        <w:rPr>
          <w:rFonts w:hAnsi="宋体" w:cs="宋体"/>
          <w:sz w:val="24"/>
        </w:rPr>
      </w:pPr>
      <w:r>
        <w:rPr>
          <w:rFonts w:hint="eastAsia" w:hAnsi="宋体" w:cs="宋体"/>
          <w:sz w:val="24"/>
        </w:rPr>
        <w:t>投标人名称：</w:t>
      </w:r>
      <w:r>
        <w:rPr>
          <w:rFonts w:hint="eastAsia" w:hAnsi="宋体" w:cs="宋体"/>
          <w:sz w:val="24"/>
          <w:u w:val="single"/>
        </w:rPr>
        <w:t xml:space="preserve">                     </w:t>
      </w:r>
      <w:r>
        <w:rPr>
          <w:rFonts w:hint="eastAsia" w:hAnsi="宋体" w:cs="宋体"/>
          <w:sz w:val="24"/>
        </w:rPr>
        <w:t xml:space="preserve">                      </w:t>
      </w:r>
    </w:p>
    <w:p w14:paraId="079C1D16">
      <w:pPr>
        <w:pStyle w:val="6"/>
      </w:pPr>
    </w:p>
    <w:tbl>
      <w:tblPr>
        <w:tblStyle w:val="48"/>
        <w:tblW w:w="865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35"/>
        <w:gridCol w:w="2700"/>
        <w:gridCol w:w="1440"/>
        <w:gridCol w:w="1440"/>
        <w:gridCol w:w="2340"/>
      </w:tblGrid>
      <w:tr w14:paraId="5FCDA2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01" w:hRule="atLeast"/>
        </w:trPr>
        <w:tc>
          <w:tcPr>
            <w:tcW w:w="7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AC91C8">
            <w:pPr>
              <w:pStyle w:val="26"/>
              <w:snapToGrid w:val="0"/>
              <w:spacing w:before="295" w:after="295"/>
              <w:jc w:val="center"/>
              <w:rPr>
                <w:rFonts w:hAnsi="宋体" w:cs="宋体"/>
                <w:kern w:val="2"/>
                <w:sz w:val="24"/>
                <w:szCs w:val="24"/>
              </w:rPr>
            </w:pPr>
            <w:r>
              <w:rPr>
                <w:rFonts w:hint="eastAsia" w:hAnsi="宋体" w:cs="宋体"/>
                <w:kern w:val="2"/>
                <w:sz w:val="24"/>
                <w:szCs w:val="24"/>
              </w:rPr>
              <w:t>序号</w:t>
            </w:r>
          </w:p>
        </w:tc>
        <w:tc>
          <w:tcPr>
            <w:tcW w:w="2700" w:type="dxa"/>
            <w:tcBorders>
              <w:top w:val="single" w:color="auto" w:sz="4" w:space="0"/>
              <w:left w:val="single" w:color="auto" w:sz="4" w:space="0"/>
              <w:bottom w:val="single" w:color="auto" w:sz="2" w:space="0"/>
              <w:right w:val="single" w:color="auto" w:sz="4" w:space="0"/>
            </w:tcBorders>
            <w:vAlign w:val="center"/>
          </w:tcPr>
          <w:p w14:paraId="7FCFBDC3">
            <w:pPr>
              <w:pStyle w:val="26"/>
              <w:snapToGrid w:val="0"/>
              <w:spacing w:before="295" w:after="295"/>
              <w:jc w:val="center"/>
              <w:rPr>
                <w:rFonts w:hAnsi="宋体" w:cs="宋体"/>
                <w:kern w:val="2"/>
                <w:sz w:val="24"/>
                <w:szCs w:val="24"/>
              </w:rPr>
            </w:pPr>
            <w:r>
              <w:rPr>
                <w:rFonts w:hint="eastAsia" w:hAnsi="宋体" w:cs="宋体"/>
                <w:kern w:val="2"/>
                <w:sz w:val="24"/>
                <w:szCs w:val="24"/>
              </w:rPr>
              <w:t>优惠内容</w:t>
            </w:r>
          </w:p>
        </w:tc>
        <w:tc>
          <w:tcPr>
            <w:tcW w:w="1440" w:type="dxa"/>
            <w:tcBorders>
              <w:top w:val="single" w:color="auto" w:sz="4" w:space="0"/>
              <w:left w:val="single" w:color="auto" w:sz="4" w:space="0"/>
              <w:bottom w:val="single" w:color="auto" w:sz="2" w:space="0"/>
              <w:right w:val="single" w:color="auto" w:sz="4" w:space="0"/>
            </w:tcBorders>
            <w:vAlign w:val="center"/>
          </w:tcPr>
          <w:p w14:paraId="6ABF7CC9">
            <w:pPr>
              <w:pStyle w:val="26"/>
              <w:snapToGrid w:val="0"/>
              <w:spacing w:before="295" w:after="295"/>
              <w:jc w:val="center"/>
              <w:rPr>
                <w:rFonts w:hAnsi="宋体" w:cs="宋体"/>
                <w:kern w:val="2"/>
                <w:sz w:val="24"/>
                <w:szCs w:val="24"/>
              </w:rPr>
            </w:pPr>
            <w:r>
              <w:rPr>
                <w:rFonts w:hint="eastAsia" w:hAnsi="宋体" w:cs="宋体"/>
                <w:kern w:val="2"/>
                <w:sz w:val="24"/>
                <w:szCs w:val="24"/>
              </w:rPr>
              <w:t>适用机型</w:t>
            </w:r>
          </w:p>
        </w:tc>
        <w:tc>
          <w:tcPr>
            <w:tcW w:w="1440" w:type="dxa"/>
            <w:tcBorders>
              <w:top w:val="single" w:color="auto" w:sz="4" w:space="0"/>
              <w:left w:val="single" w:color="auto" w:sz="4" w:space="0"/>
              <w:bottom w:val="single" w:color="auto" w:sz="2" w:space="0"/>
              <w:right w:val="single" w:color="auto" w:sz="4" w:space="0"/>
            </w:tcBorders>
            <w:tcMar>
              <w:top w:w="15" w:type="dxa"/>
              <w:left w:w="15" w:type="dxa"/>
              <w:bottom w:w="0" w:type="dxa"/>
              <w:right w:w="15" w:type="dxa"/>
            </w:tcMar>
            <w:vAlign w:val="center"/>
          </w:tcPr>
          <w:p w14:paraId="18D4B575">
            <w:pPr>
              <w:pStyle w:val="26"/>
              <w:snapToGrid w:val="0"/>
              <w:spacing w:before="295" w:after="295"/>
              <w:jc w:val="center"/>
              <w:rPr>
                <w:rFonts w:hAnsi="宋体" w:cs="宋体"/>
                <w:kern w:val="2"/>
                <w:sz w:val="24"/>
                <w:szCs w:val="24"/>
              </w:rPr>
            </w:pPr>
            <w:r>
              <w:rPr>
                <w:rFonts w:hint="eastAsia" w:hAnsi="宋体" w:cs="宋体"/>
                <w:kern w:val="2"/>
                <w:sz w:val="24"/>
                <w:szCs w:val="24"/>
              </w:rPr>
              <w:t>单价（人民币元）</w:t>
            </w:r>
          </w:p>
        </w:tc>
        <w:tc>
          <w:tcPr>
            <w:tcW w:w="2340" w:type="dxa"/>
            <w:tcBorders>
              <w:top w:val="single" w:color="auto" w:sz="4" w:space="0"/>
              <w:left w:val="single" w:color="auto" w:sz="4" w:space="0"/>
              <w:bottom w:val="single" w:color="auto" w:sz="2" w:space="0"/>
              <w:right w:val="single" w:color="auto" w:sz="4" w:space="0"/>
            </w:tcBorders>
            <w:vAlign w:val="center"/>
          </w:tcPr>
          <w:p w14:paraId="05DFF92B">
            <w:pPr>
              <w:pStyle w:val="26"/>
              <w:snapToGrid w:val="0"/>
              <w:spacing w:before="295" w:after="295"/>
              <w:jc w:val="center"/>
              <w:rPr>
                <w:rFonts w:hAnsi="宋体" w:cs="宋体"/>
                <w:kern w:val="2"/>
                <w:sz w:val="24"/>
                <w:szCs w:val="24"/>
              </w:rPr>
            </w:pPr>
            <w:r>
              <w:rPr>
                <w:rFonts w:hint="eastAsia" w:hAnsi="宋体" w:cs="宋体"/>
                <w:kern w:val="2"/>
                <w:sz w:val="24"/>
                <w:szCs w:val="24"/>
              </w:rPr>
              <w:t>比市场价优惠率</w:t>
            </w:r>
          </w:p>
        </w:tc>
      </w:tr>
      <w:tr w14:paraId="5DCEA6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84"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183D84FE">
            <w:pPr>
              <w:pStyle w:val="26"/>
              <w:snapToGrid w:val="0"/>
              <w:spacing w:before="295" w:after="295"/>
              <w:jc w:val="center"/>
              <w:rPr>
                <w:rFonts w:hAnsi="宋体" w:cs="宋体"/>
                <w:kern w:val="2"/>
                <w:sz w:val="24"/>
                <w:szCs w:val="24"/>
              </w:rPr>
            </w:pPr>
            <w:r>
              <w:rPr>
                <w:rFonts w:hint="eastAsia" w:hAnsi="宋体" w:cs="宋体"/>
                <w:kern w:val="2"/>
                <w:sz w:val="24"/>
                <w:szCs w:val="24"/>
              </w:rPr>
              <w:t>1</w:t>
            </w:r>
          </w:p>
        </w:tc>
        <w:tc>
          <w:tcPr>
            <w:tcW w:w="2700" w:type="dxa"/>
            <w:tcBorders>
              <w:top w:val="single" w:color="auto" w:sz="2" w:space="0"/>
              <w:left w:val="single" w:color="auto" w:sz="2" w:space="0"/>
              <w:bottom w:val="single" w:color="auto" w:sz="6" w:space="0"/>
              <w:right w:val="single" w:color="auto" w:sz="4" w:space="0"/>
            </w:tcBorders>
            <w:vAlign w:val="center"/>
          </w:tcPr>
          <w:p w14:paraId="2C5AE5CA">
            <w:pPr>
              <w:pStyle w:val="26"/>
              <w:snapToGrid w:val="0"/>
              <w:spacing w:before="295" w:after="295"/>
              <w:jc w:val="center"/>
              <w:rPr>
                <w:rFonts w:hAnsi="宋体" w:cs="宋体"/>
                <w:kern w:val="2"/>
                <w:sz w:val="24"/>
                <w:szCs w:val="24"/>
              </w:rPr>
            </w:pPr>
          </w:p>
        </w:tc>
        <w:tc>
          <w:tcPr>
            <w:tcW w:w="1440" w:type="dxa"/>
            <w:tcBorders>
              <w:top w:val="single" w:color="auto" w:sz="2" w:space="0"/>
              <w:left w:val="single" w:color="auto" w:sz="4" w:space="0"/>
              <w:bottom w:val="single" w:color="auto" w:sz="6" w:space="0"/>
              <w:right w:val="single" w:color="auto" w:sz="6" w:space="0"/>
            </w:tcBorders>
            <w:vAlign w:val="center"/>
          </w:tcPr>
          <w:p w14:paraId="56CF0CDE">
            <w:pPr>
              <w:pStyle w:val="26"/>
              <w:snapToGrid w:val="0"/>
              <w:spacing w:before="295" w:after="295"/>
              <w:jc w:val="center"/>
              <w:rPr>
                <w:rFonts w:hAnsi="宋体" w:cs="宋体"/>
                <w:kern w:val="2"/>
                <w:sz w:val="24"/>
                <w:szCs w:val="24"/>
              </w:rPr>
            </w:pPr>
          </w:p>
        </w:tc>
        <w:tc>
          <w:tcPr>
            <w:tcW w:w="1440" w:type="dxa"/>
            <w:tcBorders>
              <w:top w:val="single" w:color="auto" w:sz="2" w:space="0"/>
              <w:left w:val="single" w:color="auto" w:sz="6" w:space="0"/>
              <w:bottom w:val="single" w:color="auto" w:sz="6" w:space="0"/>
              <w:right w:val="single" w:color="auto" w:sz="6" w:space="0"/>
            </w:tcBorders>
            <w:tcMar>
              <w:top w:w="15" w:type="dxa"/>
              <w:left w:w="15" w:type="dxa"/>
              <w:bottom w:w="0" w:type="dxa"/>
              <w:right w:w="15" w:type="dxa"/>
            </w:tcMar>
            <w:vAlign w:val="center"/>
          </w:tcPr>
          <w:p w14:paraId="564A023D">
            <w:pPr>
              <w:pStyle w:val="26"/>
              <w:snapToGrid w:val="0"/>
              <w:spacing w:before="295" w:after="295"/>
              <w:jc w:val="center"/>
              <w:rPr>
                <w:rFonts w:hAnsi="宋体" w:cs="宋体"/>
                <w:kern w:val="2"/>
                <w:sz w:val="24"/>
                <w:szCs w:val="24"/>
              </w:rPr>
            </w:pPr>
          </w:p>
        </w:tc>
        <w:tc>
          <w:tcPr>
            <w:tcW w:w="2340" w:type="dxa"/>
            <w:tcBorders>
              <w:top w:val="single" w:color="auto" w:sz="2" w:space="0"/>
              <w:left w:val="single" w:color="auto" w:sz="6" w:space="0"/>
              <w:bottom w:val="single" w:color="auto" w:sz="6" w:space="0"/>
              <w:right w:val="single" w:color="auto" w:sz="2" w:space="0"/>
            </w:tcBorders>
            <w:vAlign w:val="center"/>
          </w:tcPr>
          <w:p w14:paraId="30200147">
            <w:pPr>
              <w:pStyle w:val="26"/>
              <w:snapToGrid w:val="0"/>
              <w:spacing w:before="295" w:after="295"/>
              <w:jc w:val="center"/>
              <w:rPr>
                <w:rFonts w:hAnsi="宋体" w:cs="宋体"/>
                <w:kern w:val="2"/>
                <w:sz w:val="24"/>
                <w:szCs w:val="24"/>
              </w:rPr>
            </w:pPr>
            <w:r>
              <w:rPr>
                <w:rFonts w:hint="eastAsia" w:hAnsi="宋体" w:cs="宋体"/>
                <w:kern w:val="2"/>
                <w:sz w:val="24"/>
                <w:szCs w:val="24"/>
              </w:rPr>
              <w:t xml:space="preserve"> </w:t>
            </w:r>
            <w:r>
              <w:rPr>
                <w:rFonts w:hint="eastAsia" w:hAnsi="宋体" w:cs="宋体"/>
                <w:kern w:val="2"/>
                <w:sz w:val="24"/>
                <w:szCs w:val="24"/>
                <w:u w:val="single"/>
              </w:rPr>
              <w:t xml:space="preserve">           </w:t>
            </w:r>
            <w:r>
              <w:rPr>
                <w:rFonts w:hint="eastAsia" w:hAnsi="宋体" w:cs="宋体"/>
                <w:kern w:val="2"/>
                <w:sz w:val="24"/>
                <w:szCs w:val="24"/>
              </w:rPr>
              <w:t>%</w:t>
            </w:r>
          </w:p>
        </w:tc>
      </w:tr>
      <w:tr w14:paraId="4F513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84"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196981AD">
            <w:pPr>
              <w:pStyle w:val="26"/>
              <w:snapToGrid w:val="0"/>
              <w:spacing w:before="295" w:after="295"/>
              <w:jc w:val="center"/>
              <w:rPr>
                <w:rFonts w:hAnsi="宋体" w:cs="宋体"/>
                <w:kern w:val="2"/>
                <w:sz w:val="24"/>
                <w:szCs w:val="24"/>
              </w:rPr>
            </w:pPr>
            <w:r>
              <w:rPr>
                <w:rFonts w:hint="eastAsia" w:hAnsi="宋体" w:cs="宋体"/>
                <w:kern w:val="2"/>
                <w:sz w:val="24"/>
                <w:szCs w:val="24"/>
              </w:rPr>
              <w:t>2</w:t>
            </w:r>
          </w:p>
        </w:tc>
        <w:tc>
          <w:tcPr>
            <w:tcW w:w="2700" w:type="dxa"/>
            <w:tcBorders>
              <w:top w:val="single" w:color="auto" w:sz="6" w:space="0"/>
              <w:left w:val="single" w:color="auto" w:sz="2" w:space="0"/>
              <w:bottom w:val="single" w:color="auto" w:sz="6" w:space="0"/>
              <w:right w:val="single" w:color="auto" w:sz="4" w:space="0"/>
            </w:tcBorders>
            <w:vAlign w:val="center"/>
          </w:tcPr>
          <w:p w14:paraId="7FE2FC62">
            <w:pPr>
              <w:pStyle w:val="26"/>
              <w:snapToGrid w:val="0"/>
              <w:spacing w:before="295" w:after="295"/>
              <w:jc w:val="center"/>
              <w:rPr>
                <w:rFonts w:hAnsi="宋体" w:cs="宋体"/>
                <w:kern w:val="2"/>
                <w:sz w:val="24"/>
                <w:szCs w:val="24"/>
              </w:rPr>
            </w:pPr>
          </w:p>
        </w:tc>
        <w:tc>
          <w:tcPr>
            <w:tcW w:w="1440" w:type="dxa"/>
            <w:tcBorders>
              <w:top w:val="single" w:color="auto" w:sz="6" w:space="0"/>
              <w:left w:val="single" w:color="auto" w:sz="4" w:space="0"/>
              <w:bottom w:val="single" w:color="auto" w:sz="6" w:space="0"/>
              <w:right w:val="single" w:color="auto" w:sz="6" w:space="0"/>
            </w:tcBorders>
            <w:vAlign w:val="center"/>
          </w:tcPr>
          <w:p w14:paraId="579AC307">
            <w:pPr>
              <w:pStyle w:val="26"/>
              <w:snapToGrid w:val="0"/>
              <w:spacing w:before="295" w:after="295"/>
              <w:jc w:val="center"/>
              <w:rPr>
                <w:rFonts w:hAnsi="宋体" w:cs="宋体"/>
                <w:kern w:val="2"/>
                <w:sz w:val="24"/>
                <w:szCs w:val="24"/>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14:paraId="12546FDA">
            <w:pPr>
              <w:pStyle w:val="26"/>
              <w:snapToGrid w:val="0"/>
              <w:spacing w:before="295" w:after="295"/>
              <w:jc w:val="center"/>
              <w:rPr>
                <w:rFonts w:hAnsi="宋体" w:cs="宋体"/>
                <w:kern w:val="2"/>
                <w:sz w:val="24"/>
                <w:szCs w:val="24"/>
              </w:rPr>
            </w:pPr>
          </w:p>
        </w:tc>
        <w:tc>
          <w:tcPr>
            <w:tcW w:w="2340" w:type="dxa"/>
            <w:tcBorders>
              <w:top w:val="single" w:color="auto" w:sz="6" w:space="0"/>
              <w:left w:val="single" w:color="auto" w:sz="6" w:space="0"/>
              <w:bottom w:val="single" w:color="auto" w:sz="6" w:space="0"/>
              <w:right w:val="single" w:color="auto" w:sz="2" w:space="0"/>
            </w:tcBorders>
            <w:vAlign w:val="center"/>
          </w:tcPr>
          <w:p w14:paraId="44C58B80">
            <w:pPr>
              <w:pStyle w:val="26"/>
              <w:snapToGrid w:val="0"/>
              <w:spacing w:before="295" w:after="295"/>
              <w:jc w:val="center"/>
              <w:rPr>
                <w:rFonts w:hAnsi="宋体" w:cs="宋体"/>
                <w:kern w:val="2"/>
                <w:sz w:val="24"/>
                <w:szCs w:val="24"/>
              </w:rPr>
            </w:pPr>
            <w:r>
              <w:rPr>
                <w:rFonts w:hint="eastAsia" w:hAnsi="宋体" w:cs="宋体"/>
                <w:kern w:val="2"/>
                <w:sz w:val="24"/>
                <w:szCs w:val="24"/>
              </w:rPr>
              <w:t xml:space="preserve"> </w:t>
            </w:r>
            <w:r>
              <w:rPr>
                <w:rFonts w:hint="eastAsia" w:hAnsi="宋体" w:cs="宋体"/>
                <w:kern w:val="2"/>
                <w:sz w:val="24"/>
                <w:szCs w:val="24"/>
                <w:u w:val="single"/>
              </w:rPr>
              <w:t xml:space="preserve">           </w:t>
            </w:r>
            <w:r>
              <w:rPr>
                <w:rFonts w:hint="eastAsia" w:hAnsi="宋体" w:cs="宋体"/>
                <w:kern w:val="2"/>
                <w:sz w:val="24"/>
                <w:szCs w:val="24"/>
              </w:rPr>
              <w:t>%</w:t>
            </w:r>
          </w:p>
        </w:tc>
      </w:tr>
      <w:tr w14:paraId="02A095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84" w:hRule="atLeast"/>
        </w:trPr>
        <w:tc>
          <w:tcPr>
            <w:tcW w:w="735" w:type="dxa"/>
            <w:tcBorders>
              <w:top w:val="single" w:color="auto" w:sz="4" w:space="0"/>
              <w:left w:val="single" w:color="auto" w:sz="4" w:space="0"/>
              <w:bottom w:val="single" w:color="auto" w:sz="4" w:space="0"/>
              <w:right w:val="single" w:color="auto" w:sz="2" w:space="0"/>
            </w:tcBorders>
            <w:tcMar>
              <w:top w:w="15" w:type="dxa"/>
              <w:left w:w="15" w:type="dxa"/>
              <w:bottom w:w="0" w:type="dxa"/>
              <w:right w:w="15" w:type="dxa"/>
            </w:tcMar>
            <w:vAlign w:val="center"/>
          </w:tcPr>
          <w:p w14:paraId="7763618A">
            <w:pPr>
              <w:pStyle w:val="26"/>
              <w:snapToGrid w:val="0"/>
              <w:spacing w:before="295" w:after="295"/>
              <w:jc w:val="center"/>
              <w:rPr>
                <w:rFonts w:hAnsi="宋体" w:cs="宋体"/>
                <w:kern w:val="2"/>
                <w:sz w:val="24"/>
                <w:szCs w:val="24"/>
              </w:rPr>
            </w:pPr>
            <w:r>
              <w:rPr>
                <w:rFonts w:hint="eastAsia" w:hAnsi="宋体" w:cs="宋体"/>
                <w:kern w:val="2"/>
                <w:sz w:val="24"/>
                <w:szCs w:val="24"/>
              </w:rPr>
              <w:t>3</w:t>
            </w:r>
          </w:p>
        </w:tc>
        <w:tc>
          <w:tcPr>
            <w:tcW w:w="2700" w:type="dxa"/>
            <w:tcBorders>
              <w:top w:val="single" w:color="auto" w:sz="6" w:space="0"/>
              <w:left w:val="single" w:color="auto" w:sz="2" w:space="0"/>
              <w:bottom w:val="single" w:color="auto" w:sz="6" w:space="0"/>
              <w:right w:val="single" w:color="auto" w:sz="4" w:space="0"/>
            </w:tcBorders>
            <w:vAlign w:val="center"/>
          </w:tcPr>
          <w:p w14:paraId="46E70EDB">
            <w:pPr>
              <w:pStyle w:val="26"/>
              <w:snapToGrid w:val="0"/>
              <w:spacing w:before="295" w:after="295"/>
              <w:jc w:val="center"/>
              <w:rPr>
                <w:rFonts w:hAnsi="宋体" w:cs="宋体"/>
                <w:kern w:val="2"/>
                <w:sz w:val="24"/>
                <w:szCs w:val="24"/>
              </w:rPr>
            </w:pPr>
          </w:p>
        </w:tc>
        <w:tc>
          <w:tcPr>
            <w:tcW w:w="1440" w:type="dxa"/>
            <w:tcBorders>
              <w:top w:val="single" w:color="auto" w:sz="6" w:space="0"/>
              <w:left w:val="single" w:color="auto" w:sz="4" w:space="0"/>
              <w:bottom w:val="single" w:color="auto" w:sz="6" w:space="0"/>
              <w:right w:val="single" w:color="auto" w:sz="6" w:space="0"/>
            </w:tcBorders>
            <w:vAlign w:val="center"/>
          </w:tcPr>
          <w:p w14:paraId="73E107C9">
            <w:pPr>
              <w:pStyle w:val="26"/>
              <w:snapToGrid w:val="0"/>
              <w:spacing w:before="295" w:after="295"/>
              <w:jc w:val="center"/>
              <w:rPr>
                <w:rFonts w:hAnsi="宋体" w:cs="宋体"/>
                <w:kern w:val="2"/>
                <w:sz w:val="24"/>
                <w:szCs w:val="24"/>
              </w:rPr>
            </w:pPr>
          </w:p>
        </w:tc>
        <w:tc>
          <w:tcPr>
            <w:tcW w:w="144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vAlign w:val="center"/>
          </w:tcPr>
          <w:p w14:paraId="12677F32">
            <w:pPr>
              <w:pStyle w:val="26"/>
              <w:snapToGrid w:val="0"/>
              <w:spacing w:before="295" w:after="295"/>
              <w:jc w:val="center"/>
              <w:rPr>
                <w:rFonts w:hAnsi="宋体" w:cs="宋体"/>
                <w:kern w:val="2"/>
                <w:sz w:val="24"/>
                <w:szCs w:val="24"/>
              </w:rPr>
            </w:pPr>
          </w:p>
        </w:tc>
        <w:tc>
          <w:tcPr>
            <w:tcW w:w="2340" w:type="dxa"/>
            <w:tcBorders>
              <w:top w:val="single" w:color="auto" w:sz="6" w:space="0"/>
              <w:left w:val="single" w:color="auto" w:sz="6" w:space="0"/>
              <w:bottom w:val="single" w:color="auto" w:sz="6" w:space="0"/>
              <w:right w:val="single" w:color="auto" w:sz="2" w:space="0"/>
            </w:tcBorders>
            <w:vAlign w:val="center"/>
          </w:tcPr>
          <w:p w14:paraId="0457E168">
            <w:pPr>
              <w:pStyle w:val="26"/>
              <w:snapToGrid w:val="0"/>
              <w:spacing w:before="295" w:after="295"/>
              <w:jc w:val="center"/>
              <w:rPr>
                <w:rFonts w:hAnsi="宋体" w:cs="宋体"/>
                <w:kern w:val="2"/>
                <w:sz w:val="24"/>
                <w:szCs w:val="24"/>
              </w:rPr>
            </w:pPr>
            <w:r>
              <w:rPr>
                <w:rFonts w:hint="eastAsia" w:hAnsi="宋体" w:cs="宋体"/>
                <w:kern w:val="2"/>
                <w:sz w:val="24"/>
                <w:szCs w:val="24"/>
              </w:rPr>
              <w:t xml:space="preserve"> </w:t>
            </w:r>
            <w:r>
              <w:rPr>
                <w:rFonts w:hint="eastAsia" w:hAnsi="宋体" w:cs="宋体"/>
                <w:kern w:val="2"/>
                <w:sz w:val="24"/>
                <w:szCs w:val="24"/>
                <w:u w:val="single"/>
              </w:rPr>
              <w:t xml:space="preserve">           </w:t>
            </w:r>
            <w:r>
              <w:rPr>
                <w:rFonts w:hint="eastAsia" w:hAnsi="宋体" w:cs="宋体"/>
                <w:kern w:val="2"/>
                <w:sz w:val="24"/>
                <w:szCs w:val="24"/>
              </w:rPr>
              <w:t>%</w:t>
            </w:r>
          </w:p>
        </w:tc>
      </w:tr>
    </w:tbl>
    <w:p w14:paraId="4F547CB6">
      <w:pPr>
        <w:spacing w:line="360" w:lineRule="auto"/>
        <w:contextualSpacing/>
        <w:rPr>
          <w:rFonts w:ascii="宋体" w:hAnsi="宋体" w:cs="宋体"/>
          <w:sz w:val="24"/>
        </w:rPr>
      </w:pPr>
    </w:p>
    <w:p w14:paraId="1E8521FD">
      <w:pPr>
        <w:snapToGrid w:val="0"/>
        <w:spacing w:before="50" w:after="50"/>
        <w:ind w:firstLine="3360" w:firstLineChars="1400"/>
        <w:rPr>
          <w:rFonts w:ascii="宋体" w:hAnsi="宋体" w:cs="宋体"/>
          <w:kern w:val="0"/>
          <w:sz w:val="24"/>
        </w:rPr>
      </w:pPr>
      <w:r>
        <w:rPr>
          <w:rFonts w:hint="eastAsia" w:ascii="宋体" w:hAnsi="宋体" w:cs="宋体"/>
          <w:kern w:val="0"/>
          <w:sz w:val="24"/>
        </w:rPr>
        <w:t>法定代表人或者委托代理人（签字）：</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2E86C1DB">
      <w:pPr>
        <w:snapToGrid w:val="0"/>
        <w:spacing w:before="120" w:beforeLines="50"/>
        <w:ind w:firstLine="3360" w:firstLineChars="1400"/>
        <w:rPr>
          <w:rFonts w:ascii="宋体" w:hAnsi="宋体" w:cs="宋体"/>
          <w:kern w:val="0"/>
          <w:sz w:val="24"/>
        </w:rPr>
      </w:pPr>
      <w:r>
        <w:rPr>
          <w:rFonts w:hint="eastAsia" w:ascii="宋体" w:hAnsi="宋体" w:cs="宋体"/>
          <w:kern w:val="0"/>
          <w:sz w:val="24"/>
        </w:rPr>
        <w:t>投标人</w:t>
      </w:r>
      <w:r>
        <w:rPr>
          <w:rFonts w:hint="eastAsia" w:ascii="黑体" w:hAnsi="黑体" w:eastAsia="黑体" w:cs="宋体"/>
          <w:kern w:val="0"/>
          <w:sz w:val="24"/>
        </w:rPr>
        <w:t>（</w:t>
      </w:r>
      <w:r>
        <w:rPr>
          <w:rFonts w:hint="eastAsia" w:ascii="宋体" w:hAnsi="宋体" w:cs="宋体"/>
          <w:kern w:val="0"/>
          <w:sz w:val="24"/>
        </w:rPr>
        <w:t>公章</w:t>
      </w:r>
      <w:r>
        <w:rPr>
          <w:rFonts w:hint="eastAsia" w:ascii="黑体" w:hAnsi="黑体" w:eastAsia="黑体" w:cs="宋体"/>
          <w:kern w:val="0"/>
          <w:sz w:val="24"/>
        </w:rPr>
        <w:t>）</w:t>
      </w:r>
      <w:r>
        <w:rPr>
          <w:rFonts w:hint="eastAsia" w:ascii="宋体" w:hAnsi="宋体" w:cs="宋体"/>
          <w:kern w:val="0"/>
          <w:sz w:val="24"/>
        </w:rPr>
        <w:t>：</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rPr>
        <w:t xml:space="preserve">               </w:t>
      </w:r>
    </w:p>
    <w:p w14:paraId="06A034D1">
      <w:pPr>
        <w:snapToGrid w:val="0"/>
        <w:spacing w:before="120" w:beforeLines="50"/>
        <w:ind w:firstLine="3360" w:firstLineChars="1400"/>
        <w:rPr>
          <w:rFonts w:ascii="宋体" w:hAnsi="宋体" w:cs="宋体"/>
          <w:kern w:val="0"/>
          <w:sz w:val="24"/>
        </w:rPr>
      </w:pPr>
      <w:r>
        <w:rPr>
          <w:rFonts w:hint="eastAsia" w:ascii="宋体" w:hAnsi="宋体" w:cs="宋体"/>
          <w:kern w:val="0"/>
          <w:sz w:val="24"/>
        </w:rPr>
        <w:t xml:space="preserve">日  期：   </w:t>
      </w:r>
      <w:r>
        <w:rPr>
          <w:rFonts w:hint="eastAsia" w:ascii="黑体" w:hAnsi="黑体" w:eastAsia="黑体" w:cs="宋体"/>
          <w:b/>
          <w:kern w:val="0"/>
          <w:sz w:val="24"/>
          <w:u w:val="single"/>
        </w:rPr>
        <w:t xml:space="preserve">     </w:t>
      </w:r>
      <w:r>
        <w:rPr>
          <w:rFonts w:ascii="黑体" w:hAnsi="黑体" w:eastAsia="黑体" w:cs="宋体"/>
          <w:b/>
          <w:kern w:val="0"/>
          <w:sz w:val="24"/>
          <w:u w:val="single"/>
        </w:rPr>
        <w:t xml:space="preserve"> </w:t>
      </w:r>
      <w:r>
        <w:rPr>
          <w:rFonts w:hint="eastAsia" w:ascii="黑体" w:hAnsi="黑体" w:eastAsia="黑体" w:cs="宋体"/>
          <w:b/>
          <w:kern w:val="0"/>
          <w:sz w:val="24"/>
          <w:u w:val="single"/>
        </w:rPr>
        <w:t xml:space="preserve"> </w:t>
      </w:r>
      <w:r>
        <w:rPr>
          <w:rFonts w:hint="eastAsia" w:cs="宋体" w:asciiTheme="minorEastAsia" w:hAnsiTheme="minorEastAsia" w:eastAsiaTheme="minorEastAsia"/>
          <w:kern w:val="0"/>
          <w:sz w:val="24"/>
        </w:rPr>
        <w:t>年</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18995727">
      <w:pPr>
        <w:snapToGrid w:val="0"/>
        <w:spacing w:before="50" w:after="120" w:afterLines="50"/>
        <w:jc w:val="left"/>
        <w:rPr>
          <w:rFonts w:ascii="宋体" w:hAnsi="宋体" w:cs="宋体"/>
          <w:sz w:val="24"/>
          <w:szCs w:val="20"/>
        </w:rPr>
      </w:pPr>
    </w:p>
    <w:p w14:paraId="0CBD36B2">
      <w:pPr>
        <w:rPr>
          <w:rFonts w:ascii="宋体" w:hAnsi="宋体" w:cs="宋体"/>
          <w:b/>
          <w:sz w:val="28"/>
          <w:szCs w:val="28"/>
        </w:rPr>
      </w:pPr>
      <w:r>
        <w:rPr>
          <w:rFonts w:hint="eastAsia" w:ascii="宋体" w:hAnsi="宋体" w:cs="宋体"/>
          <w:b/>
          <w:bCs/>
          <w:sz w:val="24"/>
        </w:rPr>
        <w:br w:type="page"/>
      </w:r>
      <w:r>
        <w:rPr>
          <w:rFonts w:hint="eastAsia" w:ascii="宋体" w:hAnsi="宋体" w:cs="宋体"/>
          <w:b/>
          <w:sz w:val="28"/>
          <w:szCs w:val="28"/>
        </w:rPr>
        <w:t>五、其他文书、文件格式</w:t>
      </w:r>
    </w:p>
    <w:p w14:paraId="699B89A2">
      <w:pPr>
        <w:snapToGrid w:val="0"/>
        <w:spacing w:before="120" w:beforeLines="50" w:after="50"/>
        <w:ind w:left="142"/>
        <w:jc w:val="left"/>
        <w:rPr>
          <w:rFonts w:ascii="宋体" w:hAnsi="宋体" w:cs="宋体"/>
          <w:b/>
          <w:spacing w:val="20"/>
          <w:sz w:val="24"/>
        </w:rPr>
      </w:pPr>
      <w:r>
        <w:rPr>
          <w:rFonts w:hint="eastAsia" w:ascii="宋体" w:hAnsi="宋体" w:cs="宋体"/>
          <w:b/>
          <w:spacing w:val="20"/>
          <w:sz w:val="24"/>
        </w:rPr>
        <w:t>1.联合投标协议书格式</w:t>
      </w:r>
    </w:p>
    <w:p w14:paraId="47207DE3">
      <w:pPr>
        <w:snapToGrid w:val="0"/>
        <w:spacing w:before="120" w:beforeLines="50" w:after="50"/>
        <w:ind w:left="142"/>
        <w:jc w:val="left"/>
        <w:rPr>
          <w:rFonts w:ascii="宋体" w:hAnsi="宋体" w:cs="宋体"/>
          <w:b/>
          <w:spacing w:val="20"/>
          <w:sz w:val="24"/>
        </w:rPr>
      </w:pPr>
    </w:p>
    <w:p w14:paraId="54E85486">
      <w:pPr>
        <w:pStyle w:val="8"/>
        <w:overflowPunct w:val="0"/>
        <w:jc w:val="center"/>
        <w:rPr>
          <w:rFonts w:ascii="宋体" w:hAnsi="宋体" w:cs="宋体"/>
          <w:sz w:val="44"/>
          <w:szCs w:val="44"/>
        </w:rPr>
      </w:pPr>
      <w:r>
        <w:rPr>
          <w:rFonts w:hint="eastAsia" w:ascii="宋体" w:hAnsi="宋体" w:cs="宋体"/>
          <w:sz w:val="44"/>
          <w:szCs w:val="44"/>
        </w:rPr>
        <w:t>联合体协议书</w:t>
      </w:r>
    </w:p>
    <w:p w14:paraId="13F4FB30">
      <w:pPr>
        <w:pStyle w:val="8"/>
        <w:overflowPunct w:val="0"/>
        <w:rPr>
          <w:rFonts w:ascii="宋体" w:hAnsi="宋体" w:cs="宋体"/>
          <w:sz w:val="24"/>
        </w:rPr>
      </w:pPr>
    </w:p>
    <w:p w14:paraId="6BF71B8F">
      <w:pPr>
        <w:pStyle w:val="8"/>
        <w:overflowPunct w:val="0"/>
        <w:spacing w:line="360" w:lineRule="auto"/>
        <w:contextualSpacing/>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（所有成员单位名称）自愿组成</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（联合体名称）联合体，共同参加</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（项</w:t>
      </w:r>
      <w:r>
        <w:rPr>
          <w:rFonts w:hint="eastAsia" w:ascii="宋体" w:hAnsi="宋体" w:cs="宋体"/>
          <w:sz w:val="24"/>
        </w:rPr>
        <w:t>目名称）采购招标项目投标。现就联合体投标事宜订立如下协议。</w:t>
      </w:r>
    </w:p>
    <w:p w14:paraId="32ECA638">
      <w:pPr>
        <w:pStyle w:val="8"/>
        <w:overflowPunct w:val="0"/>
        <w:spacing w:line="360" w:lineRule="auto"/>
        <w:ind w:firstLineChars="175"/>
        <w:contextualSpacing/>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（某成员单位名称）为</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（联合体名称）牵头人。</w:t>
      </w:r>
    </w:p>
    <w:p w14:paraId="2A941BCA">
      <w:pPr>
        <w:pStyle w:val="8"/>
        <w:overflowPunct w:val="0"/>
        <w:spacing w:line="360" w:lineRule="auto"/>
        <w:ind w:firstLineChars="175"/>
        <w:contextualSpacing/>
        <w:rPr>
          <w:rFonts w:ascii="宋体" w:hAnsi="宋体" w:cs="宋体"/>
          <w:sz w:val="24"/>
        </w:rPr>
      </w:pPr>
      <w:r>
        <w:rPr>
          <w:rFonts w:hint="eastAsia" w:ascii="宋体" w:hAnsi="宋体" w:cs="宋体"/>
          <w:sz w:val="24"/>
        </w:rPr>
        <w:t>2.联合体各成员授权牵头人代表联合体参加投标活动，签署文件及对文件的盖章，提交和接收相关的资料、 信息及指示，进行合同谈判活动，负责合同实施阶段的组织和协调工作，以及处理与本招标项 目有关的一切事宜。</w:t>
      </w:r>
    </w:p>
    <w:p w14:paraId="6342ABA8">
      <w:pPr>
        <w:pStyle w:val="8"/>
        <w:overflowPunct w:val="0"/>
        <w:spacing w:line="360" w:lineRule="auto"/>
        <w:ind w:firstLineChars="175"/>
        <w:contextualSpacing/>
        <w:rPr>
          <w:rFonts w:ascii="宋体" w:hAnsi="宋体" w:cs="宋体"/>
          <w:sz w:val="24"/>
        </w:rPr>
      </w:pPr>
      <w:r>
        <w:rPr>
          <w:rFonts w:hint="eastAsia" w:ascii="宋体" w:hAnsi="宋体" w:cs="宋体"/>
          <w:sz w:val="24"/>
        </w:rPr>
        <w:t>3.联合体牵头人在本项目中签署和盖章的一切文件和处理的一切事宜，联合体各成员均予以承认。 联合体各成员将严格按照招标文件、投标文件和合同的要求全面履行义务，并向甲方承担连带责任。</w:t>
      </w:r>
    </w:p>
    <w:p w14:paraId="25E7430B">
      <w:pPr>
        <w:pStyle w:val="8"/>
        <w:overflowPunct w:val="0"/>
        <w:spacing w:line="360" w:lineRule="auto"/>
        <w:ind w:firstLineChars="175"/>
        <w:contextualSpacing/>
        <w:rPr>
          <w:rFonts w:ascii="宋体" w:hAnsi="宋体" w:cs="宋体"/>
          <w:sz w:val="24"/>
        </w:rPr>
      </w:pPr>
      <w:r>
        <w:rPr>
          <w:rFonts w:hint="eastAsia" w:ascii="宋体" w:hAnsi="宋体" w:cs="宋体"/>
          <w:sz w:val="24"/>
        </w:rPr>
        <w:t>4.联合体各成员单位内部的职责分工如下：</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w:t>
      </w:r>
    </w:p>
    <w:p w14:paraId="1E30193E">
      <w:pPr>
        <w:pStyle w:val="8"/>
        <w:overflowPunct w:val="0"/>
        <w:spacing w:line="360" w:lineRule="auto"/>
        <w:ind w:firstLineChars="175"/>
        <w:contextualSpacing/>
        <w:rPr>
          <w:rFonts w:ascii="宋体" w:hAnsi="宋体" w:cs="宋体"/>
          <w:sz w:val="24"/>
        </w:rPr>
      </w:pPr>
      <w:r>
        <w:rPr>
          <w:rFonts w:hint="eastAsia" w:ascii="宋体" w:hAnsi="宋体" w:cs="宋体"/>
          <w:sz w:val="24"/>
        </w:rPr>
        <w:t>5.本协议书自所有成员单位法定代表人或者其委托代理人签字或者盖公章之日起生效，合同履行完毕后自动失效。</w:t>
      </w:r>
    </w:p>
    <w:p w14:paraId="213F614D">
      <w:pPr>
        <w:pStyle w:val="8"/>
        <w:overflowPunct w:val="0"/>
        <w:spacing w:line="360" w:lineRule="auto"/>
        <w:ind w:firstLineChars="175"/>
        <w:contextualSpacing/>
        <w:rPr>
          <w:rFonts w:ascii="宋体" w:hAnsi="宋体" w:cs="宋体"/>
          <w:sz w:val="24"/>
        </w:rPr>
      </w:pPr>
      <w:r>
        <w:rPr>
          <w:rFonts w:hint="eastAsia" w:ascii="宋体" w:hAnsi="宋体" w:cs="宋体"/>
          <w:sz w:val="24"/>
        </w:rPr>
        <w:t>6.本协议书一式</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份，联合体成员和甲方各执壹份。</w:t>
      </w:r>
    </w:p>
    <w:p w14:paraId="2AF99D8A">
      <w:pPr>
        <w:pStyle w:val="8"/>
        <w:overflowPunct w:val="0"/>
        <w:spacing w:line="360" w:lineRule="auto"/>
        <w:ind w:firstLineChars="175"/>
        <w:contextualSpacing/>
        <w:rPr>
          <w:rFonts w:ascii="宋体" w:hAnsi="宋体" w:cs="宋体"/>
          <w:sz w:val="24"/>
        </w:rPr>
      </w:pPr>
      <w:r>
        <w:rPr>
          <w:rFonts w:hint="eastAsia" w:ascii="宋体" w:hAnsi="宋体" w:cs="宋体"/>
          <w:sz w:val="24"/>
        </w:rPr>
        <w:t>注：本协议书由法定代表人签字的，应附法定代表人身份证明；由委托代理人签字的，应附授权委托书。</w:t>
      </w:r>
    </w:p>
    <w:p w14:paraId="43F8376C">
      <w:pPr>
        <w:pStyle w:val="8"/>
        <w:overflowPunct w:val="0"/>
        <w:spacing w:line="360" w:lineRule="auto"/>
        <w:ind w:firstLineChars="175"/>
        <w:contextualSpacing/>
        <w:rPr>
          <w:rFonts w:ascii="宋体" w:hAnsi="宋体" w:cs="宋体"/>
          <w:sz w:val="24"/>
        </w:rPr>
      </w:pPr>
    </w:p>
    <w:p w14:paraId="142502B2">
      <w:pPr>
        <w:pStyle w:val="8"/>
        <w:overflowPunct w:val="0"/>
        <w:spacing w:line="360" w:lineRule="auto"/>
        <w:ind w:firstLineChars="175"/>
        <w:contextualSpacing/>
        <w:rPr>
          <w:rFonts w:ascii="宋体" w:hAnsi="宋体" w:cs="宋体"/>
          <w:sz w:val="24"/>
          <w:u w:val="single"/>
        </w:rPr>
      </w:pPr>
      <w:r>
        <w:rPr>
          <w:rFonts w:hint="eastAsia" w:ascii="宋体" w:hAnsi="宋体" w:cs="宋体"/>
          <w:sz w:val="24"/>
        </w:rPr>
        <w:t>联合体牵头人名称（公章）：</w:t>
      </w:r>
      <w:r>
        <w:rPr>
          <w:rFonts w:hint="eastAsia" w:ascii="宋体" w:hAnsi="宋体" w:cs="宋体"/>
          <w:sz w:val="24"/>
          <w:u w:val="single"/>
        </w:rPr>
        <w:t xml:space="preserve"> </w:t>
      </w:r>
      <w:r>
        <w:rPr>
          <w:rFonts w:ascii="宋体" w:hAnsi="宋体" w:cs="宋体"/>
          <w:sz w:val="24"/>
          <w:u w:val="single"/>
        </w:rPr>
        <w:t xml:space="preserve">                 </w:t>
      </w:r>
    </w:p>
    <w:p w14:paraId="34D4305A">
      <w:pPr>
        <w:pStyle w:val="8"/>
        <w:overflowPunct w:val="0"/>
        <w:spacing w:line="360" w:lineRule="auto"/>
        <w:ind w:firstLineChars="175"/>
        <w:contextualSpacing/>
        <w:rPr>
          <w:rFonts w:ascii="宋体" w:hAnsi="宋体" w:cs="宋体"/>
          <w:sz w:val="24"/>
        </w:rPr>
      </w:pPr>
      <w:r>
        <w:rPr>
          <w:rFonts w:hint="eastAsia" w:ascii="宋体" w:hAnsi="宋体" w:cs="宋体"/>
          <w:sz w:val="24"/>
        </w:rPr>
        <w:t>法定代表人或者其委托代理人（签字）：</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tab/>
      </w:r>
    </w:p>
    <w:p w14:paraId="49BD51D7">
      <w:pPr>
        <w:pStyle w:val="8"/>
        <w:overflowPunct w:val="0"/>
        <w:spacing w:line="360" w:lineRule="auto"/>
        <w:ind w:firstLineChars="175"/>
        <w:contextualSpacing/>
        <w:rPr>
          <w:rFonts w:ascii="宋体" w:hAnsi="宋体" w:cs="宋体"/>
          <w:sz w:val="24"/>
        </w:rPr>
      </w:pPr>
    </w:p>
    <w:p w14:paraId="625CC6C0">
      <w:pPr>
        <w:pStyle w:val="8"/>
        <w:overflowPunct w:val="0"/>
        <w:spacing w:line="360" w:lineRule="auto"/>
        <w:ind w:firstLineChars="175"/>
        <w:contextualSpacing/>
        <w:rPr>
          <w:rFonts w:ascii="宋体" w:hAnsi="宋体" w:cs="宋体"/>
          <w:sz w:val="24"/>
          <w:u w:val="single"/>
        </w:rPr>
      </w:pPr>
      <w:r>
        <w:rPr>
          <w:rFonts w:hint="eastAsia" w:ascii="宋体" w:hAnsi="宋体" w:cs="宋体"/>
          <w:sz w:val="24"/>
        </w:rPr>
        <w:t>联合体成员名称（公章）：</w:t>
      </w:r>
      <w:r>
        <w:rPr>
          <w:rFonts w:hint="eastAsia" w:ascii="宋体" w:hAnsi="宋体" w:cs="宋体"/>
          <w:sz w:val="24"/>
          <w:u w:val="single"/>
        </w:rPr>
        <w:t xml:space="preserve"> </w:t>
      </w:r>
      <w:r>
        <w:rPr>
          <w:rFonts w:ascii="宋体" w:hAnsi="宋体" w:cs="宋体"/>
          <w:sz w:val="24"/>
          <w:u w:val="single"/>
        </w:rPr>
        <w:t xml:space="preserve">                    </w:t>
      </w:r>
    </w:p>
    <w:p w14:paraId="4309C8FD">
      <w:pPr>
        <w:pStyle w:val="8"/>
        <w:overflowPunct w:val="0"/>
        <w:spacing w:line="360" w:lineRule="auto"/>
        <w:ind w:firstLineChars="175"/>
        <w:contextualSpacing/>
        <w:rPr>
          <w:rFonts w:ascii="宋体" w:hAnsi="宋体" w:cs="宋体"/>
          <w:sz w:val="24"/>
        </w:rPr>
      </w:pPr>
      <w:r>
        <w:rPr>
          <w:rFonts w:hint="eastAsia" w:ascii="宋体" w:hAnsi="宋体" w:cs="宋体"/>
          <w:sz w:val="24"/>
        </w:rPr>
        <w:t>法定代表人或者其委托代理人（签字）：</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ab/>
      </w:r>
    </w:p>
    <w:p w14:paraId="1CF9962E">
      <w:pPr>
        <w:pStyle w:val="8"/>
        <w:overflowPunct w:val="0"/>
        <w:spacing w:line="360" w:lineRule="auto"/>
        <w:ind w:firstLineChars="175"/>
        <w:contextualSpacing/>
        <w:rPr>
          <w:rFonts w:ascii="宋体" w:hAnsi="宋体" w:cs="宋体"/>
          <w:sz w:val="24"/>
        </w:rPr>
      </w:pPr>
      <w:r>
        <w:rPr>
          <w:rFonts w:hint="eastAsia" w:ascii="宋体" w:hAnsi="宋体" w:cs="宋体"/>
          <w:sz w:val="24"/>
        </w:rPr>
        <w:t>……</w:t>
      </w:r>
    </w:p>
    <w:p w14:paraId="21BEDD8D">
      <w:pPr>
        <w:pStyle w:val="8"/>
        <w:overflowPunct w:val="0"/>
        <w:spacing w:line="360" w:lineRule="auto"/>
        <w:ind w:firstLineChars="175"/>
        <w:contextualSpacing/>
        <w:rPr>
          <w:rFonts w:ascii="宋体" w:hAnsi="宋体" w:cs="宋体"/>
          <w:sz w:val="24"/>
        </w:rPr>
      </w:pPr>
    </w:p>
    <w:p w14:paraId="3B9F5A2B">
      <w:pPr>
        <w:pStyle w:val="8"/>
        <w:overflowPunct w:val="0"/>
        <w:spacing w:line="360" w:lineRule="auto"/>
        <w:ind w:right="720" w:firstLineChars="175"/>
        <w:contextualSpacing/>
        <w:jc w:val="right"/>
        <w:rPr>
          <w:rFonts w:ascii="宋体" w:hAnsi="宋体" w:cs="宋体"/>
          <w:b/>
          <w:sz w:val="24"/>
        </w:rPr>
      </w:pPr>
      <w:r>
        <w:rPr>
          <w:rFonts w:hint="eastAsia" w:ascii="宋体" w:hAnsi="宋体" w:cs="宋体"/>
          <w:sz w:val="24"/>
        </w:rPr>
        <w:t>日期：</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月</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日</w:t>
      </w:r>
    </w:p>
    <w:p w14:paraId="1387BC15">
      <w:pPr>
        <w:snapToGrid w:val="0"/>
        <w:spacing w:before="120" w:beforeLines="50" w:after="50"/>
        <w:jc w:val="left"/>
        <w:rPr>
          <w:rFonts w:ascii="宋体" w:hAnsi="宋体" w:cs="宋体"/>
        </w:rPr>
      </w:pPr>
      <w:r>
        <w:rPr>
          <w:rFonts w:hint="eastAsia" w:ascii="宋体" w:hAnsi="宋体" w:cs="宋体"/>
          <w:b/>
          <w:sz w:val="24"/>
        </w:rPr>
        <w:br w:type="page"/>
      </w:r>
      <w:r>
        <w:rPr>
          <w:rFonts w:hint="eastAsia" w:ascii="宋体" w:hAnsi="宋体" w:cs="宋体"/>
          <w:b/>
          <w:sz w:val="24"/>
        </w:rPr>
        <w:t xml:space="preserve"> 2.中小企业声明函格式</w:t>
      </w:r>
    </w:p>
    <w:p w14:paraId="0D9A30C2">
      <w:pPr>
        <w:rPr>
          <w:rFonts w:ascii="宋体" w:hAnsi="宋体" w:cs="宋体"/>
        </w:rPr>
      </w:pPr>
    </w:p>
    <w:p w14:paraId="585CC458">
      <w:pPr>
        <w:jc w:val="center"/>
        <w:rPr>
          <w:rFonts w:ascii="宋体" w:hAnsi="宋体" w:cs="宋体"/>
          <w:sz w:val="44"/>
          <w:szCs w:val="44"/>
        </w:rPr>
      </w:pPr>
      <w:r>
        <w:rPr>
          <w:rFonts w:hint="eastAsia" w:ascii="宋体" w:hAnsi="宋体" w:cs="宋体"/>
          <w:sz w:val="44"/>
          <w:szCs w:val="44"/>
        </w:rPr>
        <w:t>中小企业声明函（货物）</w:t>
      </w:r>
    </w:p>
    <w:p w14:paraId="40DD0BB3">
      <w:pPr>
        <w:spacing w:before="2" w:line="500" w:lineRule="exact"/>
        <w:rPr>
          <w:rFonts w:ascii="宋体" w:hAnsi="宋体" w:cs="宋体"/>
          <w:b/>
          <w:bCs/>
          <w:sz w:val="27"/>
          <w:szCs w:val="27"/>
        </w:rPr>
      </w:pPr>
    </w:p>
    <w:p w14:paraId="458096EF">
      <w:pPr>
        <w:pStyle w:val="19"/>
        <w:spacing w:line="360" w:lineRule="auto"/>
        <w:ind w:left="-426" w:leftChars="-203" w:right="142" w:firstLine="480" w:firstLineChars="200"/>
        <w:contextualSpacing/>
        <w:rPr>
          <w:rFonts w:ascii="宋体" w:hAnsi="宋体" w:cs="宋体"/>
          <w:kern w:val="24"/>
        </w:rPr>
      </w:pPr>
      <w:r>
        <w:rPr>
          <w:rFonts w:hint="eastAsia" w:ascii="宋体" w:hAnsi="宋体" w:cs="宋体"/>
          <w:kern w:val="24"/>
        </w:rPr>
        <w:t>本公司（联合体）郑重声明，根据《政府采购促进中小企业发展管理办法》（财库﹝2020﹞46号）的规定，本公司（联合体）参加</w:t>
      </w:r>
      <w:r>
        <w:rPr>
          <w:rFonts w:hint="eastAsia" w:ascii="宋体" w:hAnsi="宋体" w:cs="宋体"/>
          <w:kern w:val="24"/>
          <w:u w:val="single"/>
        </w:rPr>
        <w:t>（单位名称）</w:t>
      </w:r>
      <w:r>
        <w:rPr>
          <w:rFonts w:hint="eastAsia" w:ascii="宋体" w:hAnsi="宋体" w:cs="宋体"/>
          <w:kern w:val="24"/>
        </w:rPr>
        <w:t>的</w:t>
      </w:r>
      <w:r>
        <w:rPr>
          <w:rFonts w:hint="eastAsia" w:ascii="宋体" w:hAnsi="宋体" w:cs="宋体"/>
          <w:kern w:val="24"/>
          <w:u w:val="single"/>
        </w:rPr>
        <w:t>（项目名称）</w:t>
      </w:r>
      <w:r>
        <w:rPr>
          <w:rFonts w:hint="eastAsia" w:ascii="宋体" w:hAnsi="宋体" w:cs="宋体"/>
          <w:kern w:val="24"/>
        </w:rPr>
        <w:t>采购活动，提供的货物全部由符合政策要求的中小企业制造。相关企业（含联合体中的中小企业、签订分包意向协议的中小企业）的具体情况如下：</w:t>
      </w:r>
    </w:p>
    <w:p w14:paraId="5E6412CA">
      <w:pPr>
        <w:tabs>
          <w:tab w:val="left" w:pos="1384"/>
          <w:tab w:val="left" w:pos="4562"/>
          <w:tab w:val="left" w:pos="6803"/>
        </w:tabs>
        <w:spacing w:line="360" w:lineRule="auto"/>
        <w:ind w:left="-426" w:right="-58" w:firstLine="655"/>
        <w:contextualSpacing/>
        <w:rPr>
          <w:rFonts w:ascii="宋体" w:hAnsi="宋体" w:cs="宋体"/>
          <w:kern w:val="24"/>
          <w:sz w:val="24"/>
        </w:rPr>
      </w:pPr>
      <w:r>
        <w:rPr>
          <w:rFonts w:hint="eastAsia" w:ascii="宋体" w:hAnsi="宋体" w:cs="宋体"/>
          <w:kern w:val="24"/>
          <w:sz w:val="24"/>
        </w:rPr>
        <w:t>1.</w:t>
      </w:r>
      <w:r>
        <w:rPr>
          <w:rFonts w:hint="eastAsia" w:ascii="宋体" w:hAnsi="宋体" w:cs="宋体"/>
          <w:kern w:val="24"/>
          <w:sz w:val="24"/>
          <w:u w:val="single"/>
        </w:rPr>
        <w:t>（标的名称）</w:t>
      </w:r>
      <w:r>
        <w:rPr>
          <w:rFonts w:hint="eastAsia" w:ascii="宋体" w:hAnsi="宋体" w:cs="宋体"/>
          <w:kern w:val="24"/>
          <w:sz w:val="24"/>
        </w:rPr>
        <w:t>，属于</w:t>
      </w:r>
      <w:r>
        <w:rPr>
          <w:rFonts w:hint="eastAsia" w:ascii="宋体" w:hAnsi="宋体" w:cs="宋体"/>
          <w:kern w:val="24"/>
          <w:sz w:val="24"/>
          <w:u w:val="single"/>
        </w:rPr>
        <w:t>（采购文件中明确的所属行业）</w:t>
      </w:r>
      <w:r>
        <w:rPr>
          <w:rFonts w:hint="eastAsia" w:ascii="宋体" w:hAnsi="宋体" w:cs="宋体"/>
          <w:kern w:val="24"/>
          <w:sz w:val="24"/>
        </w:rPr>
        <w:t>行业；制造商为</w:t>
      </w:r>
      <w:r>
        <w:rPr>
          <w:rFonts w:hint="eastAsia" w:ascii="宋体" w:hAnsi="宋体" w:cs="宋体"/>
          <w:kern w:val="24"/>
          <w:sz w:val="24"/>
          <w:u w:val="single"/>
        </w:rPr>
        <w:t>（企业名称）</w:t>
      </w:r>
      <w:r>
        <w:rPr>
          <w:rFonts w:hint="eastAsia" w:ascii="宋体" w:hAnsi="宋体" w:cs="宋体"/>
          <w:kern w:val="24"/>
          <w:sz w:val="24"/>
        </w:rPr>
        <w:t>，从业人员</w:t>
      </w:r>
      <w:r>
        <w:rPr>
          <w:rFonts w:hint="eastAsia" w:ascii="宋体" w:hAnsi="宋体" w:cs="宋体"/>
          <w:kern w:val="24"/>
          <w:sz w:val="24"/>
          <w:u w:val="single"/>
        </w:rPr>
        <w:t xml:space="preserve">      </w:t>
      </w:r>
      <w:r>
        <w:rPr>
          <w:rFonts w:hint="eastAsia" w:ascii="宋体" w:hAnsi="宋体" w:cs="宋体"/>
          <w:kern w:val="24"/>
          <w:sz w:val="24"/>
        </w:rPr>
        <w:t>人，营业收入为</w:t>
      </w:r>
      <w:r>
        <w:rPr>
          <w:rFonts w:hint="eastAsia" w:ascii="宋体" w:hAnsi="宋体" w:cs="宋体"/>
          <w:kern w:val="24"/>
          <w:sz w:val="24"/>
          <w:u w:val="single"/>
        </w:rPr>
        <w:t xml:space="preserve">      </w:t>
      </w:r>
      <w:r>
        <w:rPr>
          <w:rFonts w:hint="eastAsia" w:ascii="宋体" w:hAnsi="宋体" w:cs="宋体"/>
          <w:kern w:val="24"/>
          <w:sz w:val="24"/>
        </w:rPr>
        <w:t>万元，资产总额为</w:t>
      </w:r>
      <w:r>
        <w:rPr>
          <w:rFonts w:hint="eastAsia" w:ascii="宋体" w:hAnsi="宋体" w:cs="宋体"/>
          <w:kern w:val="24"/>
          <w:sz w:val="24"/>
          <w:u w:val="single"/>
        </w:rPr>
        <w:t xml:space="preserve">      </w:t>
      </w:r>
      <w:r>
        <w:rPr>
          <w:rFonts w:hint="eastAsia" w:ascii="宋体" w:hAnsi="宋体" w:cs="宋体"/>
          <w:kern w:val="24"/>
          <w:sz w:val="24"/>
        </w:rPr>
        <w:t>万元，属于</w:t>
      </w:r>
      <w:r>
        <w:rPr>
          <w:rFonts w:hint="eastAsia" w:ascii="宋体" w:hAnsi="宋体" w:cs="宋体"/>
          <w:kern w:val="24"/>
          <w:sz w:val="24"/>
          <w:u w:val="single"/>
        </w:rPr>
        <w:t>（中型企业、小型企业、微型企业）</w:t>
      </w:r>
      <w:r>
        <w:rPr>
          <w:rFonts w:hint="eastAsia" w:ascii="宋体" w:hAnsi="宋体" w:cs="宋体"/>
          <w:kern w:val="24"/>
          <w:sz w:val="24"/>
        </w:rPr>
        <w:t>；</w:t>
      </w:r>
    </w:p>
    <w:p w14:paraId="183ACDC2">
      <w:pPr>
        <w:tabs>
          <w:tab w:val="left" w:pos="1065"/>
          <w:tab w:val="left" w:pos="6477"/>
        </w:tabs>
        <w:spacing w:line="360" w:lineRule="auto"/>
        <w:ind w:left="-426" w:right="-58" w:firstLine="655"/>
        <w:contextualSpacing/>
        <w:rPr>
          <w:rFonts w:ascii="宋体" w:hAnsi="宋体" w:cs="宋体"/>
          <w:kern w:val="24"/>
          <w:sz w:val="24"/>
        </w:rPr>
      </w:pPr>
      <w:r>
        <w:rPr>
          <w:rFonts w:hint="eastAsia" w:ascii="宋体" w:hAnsi="宋体" w:cs="宋体"/>
          <w:kern w:val="24"/>
          <w:sz w:val="24"/>
        </w:rPr>
        <w:t>2.</w:t>
      </w:r>
      <w:r>
        <w:rPr>
          <w:rFonts w:hint="eastAsia" w:ascii="宋体" w:hAnsi="宋体" w:cs="宋体"/>
          <w:kern w:val="24"/>
          <w:sz w:val="24"/>
          <w:u w:val="single"/>
        </w:rPr>
        <w:t>（标的名称）</w:t>
      </w:r>
      <w:r>
        <w:rPr>
          <w:rFonts w:hint="eastAsia" w:ascii="宋体" w:hAnsi="宋体" w:cs="宋体"/>
          <w:kern w:val="24"/>
          <w:sz w:val="24"/>
        </w:rPr>
        <w:t>，属于</w:t>
      </w:r>
      <w:r>
        <w:rPr>
          <w:rFonts w:hint="eastAsia" w:ascii="宋体" w:hAnsi="宋体" w:cs="宋体"/>
          <w:kern w:val="24"/>
          <w:sz w:val="24"/>
          <w:u w:val="single"/>
        </w:rPr>
        <w:t>（采购文件中明确的所属行业）</w:t>
      </w:r>
      <w:r>
        <w:rPr>
          <w:rFonts w:hint="eastAsia" w:ascii="宋体" w:hAnsi="宋体" w:cs="宋体"/>
          <w:kern w:val="24"/>
          <w:sz w:val="24"/>
        </w:rPr>
        <w:t>行业；制造商为</w:t>
      </w:r>
      <w:r>
        <w:rPr>
          <w:rFonts w:hint="eastAsia" w:ascii="宋体" w:hAnsi="宋体" w:cs="宋体"/>
          <w:kern w:val="24"/>
          <w:sz w:val="24"/>
          <w:u w:val="single"/>
        </w:rPr>
        <w:t>（企业名称）</w:t>
      </w:r>
      <w:r>
        <w:rPr>
          <w:rFonts w:hint="eastAsia" w:ascii="宋体" w:hAnsi="宋体" w:cs="宋体"/>
          <w:kern w:val="24"/>
          <w:sz w:val="24"/>
        </w:rPr>
        <w:t>，从业人员</w:t>
      </w:r>
      <w:r>
        <w:rPr>
          <w:rFonts w:hint="eastAsia" w:ascii="宋体" w:hAnsi="宋体" w:cs="宋体"/>
          <w:kern w:val="24"/>
          <w:sz w:val="24"/>
          <w:u w:val="single"/>
        </w:rPr>
        <w:t xml:space="preserve">      </w:t>
      </w:r>
      <w:r>
        <w:rPr>
          <w:rFonts w:hint="eastAsia" w:ascii="宋体" w:hAnsi="宋体" w:cs="宋体"/>
          <w:kern w:val="24"/>
          <w:sz w:val="24"/>
        </w:rPr>
        <w:t>人，营业收入为</w:t>
      </w:r>
      <w:r>
        <w:rPr>
          <w:rFonts w:hint="eastAsia" w:ascii="宋体" w:hAnsi="宋体" w:cs="宋体"/>
          <w:kern w:val="24"/>
          <w:sz w:val="24"/>
          <w:u w:val="single"/>
        </w:rPr>
        <w:t xml:space="preserve">      </w:t>
      </w:r>
      <w:r>
        <w:rPr>
          <w:rFonts w:hint="eastAsia" w:ascii="宋体" w:hAnsi="宋体" w:cs="宋体"/>
          <w:kern w:val="24"/>
          <w:sz w:val="24"/>
        </w:rPr>
        <w:t>万元，资产总额为</w:t>
      </w:r>
      <w:r>
        <w:rPr>
          <w:rFonts w:hint="eastAsia" w:ascii="宋体" w:hAnsi="宋体" w:cs="宋体"/>
          <w:kern w:val="24"/>
          <w:sz w:val="24"/>
          <w:u w:val="single"/>
        </w:rPr>
        <w:t xml:space="preserve">      </w:t>
      </w:r>
      <w:r>
        <w:rPr>
          <w:rFonts w:hint="eastAsia" w:ascii="宋体" w:hAnsi="宋体" w:cs="宋体"/>
          <w:kern w:val="24"/>
          <w:sz w:val="24"/>
        </w:rPr>
        <w:t>万元，属于</w:t>
      </w:r>
      <w:r>
        <w:rPr>
          <w:rFonts w:hint="eastAsia" w:ascii="宋体" w:hAnsi="宋体" w:cs="宋体"/>
          <w:kern w:val="24"/>
          <w:sz w:val="24"/>
          <w:u w:val="single"/>
        </w:rPr>
        <w:t>（中型企业、小型企业、微型企业）</w:t>
      </w:r>
      <w:r>
        <w:rPr>
          <w:rFonts w:hint="eastAsia" w:ascii="宋体" w:hAnsi="宋体" w:cs="宋体"/>
          <w:kern w:val="24"/>
          <w:sz w:val="24"/>
        </w:rPr>
        <w:t>；</w:t>
      </w:r>
    </w:p>
    <w:p w14:paraId="21AB571C">
      <w:pPr>
        <w:pStyle w:val="19"/>
        <w:spacing w:line="360" w:lineRule="auto"/>
        <w:ind w:left="142" w:right="142"/>
        <w:contextualSpacing/>
        <w:rPr>
          <w:rFonts w:ascii="宋体" w:hAnsi="宋体" w:cs="宋体"/>
          <w:kern w:val="24"/>
        </w:rPr>
      </w:pPr>
      <w:r>
        <w:rPr>
          <w:rFonts w:hint="eastAsia" w:ascii="宋体" w:hAnsi="宋体" w:cs="宋体"/>
          <w:kern w:val="24"/>
        </w:rPr>
        <w:t xml:space="preserve">…… </w:t>
      </w:r>
    </w:p>
    <w:p w14:paraId="6F84EE05">
      <w:pPr>
        <w:pStyle w:val="19"/>
        <w:spacing w:line="360" w:lineRule="auto"/>
        <w:ind w:left="-405" w:leftChars="-193" w:right="142" w:firstLine="453" w:firstLineChars="189"/>
        <w:contextualSpacing/>
        <w:rPr>
          <w:rFonts w:ascii="宋体" w:hAnsi="宋体" w:cs="宋体"/>
          <w:kern w:val="24"/>
        </w:rPr>
      </w:pPr>
      <w:r>
        <w:rPr>
          <w:rFonts w:hint="eastAsia" w:ascii="宋体" w:hAnsi="宋体" w:cs="宋体"/>
          <w:kern w:val="24"/>
        </w:rPr>
        <w:t>以上企业，不属于大企业的分支机构，不存在控股股东为大企业的情形，也不存在与大企业的负责人为同一人的情形。</w:t>
      </w:r>
    </w:p>
    <w:p w14:paraId="51083DE1">
      <w:pPr>
        <w:pStyle w:val="19"/>
        <w:spacing w:line="360" w:lineRule="auto"/>
        <w:ind w:left="-426" w:right="142" w:firstLine="567"/>
        <w:contextualSpacing/>
        <w:rPr>
          <w:rFonts w:ascii="宋体" w:hAnsi="宋体" w:cs="宋体"/>
          <w:kern w:val="24"/>
        </w:rPr>
      </w:pPr>
      <w:r>
        <w:rPr>
          <w:rFonts w:hint="eastAsia" w:ascii="宋体" w:hAnsi="宋体" w:cs="宋体"/>
          <w:kern w:val="24"/>
        </w:rPr>
        <w:t>本企业对上述声明内容的真实性负责。如有虚假，将依法承担相应责任。</w:t>
      </w:r>
    </w:p>
    <w:p w14:paraId="77216D80">
      <w:pPr>
        <w:pStyle w:val="19"/>
        <w:spacing w:line="360" w:lineRule="auto"/>
        <w:ind w:left="3960" w:right="1808"/>
        <w:contextualSpacing/>
        <w:rPr>
          <w:rFonts w:ascii="宋体" w:hAnsi="宋体" w:cs="宋体"/>
          <w:kern w:val="24"/>
        </w:rPr>
      </w:pPr>
    </w:p>
    <w:p w14:paraId="378A0192">
      <w:pPr>
        <w:pStyle w:val="19"/>
        <w:spacing w:line="360" w:lineRule="auto"/>
        <w:ind w:left="3960" w:right="1808"/>
        <w:contextualSpacing/>
        <w:rPr>
          <w:rFonts w:ascii="宋体" w:hAnsi="宋体" w:cs="宋体"/>
          <w:kern w:val="24"/>
        </w:rPr>
      </w:pPr>
      <w:r>
        <w:rPr>
          <w:rFonts w:hint="eastAsia" w:ascii="宋体" w:hAnsi="宋体" w:cs="宋体"/>
          <w:kern w:val="24"/>
        </w:rPr>
        <w:t>企业名称（公章）：</w:t>
      </w:r>
      <w:r>
        <w:rPr>
          <w:rFonts w:hint="eastAsia" w:ascii="宋体" w:hAnsi="宋体" w:cs="宋体"/>
          <w:kern w:val="24"/>
          <w:u w:val="single"/>
        </w:rPr>
        <w:t xml:space="preserve"> </w:t>
      </w:r>
      <w:r>
        <w:rPr>
          <w:rFonts w:ascii="宋体" w:hAnsi="宋体" w:cs="宋体"/>
          <w:kern w:val="24"/>
          <w:u w:val="single"/>
        </w:rPr>
        <w:t xml:space="preserve">         </w:t>
      </w:r>
      <w:r>
        <w:rPr>
          <w:rFonts w:hint="eastAsia" w:ascii="宋体" w:hAnsi="宋体" w:cs="宋体"/>
          <w:kern w:val="24"/>
        </w:rPr>
        <w:t xml:space="preserve"> </w:t>
      </w:r>
    </w:p>
    <w:p w14:paraId="1E9C51CB">
      <w:pPr>
        <w:pStyle w:val="19"/>
        <w:spacing w:line="360" w:lineRule="auto"/>
        <w:ind w:left="3960" w:right="1808"/>
        <w:contextualSpacing/>
        <w:rPr>
          <w:rFonts w:ascii="宋体" w:hAnsi="宋体" w:cs="宋体"/>
          <w:kern w:val="24"/>
        </w:rPr>
      </w:pPr>
      <w:r>
        <w:rPr>
          <w:rFonts w:hint="eastAsia" w:ascii="宋体" w:hAnsi="宋体" w:cs="宋体"/>
          <w:spacing w:val="20"/>
        </w:rPr>
        <w:t>日 期：</w:t>
      </w:r>
      <w:r>
        <w:rPr>
          <w:rFonts w:hint="eastAsia" w:ascii="宋体" w:hAnsi="宋体" w:cs="宋体"/>
          <w:spacing w:val="20"/>
          <w:u w:val="single"/>
        </w:rPr>
        <w:t xml:space="preserve"> </w:t>
      </w:r>
      <w:r>
        <w:rPr>
          <w:rFonts w:ascii="宋体" w:hAnsi="宋体" w:cs="宋体"/>
          <w:spacing w:val="20"/>
          <w:u w:val="single"/>
        </w:rPr>
        <w:t xml:space="preserve">  </w:t>
      </w:r>
      <w:r>
        <w:rPr>
          <w:rFonts w:hint="eastAsia" w:ascii="宋体" w:hAnsi="宋体" w:cs="宋体"/>
          <w:spacing w:val="20"/>
          <w:u w:val="single"/>
        </w:rPr>
        <w:t xml:space="preserve">  </w:t>
      </w:r>
      <w:r>
        <w:rPr>
          <w:rFonts w:hint="eastAsia" w:ascii="宋体" w:hAnsi="宋体" w:cs="宋体"/>
          <w:spacing w:val="20"/>
        </w:rPr>
        <w:t>年</w:t>
      </w:r>
      <w:r>
        <w:rPr>
          <w:rFonts w:hint="eastAsia" w:ascii="宋体" w:hAnsi="宋体" w:cs="宋体"/>
          <w:spacing w:val="20"/>
          <w:u w:val="single"/>
        </w:rPr>
        <w:t xml:space="preserve">  </w:t>
      </w:r>
      <w:r>
        <w:rPr>
          <w:rFonts w:hint="eastAsia" w:ascii="宋体" w:hAnsi="宋体" w:cs="宋体"/>
          <w:spacing w:val="20"/>
        </w:rPr>
        <w:t>月</w:t>
      </w:r>
      <w:r>
        <w:rPr>
          <w:rFonts w:hint="eastAsia" w:ascii="宋体" w:hAnsi="宋体" w:cs="宋体"/>
          <w:spacing w:val="20"/>
          <w:u w:val="single"/>
        </w:rPr>
        <w:t xml:space="preserve">  </w:t>
      </w:r>
      <w:r>
        <w:rPr>
          <w:rFonts w:hint="eastAsia" w:ascii="宋体" w:hAnsi="宋体" w:cs="宋体"/>
          <w:spacing w:val="20"/>
        </w:rPr>
        <w:t>日</w:t>
      </w:r>
    </w:p>
    <w:p w14:paraId="305EBAF9">
      <w:pPr>
        <w:pStyle w:val="19"/>
        <w:spacing w:line="360" w:lineRule="auto"/>
        <w:ind w:left="3960" w:right="1808"/>
        <w:contextualSpacing/>
        <w:rPr>
          <w:rFonts w:ascii="宋体" w:hAnsi="宋体" w:cs="宋体"/>
          <w:kern w:val="24"/>
        </w:rPr>
      </w:pPr>
    </w:p>
    <w:p w14:paraId="03AAA996">
      <w:pPr>
        <w:pStyle w:val="19"/>
        <w:spacing w:line="360" w:lineRule="auto"/>
        <w:ind w:left="-426" w:right="142" w:firstLine="567"/>
        <w:contextualSpacing/>
        <w:rPr>
          <w:rFonts w:ascii="楷体" w:hAnsi="楷体" w:eastAsia="楷体" w:cs="宋体"/>
          <w:b/>
          <w:kern w:val="24"/>
        </w:rPr>
      </w:pPr>
      <w:r>
        <w:rPr>
          <w:rFonts w:hint="eastAsia" w:ascii="楷体" w:hAnsi="楷体" w:eastAsia="楷体" w:cs="宋体"/>
          <w:b/>
          <w:kern w:val="24"/>
        </w:rPr>
        <w:t>注：</w:t>
      </w:r>
    </w:p>
    <w:p w14:paraId="060B3D42">
      <w:pPr>
        <w:pStyle w:val="19"/>
        <w:spacing w:line="360" w:lineRule="auto"/>
        <w:ind w:left="-426" w:right="142" w:firstLine="567"/>
        <w:contextualSpacing/>
        <w:rPr>
          <w:rFonts w:ascii="楷体" w:hAnsi="楷体" w:eastAsia="楷体" w:cs="宋体"/>
          <w:kern w:val="24"/>
        </w:rPr>
      </w:pPr>
      <w:r>
        <w:rPr>
          <w:rFonts w:hint="eastAsia" w:ascii="楷体" w:hAnsi="楷体" w:eastAsia="楷体" w:cs="宋体"/>
          <w:kern w:val="24"/>
        </w:rPr>
        <w:t>享受《政府采购促进中小企业发展管理办法》（财库〔</w:t>
      </w:r>
      <w:r>
        <w:rPr>
          <w:rFonts w:ascii="楷体" w:hAnsi="楷体" w:eastAsia="楷体" w:cs="宋体"/>
          <w:kern w:val="24"/>
        </w:rPr>
        <w:t>2020〕46号）规定的中小企业扶持政策的，采购人、采购代理机构应当随中标结果公开中标供应商的《中小企业声明函》。从业人员、营业收入、资产总额填报上一年度数据，无上</w:t>
      </w:r>
      <w:r>
        <w:rPr>
          <w:rFonts w:hint="eastAsia" w:ascii="楷体" w:hAnsi="楷体" w:eastAsia="楷体" w:cs="宋体"/>
          <w:kern w:val="24"/>
        </w:rPr>
        <w:t>一年度数据的新成立企业可不填报。</w:t>
      </w:r>
    </w:p>
    <w:p w14:paraId="55966604">
      <w:pPr>
        <w:snapToGrid w:val="0"/>
        <w:spacing w:before="120" w:beforeLines="50" w:after="50"/>
        <w:ind w:left="142"/>
        <w:jc w:val="left"/>
        <w:rPr>
          <w:rFonts w:ascii="宋体" w:hAnsi="宋体" w:cs="宋体"/>
          <w:b/>
          <w:sz w:val="24"/>
        </w:rPr>
      </w:pPr>
    </w:p>
    <w:p w14:paraId="05AD43AD">
      <w:pPr>
        <w:rPr>
          <w:rFonts w:hAnsi="宋体" w:cs="宋体"/>
          <w:sz w:val="32"/>
          <w:szCs w:val="32"/>
        </w:rPr>
      </w:pPr>
      <w:r>
        <w:rPr>
          <w:rFonts w:hint="eastAsia" w:hAnsi="宋体" w:cs="宋体"/>
          <w:sz w:val="32"/>
          <w:szCs w:val="32"/>
        </w:rPr>
        <w:br w:type="page"/>
      </w:r>
    </w:p>
    <w:p w14:paraId="112AE09F">
      <w:pPr>
        <w:snapToGrid w:val="0"/>
        <w:spacing w:before="120" w:beforeLines="50" w:after="50"/>
        <w:ind w:left="142"/>
        <w:jc w:val="left"/>
        <w:rPr>
          <w:rFonts w:ascii="宋体" w:hAnsi="宋体" w:cs="宋体"/>
          <w:b/>
          <w:sz w:val="24"/>
        </w:rPr>
      </w:pPr>
      <w:r>
        <w:rPr>
          <w:rFonts w:hint="eastAsia" w:ascii="宋体" w:hAnsi="宋体" w:cs="宋体"/>
          <w:b/>
          <w:sz w:val="24"/>
        </w:rPr>
        <w:t>3.残疾人福利性单位声明函格式</w:t>
      </w:r>
    </w:p>
    <w:p w14:paraId="16D089A2">
      <w:pPr>
        <w:spacing w:line="588" w:lineRule="exact"/>
        <w:jc w:val="center"/>
        <w:rPr>
          <w:rFonts w:ascii="宋体" w:hAnsi="宋体" w:cs="宋体"/>
          <w:b/>
          <w:spacing w:val="6"/>
          <w:sz w:val="32"/>
          <w:szCs w:val="32"/>
        </w:rPr>
      </w:pPr>
    </w:p>
    <w:p w14:paraId="1E4015EB">
      <w:pPr>
        <w:spacing w:line="588" w:lineRule="exact"/>
        <w:jc w:val="center"/>
        <w:rPr>
          <w:rFonts w:ascii="宋体" w:hAnsi="宋体" w:cs="宋体"/>
          <w:bCs/>
          <w:spacing w:val="6"/>
          <w:sz w:val="44"/>
          <w:szCs w:val="44"/>
        </w:rPr>
      </w:pPr>
      <w:r>
        <w:rPr>
          <w:rFonts w:hint="eastAsia" w:ascii="宋体" w:hAnsi="宋体" w:cs="宋体"/>
          <w:bCs/>
          <w:spacing w:val="6"/>
          <w:sz w:val="44"/>
          <w:szCs w:val="44"/>
        </w:rPr>
        <w:t>残疾人福利性单位声明函</w:t>
      </w:r>
    </w:p>
    <w:p w14:paraId="065CB904">
      <w:pPr>
        <w:spacing w:line="360" w:lineRule="auto"/>
        <w:contextualSpacing/>
        <w:rPr>
          <w:rFonts w:ascii="宋体" w:hAnsi="宋体" w:cs="宋体"/>
          <w:bCs/>
          <w:spacing w:val="6"/>
          <w:sz w:val="30"/>
          <w:szCs w:val="30"/>
        </w:rPr>
      </w:pPr>
    </w:p>
    <w:p w14:paraId="2B470B9F">
      <w:pPr>
        <w:spacing w:line="360" w:lineRule="auto"/>
        <w:ind w:firstLine="504" w:firstLineChars="200"/>
        <w:contextualSpacing/>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w:t>
      </w:r>
      <w:r>
        <w:rPr>
          <w:rFonts w:hint="eastAsia" w:ascii="宋体" w:hAnsi="宋体" w:cs="宋体"/>
          <w:spacing w:val="-6"/>
          <w:sz w:val="24"/>
        </w:rPr>
        <w:t>疾人福利性单位制造的货物（不包括使用非残疾人福利性单位注册商标的货物）。</w:t>
      </w:r>
    </w:p>
    <w:p w14:paraId="63C80AA1">
      <w:pPr>
        <w:spacing w:line="360" w:lineRule="auto"/>
        <w:ind w:firstLine="504" w:firstLineChars="200"/>
        <w:contextualSpacing/>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5829531C">
      <w:pPr>
        <w:spacing w:line="360" w:lineRule="auto"/>
        <w:ind w:firstLine="504" w:firstLineChars="200"/>
        <w:contextualSpacing/>
        <w:rPr>
          <w:rFonts w:ascii="宋体" w:hAnsi="宋体" w:cs="宋体"/>
          <w:spacing w:val="6"/>
          <w:sz w:val="24"/>
        </w:rPr>
      </w:pPr>
    </w:p>
    <w:p w14:paraId="07E62EB7">
      <w:pPr>
        <w:spacing w:line="360" w:lineRule="auto"/>
        <w:ind w:firstLine="504" w:firstLineChars="200"/>
        <w:contextualSpacing/>
        <w:rPr>
          <w:rFonts w:ascii="宋体" w:hAnsi="宋体" w:cs="宋体"/>
          <w:spacing w:val="6"/>
          <w:sz w:val="24"/>
        </w:rPr>
      </w:pPr>
    </w:p>
    <w:p w14:paraId="2F65AB66">
      <w:pPr>
        <w:tabs>
          <w:tab w:val="left" w:pos="4860"/>
        </w:tabs>
        <w:spacing w:line="360" w:lineRule="auto"/>
        <w:ind w:right="1560" w:firstLine="504" w:firstLineChars="200"/>
        <w:contextualSpacing/>
        <w:jc w:val="center"/>
        <w:rPr>
          <w:rFonts w:ascii="宋体" w:hAnsi="宋体" w:cs="宋体"/>
          <w:spacing w:val="6"/>
          <w:sz w:val="24"/>
          <w:u w:val="single"/>
        </w:rPr>
      </w:pPr>
      <w:r>
        <w:rPr>
          <w:rFonts w:hint="eastAsia" w:ascii="宋体" w:hAnsi="宋体" w:cs="宋体"/>
          <w:spacing w:val="6"/>
          <w:sz w:val="24"/>
        </w:rPr>
        <w:t>单位名称（公章）：</w:t>
      </w:r>
      <w:r>
        <w:rPr>
          <w:rFonts w:hint="eastAsia" w:ascii="宋体" w:hAnsi="宋体" w:cs="宋体"/>
          <w:spacing w:val="6"/>
          <w:sz w:val="24"/>
          <w:u w:val="single"/>
        </w:rPr>
        <w:t xml:space="preserve"> </w:t>
      </w:r>
      <w:r>
        <w:rPr>
          <w:rFonts w:ascii="宋体" w:hAnsi="宋体" w:cs="宋体"/>
          <w:spacing w:val="6"/>
          <w:sz w:val="24"/>
          <w:u w:val="single"/>
        </w:rPr>
        <w:t xml:space="preserve">              </w:t>
      </w:r>
    </w:p>
    <w:p w14:paraId="62FA0CDB">
      <w:pPr>
        <w:spacing w:line="360" w:lineRule="auto"/>
        <w:contextualSpacing/>
        <w:rPr>
          <w:rFonts w:ascii="宋体" w:hAnsi="宋体" w:cs="宋体"/>
          <w:sz w:val="24"/>
        </w:rPr>
      </w:pPr>
      <w:r>
        <w:rPr>
          <w:rFonts w:hint="eastAsia" w:ascii="宋体" w:hAnsi="宋体" w:cs="宋体"/>
          <w:spacing w:val="20"/>
          <w:sz w:val="24"/>
        </w:rPr>
        <w:t xml:space="preserve"> </w:t>
      </w:r>
      <w:r>
        <w:rPr>
          <w:rFonts w:ascii="宋体" w:hAnsi="宋体" w:cs="宋体"/>
          <w:spacing w:val="20"/>
          <w:sz w:val="24"/>
        </w:rPr>
        <w:t xml:space="preserve">                 </w:t>
      </w:r>
      <w:r>
        <w:rPr>
          <w:rFonts w:hint="eastAsia" w:ascii="宋体" w:hAnsi="宋体" w:cs="宋体"/>
          <w:spacing w:val="20"/>
          <w:sz w:val="24"/>
        </w:rPr>
        <w:t>日 期：</w:t>
      </w:r>
      <w:r>
        <w:rPr>
          <w:rFonts w:hint="eastAsia" w:ascii="黑体" w:hAnsi="黑体" w:eastAsia="黑体" w:cs="宋体"/>
          <w:b/>
          <w:spacing w:val="20"/>
          <w:sz w:val="24"/>
          <w:u w:val="single"/>
        </w:rPr>
        <w:t xml:space="preserve"> </w:t>
      </w:r>
      <w:r>
        <w:rPr>
          <w:rFonts w:ascii="黑体" w:hAnsi="黑体" w:eastAsia="黑体" w:cs="宋体"/>
          <w:b/>
          <w:spacing w:val="20"/>
          <w:sz w:val="24"/>
          <w:u w:val="single"/>
        </w:rPr>
        <w:t xml:space="preserve">  </w:t>
      </w:r>
      <w:r>
        <w:rPr>
          <w:rFonts w:hint="eastAsia" w:ascii="黑体" w:hAnsi="黑体" w:eastAsia="黑体" w:cs="宋体"/>
          <w:b/>
          <w:spacing w:val="20"/>
          <w:sz w:val="24"/>
          <w:u w:val="single"/>
        </w:rPr>
        <w:t xml:space="preserve">  </w:t>
      </w:r>
      <w:r>
        <w:rPr>
          <w:rFonts w:hint="eastAsia" w:ascii="黑体" w:hAnsi="黑体" w:eastAsia="黑体" w:cs="宋体"/>
          <w:spacing w:val="20"/>
          <w:sz w:val="24"/>
        </w:rPr>
        <w:t>年</w:t>
      </w:r>
      <w:r>
        <w:rPr>
          <w:rFonts w:ascii="黑体" w:hAnsi="黑体" w:eastAsia="黑体" w:cs="宋体"/>
          <w:spacing w:val="20"/>
          <w:sz w:val="24"/>
          <w:u w:val="single"/>
        </w:rPr>
        <w:t xml:space="preserve">  </w:t>
      </w:r>
      <w:r>
        <w:rPr>
          <w:rFonts w:hint="eastAsia" w:ascii="黑体" w:hAnsi="黑体" w:eastAsia="黑体" w:cs="宋体"/>
          <w:spacing w:val="20"/>
          <w:sz w:val="24"/>
        </w:rPr>
        <w:t>月</w:t>
      </w:r>
      <w:r>
        <w:rPr>
          <w:rFonts w:ascii="黑体" w:hAnsi="黑体" w:eastAsia="黑体" w:cs="宋体"/>
          <w:spacing w:val="20"/>
          <w:sz w:val="24"/>
          <w:u w:val="single"/>
        </w:rPr>
        <w:t xml:space="preserve">  </w:t>
      </w:r>
      <w:r>
        <w:rPr>
          <w:rFonts w:hint="eastAsia" w:ascii="宋体" w:hAnsi="宋体" w:cs="宋体"/>
          <w:spacing w:val="20"/>
          <w:sz w:val="24"/>
        </w:rPr>
        <w:t>日</w:t>
      </w:r>
    </w:p>
    <w:p w14:paraId="031291A3">
      <w:pPr>
        <w:spacing w:line="360" w:lineRule="auto"/>
        <w:contextualSpacing/>
        <w:rPr>
          <w:rFonts w:ascii="宋体" w:hAnsi="宋体" w:cs="宋体"/>
          <w:sz w:val="24"/>
        </w:rPr>
      </w:pPr>
    </w:p>
    <w:p w14:paraId="38B790F0">
      <w:pPr>
        <w:spacing w:line="360" w:lineRule="auto"/>
        <w:contextualSpacing/>
        <w:rPr>
          <w:rFonts w:ascii="宋体" w:hAnsi="宋体" w:cs="宋体"/>
          <w:sz w:val="24"/>
        </w:rPr>
      </w:pPr>
    </w:p>
    <w:p w14:paraId="378FC17D">
      <w:pPr>
        <w:spacing w:line="360" w:lineRule="auto"/>
        <w:contextualSpacing/>
        <w:rPr>
          <w:rFonts w:ascii="楷体" w:hAnsi="楷体" w:eastAsia="楷体" w:cs="宋体"/>
          <w:b/>
          <w:sz w:val="24"/>
        </w:rPr>
      </w:pPr>
      <w:r>
        <w:rPr>
          <w:rFonts w:hint="eastAsia" w:ascii="楷体" w:hAnsi="楷体" w:eastAsia="楷体" w:cs="宋体"/>
          <w:b/>
          <w:sz w:val="24"/>
        </w:rPr>
        <w:t>注：</w:t>
      </w:r>
    </w:p>
    <w:p w14:paraId="689416AC">
      <w:pPr>
        <w:spacing w:line="360" w:lineRule="auto"/>
        <w:ind w:firstLine="480" w:firstLineChars="200"/>
        <w:contextualSpacing/>
        <w:rPr>
          <w:rFonts w:ascii="楷体" w:hAnsi="楷体" w:eastAsia="楷体" w:cs="宋体"/>
          <w:sz w:val="24"/>
        </w:rPr>
      </w:pPr>
      <w:r>
        <w:rPr>
          <w:rFonts w:hint="eastAsia" w:ascii="楷体" w:hAnsi="楷体" w:eastAsia="楷体" w:cs="宋体"/>
          <w:sz w:val="24"/>
        </w:rPr>
        <w:t>请根据自己的真实情况出具《残疾人福利性单位声明函》。依法享受中小企业优惠政策的，采购人或者采购代理机构在公告中标结果时，同时公告其《残疾人福利性单位声明函》，接受社会监督。</w:t>
      </w:r>
    </w:p>
    <w:p w14:paraId="22BD4923">
      <w:pPr>
        <w:spacing w:line="360" w:lineRule="auto"/>
        <w:jc w:val="left"/>
        <w:rPr>
          <w:rFonts w:ascii="宋体" w:hAnsi="宋体" w:cs="宋体"/>
          <w:sz w:val="24"/>
        </w:rPr>
      </w:pPr>
      <w:r>
        <w:rPr>
          <w:rFonts w:hint="eastAsia" w:ascii="宋体" w:hAnsi="宋体" w:cs="宋体"/>
          <w:sz w:val="24"/>
        </w:rPr>
        <w:br w:type="page"/>
      </w:r>
    </w:p>
    <w:p w14:paraId="2C70BC79">
      <w:pPr>
        <w:spacing w:line="360" w:lineRule="auto"/>
        <w:jc w:val="left"/>
        <w:rPr>
          <w:rFonts w:ascii="宋体" w:hAnsi="宋体" w:cs="宋体"/>
          <w:b/>
          <w:sz w:val="24"/>
        </w:rPr>
      </w:pPr>
      <w:r>
        <w:rPr>
          <w:rFonts w:hint="eastAsia" w:ascii="宋体" w:hAnsi="宋体" w:cs="宋体"/>
          <w:b/>
          <w:sz w:val="24"/>
        </w:rPr>
        <w:t>4.关于符合本国产品标准的声明函</w:t>
      </w:r>
    </w:p>
    <w:p w14:paraId="777E0A79">
      <w:pPr>
        <w:jc w:val="center"/>
        <w:rPr>
          <w:rFonts w:ascii="宋体" w:hAnsi="宋体" w:cs="宋体"/>
          <w:sz w:val="24"/>
        </w:rPr>
      </w:pPr>
      <w:r>
        <w:rPr>
          <w:rFonts w:hint="eastAsia" w:ascii="宋体" w:hAnsi="宋体" w:cs="宋体"/>
          <w:b/>
          <w:bCs/>
          <w:sz w:val="44"/>
          <w:szCs w:val="44"/>
        </w:rPr>
        <w:t>关于符合本国产品标准的声明函</w:t>
      </w:r>
    </w:p>
    <w:p w14:paraId="7051DC78">
      <w:pPr>
        <w:spacing w:line="360" w:lineRule="auto"/>
        <w:ind w:firstLine="480" w:firstLineChars="200"/>
        <w:rPr>
          <w:rFonts w:ascii="宋体" w:hAnsi="宋体" w:cs="宋体"/>
          <w:sz w:val="24"/>
        </w:rPr>
      </w:pPr>
    </w:p>
    <w:p w14:paraId="28924AED">
      <w:pPr>
        <w:spacing w:line="360" w:lineRule="auto"/>
        <w:ind w:firstLine="480" w:firstLineChars="200"/>
        <w:rPr>
          <w:rFonts w:ascii="宋体" w:hAnsi="宋体" w:cs="宋体"/>
          <w:sz w:val="24"/>
        </w:rPr>
      </w:pPr>
      <w:r>
        <w:rPr>
          <w:rFonts w:hint="eastAsia"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14:paraId="07079096">
      <w:pPr>
        <w:spacing w:line="360" w:lineRule="auto"/>
        <w:ind w:firstLine="480" w:firstLineChars="200"/>
        <w:rPr>
          <w:rFonts w:ascii="宋体" w:hAnsi="宋体" w:cs="宋体"/>
          <w:sz w:val="24"/>
        </w:rPr>
      </w:pPr>
      <w:r>
        <w:rPr>
          <w:rFonts w:hint="eastAsia" w:ascii="宋体" w:hAnsi="宋体" w:cs="宋体"/>
          <w:sz w:val="24"/>
        </w:rPr>
        <w:t>1.(产品名称1)1，生产厂为(厂名)2，厂址为(生产厂址)。(产品名称1)的中国境内生产的组件成本占比≥(规定比例)3。(产品名称1)的(关键组件)4在中国境内生产。(产品名称1)的(关键工序)5在中国境内完成。</w:t>
      </w:r>
    </w:p>
    <w:p w14:paraId="7941BCA1">
      <w:pPr>
        <w:spacing w:line="360" w:lineRule="auto"/>
        <w:ind w:firstLine="480" w:firstLineChars="200"/>
        <w:rPr>
          <w:rFonts w:ascii="宋体" w:hAnsi="宋体" w:cs="宋体"/>
          <w:sz w:val="24"/>
        </w:rPr>
      </w:pPr>
      <w:r>
        <w:rPr>
          <w:rFonts w:hint="eastAsia" w:ascii="宋体" w:hAnsi="宋体" w:cs="宋体"/>
          <w:sz w:val="24"/>
        </w:rPr>
        <w:t>2.(产品名称2)，生产厂为(厂名)，厂址为(生产厂址)。(产品名称2)的中国境内生产的组件成本占比≥(规定比例)。(产品名称2)的(关键组件)在中国境内生产。(产品名称2)的(关键工序)在中国境内完成。</w:t>
      </w:r>
    </w:p>
    <w:p w14:paraId="08954FEE">
      <w:pPr>
        <w:spacing w:line="360" w:lineRule="auto"/>
        <w:ind w:firstLine="480" w:firstLineChars="200"/>
        <w:rPr>
          <w:rFonts w:ascii="宋体" w:hAnsi="宋体" w:cs="宋体"/>
          <w:sz w:val="24"/>
        </w:rPr>
      </w:pPr>
      <w:r>
        <w:rPr>
          <w:rFonts w:hint="eastAsia" w:ascii="宋体" w:hAnsi="宋体" w:cs="宋体"/>
          <w:sz w:val="24"/>
        </w:rPr>
        <w:t>……</w:t>
      </w:r>
    </w:p>
    <w:p w14:paraId="7548C65A">
      <w:pPr>
        <w:spacing w:line="360" w:lineRule="auto"/>
        <w:ind w:firstLine="480" w:firstLineChars="200"/>
        <w:rPr>
          <w:rFonts w:ascii="宋体" w:hAnsi="宋体" w:cs="宋体"/>
          <w:sz w:val="24"/>
        </w:rPr>
      </w:pPr>
      <w:r>
        <w:rPr>
          <w:rFonts w:hint="eastAsia" w:ascii="宋体" w:hAnsi="宋体" w:cs="宋体"/>
          <w:sz w:val="24"/>
        </w:rPr>
        <w:t>本公司(单位)对上述声明内容的真实性负责。如有虚假，愿承担相应法律责任。</w:t>
      </w:r>
    </w:p>
    <w:p w14:paraId="0B46BB21">
      <w:pPr>
        <w:spacing w:line="360" w:lineRule="auto"/>
        <w:rPr>
          <w:rFonts w:ascii="宋体" w:hAnsi="宋体" w:cs="宋体"/>
          <w:sz w:val="24"/>
        </w:rPr>
      </w:pPr>
    </w:p>
    <w:p w14:paraId="26650DDE">
      <w:pPr>
        <w:spacing w:line="360" w:lineRule="auto"/>
        <w:jc w:val="right"/>
        <w:rPr>
          <w:rFonts w:ascii="宋体" w:hAnsi="宋体" w:cs="宋体"/>
          <w:sz w:val="24"/>
        </w:rPr>
      </w:pPr>
      <w:r>
        <w:rPr>
          <w:rFonts w:hint="eastAsia" w:ascii="宋体" w:hAnsi="宋体" w:cs="宋体"/>
          <w:sz w:val="24"/>
        </w:rPr>
        <w:t>公司(单位)名称(盖章)：　        </w:t>
      </w:r>
    </w:p>
    <w:p w14:paraId="5F1FBBF0">
      <w:pPr>
        <w:spacing w:line="360" w:lineRule="auto"/>
        <w:jc w:val="right"/>
        <w:rPr>
          <w:rFonts w:ascii="宋体" w:hAnsi="宋体" w:cs="宋体"/>
          <w:sz w:val="24"/>
        </w:rPr>
      </w:pPr>
      <w:r>
        <w:rPr>
          <w:rFonts w:hint="eastAsia" w:ascii="宋体" w:hAnsi="宋体" w:cs="宋体"/>
          <w:sz w:val="24"/>
        </w:rPr>
        <w:t>日期：　     年　  月　  日         </w:t>
      </w:r>
    </w:p>
    <w:p w14:paraId="16C0D6D7">
      <w:pPr>
        <w:spacing w:line="360" w:lineRule="auto"/>
        <w:ind w:firstLine="480" w:firstLineChars="200"/>
        <w:rPr>
          <w:rFonts w:ascii="宋体" w:hAnsi="宋体" w:cs="宋体"/>
          <w:sz w:val="24"/>
        </w:rPr>
      </w:pPr>
    </w:p>
    <w:p w14:paraId="1B5D429F">
      <w:pPr>
        <w:spacing w:line="360" w:lineRule="auto"/>
        <w:ind w:firstLine="480" w:firstLineChars="200"/>
        <w:rPr>
          <w:rFonts w:ascii="楷体" w:hAnsi="楷体" w:eastAsia="楷体" w:cs="宋体"/>
          <w:sz w:val="24"/>
        </w:rPr>
      </w:pPr>
      <w:r>
        <w:rPr>
          <w:rFonts w:hint="eastAsia" w:ascii="楷体" w:hAnsi="楷体" w:eastAsia="楷体" w:cs="宋体"/>
          <w:sz w:val="24"/>
        </w:rPr>
        <w:t>1.产品如有型号，请在“产品名称”栏一并填写。</w:t>
      </w:r>
    </w:p>
    <w:p w14:paraId="0F826FEE">
      <w:pPr>
        <w:spacing w:line="360" w:lineRule="auto"/>
        <w:ind w:firstLine="480" w:firstLineChars="200"/>
        <w:rPr>
          <w:rFonts w:ascii="楷体" w:hAnsi="楷体" w:eastAsia="楷体" w:cs="宋体"/>
          <w:sz w:val="24"/>
        </w:rPr>
      </w:pPr>
      <w:r>
        <w:rPr>
          <w:rFonts w:hint="eastAsia" w:ascii="楷体" w:hAnsi="楷体" w:eastAsia="楷体" w:cs="宋体"/>
          <w:sz w:val="24"/>
        </w:rPr>
        <w:t>2.生产厂名与厂址应与生产厂营业执照载明的相关信息保持一致。</w:t>
      </w:r>
    </w:p>
    <w:p w14:paraId="713649DC">
      <w:pPr>
        <w:spacing w:line="360" w:lineRule="auto"/>
        <w:ind w:firstLine="480" w:firstLineChars="200"/>
        <w:rPr>
          <w:rFonts w:ascii="楷体" w:hAnsi="楷体" w:eastAsia="楷体" w:cs="宋体"/>
          <w:sz w:val="24"/>
        </w:rPr>
      </w:pPr>
      <w:r>
        <w:rPr>
          <w:rFonts w:hint="eastAsia" w:ascii="楷体" w:hAnsi="楷体" w:eastAsia="楷体" w:cs="宋体"/>
          <w:sz w:val="24"/>
        </w:rPr>
        <w:t>3.该产品的中国境内生产的组件成本占比相关要求实施前，“规定比例”栏可不填，下同。</w:t>
      </w:r>
    </w:p>
    <w:p w14:paraId="7A5C4CAE">
      <w:pPr>
        <w:spacing w:line="360" w:lineRule="auto"/>
        <w:ind w:firstLine="480" w:firstLineChars="200"/>
        <w:rPr>
          <w:rFonts w:ascii="楷体" w:hAnsi="楷体" w:eastAsia="楷体" w:cs="宋体"/>
          <w:sz w:val="24"/>
        </w:rPr>
      </w:pPr>
      <w:r>
        <w:rPr>
          <w:rFonts w:hint="eastAsia" w:ascii="楷体" w:hAnsi="楷体" w:eastAsia="楷体" w:cs="宋体"/>
          <w:sz w:val="24"/>
        </w:rPr>
        <w:t>4.该产品的关键组件要求实施前，“关键组件”栏可不填，下同。</w:t>
      </w:r>
    </w:p>
    <w:p w14:paraId="2819D95C">
      <w:pPr>
        <w:spacing w:line="360" w:lineRule="auto"/>
        <w:ind w:firstLine="480" w:firstLineChars="200"/>
        <w:rPr>
          <w:rFonts w:ascii="楷体" w:hAnsi="楷体" w:eastAsia="楷体" w:cs="宋体"/>
          <w:sz w:val="24"/>
        </w:rPr>
      </w:pPr>
      <w:r>
        <w:rPr>
          <w:rFonts w:hint="eastAsia" w:ascii="楷体" w:hAnsi="楷体" w:eastAsia="楷体" w:cs="宋体"/>
          <w:sz w:val="24"/>
        </w:rPr>
        <w:t>5.该产品的关键工序要求实施前，“关键工序”栏可不填，下同。</w:t>
      </w:r>
    </w:p>
    <w:p w14:paraId="16D9481E">
      <w:pPr>
        <w:spacing w:line="360" w:lineRule="auto"/>
        <w:jc w:val="left"/>
        <w:rPr>
          <w:rFonts w:ascii="宋体" w:hAnsi="宋体" w:cs="宋体"/>
          <w:sz w:val="24"/>
        </w:rPr>
      </w:pPr>
    </w:p>
    <w:p w14:paraId="3E82CBE9">
      <w:pPr>
        <w:spacing w:line="360" w:lineRule="auto"/>
        <w:jc w:val="left"/>
        <w:rPr>
          <w:rFonts w:ascii="宋体" w:hAnsi="宋体" w:cs="宋体"/>
          <w:sz w:val="24"/>
        </w:rPr>
      </w:pPr>
    </w:p>
    <w:p w14:paraId="50EEE9E1">
      <w:pPr>
        <w:spacing w:line="360" w:lineRule="auto"/>
        <w:jc w:val="left"/>
        <w:rPr>
          <w:rFonts w:ascii="宋体" w:hAnsi="宋体" w:cs="宋体"/>
          <w:sz w:val="24"/>
        </w:rPr>
      </w:pPr>
    </w:p>
    <w:p w14:paraId="273CD550">
      <w:pPr>
        <w:spacing w:line="360" w:lineRule="auto"/>
        <w:jc w:val="left"/>
        <w:rPr>
          <w:rFonts w:ascii="宋体" w:hAnsi="宋体" w:cs="宋体"/>
          <w:sz w:val="24"/>
        </w:rPr>
      </w:pPr>
    </w:p>
    <w:p w14:paraId="113B6F58">
      <w:pPr>
        <w:spacing w:line="360" w:lineRule="auto"/>
        <w:jc w:val="left"/>
        <w:rPr>
          <w:rFonts w:ascii="宋体" w:hAnsi="宋体" w:cs="宋体"/>
          <w:sz w:val="24"/>
        </w:rPr>
      </w:pPr>
    </w:p>
    <w:p w14:paraId="0CC55B27">
      <w:pPr>
        <w:spacing w:line="360" w:lineRule="auto"/>
        <w:jc w:val="left"/>
        <w:rPr>
          <w:rFonts w:ascii="宋体" w:hAnsi="宋体" w:cs="宋体"/>
          <w:sz w:val="24"/>
        </w:rPr>
      </w:pPr>
    </w:p>
    <w:p w14:paraId="6DE5D102">
      <w:pPr>
        <w:spacing w:line="360" w:lineRule="auto"/>
        <w:jc w:val="left"/>
        <w:rPr>
          <w:rFonts w:ascii="宋体" w:hAnsi="宋体" w:cs="宋体"/>
          <w:sz w:val="24"/>
        </w:rPr>
      </w:pPr>
      <w:r>
        <w:rPr>
          <w:rFonts w:ascii="宋体" w:hAnsi="宋体" w:cs="宋体"/>
          <w:b/>
          <w:sz w:val="24"/>
        </w:rPr>
        <w:t>5</w:t>
      </w:r>
      <w:r>
        <w:rPr>
          <w:rFonts w:hint="eastAsia" w:ascii="宋体" w:hAnsi="宋体" w:cs="宋体"/>
          <w:b/>
          <w:sz w:val="24"/>
        </w:rPr>
        <w:t>.质疑函格式</w:t>
      </w:r>
    </w:p>
    <w:p w14:paraId="61FE1039">
      <w:pPr>
        <w:spacing w:line="360" w:lineRule="auto"/>
        <w:jc w:val="center"/>
        <w:rPr>
          <w:rFonts w:ascii="宋体" w:hAnsi="宋体" w:cs="宋体"/>
          <w:sz w:val="44"/>
          <w:szCs w:val="44"/>
        </w:rPr>
      </w:pPr>
      <w:r>
        <w:rPr>
          <w:rFonts w:hint="eastAsia" w:ascii="宋体" w:hAnsi="宋体" w:cs="宋体"/>
          <w:sz w:val="44"/>
          <w:szCs w:val="44"/>
        </w:rPr>
        <w:t>质疑函</w:t>
      </w:r>
    </w:p>
    <w:p w14:paraId="0E38E20D">
      <w:pPr>
        <w:pStyle w:val="26"/>
        <w:snapToGrid w:val="0"/>
        <w:spacing w:line="360" w:lineRule="auto"/>
        <w:ind w:firstLine="482" w:firstLineChars="200"/>
        <w:rPr>
          <w:rFonts w:hAnsi="宋体" w:cs="宋体"/>
          <w:b/>
          <w:bCs/>
          <w:sz w:val="24"/>
          <w:szCs w:val="24"/>
        </w:rPr>
      </w:pPr>
      <w:r>
        <w:rPr>
          <w:rFonts w:hint="eastAsia" w:hAnsi="宋体" w:cs="宋体"/>
          <w:b/>
          <w:bCs/>
          <w:sz w:val="24"/>
          <w:szCs w:val="24"/>
        </w:rPr>
        <w:t>一、质疑供应商基本信息：</w:t>
      </w:r>
    </w:p>
    <w:p w14:paraId="00EE9CE4">
      <w:pPr>
        <w:pStyle w:val="26"/>
        <w:snapToGrid w:val="0"/>
        <w:spacing w:line="360" w:lineRule="auto"/>
        <w:ind w:firstLine="480" w:firstLineChars="200"/>
        <w:rPr>
          <w:rFonts w:hAnsi="宋体" w:cs="宋体"/>
          <w:bCs/>
          <w:sz w:val="24"/>
          <w:szCs w:val="24"/>
          <w:u w:val="single"/>
        </w:rPr>
      </w:pPr>
      <w:r>
        <w:rPr>
          <w:rFonts w:hint="eastAsia" w:hAnsi="宋体" w:cs="宋体"/>
          <w:bCs/>
          <w:sz w:val="24"/>
          <w:szCs w:val="24"/>
        </w:rPr>
        <w:t>质疑供应商：</w:t>
      </w:r>
      <w:r>
        <w:rPr>
          <w:rFonts w:hint="eastAsia" w:hAnsi="宋体" w:cs="宋体"/>
          <w:bCs/>
          <w:sz w:val="24"/>
          <w:szCs w:val="24"/>
          <w:u w:val="single"/>
        </w:rPr>
        <w:t xml:space="preserve">                                       </w:t>
      </w:r>
      <w:r>
        <w:rPr>
          <w:rFonts w:hint="eastAsia" w:hAnsi="宋体" w:cs="宋体"/>
          <w:bCs/>
          <w:sz w:val="24"/>
          <w:szCs w:val="24"/>
        </w:rPr>
        <w:t xml:space="preserve">                 </w:t>
      </w:r>
    </w:p>
    <w:p w14:paraId="4E1B5338">
      <w:pPr>
        <w:pStyle w:val="26"/>
        <w:snapToGrid w:val="0"/>
        <w:spacing w:line="360" w:lineRule="auto"/>
        <w:ind w:firstLine="480" w:firstLineChars="200"/>
        <w:rPr>
          <w:rFonts w:hAnsi="宋体" w:cs="宋体"/>
          <w:bCs/>
          <w:sz w:val="24"/>
          <w:szCs w:val="24"/>
        </w:rPr>
      </w:pPr>
      <w:r>
        <w:rPr>
          <w:rFonts w:hint="eastAsia" w:hAnsi="宋体" w:cs="宋体"/>
          <w:bCs/>
          <w:sz w:val="24"/>
          <w:szCs w:val="24"/>
        </w:rPr>
        <w:t>地址：</w:t>
      </w:r>
      <w:r>
        <w:rPr>
          <w:rFonts w:hint="eastAsia" w:hAnsi="宋体" w:cs="宋体"/>
          <w:bCs/>
          <w:sz w:val="24"/>
          <w:szCs w:val="24"/>
          <w:u w:val="single"/>
        </w:rPr>
        <w:t xml:space="preserve">                                          </w:t>
      </w:r>
      <w:r>
        <w:rPr>
          <w:rFonts w:hint="eastAsia" w:hAnsi="宋体" w:cs="宋体"/>
          <w:bCs/>
          <w:sz w:val="24"/>
          <w:szCs w:val="24"/>
        </w:rPr>
        <w:t>邮编：</w:t>
      </w:r>
      <w:r>
        <w:rPr>
          <w:rFonts w:hint="eastAsia" w:hAnsi="宋体" w:cs="宋体"/>
          <w:bCs/>
          <w:sz w:val="24"/>
          <w:szCs w:val="24"/>
          <w:u w:val="single"/>
        </w:rPr>
        <w:t xml:space="preserve">                  </w:t>
      </w:r>
      <w:r>
        <w:rPr>
          <w:rFonts w:hint="eastAsia" w:hAnsi="宋体" w:cs="宋体"/>
          <w:bCs/>
          <w:sz w:val="24"/>
          <w:szCs w:val="24"/>
        </w:rPr>
        <w:t xml:space="preserve">                 </w:t>
      </w:r>
    </w:p>
    <w:p w14:paraId="7DBD1EF7">
      <w:pPr>
        <w:pStyle w:val="26"/>
        <w:snapToGrid w:val="0"/>
        <w:spacing w:line="360" w:lineRule="auto"/>
        <w:ind w:firstLine="480" w:firstLineChars="200"/>
        <w:rPr>
          <w:rFonts w:hAnsi="宋体" w:cs="宋体"/>
          <w:bCs/>
          <w:sz w:val="24"/>
          <w:szCs w:val="24"/>
        </w:rPr>
      </w:pPr>
      <w:r>
        <w:rPr>
          <w:rFonts w:hint="eastAsia" w:hAnsi="宋体" w:cs="宋体"/>
          <w:bCs/>
          <w:sz w:val="24"/>
          <w:szCs w:val="24"/>
        </w:rPr>
        <w:t>联系人：</w:t>
      </w:r>
      <w:r>
        <w:rPr>
          <w:rFonts w:hint="eastAsia" w:hAnsi="宋体" w:cs="宋体"/>
          <w:bCs/>
          <w:sz w:val="24"/>
          <w:szCs w:val="24"/>
          <w:u w:val="single"/>
        </w:rPr>
        <w:t xml:space="preserve">                     </w:t>
      </w:r>
      <w:r>
        <w:rPr>
          <w:rFonts w:hint="eastAsia" w:hAnsi="宋体" w:cs="宋体"/>
          <w:bCs/>
          <w:sz w:val="24"/>
          <w:szCs w:val="24"/>
        </w:rPr>
        <w:t>联系电话：</w:t>
      </w:r>
      <w:r>
        <w:rPr>
          <w:rFonts w:hint="eastAsia" w:hAnsi="宋体" w:cs="宋体"/>
          <w:bCs/>
          <w:sz w:val="24"/>
          <w:szCs w:val="24"/>
          <w:u w:val="single"/>
        </w:rPr>
        <w:t xml:space="preserve">                 </w:t>
      </w:r>
    </w:p>
    <w:p w14:paraId="3722C380">
      <w:pPr>
        <w:pStyle w:val="26"/>
        <w:snapToGrid w:val="0"/>
        <w:spacing w:line="360" w:lineRule="auto"/>
        <w:ind w:firstLine="480" w:firstLineChars="200"/>
        <w:rPr>
          <w:rFonts w:hAnsi="宋体" w:cs="宋体"/>
          <w:bCs/>
          <w:sz w:val="24"/>
          <w:szCs w:val="24"/>
        </w:rPr>
      </w:pPr>
      <w:r>
        <w:rPr>
          <w:rFonts w:hint="eastAsia" w:hAnsi="宋体" w:cs="宋体"/>
          <w:bCs/>
          <w:sz w:val="24"/>
          <w:szCs w:val="24"/>
        </w:rPr>
        <w:t>授权代表：</w:t>
      </w:r>
      <w:r>
        <w:rPr>
          <w:rFonts w:hint="eastAsia" w:hAnsi="宋体" w:cs="宋体"/>
          <w:bCs/>
          <w:sz w:val="24"/>
          <w:szCs w:val="24"/>
          <w:u w:val="single"/>
        </w:rPr>
        <w:t xml:space="preserve">                      </w:t>
      </w:r>
    </w:p>
    <w:p w14:paraId="70DDD281">
      <w:pPr>
        <w:pStyle w:val="26"/>
        <w:snapToGrid w:val="0"/>
        <w:spacing w:line="360" w:lineRule="auto"/>
        <w:ind w:firstLine="480" w:firstLineChars="200"/>
        <w:rPr>
          <w:rFonts w:hAnsi="宋体" w:cs="宋体"/>
          <w:bCs/>
          <w:sz w:val="24"/>
          <w:szCs w:val="24"/>
          <w:u w:val="single"/>
        </w:rPr>
      </w:pPr>
      <w:r>
        <w:rPr>
          <w:rFonts w:hint="eastAsia" w:hAnsi="宋体" w:cs="宋体"/>
          <w:bCs/>
          <w:sz w:val="24"/>
          <w:szCs w:val="24"/>
        </w:rPr>
        <w:t>联系电话：</w:t>
      </w:r>
      <w:r>
        <w:rPr>
          <w:rFonts w:hint="eastAsia" w:hAnsi="宋体" w:cs="宋体"/>
          <w:bCs/>
          <w:sz w:val="24"/>
          <w:szCs w:val="24"/>
          <w:u w:val="single"/>
        </w:rPr>
        <w:t xml:space="preserve">                      </w:t>
      </w:r>
    </w:p>
    <w:p w14:paraId="234ADC0C">
      <w:pPr>
        <w:pStyle w:val="26"/>
        <w:snapToGrid w:val="0"/>
        <w:spacing w:line="360" w:lineRule="auto"/>
        <w:ind w:firstLine="480" w:firstLineChars="200"/>
        <w:rPr>
          <w:rFonts w:hAnsi="宋体" w:cs="宋体"/>
          <w:bCs/>
          <w:sz w:val="24"/>
          <w:szCs w:val="24"/>
        </w:rPr>
      </w:pPr>
      <w:r>
        <w:rPr>
          <w:rFonts w:hint="eastAsia" w:hAnsi="宋体" w:cs="宋体"/>
          <w:bCs/>
          <w:sz w:val="24"/>
          <w:szCs w:val="24"/>
        </w:rPr>
        <w:t>地址：</w:t>
      </w:r>
      <w:r>
        <w:rPr>
          <w:rFonts w:hint="eastAsia" w:hAnsi="宋体" w:cs="宋体"/>
          <w:bCs/>
          <w:sz w:val="24"/>
          <w:szCs w:val="24"/>
          <w:u w:val="single"/>
        </w:rPr>
        <w:t xml:space="preserve">                 </w:t>
      </w:r>
      <w:r>
        <w:rPr>
          <w:rFonts w:hint="eastAsia" w:hAnsi="宋体" w:cs="宋体"/>
          <w:bCs/>
          <w:sz w:val="24"/>
          <w:szCs w:val="24"/>
        </w:rPr>
        <w:t>邮编：</w:t>
      </w:r>
      <w:r>
        <w:rPr>
          <w:rFonts w:hint="eastAsia" w:hAnsi="宋体" w:cs="宋体"/>
          <w:bCs/>
          <w:sz w:val="24"/>
          <w:szCs w:val="24"/>
          <w:u w:val="single"/>
        </w:rPr>
        <w:t xml:space="preserve">                  </w:t>
      </w:r>
      <w:r>
        <w:rPr>
          <w:rFonts w:hint="eastAsia" w:hAnsi="宋体" w:cs="宋体"/>
          <w:bCs/>
          <w:sz w:val="24"/>
          <w:szCs w:val="24"/>
        </w:rPr>
        <w:t xml:space="preserve">     </w:t>
      </w:r>
    </w:p>
    <w:p w14:paraId="66563F48">
      <w:pPr>
        <w:pStyle w:val="26"/>
        <w:snapToGrid w:val="0"/>
        <w:spacing w:line="360" w:lineRule="auto"/>
        <w:ind w:firstLine="482" w:firstLineChars="200"/>
        <w:rPr>
          <w:rFonts w:hAnsi="宋体" w:cs="宋体"/>
          <w:b/>
          <w:bCs/>
          <w:sz w:val="24"/>
          <w:szCs w:val="24"/>
        </w:rPr>
      </w:pPr>
      <w:r>
        <w:rPr>
          <w:rFonts w:hint="eastAsia" w:hAnsi="宋体" w:cs="宋体"/>
          <w:b/>
          <w:bCs/>
          <w:sz w:val="24"/>
          <w:szCs w:val="24"/>
        </w:rPr>
        <w:t>二、质疑项目基本情况：</w:t>
      </w:r>
    </w:p>
    <w:p w14:paraId="3096388E">
      <w:pPr>
        <w:pStyle w:val="26"/>
        <w:spacing w:line="360" w:lineRule="auto"/>
        <w:ind w:left="25" w:leftChars="12" w:firstLine="472" w:firstLineChars="197"/>
        <w:rPr>
          <w:rFonts w:hAnsi="宋体" w:cs="宋体"/>
          <w:sz w:val="24"/>
          <w:szCs w:val="24"/>
        </w:rPr>
      </w:pPr>
      <w:r>
        <w:rPr>
          <w:rFonts w:hint="eastAsia" w:hAnsi="宋体" w:cs="宋体"/>
          <w:bCs/>
          <w:sz w:val="24"/>
          <w:szCs w:val="24"/>
        </w:rPr>
        <w:t>质疑</w:t>
      </w:r>
      <w:r>
        <w:rPr>
          <w:rFonts w:hint="eastAsia" w:hAnsi="宋体" w:cs="宋体"/>
          <w:sz w:val="24"/>
          <w:szCs w:val="24"/>
        </w:rPr>
        <w:t>项目的名称：</w:t>
      </w:r>
      <w:r>
        <w:rPr>
          <w:rFonts w:hint="eastAsia" w:hAnsi="宋体" w:cs="宋体"/>
          <w:bCs/>
          <w:sz w:val="24"/>
          <w:szCs w:val="24"/>
          <w:u w:val="single"/>
        </w:rPr>
        <w:t xml:space="preserve">                                     </w:t>
      </w:r>
    </w:p>
    <w:p w14:paraId="035A420B">
      <w:pPr>
        <w:pStyle w:val="26"/>
        <w:spacing w:line="360" w:lineRule="auto"/>
        <w:ind w:left="25" w:leftChars="12" w:firstLine="472" w:firstLineChars="197"/>
        <w:rPr>
          <w:rFonts w:hAnsi="宋体" w:cs="宋体"/>
          <w:sz w:val="24"/>
          <w:szCs w:val="24"/>
        </w:rPr>
      </w:pPr>
      <w:r>
        <w:rPr>
          <w:rFonts w:hint="eastAsia" w:hAnsi="宋体" w:cs="宋体"/>
          <w:bCs/>
          <w:sz w:val="24"/>
          <w:szCs w:val="24"/>
        </w:rPr>
        <w:t>质疑</w:t>
      </w:r>
      <w:r>
        <w:rPr>
          <w:rFonts w:hint="eastAsia" w:hAnsi="宋体" w:cs="宋体"/>
          <w:sz w:val="24"/>
          <w:szCs w:val="24"/>
        </w:rPr>
        <w:t>项目的编号：</w:t>
      </w:r>
      <w:r>
        <w:rPr>
          <w:rFonts w:hint="eastAsia" w:hAnsi="宋体" w:cs="宋体"/>
          <w:bCs/>
          <w:sz w:val="24"/>
          <w:szCs w:val="24"/>
          <w:u w:val="single"/>
        </w:rPr>
        <w:t xml:space="preserve">                                     </w:t>
      </w:r>
    </w:p>
    <w:p w14:paraId="01B58978">
      <w:pPr>
        <w:pStyle w:val="26"/>
        <w:spacing w:line="360" w:lineRule="auto"/>
        <w:ind w:left="25" w:leftChars="12" w:firstLine="472" w:firstLineChars="197"/>
        <w:rPr>
          <w:rFonts w:hAnsi="宋体" w:cs="宋体"/>
          <w:sz w:val="24"/>
          <w:szCs w:val="24"/>
        </w:rPr>
      </w:pPr>
      <w:r>
        <w:rPr>
          <w:rFonts w:hint="eastAsia" w:hAnsi="宋体" w:cs="宋体"/>
          <w:sz w:val="24"/>
          <w:szCs w:val="24"/>
        </w:rPr>
        <w:t>采购人名称：</w:t>
      </w:r>
      <w:r>
        <w:rPr>
          <w:rFonts w:hint="eastAsia" w:hAnsi="宋体" w:cs="宋体"/>
          <w:bCs/>
          <w:sz w:val="24"/>
          <w:szCs w:val="24"/>
          <w:u w:val="single"/>
        </w:rPr>
        <w:t xml:space="preserve">                                         </w:t>
      </w:r>
    </w:p>
    <w:p w14:paraId="246832F7">
      <w:pPr>
        <w:pStyle w:val="26"/>
        <w:spacing w:line="360" w:lineRule="auto"/>
        <w:ind w:left="25" w:leftChars="12" w:firstLine="472" w:firstLineChars="197"/>
        <w:rPr>
          <w:rFonts w:hAnsi="宋体" w:cs="宋体"/>
          <w:sz w:val="24"/>
          <w:szCs w:val="24"/>
        </w:rPr>
      </w:pPr>
      <w:r>
        <w:rPr>
          <w:rFonts w:hint="eastAsia" w:hAnsi="宋体" w:cs="宋体"/>
          <w:sz w:val="24"/>
          <w:szCs w:val="24"/>
        </w:rPr>
        <w:t>质疑事项：</w:t>
      </w:r>
    </w:p>
    <w:p w14:paraId="1EA7CCBA">
      <w:pPr>
        <w:pStyle w:val="26"/>
        <w:spacing w:line="360" w:lineRule="auto"/>
        <w:ind w:left="25" w:leftChars="12" w:firstLine="352" w:firstLineChars="147"/>
        <w:rPr>
          <w:rFonts w:hAnsi="宋体" w:cs="宋体"/>
          <w:sz w:val="24"/>
          <w:szCs w:val="24"/>
        </w:rPr>
      </w:pPr>
      <w:r>
        <w:rPr>
          <w:rFonts w:hint="eastAsia" w:hAnsi="宋体" w:cs="宋体"/>
          <w:sz w:val="24"/>
          <w:szCs w:val="24"/>
        </w:rPr>
        <w:t>□招标文件   招标文件获取日期：</w:t>
      </w:r>
      <w:r>
        <w:rPr>
          <w:rFonts w:hint="eastAsia" w:hAnsi="宋体" w:cs="宋体"/>
          <w:bCs/>
          <w:sz w:val="24"/>
          <w:szCs w:val="24"/>
          <w:u w:val="single"/>
        </w:rPr>
        <w:t xml:space="preserve">                                   </w:t>
      </w:r>
    </w:p>
    <w:p w14:paraId="085A3DA9">
      <w:pPr>
        <w:pStyle w:val="26"/>
        <w:spacing w:line="360" w:lineRule="auto"/>
        <w:ind w:left="25" w:leftChars="12" w:firstLine="352" w:firstLineChars="147"/>
        <w:rPr>
          <w:rFonts w:hAnsi="宋体" w:cs="宋体"/>
          <w:sz w:val="24"/>
          <w:szCs w:val="24"/>
        </w:rPr>
      </w:pPr>
      <w:r>
        <w:rPr>
          <w:rFonts w:hint="eastAsia" w:hAnsi="宋体" w:cs="宋体"/>
          <w:sz w:val="24"/>
          <w:szCs w:val="24"/>
        </w:rPr>
        <w:t xml:space="preserve">□采购过程   </w:t>
      </w:r>
    </w:p>
    <w:p w14:paraId="700C8418">
      <w:pPr>
        <w:pStyle w:val="26"/>
        <w:spacing w:line="360" w:lineRule="auto"/>
        <w:ind w:left="25" w:leftChars="12" w:firstLine="352" w:firstLineChars="147"/>
        <w:rPr>
          <w:rFonts w:hAnsi="宋体" w:cs="宋体"/>
          <w:bCs/>
          <w:sz w:val="24"/>
          <w:szCs w:val="24"/>
          <w:u w:val="single"/>
        </w:rPr>
      </w:pPr>
      <w:r>
        <w:rPr>
          <w:rFonts w:hint="eastAsia" w:hAnsi="宋体" w:cs="宋体"/>
          <w:sz w:val="24"/>
          <w:szCs w:val="24"/>
        </w:rPr>
        <w:t xml:space="preserve">□中标结果   </w:t>
      </w:r>
    </w:p>
    <w:p w14:paraId="7A9DB37E">
      <w:pPr>
        <w:pStyle w:val="26"/>
        <w:spacing w:line="360" w:lineRule="auto"/>
        <w:ind w:left="25" w:leftChars="12" w:firstLine="472" w:firstLineChars="196"/>
        <w:rPr>
          <w:rFonts w:hAnsi="宋体" w:cs="宋体"/>
          <w:b/>
          <w:sz w:val="24"/>
          <w:szCs w:val="24"/>
        </w:rPr>
      </w:pPr>
      <w:r>
        <w:rPr>
          <w:rFonts w:hint="eastAsia" w:hAnsi="宋体" w:cs="宋体"/>
          <w:b/>
          <w:sz w:val="24"/>
          <w:szCs w:val="24"/>
        </w:rPr>
        <w:t>三、质疑事项具体内容</w:t>
      </w:r>
    </w:p>
    <w:p w14:paraId="1DE02A5B">
      <w:pPr>
        <w:pStyle w:val="26"/>
        <w:spacing w:line="360" w:lineRule="auto"/>
        <w:ind w:left="25" w:leftChars="12" w:firstLine="472" w:firstLineChars="197"/>
        <w:rPr>
          <w:rFonts w:hAnsi="宋体" w:cs="宋体"/>
          <w:sz w:val="24"/>
          <w:szCs w:val="24"/>
        </w:rPr>
      </w:pPr>
      <w:r>
        <w:rPr>
          <w:rFonts w:hint="eastAsia" w:hAnsi="宋体" w:cs="宋体"/>
          <w:sz w:val="24"/>
          <w:szCs w:val="24"/>
        </w:rPr>
        <w:t>质疑事项1：</w:t>
      </w:r>
      <w:r>
        <w:rPr>
          <w:rFonts w:hint="eastAsia" w:hAnsi="宋体" w:cs="宋体"/>
          <w:bCs/>
          <w:sz w:val="24"/>
          <w:szCs w:val="24"/>
          <w:u w:val="single"/>
        </w:rPr>
        <w:t xml:space="preserve">                                                                    </w:t>
      </w:r>
    </w:p>
    <w:p w14:paraId="34442397">
      <w:pPr>
        <w:pStyle w:val="26"/>
        <w:spacing w:line="360" w:lineRule="auto"/>
        <w:ind w:left="25" w:leftChars="12" w:firstLine="472" w:firstLineChars="197"/>
        <w:rPr>
          <w:rFonts w:hAnsi="宋体" w:cs="宋体"/>
          <w:sz w:val="24"/>
          <w:szCs w:val="24"/>
        </w:rPr>
      </w:pPr>
      <w:r>
        <w:rPr>
          <w:rFonts w:hint="eastAsia" w:hAnsi="宋体" w:cs="宋体"/>
          <w:sz w:val="24"/>
          <w:szCs w:val="24"/>
        </w:rPr>
        <w:t>事实依据：</w:t>
      </w:r>
      <w:r>
        <w:rPr>
          <w:rFonts w:hint="eastAsia" w:hAnsi="宋体" w:cs="宋体"/>
          <w:bCs/>
          <w:sz w:val="24"/>
          <w:szCs w:val="24"/>
          <w:u w:val="single"/>
        </w:rPr>
        <w:t xml:space="preserve">                                                                      </w:t>
      </w:r>
    </w:p>
    <w:p w14:paraId="54F0C7FA">
      <w:pPr>
        <w:pStyle w:val="26"/>
        <w:spacing w:line="360" w:lineRule="auto"/>
        <w:ind w:left="25" w:leftChars="12" w:firstLine="472" w:firstLineChars="197"/>
        <w:rPr>
          <w:rFonts w:hAnsi="宋体" w:cs="宋体"/>
          <w:sz w:val="24"/>
          <w:szCs w:val="24"/>
        </w:rPr>
      </w:pPr>
      <w:r>
        <w:rPr>
          <w:rFonts w:hint="eastAsia" w:hAnsi="宋体" w:cs="宋体"/>
          <w:sz w:val="24"/>
          <w:szCs w:val="24"/>
        </w:rPr>
        <w:t>法律依据：</w:t>
      </w:r>
      <w:r>
        <w:rPr>
          <w:rFonts w:hint="eastAsia" w:hAnsi="宋体" w:cs="宋体"/>
          <w:sz w:val="24"/>
          <w:szCs w:val="24"/>
          <w:u w:val="single"/>
        </w:rPr>
        <w:t xml:space="preserve">                                                        </w:t>
      </w:r>
      <w:r>
        <w:rPr>
          <w:rFonts w:hint="eastAsia" w:hAnsi="宋体" w:cs="宋体"/>
          <w:bCs/>
          <w:sz w:val="24"/>
          <w:szCs w:val="24"/>
          <w:u w:val="single"/>
        </w:rPr>
        <w:t xml:space="preserve">               </w:t>
      </w:r>
    </w:p>
    <w:p w14:paraId="0D4D7205">
      <w:pPr>
        <w:pStyle w:val="26"/>
        <w:spacing w:line="360" w:lineRule="auto"/>
        <w:ind w:left="25" w:leftChars="12" w:firstLine="472" w:firstLineChars="197"/>
        <w:rPr>
          <w:rFonts w:hAnsi="宋体" w:cs="宋体"/>
          <w:sz w:val="24"/>
          <w:szCs w:val="24"/>
        </w:rPr>
      </w:pPr>
      <w:r>
        <w:rPr>
          <w:rFonts w:hint="eastAsia" w:hAnsi="宋体" w:cs="宋体"/>
          <w:sz w:val="24"/>
          <w:szCs w:val="24"/>
        </w:rPr>
        <w:t>质疑事项2</w:t>
      </w:r>
    </w:p>
    <w:p w14:paraId="362D94F4">
      <w:pPr>
        <w:pStyle w:val="26"/>
        <w:spacing w:line="360" w:lineRule="auto"/>
        <w:ind w:left="25" w:leftChars="12" w:firstLine="472" w:firstLineChars="197"/>
        <w:rPr>
          <w:rFonts w:hAnsi="宋体" w:cs="宋体"/>
          <w:sz w:val="24"/>
          <w:szCs w:val="24"/>
        </w:rPr>
      </w:pPr>
      <w:r>
        <w:rPr>
          <w:rFonts w:hint="eastAsia" w:hAnsi="宋体" w:cs="宋体"/>
          <w:sz w:val="24"/>
          <w:szCs w:val="24"/>
        </w:rPr>
        <w:t>……</w:t>
      </w:r>
    </w:p>
    <w:p w14:paraId="1A2FC747">
      <w:pPr>
        <w:pStyle w:val="26"/>
        <w:spacing w:line="360" w:lineRule="auto"/>
        <w:ind w:left="25" w:leftChars="12" w:firstLine="472" w:firstLineChars="197"/>
        <w:rPr>
          <w:rFonts w:hAnsi="宋体" w:cs="宋体"/>
          <w:sz w:val="24"/>
          <w:szCs w:val="24"/>
        </w:rPr>
      </w:pPr>
      <w:r>
        <w:rPr>
          <w:rFonts w:hint="eastAsia" w:hAnsi="宋体" w:cs="宋体"/>
          <w:sz w:val="24"/>
          <w:szCs w:val="24"/>
        </w:rPr>
        <w:t>四、与质疑事项相关的质疑请求：</w:t>
      </w:r>
    </w:p>
    <w:p w14:paraId="4B6D6917">
      <w:pPr>
        <w:pStyle w:val="26"/>
        <w:spacing w:line="360" w:lineRule="auto"/>
        <w:ind w:left="25" w:leftChars="12" w:firstLine="472" w:firstLineChars="197"/>
        <w:rPr>
          <w:rFonts w:hAnsi="宋体" w:cs="宋体"/>
          <w:sz w:val="24"/>
          <w:szCs w:val="24"/>
        </w:rPr>
      </w:pPr>
      <w:r>
        <w:rPr>
          <w:rFonts w:hint="eastAsia" w:hAnsi="宋体" w:cs="宋体"/>
          <w:sz w:val="24"/>
          <w:szCs w:val="24"/>
        </w:rPr>
        <w:t>请求：</w:t>
      </w:r>
      <w:r>
        <w:rPr>
          <w:rFonts w:hint="eastAsia" w:hAnsi="宋体" w:cs="宋体"/>
          <w:bCs/>
          <w:sz w:val="24"/>
          <w:szCs w:val="24"/>
          <w:u w:val="single"/>
        </w:rPr>
        <w:t xml:space="preserve">                                                                </w:t>
      </w:r>
    </w:p>
    <w:p w14:paraId="47B9C168">
      <w:pPr>
        <w:pStyle w:val="26"/>
        <w:spacing w:line="360" w:lineRule="auto"/>
        <w:ind w:left="25" w:leftChars="12" w:firstLine="352" w:firstLineChars="147"/>
        <w:rPr>
          <w:rFonts w:hAnsi="宋体" w:cs="宋体"/>
          <w:sz w:val="24"/>
          <w:szCs w:val="24"/>
        </w:rPr>
      </w:pPr>
    </w:p>
    <w:p w14:paraId="7ABE341D">
      <w:pPr>
        <w:pStyle w:val="26"/>
        <w:spacing w:line="360" w:lineRule="auto"/>
        <w:ind w:left="25" w:leftChars="12" w:firstLine="4792" w:firstLineChars="1997"/>
        <w:rPr>
          <w:rFonts w:hAnsi="宋体" w:cs="宋体"/>
          <w:sz w:val="24"/>
          <w:szCs w:val="24"/>
        </w:rPr>
      </w:pPr>
      <w:r>
        <w:rPr>
          <w:rFonts w:hint="eastAsia" w:hAnsi="宋体" w:cs="宋体"/>
          <w:sz w:val="24"/>
          <w:szCs w:val="24"/>
        </w:rPr>
        <w:t>签 字（签章）：</w:t>
      </w:r>
      <w:r>
        <w:rPr>
          <w:rFonts w:hint="eastAsia" w:hAnsi="宋体" w:cs="宋体"/>
          <w:sz w:val="24"/>
          <w:szCs w:val="24"/>
          <w:u w:val="single"/>
        </w:rPr>
        <w:t xml:space="preserve"> </w:t>
      </w:r>
      <w:r>
        <w:rPr>
          <w:rFonts w:hAnsi="宋体" w:cs="宋体"/>
          <w:sz w:val="24"/>
          <w:szCs w:val="24"/>
          <w:u w:val="single"/>
        </w:rPr>
        <w:t xml:space="preserve">              </w:t>
      </w:r>
      <w:r>
        <w:rPr>
          <w:rFonts w:hint="eastAsia" w:hAnsi="宋体" w:cs="宋体"/>
          <w:sz w:val="24"/>
          <w:szCs w:val="24"/>
        </w:rPr>
        <w:t xml:space="preserve">                                 </w:t>
      </w:r>
    </w:p>
    <w:p w14:paraId="4C32D3BE">
      <w:pPr>
        <w:pStyle w:val="26"/>
        <w:spacing w:line="360" w:lineRule="auto"/>
        <w:ind w:left="25" w:leftChars="12" w:firstLine="4792" w:firstLineChars="1997"/>
        <w:rPr>
          <w:rFonts w:hAnsi="宋体" w:cs="宋体"/>
          <w:sz w:val="24"/>
          <w:szCs w:val="24"/>
          <w:u w:val="single"/>
        </w:rPr>
      </w:pPr>
      <w:r>
        <w:rPr>
          <w:rFonts w:hint="eastAsia" w:hAnsi="宋体" w:cs="宋体"/>
          <w:sz w:val="24"/>
          <w:szCs w:val="24"/>
        </w:rPr>
        <w:t>公 章：</w:t>
      </w:r>
      <w:r>
        <w:rPr>
          <w:rFonts w:hint="eastAsia" w:hAnsi="宋体" w:cs="宋体"/>
          <w:sz w:val="24"/>
          <w:szCs w:val="24"/>
          <w:u w:val="single"/>
        </w:rPr>
        <w:t xml:space="preserve"> </w:t>
      </w:r>
      <w:r>
        <w:rPr>
          <w:rFonts w:hAnsi="宋体" w:cs="宋体"/>
          <w:sz w:val="24"/>
          <w:szCs w:val="24"/>
          <w:u w:val="single"/>
        </w:rPr>
        <w:t xml:space="preserve">                  </w:t>
      </w:r>
    </w:p>
    <w:p w14:paraId="67F4B605">
      <w:pPr>
        <w:spacing w:line="360" w:lineRule="auto"/>
        <w:ind w:firstLine="4800" w:firstLineChars="2000"/>
        <w:contextualSpacing/>
        <w:rPr>
          <w:rFonts w:ascii="宋体" w:hAnsi="宋体" w:cs="宋体"/>
          <w:sz w:val="24"/>
          <w:szCs w:val="20"/>
        </w:rPr>
      </w:pPr>
      <w:r>
        <w:rPr>
          <w:rFonts w:hint="eastAsia" w:hAnsi="宋体" w:cs="宋体"/>
          <w:sz w:val="24"/>
        </w:rPr>
        <w:t>日 期：</w:t>
      </w:r>
      <w:r>
        <w:rPr>
          <w:rFonts w:hint="eastAsia" w:ascii="黑体" w:hAnsi="黑体" w:eastAsia="黑体" w:cs="宋体"/>
          <w:b/>
          <w:spacing w:val="20"/>
          <w:sz w:val="24"/>
          <w:u w:val="single"/>
        </w:rPr>
        <w:t xml:space="preserve"> </w:t>
      </w:r>
      <w:r>
        <w:rPr>
          <w:rFonts w:ascii="黑体" w:hAnsi="黑体" w:eastAsia="黑体" w:cs="宋体"/>
          <w:b/>
          <w:spacing w:val="20"/>
          <w:sz w:val="24"/>
          <w:u w:val="single"/>
        </w:rPr>
        <w:t xml:space="preserve">  </w:t>
      </w:r>
      <w:r>
        <w:rPr>
          <w:rFonts w:hint="eastAsia" w:ascii="黑体" w:hAnsi="黑体" w:eastAsia="黑体" w:cs="宋体"/>
          <w:b/>
          <w:spacing w:val="20"/>
          <w:sz w:val="24"/>
          <w:u w:val="single"/>
        </w:rPr>
        <w:t xml:space="preserve">  </w:t>
      </w:r>
      <w:r>
        <w:rPr>
          <w:rFonts w:hint="eastAsia" w:ascii="黑体" w:hAnsi="黑体" w:eastAsia="黑体" w:cs="宋体"/>
          <w:spacing w:val="20"/>
          <w:sz w:val="24"/>
        </w:rPr>
        <w:t>年</w:t>
      </w:r>
      <w:r>
        <w:rPr>
          <w:rFonts w:ascii="黑体" w:hAnsi="黑体" w:eastAsia="黑体" w:cs="宋体"/>
          <w:spacing w:val="20"/>
          <w:sz w:val="24"/>
          <w:u w:val="single"/>
        </w:rPr>
        <w:t xml:space="preserve">  </w:t>
      </w:r>
      <w:r>
        <w:rPr>
          <w:rFonts w:hint="eastAsia" w:ascii="黑体" w:hAnsi="黑体" w:eastAsia="黑体" w:cs="宋体"/>
          <w:spacing w:val="20"/>
          <w:sz w:val="24"/>
        </w:rPr>
        <w:t>月</w:t>
      </w:r>
      <w:r>
        <w:rPr>
          <w:rFonts w:ascii="黑体" w:hAnsi="黑体" w:eastAsia="黑体" w:cs="宋体"/>
          <w:spacing w:val="20"/>
          <w:sz w:val="24"/>
          <w:u w:val="single"/>
        </w:rPr>
        <w:t xml:space="preserve">  </w:t>
      </w:r>
      <w:r>
        <w:rPr>
          <w:rFonts w:hint="eastAsia" w:cs="宋体" w:asciiTheme="minorEastAsia" w:hAnsiTheme="minorEastAsia" w:eastAsiaTheme="minorEastAsia"/>
          <w:spacing w:val="20"/>
          <w:sz w:val="24"/>
        </w:rPr>
        <w:t>日</w:t>
      </w:r>
    </w:p>
    <w:p w14:paraId="0DDA2322">
      <w:pPr>
        <w:pStyle w:val="26"/>
        <w:snapToGrid w:val="0"/>
        <w:spacing w:line="360" w:lineRule="auto"/>
        <w:rPr>
          <w:rFonts w:hAnsi="宋体" w:cs="宋体"/>
          <w:b/>
          <w:sz w:val="24"/>
          <w:szCs w:val="24"/>
        </w:rPr>
      </w:pPr>
    </w:p>
    <w:p w14:paraId="721658FF">
      <w:pPr>
        <w:pStyle w:val="26"/>
        <w:snapToGrid w:val="0"/>
        <w:spacing w:line="360" w:lineRule="auto"/>
        <w:rPr>
          <w:rFonts w:ascii="楷体" w:hAnsi="楷体" w:eastAsia="楷体" w:cs="宋体"/>
          <w:b/>
          <w:sz w:val="24"/>
          <w:szCs w:val="24"/>
        </w:rPr>
      </w:pPr>
      <w:r>
        <w:rPr>
          <w:rFonts w:hint="eastAsia" w:ascii="楷体" w:hAnsi="楷体" w:eastAsia="楷体" w:cs="宋体"/>
          <w:b/>
          <w:sz w:val="24"/>
          <w:szCs w:val="24"/>
        </w:rPr>
        <w:t>说明：</w:t>
      </w:r>
    </w:p>
    <w:p w14:paraId="10D9144D">
      <w:pPr>
        <w:pStyle w:val="26"/>
        <w:spacing w:line="360" w:lineRule="auto"/>
        <w:ind w:left="25" w:leftChars="12" w:firstLine="354" w:firstLineChars="147"/>
        <w:rPr>
          <w:rFonts w:ascii="楷体" w:hAnsi="楷体" w:eastAsia="楷体" w:cs="宋体"/>
          <w:b/>
          <w:bCs/>
          <w:sz w:val="24"/>
          <w:szCs w:val="24"/>
        </w:rPr>
      </w:pPr>
      <w:r>
        <w:rPr>
          <w:rFonts w:ascii="楷体" w:hAnsi="楷体" w:eastAsia="楷体" w:cs="宋体"/>
          <w:b/>
          <w:sz w:val="24"/>
          <w:szCs w:val="24"/>
        </w:rPr>
        <w:t>1.供应商提出质疑时，应提交质疑函和必要的证明材料</w:t>
      </w:r>
      <w:r>
        <w:rPr>
          <w:rFonts w:hint="eastAsia" w:ascii="楷体" w:hAnsi="楷体" w:eastAsia="楷体" w:cs="宋体"/>
          <w:b/>
          <w:bCs/>
          <w:sz w:val="24"/>
          <w:szCs w:val="24"/>
        </w:rPr>
        <w:t>。</w:t>
      </w:r>
    </w:p>
    <w:p w14:paraId="0975454A">
      <w:pPr>
        <w:pStyle w:val="26"/>
        <w:spacing w:line="360" w:lineRule="auto"/>
        <w:ind w:left="25" w:leftChars="12" w:firstLine="354" w:firstLineChars="147"/>
        <w:rPr>
          <w:rFonts w:ascii="楷体" w:hAnsi="楷体" w:eastAsia="楷体" w:cs="宋体"/>
          <w:b/>
          <w:sz w:val="24"/>
          <w:szCs w:val="24"/>
        </w:rPr>
      </w:pPr>
      <w:r>
        <w:rPr>
          <w:rFonts w:ascii="楷体" w:hAnsi="楷体" w:eastAsia="楷体" w:cs="宋体"/>
          <w:b/>
          <w:sz w:val="24"/>
          <w:szCs w:val="24"/>
        </w:rPr>
        <w:t>2.质疑供应商若委托代理人进行质疑的，</w:t>
      </w:r>
      <w:r>
        <w:rPr>
          <w:rFonts w:hint="eastAsia" w:ascii="楷体" w:hAnsi="楷体" w:eastAsia="楷体" w:cs="宋体"/>
          <w:b/>
          <w:sz w:val="24"/>
          <w:szCs w:val="24"/>
        </w:rPr>
        <w:t>质疑函应按要求列明“授权代表”的有关内容，并在附件中提交由质疑供应商签署的授权委托书。授权委托书应载明代理人的姓名或者名称、代理事项、具体权限、期限和相关事项。</w:t>
      </w:r>
    </w:p>
    <w:p w14:paraId="3A363601">
      <w:pPr>
        <w:pStyle w:val="26"/>
        <w:spacing w:line="360" w:lineRule="auto"/>
        <w:ind w:left="25" w:leftChars="12" w:firstLine="354" w:firstLineChars="147"/>
        <w:rPr>
          <w:rFonts w:ascii="楷体" w:hAnsi="楷体" w:eastAsia="楷体" w:cs="宋体"/>
          <w:b/>
          <w:sz w:val="24"/>
          <w:szCs w:val="24"/>
        </w:rPr>
      </w:pPr>
      <w:r>
        <w:rPr>
          <w:rFonts w:ascii="楷体" w:hAnsi="楷体" w:eastAsia="楷体" w:cs="宋体"/>
          <w:b/>
          <w:sz w:val="24"/>
          <w:szCs w:val="24"/>
        </w:rPr>
        <w:t>3.质疑函的质疑事项应具体、明确，并有必要的事实依据和法律依据。</w:t>
      </w:r>
    </w:p>
    <w:p w14:paraId="0B890415">
      <w:pPr>
        <w:pStyle w:val="26"/>
        <w:spacing w:line="360" w:lineRule="auto"/>
        <w:ind w:left="25" w:leftChars="12" w:firstLine="354" w:firstLineChars="147"/>
        <w:rPr>
          <w:rFonts w:ascii="楷体" w:hAnsi="楷体" w:eastAsia="楷体" w:cs="宋体"/>
          <w:b/>
          <w:sz w:val="24"/>
          <w:szCs w:val="24"/>
        </w:rPr>
      </w:pPr>
      <w:r>
        <w:rPr>
          <w:rFonts w:ascii="楷体" w:hAnsi="楷体" w:eastAsia="楷体" w:cs="宋体"/>
          <w:b/>
          <w:sz w:val="24"/>
          <w:szCs w:val="24"/>
        </w:rPr>
        <w:t>4.质疑函的质疑请求应与质疑事项相关。</w:t>
      </w:r>
    </w:p>
    <w:p w14:paraId="479F9340">
      <w:pPr>
        <w:pStyle w:val="26"/>
        <w:spacing w:line="360" w:lineRule="auto"/>
        <w:ind w:left="25" w:leftChars="12" w:firstLine="354" w:firstLineChars="147"/>
        <w:rPr>
          <w:rFonts w:ascii="楷体" w:hAnsi="楷体" w:eastAsia="楷体" w:cs="宋体"/>
          <w:b/>
        </w:rPr>
      </w:pPr>
      <w:r>
        <w:rPr>
          <w:rFonts w:ascii="楷体" w:hAnsi="楷体" w:eastAsia="楷体" w:cs="宋体"/>
          <w:b/>
          <w:sz w:val="24"/>
          <w:szCs w:val="24"/>
        </w:rPr>
        <w:t>5.质疑供应商为法人或者其他组织的，</w:t>
      </w:r>
      <w:r>
        <w:rPr>
          <w:rFonts w:hint="eastAsia" w:ascii="楷体" w:hAnsi="楷体" w:eastAsia="楷体" w:cs="宋体"/>
          <w:b/>
          <w:sz w:val="24"/>
          <w:szCs w:val="24"/>
        </w:rPr>
        <w:t>质疑函应由法定代表人、主要负责人，或者其授权代表签字或者盖章，并加盖公章。</w:t>
      </w:r>
    </w:p>
    <w:p w14:paraId="07D955C4">
      <w:pPr>
        <w:pStyle w:val="26"/>
        <w:snapToGrid w:val="0"/>
        <w:rPr>
          <w:rFonts w:hAnsi="宋体" w:cs="宋体"/>
          <w:b/>
          <w:sz w:val="24"/>
          <w:szCs w:val="24"/>
        </w:rPr>
      </w:pPr>
    </w:p>
    <w:p w14:paraId="6CEB40EE">
      <w:pPr>
        <w:spacing w:line="360" w:lineRule="auto"/>
        <w:jc w:val="left"/>
        <w:rPr>
          <w:rFonts w:ascii="宋体" w:hAnsi="宋体" w:cs="宋体"/>
          <w:b/>
          <w:bCs/>
          <w:sz w:val="32"/>
          <w:szCs w:val="32"/>
        </w:rPr>
      </w:pPr>
      <w:r>
        <w:rPr>
          <w:rFonts w:hint="eastAsia" w:ascii="宋体" w:hAnsi="宋体" w:cs="宋体"/>
          <w:sz w:val="44"/>
        </w:rPr>
        <w:br w:type="page"/>
      </w:r>
      <w:r>
        <w:rPr>
          <w:rFonts w:hint="eastAsia" w:ascii="宋体" w:hAnsi="宋体" w:cs="宋体"/>
          <w:b/>
          <w:sz w:val="24"/>
        </w:rPr>
        <w:t>5.投诉书格式</w:t>
      </w:r>
    </w:p>
    <w:p w14:paraId="024A4DBD">
      <w:pPr>
        <w:jc w:val="center"/>
        <w:rPr>
          <w:rFonts w:ascii="宋体" w:hAnsi="宋体" w:cs="宋体"/>
          <w:sz w:val="44"/>
          <w:szCs w:val="44"/>
        </w:rPr>
      </w:pPr>
      <w:r>
        <w:rPr>
          <w:rFonts w:hint="eastAsia" w:ascii="宋体" w:hAnsi="宋体" w:cs="宋体"/>
          <w:sz w:val="44"/>
          <w:szCs w:val="44"/>
        </w:rPr>
        <w:t>投诉书</w:t>
      </w:r>
    </w:p>
    <w:p w14:paraId="42A4D213">
      <w:pPr>
        <w:pStyle w:val="26"/>
        <w:snapToGrid w:val="0"/>
        <w:spacing w:line="440" w:lineRule="exact"/>
        <w:ind w:firstLine="482" w:firstLineChars="200"/>
        <w:rPr>
          <w:rFonts w:hAnsi="宋体" w:cs="宋体"/>
          <w:b/>
          <w:bCs/>
          <w:sz w:val="24"/>
          <w:szCs w:val="24"/>
        </w:rPr>
      </w:pPr>
    </w:p>
    <w:p w14:paraId="3B5454D3">
      <w:pPr>
        <w:pStyle w:val="26"/>
        <w:snapToGrid w:val="0"/>
        <w:spacing w:line="440" w:lineRule="exact"/>
        <w:ind w:firstLine="482" w:firstLineChars="200"/>
        <w:rPr>
          <w:rFonts w:hAnsi="宋体" w:cs="宋体"/>
          <w:b/>
          <w:bCs/>
          <w:sz w:val="24"/>
          <w:szCs w:val="24"/>
        </w:rPr>
      </w:pPr>
      <w:r>
        <w:rPr>
          <w:rFonts w:hint="eastAsia" w:hAnsi="宋体" w:cs="宋体"/>
          <w:b/>
          <w:bCs/>
          <w:sz w:val="24"/>
          <w:szCs w:val="24"/>
        </w:rPr>
        <w:t>一、投诉相关主体基本情况：</w:t>
      </w:r>
    </w:p>
    <w:p w14:paraId="07BCE46A">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投标人：</w:t>
      </w:r>
      <w:r>
        <w:rPr>
          <w:rFonts w:hint="eastAsia" w:hAnsi="宋体" w:cs="宋体"/>
          <w:bCs/>
          <w:sz w:val="24"/>
          <w:szCs w:val="24"/>
          <w:u w:val="single"/>
        </w:rPr>
        <w:t xml:space="preserve">                                                                        </w:t>
      </w:r>
      <w:r>
        <w:rPr>
          <w:rFonts w:hint="eastAsia" w:hAnsi="宋体" w:cs="宋体"/>
          <w:bCs/>
          <w:sz w:val="24"/>
          <w:szCs w:val="24"/>
        </w:rPr>
        <w:t xml:space="preserve">                 </w:t>
      </w:r>
    </w:p>
    <w:p w14:paraId="65AEABCB">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地址：</w:t>
      </w:r>
      <w:r>
        <w:rPr>
          <w:rFonts w:hint="eastAsia" w:hAnsi="宋体" w:cs="宋体"/>
          <w:bCs/>
          <w:sz w:val="24"/>
          <w:szCs w:val="24"/>
          <w:u w:val="single"/>
        </w:rPr>
        <w:t xml:space="preserve">                                          </w:t>
      </w:r>
      <w:r>
        <w:rPr>
          <w:rFonts w:hint="eastAsia" w:hAnsi="宋体" w:cs="宋体"/>
          <w:bCs/>
          <w:sz w:val="24"/>
          <w:szCs w:val="24"/>
        </w:rPr>
        <w:t>邮编：</w:t>
      </w:r>
      <w:r>
        <w:rPr>
          <w:rFonts w:hint="eastAsia" w:hAnsi="宋体" w:cs="宋体"/>
          <w:bCs/>
          <w:sz w:val="24"/>
          <w:szCs w:val="24"/>
          <w:u w:val="single"/>
        </w:rPr>
        <w:t xml:space="preserve">                          </w:t>
      </w:r>
      <w:r>
        <w:rPr>
          <w:rFonts w:hint="eastAsia" w:hAnsi="宋体" w:cs="宋体"/>
          <w:bCs/>
          <w:sz w:val="24"/>
          <w:szCs w:val="24"/>
        </w:rPr>
        <w:t xml:space="preserve">                 </w:t>
      </w:r>
    </w:p>
    <w:p w14:paraId="0AD867B6">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法定代表人/主要负责人：</w:t>
      </w:r>
      <w:r>
        <w:rPr>
          <w:rFonts w:hint="eastAsia" w:hAnsi="宋体" w:cs="宋体"/>
          <w:bCs/>
          <w:sz w:val="24"/>
          <w:szCs w:val="24"/>
          <w:u w:val="single"/>
        </w:rPr>
        <w:t xml:space="preserve">                                                         </w:t>
      </w:r>
    </w:p>
    <w:p w14:paraId="19B1DEBF">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联系电话：</w:t>
      </w:r>
      <w:r>
        <w:rPr>
          <w:rFonts w:hint="eastAsia" w:hAnsi="宋体" w:cs="宋体"/>
          <w:bCs/>
          <w:sz w:val="24"/>
          <w:szCs w:val="24"/>
          <w:u w:val="single"/>
        </w:rPr>
        <w:t xml:space="preserve">                                                              </w:t>
      </w:r>
    </w:p>
    <w:p w14:paraId="77D0732C">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授权代表：</w:t>
      </w:r>
      <w:r>
        <w:rPr>
          <w:rFonts w:hint="eastAsia" w:hAnsi="宋体" w:cs="宋体"/>
          <w:bCs/>
          <w:sz w:val="24"/>
          <w:szCs w:val="24"/>
          <w:u w:val="single"/>
        </w:rPr>
        <w:t xml:space="preserve">                                         </w:t>
      </w:r>
      <w:r>
        <w:rPr>
          <w:rFonts w:hint="eastAsia" w:hAnsi="宋体" w:cs="宋体"/>
          <w:bCs/>
          <w:sz w:val="24"/>
          <w:szCs w:val="24"/>
        </w:rPr>
        <w:t>联系电话：</w:t>
      </w:r>
      <w:r>
        <w:rPr>
          <w:rFonts w:hint="eastAsia" w:hAnsi="宋体" w:cs="宋体"/>
          <w:bCs/>
          <w:sz w:val="24"/>
          <w:szCs w:val="24"/>
          <w:u w:val="single"/>
        </w:rPr>
        <w:t xml:space="preserve">                   </w:t>
      </w:r>
    </w:p>
    <w:p w14:paraId="0727AE8D">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地址：</w:t>
      </w:r>
      <w:r>
        <w:rPr>
          <w:rFonts w:hint="eastAsia" w:hAnsi="宋体" w:cs="宋体"/>
          <w:bCs/>
          <w:sz w:val="24"/>
          <w:szCs w:val="24"/>
          <w:u w:val="single"/>
        </w:rPr>
        <w:t xml:space="preserve">                                                                  </w:t>
      </w:r>
    </w:p>
    <w:p w14:paraId="077B9DD0">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邮编：</w:t>
      </w:r>
      <w:r>
        <w:rPr>
          <w:rFonts w:hint="eastAsia" w:hAnsi="宋体" w:cs="宋体"/>
          <w:bCs/>
          <w:sz w:val="24"/>
          <w:szCs w:val="24"/>
          <w:u w:val="single"/>
        </w:rPr>
        <w:t xml:space="preserve">         </w:t>
      </w:r>
      <w:r>
        <w:rPr>
          <w:rFonts w:hint="eastAsia" w:hAnsi="宋体" w:cs="宋体"/>
          <w:bCs/>
          <w:sz w:val="24"/>
          <w:szCs w:val="24"/>
        </w:rPr>
        <w:t xml:space="preserve">   </w:t>
      </w:r>
    </w:p>
    <w:p w14:paraId="1D2BB311">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被投诉人1：</w:t>
      </w:r>
    </w:p>
    <w:p w14:paraId="087DB1AA">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地址：</w:t>
      </w:r>
      <w:r>
        <w:rPr>
          <w:rFonts w:hint="eastAsia" w:hAnsi="宋体" w:cs="宋体"/>
          <w:bCs/>
          <w:sz w:val="24"/>
          <w:szCs w:val="24"/>
          <w:u w:val="single"/>
        </w:rPr>
        <w:t xml:space="preserve">                                                                  </w:t>
      </w:r>
    </w:p>
    <w:p w14:paraId="0B9B06F3">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邮编：</w:t>
      </w:r>
      <w:r>
        <w:rPr>
          <w:rFonts w:hint="eastAsia" w:hAnsi="宋体" w:cs="宋体"/>
          <w:bCs/>
          <w:sz w:val="24"/>
          <w:szCs w:val="24"/>
          <w:u w:val="single"/>
        </w:rPr>
        <w:t xml:space="preserve">         </w:t>
      </w:r>
      <w:r>
        <w:rPr>
          <w:rFonts w:hint="eastAsia" w:hAnsi="宋体" w:cs="宋体"/>
          <w:bCs/>
          <w:sz w:val="24"/>
          <w:szCs w:val="24"/>
        </w:rPr>
        <w:t xml:space="preserve">  </w:t>
      </w:r>
    </w:p>
    <w:p w14:paraId="2D019D0C">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联系人：</w:t>
      </w:r>
      <w:r>
        <w:rPr>
          <w:rFonts w:hint="eastAsia" w:hAnsi="宋体" w:cs="宋体"/>
          <w:bCs/>
          <w:sz w:val="24"/>
          <w:szCs w:val="24"/>
          <w:u w:val="single"/>
        </w:rPr>
        <w:t xml:space="preserve">                            </w:t>
      </w:r>
      <w:r>
        <w:rPr>
          <w:rFonts w:hint="eastAsia" w:hAnsi="宋体" w:cs="宋体"/>
          <w:bCs/>
          <w:sz w:val="24"/>
          <w:szCs w:val="24"/>
        </w:rPr>
        <w:t>联系电话：</w:t>
      </w:r>
      <w:r>
        <w:rPr>
          <w:rFonts w:hint="eastAsia" w:hAnsi="宋体" w:cs="宋体"/>
          <w:bCs/>
          <w:sz w:val="24"/>
          <w:szCs w:val="24"/>
          <w:u w:val="single"/>
        </w:rPr>
        <w:t xml:space="preserve">                          </w:t>
      </w:r>
    </w:p>
    <w:p w14:paraId="0A83B1CE">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被投诉人2：</w:t>
      </w:r>
    </w:p>
    <w:p w14:paraId="0FC76AE7">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w:t>
      </w:r>
    </w:p>
    <w:p w14:paraId="373465A7">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相关供应商：</w:t>
      </w:r>
      <w:r>
        <w:rPr>
          <w:rFonts w:hint="eastAsia" w:hAnsi="宋体" w:cs="宋体"/>
          <w:bCs/>
          <w:sz w:val="24"/>
          <w:szCs w:val="24"/>
          <w:u w:val="single"/>
        </w:rPr>
        <w:t xml:space="preserve">                                                                       </w:t>
      </w:r>
    </w:p>
    <w:p w14:paraId="03C1C6BB">
      <w:pPr>
        <w:pStyle w:val="26"/>
        <w:snapToGrid w:val="0"/>
        <w:spacing w:line="440" w:lineRule="exact"/>
        <w:ind w:firstLine="480" w:firstLineChars="200"/>
        <w:jc w:val="left"/>
        <w:rPr>
          <w:rFonts w:hAnsi="宋体" w:cs="宋体"/>
          <w:bCs/>
          <w:sz w:val="24"/>
          <w:szCs w:val="24"/>
          <w:u w:val="single"/>
        </w:rPr>
      </w:pPr>
      <w:r>
        <w:rPr>
          <w:rFonts w:hint="eastAsia" w:hAnsi="宋体" w:cs="宋体"/>
          <w:bCs/>
          <w:sz w:val="24"/>
          <w:szCs w:val="24"/>
        </w:rPr>
        <w:t>地址：</w:t>
      </w:r>
      <w:r>
        <w:rPr>
          <w:rFonts w:hint="eastAsia" w:hAnsi="宋体" w:cs="宋体"/>
          <w:bCs/>
          <w:sz w:val="24"/>
          <w:szCs w:val="24"/>
          <w:u w:val="single"/>
        </w:rPr>
        <w:t xml:space="preserve">                                              </w:t>
      </w:r>
      <w:r>
        <w:rPr>
          <w:rFonts w:hint="eastAsia" w:hAnsi="宋体" w:cs="宋体"/>
          <w:bCs/>
          <w:sz w:val="24"/>
          <w:szCs w:val="24"/>
        </w:rPr>
        <w:t>邮编：</w:t>
      </w:r>
      <w:r>
        <w:rPr>
          <w:rFonts w:hint="eastAsia" w:hAnsi="宋体" w:cs="宋体"/>
          <w:bCs/>
          <w:sz w:val="24"/>
          <w:szCs w:val="24"/>
          <w:u w:val="single"/>
        </w:rPr>
        <w:t xml:space="preserve">                         </w:t>
      </w:r>
    </w:p>
    <w:p w14:paraId="5F22C07B">
      <w:pPr>
        <w:pStyle w:val="26"/>
        <w:snapToGrid w:val="0"/>
        <w:spacing w:line="440" w:lineRule="exact"/>
        <w:ind w:firstLine="480" w:firstLineChars="200"/>
        <w:jc w:val="left"/>
        <w:rPr>
          <w:rFonts w:hAnsi="宋体" w:cs="宋体"/>
          <w:bCs/>
          <w:sz w:val="24"/>
          <w:szCs w:val="24"/>
        </w:rPr>
      </w:pPr>
      <w:r>
        <w:rPr>
          <w:rFonts w:hint="eastAsia" w:hAnsi="宋体" w:cs="宋体"/>
          <w:bCs/>
          <w:sz w:val="24"/>
          <w:szCs w:val="24"/>
        </w:rPr>
        <w:t>联系人：</w:t>
      </w:r>
      <w:r>
        <w:rPr>
          <w:rFonts w:hint="eastAsia" w:hAnsi="宋体" w:cs="宋体"/>
          <w:bCs/>
          <w:sz w:val="24"/>
          <w:szCs w:val="24"/>
          <w:u w:val="single"/>
        </w:rPr>
        <w:t xml:space="preserve">                                            </w:t>
      </w:r>
      <w:r>
        <w:rPr>
          <w:rFonts w:hint="eastAsia" w:hAnsi="宋体" w:cs="宋体"/>
          <w:bCs/>
          <w:sz w:val="24"/>
          <w:szCs w:val="24"/>
        </w:rPr>
        <w:t>联系电话：</w:t>
      </w:r>
      <w:r>
        <w:rPr>
          <w:rFonts w:hint="eastAsia" w:hAnsi="宋体" w:cs="宋体"/>
          <w:bCs/>
          <w:sz w:val="24"/>
          <w:szCs w:val="24"/>
          <w:u w:val="single"/>
        </w:rPr>
        <w:t xml:space="preserve">                     </w:t>
      </w:r>
      <w:r>
        <w:rPr>
          <w:rFonts w:hint="eastAsia" w:hAnsi="宋体" w:cs="宋体"/>
          <w:bCs/>
          <w:sz w:val="24"/>
          <w:szCs w:val="24"/>
        </w:rPr>
        <w:t xml:space="preserve">                </w:t>
      </w:r>
    </w:p>
    <w:p w14:paraId="2DB7A7D9">
      <w:pPr>
        <w:pStyle w:val="26"/>
        <w:snapToGrid w:val="0"/>
        <w:spacing w:line="440" w:lineRule="exact"/>
        <w:ind w:firstLine="482" w:firstLineChars="200"/>
        <w:rPr>
          <w:rFonts w:hAnsi="宋体" w:cs="宋体"/>
          <w:b/>
          <w:bCs/>
          <w:sz w:val="24"/>
          <w:szCs w:val="24"/>
        </w:rPr>
      </w:pPr>
      <w:r>
        <w:rPr>
          <w:rFonts w:hint="eastAsia" w:hAnsi="宋体" w:cs="宋体"/>
          <w:b/>
          <w:bCs/>
          <w:sz w:val="24"/>
          <w:szCs w:val="24"/>
        </w:rPr>
        <w:t>二、投诉项目基本情况：</w:t>
      </w:r>
    </w:p>
    <w:p w14:paraId="34E18477">
      <w:pPr>
        <w:pStyle w:val="26"/>
        <w:spacing w:line="440" w:lineRule="exact"/>
        <w:ind w:left="25" w:leftChars="12" w:firstLine="472" w:firstLineChars="197"/>
        <w:rPr>
          <w:rFonts w:hAnsi="宋体" w:cs="宋体"/>
          <w:sz w:val="24"/>
          <w:szCs w:val="24"/>
        </w:rPr>
      </w:pPr>
      <w:r>
        <w:rPr>
          <w:rFonts w:hint="eastAsia" w:hAnsi="宋体" w:cs="宋体"/>
          <w:bCs/>
          <w:sz w:val="24"/>
          <w:szCs w:val="24"/>
        </w:rPr>
        <w:t>采购</w:t>
      </w:r>
      <w:r>
        <w:rPr>
          <w:rFonts w:hint="eastAsia" w:hAnsi="宋体" w:cs="宋体"/>
          <w:sz w:val="24"/>
          <w:szCs w:val="24"/>
        </w:rPr>
        <w:t>项目的名称：</w:t>
      </w:r>
      <w:r>
        <w:rPr>
          <w:rFonts w:hint="eastAsia" w:hAnsi="宋体" w:cs="宋体"/>
          <w:bCs/>
          <w:sz w:val="24"/>
          <w:szCs w:val="24"/>
          <w:u w:val="single"/>
        </w:rPr>
        <w:t xml:space="preserve">                                                                   </w:t>
      </w:r>
    </w:p>
    <w:p w14:paraId="7AB023D9">
      <w:pPr>
        <w:pStyle w:val="26"/>
        <w:spacing w:line="440" w:lineRule="exact"/>
        <w:ind w:left="25" w:leftChars="12" w:firstLine="472" w:firstLineChars="197"/>
        <w:rPr>
          <w:rFonts w:hAnsi="宋体" w:cs="宋体"/>
          <w:sz w:val="24"/>
          <w:szCs w:val="24"/>
        </w:rPr>
      </w:pPr>
      <w:r>
        <w:rPr>
          <w:rFonts w:hint="eastAsia" w:hAnsi="宋体" w:cs="宋体"/>
          <w:bCs/>
          <w:sz w:val="24"/>
          <w:szCs w:val="24"/>
        </w:rPr>
        <w:t>采购</w:t>
      </w:r>
      <w:r>
        <w:rPr>
          <w:rFonts w:hint="eastAsia" w:hAnsi="宋体" w:cs="宋体"/>
          <w:sz w:val="24"/>
          <w:szCs w:val="24"/>
        </w:rPr>
        <w:t>项目的编号：</w:t>
      </w:r>
      <w:r>
        <w:rPr>
          <w:rFonts w:hint="eastAsia" w:hAnsi="宋体" w:cs="宋体"/>
          <w:bCs/>
          <w:sz w:val="24"/>
          <w:szCs w:val="24"/>
          <w:u w:val="single"/>
        </w:rPr>
        <w:t xml:space="preserve">                                                        </w:t>
      </w:r>
    </w:p>
    <w:p w14:paraId="075A134C">
      <w:pPr>
        <w:pStyle w:val="26"/>
        <w:spacing w:line="440" w:lineRule="exact"/>
        <w:ind w:left="25" w:leftChars="12" w:firstLine="472" w:firstLineChars="197"/>
        <w:rPr>
          <w:rFonts w:hAnsi="宋体" w:cs="宋体"/>
          <w:bCs/>
          <w:sz w:val="24"/>
          <w:szCs w:val="24"/>
          <w:u w:val="single"/>
        </w:rPr>
      </w:pPr>
      <w:r>
        <w:rPr>
          <w:rFonts w:hint="eastAsia" w:hAnsi="宋体" w:cs="宋体"/>
          <w:sz w:val="24"/>
          <w:szCs w:val="24"/>
        </w:rPr>
        <w:t>采购人名称：</w:t>
      </w:r>
      <w:r>
        <w:rPr>
          <w:rFonts w:hint="eastAsia" w:hAnsi="宋体" w:cs="宋体"/>
          <w:bCs/>
          <w:sz w:val="24"/>
          <w:szCs w:val="24"/>
          <w:u w:val="single"/>
        </w:rPr>
        <w:t xml:space="preserve">                                                                        </w:t>
      </w:r>
    </w:p>
    <w:p w14:paraId="4C50620E">
      <w:pPr>
        <w:pStyle w:val="26"/>
        <w:spacing w:line="440" w:lineRule="exact"/>
        <w:ind w:left="25" w:leftChars="12" w:firstLine="472" w:firstLineChars="197"/>
        <w:rPr>
          <w:rFonts w:hAnsi="宋体" w:cs="宋体"/>
          <w:bCs/>
          <w:sz w:val="24"/>
          <w:szCs w:val="24"/>
          <w:u w:val="single"/>
        </w:rPr>
      </w:pPr>
      <w:r>
        <w:rPr>
          <w:rFonts w:hint="eastAsia" w:hAnsi="宋体" w:cs="宋体"/>
          <w:sz w:val="24"/>
          <w:szCs w:val="24"/>
        </w:rPr>
        <w:t>代理机构名称：</w:t>
      </w:r>
      <w:r>
        <w:rPr>
          <w:rFonts w:hint="eastAsia" w:hAnsi="宋体" w:cs="宋体"/>
          <w:bCs/>
          <w:sz w:val="24"/>
          <w:szCs w:val="24"/>
          <w:u w:val="single"/>
        </w:rPr>
        <w:t xml:space="preserve">                                                                      </w:t>
      </w:r>
    </w:p>
    <w:p w14:paraId="0101F34B">
      <w:pPr>
        <w:pStyle w:val="26"/>
        <w:spacing w:line="440" w:lineRule="exact"/>
        <w:ind w:left="25" w:leftChars="12" w:firstLine="472" w:firstLineChars="197"/>
        <w:rPr>
          <w:rFonts w:hAnsi="宋体" w:cs="宋体"/>
          <w:bCs/>
          <w:sz w:val="24"/>
          <w:szCs w:val="24"/>
          <w:u w:val="single"/>
        </w:rPr>
      </w:pPr>
      <w:r>
        <w:rPr>
          <w:rFonts w:hint="eastAsia" w:hAnsi="宋体" w:cs="宋体"/>
          <w:bCs/>
          <w:sz w:val="24"/>
          <w:szCs w:val="24"/>
        </w:rPr>
        <w:t>招标文件公告：</w:t>
      </w:r>
      <w:r>
        <w:rPr>
          <w:rFonts w:hint="eastAsia" w:hAnsi="宋体" w:cs="宋体"/>
          <w:bCs/>
          <w:sz w:val="24"/>
          <w:szCs w:val="24"/>
          <w:u w:val="single"/>
        </w:rPr>
        <w:t>是/否</w:t>
      </w:r>
      <w:r>
        <w:rPr>
          <w:rFonts w:hint="eastAsia" w:hAnsi="宋体" w:cs="宋体"/>
          <w:bCs/>
          <w:sz w:val="24"/>
          <w:szCs w:val="24"/>
        </w:rPr>
        <w:t>公告期限：</w:t>
      </w:r>
      <w:r>
        <w:rPr>
          <w:rFonts w:hint="eastAsia" w:hAnsi="宋体" w:cs="宋体"/>
          <w:bCs/>
          <w:sz w:val="24"/>
          <w:szCs w:val="24"/>
          <w:u w:val="single"/>
        </w:rPr>
        <w:t xml:space="preserve">                                                       </w:t>
      </w:r>
    </w:p>
    <w:p w14:paraId="4565FB56">
      <w:pPr>
        <w:pStyle w:val="26"/>
        <w:spacing w:line="440" w:lineRule="exact"/>
        <w:ind w:left="25" w:leftChars="12" w:firstLine="472" w:firstLineChars="197"/>
        <w:rPr>
          <w:rFonts w:hAnsi="宋体" w:cs="宋体"/>
          <w:b/>
          <w:sz w:val="24"/>
          <w:szCs w:val="24"/>
        </w:rPr>
      </w:pPr>
      <w:r>
        <w:rPr>
          <w:rFonts w:hint="eastAsia" w:hAnsi="宋体" w:cs="宋体"/>
          <w:bCs/>
          <w:sz w:val="24"/>
          <w:szCs w:val="24"/>
        </w:rPr>
        <w:t>采购结果公告：</w:t>
      </w:r>
      <w:r>
        <w:rPr>
          <w:rFonts w:hint="eastAsia" w:hAnsi="宋体" w:cs="宋体"/>
          <w:bCs/>
          <w:sz w:val="24"/>
          <w:szCs w:val="24"/>
          <w:u w:val="single"/>
        </w:rPr>
        <w:t>是/否</w:t>
      </w:r>
      <w:r>
        <w:rPr>
          <w:rFonts w:hint="eastAsia" w:hAnsi="宋体" w:cs="宋体"/>
          <w:bCs/>
          <w:sz w:val="24"/>
          <w:szCs w:val="24"/>
        </w:rPr>
        <w:t>公告期限：</w:t>
      </w:r>
      <w:r>
        <w:rPr>
          <w:rFonts w:hint="eastAsia" w:hAnsi="宋体" w:cs="宋体"/>
          <w:bCs/>
          <w:sz w:val="24"/>
          <w:szCs w:val="24"/>
          <w:u w:val="single"/>
        </w:rPr>
        <w:t xml:space="preserve">                                                       </w:t>
      </w:r>
    </w:p>
    <w:p w14:paraId="59A3B761">
      <w:pPr>
        <w:pStyle w:val="26"/>
        <w:spacing w:line="440" w:lineRule="exact"/>
        <w:ind w:left="25" w:leftChars="12" w:firstLine="472" w:firstLineChars="196"/>
        <w:rPr>
          <w:rFonts w:hAnsi="宋体" w:cs="宋体"/>
          <w:b/>
          <w:sz w:val="24"/>
          <w:szCs w:val="24"/>
        </w:rPr>
      </w:pPr>
      <w:r>
        <w:rPr>
          <w:rFonts w:hint="eastAsia" w:hAnsi="宋体" w:cs="宋体"/>
          <w:b/>
          <w:sz w:val="24"/>
          <w:szCs w:val="24"/>
        </w:rPr>
        <w:t>三、质疑基本情况</w:t>
      </w:r>
    </w:p>
    <w:p w14:paraId="445B1AC0">
      <w:pPr>
        <w:pStyle w:val="26"/>
        <w:spacing w:line="440" w:lineRule="exact"/>
        <w:ind w:left="25" w:leftChars="12" w:firstLine="480" w:firstLineChars="200"/>
        <w:rPr>
          <w:rFonts w:hAnsi="宋体" w:cs="宋体"/>
          <w:bCs/>
          <w:sz w:val="24"/>
          <w:szCs w:val="24"/>
          <w:u w:val="single"/>
        </w:rPr>
      </w:pPr>
      <w:r>
        <w:rPr>
          <w:rFonts w:hint="eastAsia" w:hAnsi="宋体" w:cs="宋体"/>
          <w:sz w:val="24"/>
          <w:szCs w:val="24"/>
        </w:rPr>
        <w:t>投诉人于</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日，向</w:t>
      </w:r>
      <w:r>
        <w:rPr>
          <w:rFonts w:hint="eastAsia" w:hAnsi="宋体" w:cs="宋体"/>
          <w:sz w:val="24"/>
          <w:szCs w:val="24"/>
          <w:u w:val="single"/>
        </w:rPr>
        <w:t xml:space="preserve">                                </w:t>
      </w:r>
      <w:r>
        <w:rPr>
          <w:rFonts w:hint="eastAsia" w:hAnsi="宋体" w:cs="宋体"/>
          <w:sz w:val="24"/>
          <w:szCs w:val="24"/>
        </w:rPr>
        <w:t>提出质疑，质疑事项为：</w:t>
      </w:r>
      <w:r>
        <w:rPr>
          <w:rFonts w:hint="eastAsia" w:hAnsi="宋体" w:cs="宋体"/>
          <w:bCs/>
          <w:sz w:val="24"/>
          <w:szCs w:val="24"/>
          <w:u w:val="single"/>
        </w:rPr>
        <w:t xml:space="preserve">                                                                                      </w:t>
      </w:r>
    </w:p>
    <w:p w14:paraId="48EDF607">
      <w:pPr>
        <w:pStyle w:val="26"/>
        <w:spacing w:line="440" w:lineRule="exact"/>
        <w:rPr>
          <w:rFonts w:hAnsi="宋体" w:cs="宋体"/>
          <w:bCs/>
          <w:sz w:val="24"/>
          <w:szCs w:val="24"/>
          <w:u w:val="single"/>
        </w:rPr>
      </w:pPr>
      <w:r>
        <w:rPr>
          <w:rFonts w:hint="eastAsia" w:hAnsi="宋体" w:cs="宋体"/>
          <w:bCs/>
          <w:sz w:val="24"/>
          <w:szCs w:val="24"/>
          <w:u w:val="single"/>
        </w:rPr>
        <w:t xml:space="preserve">                                                                                      </w:t>
      </w:r>
    </w:p>
    <w:p w14:paraId="64206ADB">
      <w:pPr>
        <w:pStyle w:val="26"/>
        <w:spacing w:line="440" w:lineRule="exact"/>
        <w:ind w:firstLine="480" w:firstLineChars="200"/>
        <w:rPr>
          <w:rFonts w:hAnsi="宋体" w:cs="宋体"/>
          <w:sz w:val="24"/>
          <w:szCs w:val="24"/>
        </w:rPr>
      </w:pPr>
      <w:r>
        <w:rPr>
          <w:rFonts w:hint="eastAsia" w:hAnsi="宋体" w:cs="宋体"/>
          <w:bCs/>
          <w:sz w:val="24"/>
          <w:szCs w:val="24"/>
          <w:u w:val="single"/>
        </w:rPr>
        <w:t>采购人/代理机构</w:t>
      </w:r>
      <w:r>
        <w:rPr>
          <w:rFonts w:hint="eastAsia" w:hAnsi="宋体" w:cs="宋体"/>
          <w:bCs/>
          <w:sz w:val="24"/>
          <w:szCs w:val="24"/>
        </w:rPr>
        <w:t>于</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r>
        <w:rPr>
          <w:rFonts w:hint="eastAsia" w:hAnsi="宋体" w:cs="宋体"/>
          <w:bCs/>
          <w:sz w:val="24"/>
          <w:szCs w:val="24"/>
        </w:rPr>
        <w:t xml:space="preserve">就质疑事项作出了答复/没有在法定期限内作出答复。                                                                                             </w:t>
      </w:r>
    </w:p>
    <w:p w14:paraId="52198AD5">
      <w:pPr>
        <w:pStyle w:val="26"/>
        <w:spacing w:line="440" w:lineRule="exact"/>
        <w:ind w:left="25" w:leftChars="12" w:firstLine="472" w:firstLineChars="196"/>
        <w:rPr>
          <w:rFonts w:hAnsi="宋体" w:cs="宋体"/>
          <w:b/>
          <w:sz w:val="24"/>
          <w:szCs w:val="24"/>
        </w:rPr>
      </w:pPr>
      <w:r>
        <w:rPr>
          <w:rFonts w:hint="eastAsia" w:hAnsi="宋体" w:cs="宋体"/>
          <w:b/>
          <w:sz w:val="24"/>
          <w:szCs w:val="24"/>
        </w:rPr>
        <w:t>四、投诉事项具体内容</w:t>
      </w:r>
    </w:p>
    <w:p w14:paraId="10C2245C">
      <w:pPr>
        <w:pStyle w:val="26"/>
        <w:spacing w:line="440" w:lineRule="exact"/>
        <w:ind w:left="25" w:leftChars="12" w:firstLine="472" w:firstLineChars="197"/>
        <w:rPr>
          <w:rFonts w:hAnsi="宋体" w:cs="宋体"/>
          <w:bCs/>
          <w:sz w:val="24"/>
          <w:szCs w:val="24"/>
          <w:u w:val="single"/>
        </w:rPr>
      </w:pPr>
      <w:r>
        <w:rPr>
          <w:rFonts w:hint="eastAsia" w:hAnsi="宋体" w:cs="宋体"/>
          <w:sz w:val="24"/>
          <w:szCs w:val="24"/>
        </w:rPr>
        <w:t>投诉事项1：</w:t>
      </w:r>
      <w:r>
        <w:rPr>
          <w:rFonts w:hint="eastAsia" w:hAnsi="宋体" w:cs="宋体"/>
          <w:bCs/>
          <w:sz w:val="24"/>
          <w:szCs w:val="24"/>
          <w:u w:val="single"/>
        </w:rPr>
        <w:t xml:space="preserve">                                                                           </w:t>
      </w:r>
    </w:p>
    <w:p w14:paraId="68E4F9B5">
      <w:pPr>
        <w:pStyle w:val="26"/>
        <w:spacing w:line="440" w:lineRule="exact"/>
        <w:ind w:firstLine="480" w:firstLineChars="200"/>
        <w:rPr>
          <w:rFonts w:hAnsi="宋体" w:cs="宋体"/>
          <w:bCs/>
          <w:sz w:val="24"/>
          <w:szCs w:val="24"/>
          <w:u w:val="single"/>
        </w:rPr>
      </w:pPr>
      <w:r>
        <w:rPr>
          <w:rFonts w:hint="eastAsia" w:hAnsi="宋体" w:cs="宋体"/>
          <w:bCs/>
          <w:sz w:val="24"/>
          <w:szCs w:val="24"/>
        </w:rPr>
        <w:t>事实依据：</w:t>
      </w:r>
      <w:r>
        <w:rPr>
          <w:rFonts w:hint="eastAsia" w:hAnsi="宋体" w:cs="宋体"/>
          <w:sz w:val="24"/>
          <w:szCs w:val="24"/>
        </w:rPr>
        <w:t xml:space="preserve"> </w:t>
      </w:r>
      <w:r>
        <w:rPr>
          <w:rFonts w:hint="eastAsia" w:hAnsi="宋体" w:cs="宋体"/>
          <w:bCs/>
          <w:sz w:val="24"/>
          <w:szCs w:val="24"/>
          <w:u w:val="single"/>
        </w:rPr>
        <w:t xml:space="preserve">                                                                                      </w:t>
      </w:r>
    </w:p>
    <w:p w14:paraId="303DA47C">
      <w:pPr>
        <w:pStyle w:val="26"/>
        <w:spacing w:line="440" w:lineRule="exact"/>
        <w:ind w:left="25" w:leftChars="12" w:firstLine="472" w:firstLineChars="197"/>
        <w:rPr>
          <w:rFonts w:hAnsi="宋体" w:cs="宋体"/>
          <w:sz w:val="24"/>
          <w:szCs w:val="24"/>
        </w:rPr>
      </w:pPr>
      <w:r>
        <w:rPr>
          <w:rFonts w:hint="eastAsia" w:hAnsi="宋体" w:cs="宋体"/>
          <w:bCs/>
          <w:sz w:val="24"/>
          <w:szCs w:val="24"/>
          <w:u w:val="single"/>
        </w:rPr>
        <w:t xml:space="preserve">                                                                                        </w:t>
      </w:r>
    </w:p>
    <w:p w14:paraId="01A7A12A">
      <w:pPr>
        <w:pStyle w:val="26"/>
        <w:spacing w:line="440" w:lineRule="exact"/>
        <w:ind w:firstLine="480" w:firstLineChars="200"/>
        <w:rPr>
          <w:rFonts w:hAnsi="宋体" w:cs="宋体"/>
          <w:bCs/>
          <w:sz w:val="24"/>
          <w:szCs w:val="24"/>
          <w:u w:val="single"/>
        </w:rPr>
      </w:pPr>
      <w:r>
        <w:rPr>
          <w:rFonts w:hint="eastAsia" w:hAnsi="宋体" w:cs="宋体"/>
          <w:bCs/>
          <w:sz w:val="24"/>
          <w:szCs w:val="24"/>
        </w:rPr>
        <w:t>法律依据：</w:t>
      </w:r>
      <w:r>
        <w:rPr>
          <w:rFonts w:hint="eastAsia" w:hAnsi="宋体" w:cs="宋体"/>
          <w:sz w:val="24"/>
          <w:szCs w:val="24"/>
        </w:rPr>
        <w:t xml:space="preserve"> </w:t>
      </w:r>
      <w:r>
        <w:rPr>
          <w:rFonts w:hint="eastAsia" w:hAnsi="宋体" w:cs="宋体"/>
          <w:bCs/>
          <w:sz w:val="24"/>
          <w:szCs w:val="24"/>
          <w:u w:val="single"/>
        </w:rPr>
        <w:t xml:space="preserve">                                                                                      </w:t>
      </w:r>
    </w:p>
    <w:p w14:paraId="67910348">
      <w:pPr>
        <w:pStyle w:val="26"/>
        <w:spacing w:line="440" w:lineRule="exact"/>
        <w:ind w:left="25" w:leftChars="12" w:firstLine="352" w:firstLineChars="147"/>
        <w:rPr>
          <w:rFonts w:hAnsi="宋体" w:cs="宋体"/>
          <w:bCs/>
          <w:sz w:val="24"/>
          <w:szCs w:val="24"/>
          <w:u w:val="single"/>
        </w:rPr>
      </w:pPr>
      <w:r>
        <w:rPr>
          <w:rFonts w:hint="eastAsia" w:hAnsi="宋体" w:cs="宋体"/>
          <w:bCs/>
          <w:sz w:val="24"/>
          <w:szCs w:val="24"/>
        </w:rPr>
        <w:t xml:space="preserve"> </w:t>
      </w:r>
      <w:r>
        <w:rPr>
          <w:rFonts w:hint="eastAsia" w:hAnsi="宋体" w:cs="宋体"/>
          <w:bCs/>
          <w:sz w:val="24"/>
          <w:szCs w:val="24"/>
          <w:u w:val="single"/>
        </w:rPr>
        <w:t xml:space="preserve">                                                                                        </w:t>
      </w:r>
    </w:p>
    <w:p w14:paraId="6FA4124A">
      <w:pPr>
        <w:pStyle w:val="26"/>
        <w:spacing w:line="440" w:lineRule="exact"/>
        <w:ind w:left="25" w:leftChars="12" w:firstLine="472" w:firstLineChars="197"/>
        <w:rPr>
          <w:rFonts w:hAnsi="宋体" w:cs="宋体"/>
          <w:bCs/>
          <w:sz w:val="24"/>
          <w:szCs w:val="24"/>
        </w:rPr>
      </w:pPr>
      <w:r>
        <w:rPr>
          <w:rFonts w:hint="eastAsia" w:hAnsi="宋体" w:cs="宋体"/>
          <w:sz w:val="24"/>
          <w:szCs w:val="24"/>
        </w:rPr>
        <w:t xml:space="preserve">投诉事项2  </w:t>
      </w:r>
      <w:r>
        <w:rPr>
          <w:rFonts w:hint="eastAsia" w:hAnsi="宋体" w:cs="宋体"/>
          <w:bCs/>
          <w:sz w:val="24"/>
          <w:szCs w:val="24"/>
        </w:rPr>
        <w:t xml:space="preserve">   </w:t>
      </w:r>
    </w:p>
    <w:p w14:paraId="7DD1A50A">
      <w:pPr>
        <w:pStyle w:val="26"/>
        <w:spacing w:line="440" w:lineRule="exact"/>
        <w:ind w:left="25" w:leftChars="12" w:firstLine="472" w:firstLineChars="197"/>
        <w:rPr>
          <w:rFonts w:hAnsi="宋体" w:cs="宋体"/>
          <w:bCs/>
          <w:sz w:val="24"/>
          <w:szCs w:val="24"/>
        </w:rPr>
      </w:pPr>
      <w:r>
        <w:rPr>
          <w:rFonts w:hint="eastAsia" w:hAnsi="宋体" w:cs="宋体"/>
          <w:bCs/>
          <w:sz w:val="24"/>
          <w:szCs w:val="24"/>
        </w:rPr>
        <w:t>……</w:t>
      </w:r>
    </w:p>
    <w:p w14:paraId="135E580B">
      <w:pPr>
        <w:pStyle w:val="26"/>
        <w:spacing w:line="440" w:lineRule="exact"/>
        <w:ind w:left="25" w:leftChars="12" w:firstLine="472" w:firstLineChars="196"/>
        <w:rPr>
          <w:rFonts w:hAnsi="宋体" w:cs="宋体"/>
          <w:b/>
          <w:sz w:val="24"/>
          <w:szCs w:val="24"/>
        </w:rPr>
      </w:pPr>
      <w:r>
        <w:rPr>
          <w:rFonts w:hint="eastAsia" w:hAnsi="宋体" w:cs="宋体"/>
          <w:b/>
          <w:sz w:val="24"/>
          <w:szCs w:val="24"/>
        </w:rPr>
        <w:t>五、与投诉事项相关的投诉请求：</w:t>
      </w:r>
    </w:p>
    <w:p w14:paraId="7CFFE091">
      <w:pPr>
        <w:pStyle w:val="26"/>
        <w:spacing w:line="440" w:lineRule="exact"/>
        <w:ind w:left="25" w:leftChars="12" w:firstLine="472" w:firstLineChars="197"/>
        <w:rPr>
          <w:rFonts w:hAnsi="宋体" w:cs="宋体"/>
          <w:sz w:val="24"/>
          <w:szCs w:val="24"/>
        </w:rPr>
      </w:pPr>
      <w:r>
        <w:rPr>
          <w:rFonts w:hint="eastAsia" w:hAnsi="宋体" w:cs="宋体"/>
          <w:sz w:val="24"/>
          <w:szCs w:val="24"/>
        </w:rPr>
        <w:t>请求：</w:t>
      </w:r>
      <w:r>
        <w:rPr>
          <w:rFonts w:hint="eastAsia" w:hAnsi="宋体" w:cs="宋体"/>
          <w:bCs/>
          <w:sz w:val="24"/>
          <w:szCs w:val="24"/>
          <w:u w:val="single"/>
        </w:rPr>
        <w:t xml:space="preserve">                                                                                 </w:t>
      </w:r>
    </w:p>
    <w:p w14:paraId="2B1230E8">
      <w:pPr>
        <w:pStyle w:val="26"/>
        <w:spacing w:line="440" w:lineRule="exact"/>
        <w:ind w:left="25" w:leftChars="12" w:firstLine="352" w:firstLineChars="147"/>
        <w:rPr>
          <w:rFonts w:hAnsi="宋体" w:cs="宋体"/>
          <w:sz w:val="24"/>
          <w:szCs w:val="24"/>
        </w:rPr>
      </w:pPr>
    </w:p>
    <w:p w14:paraId="01FB168E">
      <w:pPr>
        <w:pStyle w:val="26"/>
        <w:spacing w:line="360" w:lineRule="auto"/>
        <w:ind w:left="25" w:leftChars="12" w:firstLine="4792" w:firstLineChars="1997"/>
        <w:rPr>
          <w:rFonts w:hAnsi="宋体" w:cs="宋体"/>
          <w:sz w:val="24"/>
          <w:szCs w:val="24"/>
        </w:rPr>
      </w:pPr>
      <w:r>
        <w:rPr>
          <w:rFonts w:hint="eastAsia" w:hAnsi="宋体" w:cs="宋体"/>
          <w:sz w:val="24"/>
          <w:szCs w:val="24"/>
        </w:rPr>
        <w:t>签 字（签章）：</w:t>
      </w:r>
      <w:r>
        <w:rPr>
          <w:rFonts w:hint="eastAsia" w:hAnsi="宋体" w:cs="宋体"/>
          <w:sz w:val="24"/>
          <w:szCs w:val="24"/>
          <w:u w:val="single"/>
        </w:rPr>
        <w:t xml:space="preserve"> </w:t>
      </w:r>
      <w:r>
        <w:rPr>
          <w:rFonts w:hAnsi="宋体" w:cs="宋体"/>
          <w:sz w:val="24"/>
          <w:szCs w:val="24"/>
          <w:u w:val="single"/>
        </w:rPr>
        <w:t xml:space="preserve">          </w:t>
      </w:r>
      <w:r>
        <w:rPr>
          <w:rFonts w:hint="eastAsia" w:hAnsi="宋体" w:cs="宋体"/>
          <w:sz w:val="24"/>
          <w:szCs w:val="24"/>
        </w:rPr>
        <w:t xml:space="preserve">                                 </w:t>
      </w:r>
    </w:p>
    <w:p w14:paraId="231753E9">
      <w:pPr>
        <w:pStyle w:val="26"/>
        <w:spacing w:line="360" w:lineRule="auto"/>
        <w:ind w:left="25" w:leftChars="12" w:firstLine="4792" w:firstLineChars="1997"/>
        <w:rPr>
          <w:rFonts w:hAnsi="宋体" w:cs="宋体"/>
          <w:sz w:val="24"/>
          <w:szCs w:val="24"/>
          <w:u w:val="single"/>
        </w:rPr>
      </w:pPr>
      <w:r>
        <w:rPr>
          <w:rFonts w:hint="eastAsia" w:hAnsi="宋体" w:cs="宋体"/>
          <w:sz w:val="24"/>
          <w:szCs w:val="24"/>
        </w:rPr>
        <w:t>公 章：</w:t>
      </w:r>
      <w:r>
        <w:rPr>
          <w:rFonts w:hint="eastAsia" w:hAnsi="宋体" w:cs="宋体"/>
          <w:sz w:val="24"/>
          <w:szCs w:val="24"/>
          <w:u w:val="single"/>
        </w:rPr>
        <w:t xml:space="preserve"> </w:t>
      </w:r>
      <w:r>
        <w:rPr>
          <w:rFonts w:hAnsi="宋体" w:cs="宋体"/>
          <w:sz w:val="24"/>
          <w:szCs w:val="24"/>
          <w:u w:val="single"/>
        </w:rPr>
        <w:t xml:space="preserve">               </w:t>
      </w:r>
    </w:p>
    <w:p w14:paraId="3878EF6A">
      <w:pPr>
        <w:spacing w:line="360" w:lineRule="auto"/>
        <w:ind w:firstLine="4800" w:firstLineChars="2000"/>
        <w:contextualSpacing/>
        <w:rPr>
          <w:rFonts w:ascii="宋体" w:hAnsi="宋体" w:cs="宋体"/>
          <w:sz w:val="24"/>
          <w:szCs w:val="20"/>
        </w:rPr>
      </w:pPr>
      <w:r>
        <w:rPr>
          <w:rFonts w:hint="eastAsia" w:hAnsi="宋体" w:cs="宋体"/>
          <w:sz w:val="24"/>
        </w:rPr>
        <w:t>日 期：</w:t>
      </w:r>
      <w:r>
        <w:rPr>
          <w:rFonts w:hint="eastAsia" w:ascii="黑体" w:hAnsi="黑体" w:eastAsia="黑体" w:cs="宋体"/>
          <w:b/>
          <w:spacing w:val="20"/>
          <w:sz w:val="24"/>
          <w:u w:val="single"/>
        </w:rPr>
        <w:t xml:space="preserve"> </w:t>
      </w:r>
      <w:r>
        <w:rPr>
          <w:rFonts w:ascii="黑体" w:hAnsi="黑体" w:eastAsia="黑体" w:cs="宋体"/>
          <w:b/>
          <w:spacing w:val="20"/>
          <w:sz w:val="24"/>
          <w:u w:val="single"/>
        </w:rPr>
        <w:t xml:space="preserve">  </w:t>
      </w:r>
      <w:r>
        <w:rPr>
          <w:rFonts w:hint="eastAsia" w:ascii="黑体" w:hAnsi="黑体" w:eastAsia="黑体" w:cs="宋体"/>
          <w:b/>
          <w:spacing w:val="20"/>
          <w:sz w:val="24"/>
          <w:u w:val="single"/>
        </w:rPr>
        <w:t xml:space="preserve">  </w:t>
      </w:r>
      <w:r>
        <w:rPr>
          <w:rFonts w:hint="eastAsia" w:ascii="黑体" w:hAnsi="黑体" w:eastAsia="黑体" w:cs="宋体"/>
          <w:spacing w:val="20"/>
          <w:sz w:val="24"/>
        </w:rPr>
        <w:t>年</w:t>
      </w:r>
      <w:r>
        <w:rPr>
          <w:rFonts w:ascii="黑体" w:hAnsi="黑体" w:eastAsia="黑体" w:cs="宋体"/>
          <w:spacing w:val="20"/>
          <w:sz w:val="24"/>
          <w:u w:val="single"/>
        </w:rPr>
        <w:t xml:space="preserve">  </w:t>
      </w:r>
      <w:r>
        <w:rPr>
          <w:rFonts w:hint="eastAsia" w:ascii="黑体" w:hAnsi="黑体" w:eastAsia="黑体" w:cs="宋体"/>
          <w:spacing w:val="20"/>
          <w:sz w:val="24"/>
        </w:rPr>
        <w:t>月</w:t>
      </w:r>
      <w:r>
        <w:rPr>
          <w:rFonts w:ascii="黑体" w:hAnsi="黑体" w:eastAsia="黑体" w:cs="宋体"/>
          <w:spacing w:val="20"/>
          <w:sz w:val="24"/>
          <w:u w:val="single"/>
        </w:rPr>
        <w:t xml:space="preserve">  </w:t>
      </w:r>
      <w:r>
        <w:rPr>
          <w:rFonts w:hint="eastAsia" w:cs="宋体" w:asciiTheme="minorEastAsia" w:hAnsiTheme="minorEastAsia" w:eastAsiaTheme="minorEastAsia"/>
          <w:spacing w:val="20"/>
          <w:sz w:val="24"/>
        </w:rPr>
        <w:t>日</w:t>
      </w:r>
    </w:p>
    <w:p w14:paraId="1A2FBD68">
      <w:pPr>
        <w:pStyle w:val="26"/>
        <w:spacing w:line="440" w:lineRule="exact"/>
        <w:ind w:left="25" w:leftChars="12" w:firstLine="472" w:firstLineChars="197"/>
        <w:rPr>
          <w:rFonts w:hAnsi="宋体" w:cs="宋体"/>
          <w:sz w:val="24"/>
          <w:szCs w:val="24"/>
        </w:rPr>
      </w:pPr>
      <w:r>
        <w:rPr>
          <w:rFonts w:hint="eastAsia" w:hAnsi="宋体" w:cs="宋体"/>
          <w:bCs/>
          <w:sz w:val="24"/>
          <w:szCs w:val="24"/>
        </w:rPr>
        <w:t xml:space="preserve">                                                                              </w:t>
      </w:r>
    </w:p>
    <w:p w14:paraId="6D512E26">
      <w:pPr>
        <w:pStyle w:val="26"/>
        <w:snapToGrid w:val="0"/>
        <w:spacing w:line="440" w:lineRule="exact"/>
        <w:rPr>
          <w:rFonts w:ascii="楷体" w:hAnsi="楷体" w:eastAsia="楷体" w:cs="宋体"/>
          <w:b/>
          <w:sz w:val="24"/>
          <w:szCs w:val="24"/>
        </w:rPr>
      </w:pPr>
      <w:r>
        <w:rPr>
          <w:rFonts w:hint="eastAsia" w:ascii="楷体" w:hAnsi="楷体" w:eastAsia="楷体" w:cs="宋体"/>
          <w:b/>
          <w:sz w:val="24"/>
          <w:szCs w:val="24"/>
        </w:rPr>
        <w:t>说明：</w:t>
      </w:r>
    </w:p>
    <w:p w14:paraId="54754015">
      <w:pPr>
        <w:pStyle w:val="26"/>
        <w:spacing w:line="440" w:lineRule="exact"/>
        <w:ind w:left="25" w:leftChars="12" w:firstLine="354" w:firstLineChars="147"/>
        <w:rPr>
          <w:rFonts w:ascii="楷体" w:hAnsi="楷体" w:eastAsia="楷体" w:cs="宋体"/>
          <w:b/>
          <w:bCs/>
          <w:sz w:val="24"/>
          <w:szCs w:val="24"/>
        </w:rPr>
      </w:pPr>
      <w:r>
        <w:rPr>
          <w:rFonts w:ascii="楷体" w:hAnsi="楷体" w:eastAsia="楷体" w:cs="宋体"/>
          <w:b/>
          <w:sz w:val="24"/>
          <w:szCs w:val="24"/>
        </w:rPr>
        <w:t>1.投诉人提起投诉时，应当提交投诉书和必要的证明材料，并按照被投诉人和与投诉事项有关的供应商数量提供投诉书副本</w:t>
      </w:r>
      <w:r>
        <w:rPr>
          <w:rFonts w:hint="eastAsia" w:ascii="楷体" w:hAnsi="楷体" w:eastAsia="楷体" w:cs="宋体"/>
          <w:b/>
          <w:bCs/>
          <w:sz w:val="24"/>
          <w:szCs w:val="24"/>
        </w:rPr>
        <w:t>。</w:t>
      </w:r>
    </w:p>
    <w:p w14:paraId="68BD15B8">
      <w:pPr>
        <w:pStyle w:val="26"/>
        <w:spacing w:line="440" w:lineRule="exact"/>
        <w:ind w:left="25" w:leftChars="12" w:firstLine="354" w:firstLineChars="147"/>
        <w:rPr>
          <w:rFonts w:ascii="楷体" w:hAnsi="楷体" w:eastAsia="楷体" w:cs="宋体"/>
          <w:b/>
          <w:sz w:val="24"/>
          <w:szCs w:val="24"/>
        </w:rPr>
      </w:pPr>
      <w:r>
        <w:rPr>
          <w:rFonts w:ascii="楷体" w:hAnsi="楷体" w:eastAsia="楷体" w:cs="宋体"/>
          <w:b/>
          <w:sz w:val="24"/>
          <w:szCs w:val="24"/>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116531E8">
      <w:pPr>
        <w:pStyle w:val="26"/>
        <w:spacing w:line="440" w:lineRule="exact"/>
        <w:ind w:left="25" w:leftChars="12" w:firstLine="354" w:firstLineChars="147"/>
        <w:rPr>
          <w:rFonts w:ascii="楷体" w:hAnsi="楷体" w:eastAsia="楷体" w:cs="宋体"/>
          <w:b/>
          <w:sz w:val="24"/>
          <w:szCs w:val="24"/>
        </w:rPr>
      </w:pPr>
      <w:r>
        <w:rPr>
          <w:rFonts w:ascii="楷体" w:hAnsi="楷体" w:eastAsia="楷体" w:cs="宋体"/>
          <w:b/>
          <w:sz w:val="24"/>
          <w:szCs w:val="24"/>
        </w:rPr>
        <w:t>3.投诉书应简要列明质疑事项，质疑函、质疑答复等作为附件材料提供。</w:t>
      </w:r>
    </w:p>
    <w:p w14:paraId="5A15414C">
      <w:pPr>
        <w:pStyle w:val="26"/>
        <w:spacing w:line="440" w:lineRule="exact"/>
        <w:ind w:left="25" w:leftChars="12" w:firstLine="354" w:firstLineChars="147"/>
        <w:rPr>
          <w:rFonts w:ascii="楷体" w:hAnsi="楷体" w:eastAsia="楷体" w:cs="宋体"/>
          <w:b/>
          <w:sz w:val="24"/>
          <w:szCs w:val="24"/>
        </w:rPr>
      </w:pPr>
      <w:r>
        <w:rPr>
          <w:rFonts w:ascii="楷体" w:hAnsi="楷体" w:eastAsia="楷体" w:cs="宋体"/>
          <w:b/>
          <w:sz w:val="24"/>
          <w:szCs w:val="24"/>
        </w:rPr>
        <w:t>4.投诉书的投诉事项应具体、明确，并有必要的事实依据和法律依据。</w:t>
      </w:r>
    </w:p>
    <w:p w14:paraId="2F99691A">
      <w:pPr>
        <w:pStyle w:val="26"/>
        <w:spacing w:line="440" w:lineRule="exact"/>
        <w:ind w:left="25" w:leftChars="12" w:firstLine="354" w:firstLineChars="147"/>
        <w:rPr>
          <w:rFonts w:ascii="楷体" w:hAnsi="楷体" w:eastAsia="楷体" w:cs="宋体"/>
          <w:b/>
          <w:sz w:val="24"/>
          <w:szCs w:val="24"/>
        </w:rPr>
      </w:pPr>
      <w:r>
        <w:rPr>
          <w:rFonts w:ascii="楷体" w:hAnsi="楷体" w:eastAsia="楷体" w:cs="宋体"/>
          <w:b/>
          <w:sz w:val="24"/>
          <w:szCs w:val="24"/>
        </w:rPr>
        <w:t>5.投诉书的投诉请求应与投诉事项相关。</w:t>
      </w:r>
    </w:p>
    <w:p w14:paraId="006F9D57">
      <w:pPr>
        <w:pStyle w:val="26"/>
        <w:spacing w:line="440" w:lineRule="exact"/>
        <w:ind w:left="25" w:leftChars="12" w:firstLine="354" w:firstLineChars="147"/>
        <w:rPr>
          <w:rFonts w:ascii="楷体" w:hAnsi="楷体" w:eastAsia="楷体" w:cs="宋体"/>
          <w:b/>
        </w:rPr>
      </w:pPr>
      <w:r>
        <w:rPr>
          <w:rFonts w:ascii="楷体" w:hAnsi="楷体" w:eastAsia="楷体" w:cs="宋体"/>
          <w:b/>
          <w:sz w:val="24"/>
          <w:szCs w:val="24"/>
        </w:rPr>
        <w:t>6.投诉人为法人或者其他组织的，投诉书应由法定代表人、主要负责人，或者其授权代表签字或者盖章，并加盖公章。</w:t>
      </w:r>
    </w:p>
    <w:sectPr>
      <w:footerReference r:id="rId12" w:type="first"/>
      <w:headerReference r:id="rId9" w:type="default"/>
      <w:footerReference r:id="rId10" w:type="default"/>
      <w:footerReference r:id="rId11" w:type="even"/>
      <w:pgSz w:w="11906" w:h="16838"/>
      <w:pgMar w:top="1417" w:right="1417" w:bottom="1417" w:left="1417" w:header="851" w:footer="56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6F43A47-1779-4080-95C2-E0817E734502}"/>
  </w:font>
  <w:font w:name="Arial">
    <w:panose1 w:val="020B0604020202020204"/>
    <w:charset w:val="01"/>
    <w:family w:val="swiss"/>
    <w:pitch w:val="default"/>
    <w:sig w:usb0="E0002EFF" w:usb1="C000785B" w:usb2="00000009" w:usb3="00000000" w:csb0="400001FF" w:csb1="FFFF0000"/>
    <w:embedRegular r:id="rId2" w:fontKey="{4BFAB5E5-697C-4373-88A8-E8BFBADF5415}"/>
  </w:font>
  <w:font w:name="黑体">
    <w:panose1 w:val="02010609060101010101"/>
    <w:charset w:val="86"/>
    <w:family w:val="auto"/>
    <w:pitch w:val="default"/>
    <w:sig w:usb0="800002BF" w:usb1="38CF7CFA" w:usb2="00000016" w:usb3="00000000" w:csb0="00040001" w:csb1="00000000"/>
    <w:embedRegular r:id="rId3" w:fontKey="{25C0B715-DE86-4B2F-906F-A30FE301D6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1" w:usb1="080E0000" w:usb2="00000000" w:usb3="00000000" w:csb0="00040000" w:csb1="00000000"/>
    <w:embedRegular r:id="rId4" w:fontKey="{6BE75DF4-DE4B-41A6-88E5-950F5130204A}"/>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embedRegular r:id="rId5" w:fontKey="{FBD6D459-E4E9-4A15-A853-9B2FA260DE82}"/>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entury">
    <w:panose1 w:val="02040604050505020304"/>
    <w:charset w:val="00"/>
    <w:family w:val="roman"/>
    <w:pitch w:val="default"/>
    <w:sig w:usb0="00000287" w:usb1="00000000" w:usb2="00000000" w:usb3="00000000" w:csb0="2000009F" w:csb1="DFD70000"/>
  </w:font>
  <w:font w:name="_x000B__x000C_">
    <w:altName w:val="Times New Roman"/>
    <w:panose1 w:val="00000000000000000000"/>
    <w:charset w:val="00"/>
    <w:family w:val="roman"/>
    <w:pitch w:val="default"/>
    <w:sig w:usb0="00000000" w:usb1="00000000" w:usb2="00000000" w:usb3="00000000" w:csb0="00040001" w:csb1="00000000"/>
  </w:font>
  <w:font w:name="方正书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swiss"/>
    <w:pitch w:val="default"/>
    <w:sig w:usb0="80000287" w:usb1="2ACF3C50" w:usb2="00000016" w:usb3="00000000" w:csb0="0004001F" w:csb1="00000000"/>
    <w:embedRegular r:id="rId6" w:fontKey="{AD220380-5817-42BE-BB67-9AFE15B5CD5C}"/>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embedRegular r:id="rId7" w:fontKey="{AF4218B1-2537-40B5-9050-8D23B1F12E9E}"/>
  </w:font>
  <w:font w:name="Segoe UI Symbol">
    <w:panose1 w:val="020B0502040204020203"/>
    <w:charset w:val="00"/>
    <w:family w:val="swiss"/>
    <w:pitch w:val="default"/>
    <w:sig w:usb0="800001E3" w:usb1="1200FFEF" w:usb2="00040000" w:usb3="04000000" w:csb0="00000001" w:csb1="40000000"/>
    <w:embedRegular r:id="rId8" w:fontKey="{80A86C25-C5F5-4003-8FF1-4A90DCC4361E}"/>
  </w:font>
  <w:font w:name="方正小标宋简体">
    <w:panose1 w:val="02000000000000000000"/>
    <w:charset w:val="86"/>
    <w:family w:val="auto"/>
    <w:pitch w:val="default"/>
    <w:sig w:usb0="00000001" w:usb1="08000000" w:usb2="00000000" w:usb3="00000000" w:csb0="00040000" w:csb1="00000000"/>
    <w:embedRegular r:id="rId9" w:fontKey="{21D08815-EB70-407A-94FE-66DD60BD2FC5}"/>
  </w:font>
  <w:font w:name="仿宋">
    <w:panose1 w:val="02010609060101010101"/>
    <w:charset w:val="86"/>
    <w:family w:val="modern"/>
    <w:pitch w:val="default"/>
    <w:sig w:usb0="800002BF" w:usb1="38CF7CFA" w:usb2="00000016" w:usb3="00000000" w:csb0="00040001" w:csb1="00000000"/>
    <w:embedRegular r:id="rId10" w:fontKey="{AD5DF89B-2DA6-4A7D-B095-BE3563BE8A30}"/>
  </w:font>
  <w:font w:name="@方正仿宋简体">
    <w:altName w:val="@SimSun-ExtB"/>
    <w:panose1 w:val="00000000000000000000"/>
    <w:charset w:val="86"/>
    <w:family w:val="auto"/>
    <w:pitch w:val="default"/>
    <w:sig w:usb0="00000000" w:usb1="00000000" w:usb2="00000012" w:usb3="00000000" w:csb0="00040001" w:csb1="00000000"/>
    <w:embedRegular r:id="rId11" w:fontKey="{30394313-B429-4730-AF41-07071A50847D}"/>
  </w:font>
  <w:font w:name="@SimSun-ExtB">
    <w:panose1 w:val="02010609060101010101"/>
    <w:charset w:val="86"/>
    <w:family w:val="auto"/>
    <w:pitch w:val="default"/>
    <w:sig w:usb0="00000001" w:usb1="02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34FE3">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8CEF1">
    <w:pPr>
      <w:pStyle w:val="3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3D24D">
                          <w:pPr>
                            <w:pStyle w:val="3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0E3D24D">
                    <w:pPr>
                      <w:pStyle w:val="3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EC68E">
    <w:pPr>
      <w:pStyle w:val="3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ED20A">
                          <w:pPr>
                            <w:pStyle w:val="32"/>
                            <w:jc w:val="center"/>
                          </w:pPr>
                          <w:r>
                            <w:fldChar w:fldCharType="begin"/>
                          </w:r>
                          <w:r>
                            <w:instrText xml:space="preserve"> PAGE   \* MERGEFORMAT </w:instrText>
                          </w:r>
                          <w:r>
                            <w:fldChar w:fldCharType="separate"/>
                          </w:r>
                          <w:r>
                            <w:rPr>
                              <w:lang w:val="zh-CN"/>
                            </w:rP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D1ED20A">
                    <w:pPr>
                      <w:pStyle w:val="32"/>
                      <w:jc w:val="center"/>
                    </w:pPr>
                    <w:r>
                      <w:fldChar w:fldCharType="begin"/>
                    </w:r>
                    <w:r>
                      <w:instrText xml:space="preserve"> PAGE   \* MERGEFORMAT </w:instrText>
                    </w:r>
                    <w:r>
                      <w:fldChar w:fldCharType="separate"/>
                    </w:r>
                    <w:r>
                      <w:rPr>
                        <w:lang w:val="zh-CN"/>
                      </w:rPr>
                      <w:t>73</w:t>
                    </w:r>
                    <w:r>
                      <w:fldChar w:fldCharType="end"/>
                    </w:r>
                  </w:p>
                </w:txbxContent>
              </v:textbox>
            </v:shape>
          </w:pict>
        </mc:Fallback>
      </mc:AlternateContent>
    </w:r>
  </w:p>
  <w:p w14:paraId="329927C5">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729E4">
    <w:pPr>
      <w:pStyle w:val="32"/>
      <w:framePr w:wrap="around" w:vAnchor="text" w:hAnchor="margin" w:xAlign="center" w:y="1"/>
      <w:rPr>
        <w:rStyle w:val="53"/>
      </w:rPr>
    </w:pPr>
    <w:r>
      <w:fldChar w:fldCharType="begin"/>
    </w:r>
    <w:r>
      <w:rPr>
        <w:rStyle w:val="53"/>
      </w:rPr>
      <w:instrText xml:space="preserve">PAGE  </w:instrText>
    </w:r>
    <w:r>
      <w:fldChar w:fldCharType="end"/>
    </w:r>
  </w:p>
  <w:p w14:paraId="4278053D">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EAA15">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AEE1E">
                          <w:pPr>
                            <w:pStyle w:val="32"/>
                            <w:jc w:val="center"/>
                          </w:pPr>
                          <w:r>
                            <w:fldChar w:fldCharType="begin"/>
                          </w:r>
                          <w:r>
                            <w:instrText xml:space="preserve">PAGE   \* MERGEFORMAT</w:instrText>
                          </w:r>
                          <w:r>
                            <w:fldChar w:fldCharType="separate"/>
                          </w:r>
                          <w:r>
                            <w:rPr>
                              <w:lang w:val="zh-CN"/>
                            </w:rP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A1AEE1E">
                    <w:pPr>
                      <w:pStyle w:val="32"/>
                      <w:jc w:val="center"/>
                    </w:pPr>
                    <w:r>
                      <w:fldChar w:fldCharType="begin"/>
                    </w:r>
                    <w:r>
                      <w:instrText xml:space="preserve">PAGE   \* MERGEFORMAT</w:instrText>
                    </w:r>
                    <w:r>
                      <w:fldChar w:fldCharType="separate"/>
                    </w:r>
                    <w:r>
                      <w:rPr>
                        <w:lang w:val="zh-CN"/>
                      </w:rPr>
                      <w:t>88</w:t>
                    </w:r>
                    <w:r>
                      <w:fldChar w:fldCharType="end"/>
                    </w:r>
                  </w:p>
                </w:txbxContent>
              </v:textbox>
            </v:shape>
          </w:pict>
        </mc:Fallback>
      </mc:AlternateContent>
    </w:r>
  </w:p>
  <w:p w14:paraId="1F8E1C64">
    <w:pPr>
      <w:pStyle w:val="32"/>
      <w:ind w:right="360"/>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9A498">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E82C1">
                          <w:pPr>
                            <w:pStyle w:val="32"/>
                            <w:jc w:val="center"/>
                          </w:pPr>
                          <w:r>
                            <w:fldChar w:fldCharType="begin"/>
                          </w:r>
                          <w:r>
                            <w:instrText xml:space="preserve"> PAGE   \* MERGEFORMAT </w:instrText>
                          </w:r>
                          <w:r>
                            <w:fldChar w:fldCharType="separate"/>
                          </w:r>
                          <w:r>
                            <w:rPr>
                              <w:lang w:val="zh-CN"/>
                            </w:rP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D6E82C1">
                    <w:pPr>
                      <w:pStyle w:val="32"/>
                      <w:jc w:val="center"/>
                    </w:pPr>
                    <w:r>
                      <w:fldChar w:fldCharType="begin"/>
                    </w:r>
                    <w:r>
                      <w:instrText xml:space="preserve"> PAGE   \* MERGEFORMAT </w:instrText>
                    </w:r>
                    <w:r>
                      <w:fldChar w:fldCharType="separate"/>
                    </w:r>
                    <w:r>
                      <w:rPr>
                        <w:lang w:val="zh-CN"/>
                      </w:rPr>
                      <w:t>104</w:t>
                    </w:r>
                    <w:r>
                      <w:fldChar w:fldCharType="end"/>
                    </w:r>
                  </w:p>
                </w:txbxContent>
              </v:textbox>
            </v:shape>
          </w:pict>
        </mc:Fallback>
      </mc:AlternateContent>
    </w:r>
  </w:p>
  <w:p w14:paraId="2D6FE663">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6369A">
    <w:pPr>
      <w:pStyle w:val="32"/>
      <w:framePr w:wrap="around" w:vAnchor="text" w:hAnchor="margin" w:xAlign="center" w:y="1"/>
      <w:rPr>
        <w:rStyle w:val="53"/>
      </w:rPr>
    </w:pPr>
    <w:r>
      <w:fldChar w:fldCharType="begin"/>
    </w:r>
    <w:r>
      <w:rPr>
        <w:rStyle w:val="53"/>
      </w:rPr>
      <w:instrText xml:space="preserve">PAGE  </w:instrText>
    </w:r>
    <w:r>
      <w:fldChar w:fldCharType="end"/>
    </w:r>
  </w:p>
  <w:p w14:paraId="1CCBC294">
    <w:pPr>
      <w:pStyle w:val="3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520C9">
    <w:pPr>
      <w:pStyle w:val="32"/>
      <w:ind w:right="360"/>
      <w:jc w:val="both"/>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8D539">
                          <w:pPr>
                            <w:pStyle w:val="32"/>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0C8D539">
                    <w:pPr>
                      <w:pStyle w:val="32"/>
                    </w:pPr>
                    <w:r>
                      <w:fldChar w:fldCharType="begin"/>
                    </w:r>
                    <w:r>
                      <w:instrText xml:space="preserve"> PAGE  \* MERGEFORMAT </w:instrText>
                    </w:r>
                    <w:r>
                      <w:fldChar w:fldCharType="separate"/>
                    </w:r>
                    <w:r>
                      <w:t>90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E2D01">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8E994">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2"/>
      <w:lvlText w:val="%1."/>
      <w:lvlJc w:val="left"/>
      <w:pPr>
        <w:tabs>
          <w:tab w:val="left" w:pos="1200"/>
        </w:tabs>
        <w:ind w:left="1200" w:hanging="360"/>
      </w:pPr>
    </w:lvl>
  </w:abstractNum>
  <w:abstractNum w:abstractNumId="1">
    <w:nsid w:val="24493893"/>
    <w:multiLevelType w:val="multilevel"/>
    <w:tmpl w:val="2449389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7"/>
      <w:suff w:val="nothing"/>
      <w:lvlText w:val=""/>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4C601917"/>
    <w:multiLevelType w:val="singleLevel"/>
    <w:tmpl w:val="4C601917"/>
    <w:lvl w:ilvl="0" w:tentative="0">
      <w:start w:val="1"/>
      <w:numFmt w:val="decimal"/>
      <w:suff w:val="nothing"/>
      <w:lvlText w:val="（%1）"/>
      <w:lvlJc w:val="left"/>
      <w:pPr>
        <w:ind w:left="-2"/>
      </w:pPr>
    </w:lvl>
  </w:abstractNum>
  <w:abstractNum w:abstractNumId="4">
    <w:nsid w:val="56373725"/>
    <w:multiLevelType w:val="multilevel"/>
    <w:tmpl w:val="5637372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FABD14B"/>
    <w:multiLevelType w:val="singleLevel"/>
    <w:tmpl w:val="5FABD14B"/>
    <w:lvl w:ilvl="0" w:tentative="0">
      <w:start w:val="1"/>
      <w:numFmt w:val="decimal"/>
      <w:suff w:val="nothing"/>
      <w:lvlText w:val="（%1）"/>
      <w:lvlJc w:val="left"/>
    </w:lvl>
  </w:abstractNum>
  <w:abstractNum w:abstractNumId="6">
    <w:nsid w:val="7195E83E"/>
    <w:multiLevelType w:val="singleLevel"/>
    <w:tmpl w:val="7195E83E"/>
    <w:lvl w:ilvl="0" w:tentative="0">
      <w:start w:val="1"/>
      <w:numFmt w:val="decimal"/>
      <w:suff w:val="space"/>
      <w:lvlText w:val="%1."/>
      <w:lvlJc w:val="left"/>
    </w:lvl>
  </w:abstractNum>
  <w:abstractNum w:abstractNumId="7">
    <w:nsid w:val="763060DB"/>
    <w:multiLevelType w:val="multilevel"/>
    <w:tmpl w:val="763060DB"/>
    <w:lvl w:ilvl="0" w:tentative="0">
      <w:start w:val="1"/>
      <w:numFmt w:val="japaneseCounting"/>
      <w:lvlText w:val="第%1章"/>
      <w:lvlJc w:val="left"/>
      <w:pPr>
        <w:tabs>
          <w:tab w:val="left" w:pos="1815"/>
        </w:tabs>
        <w:ind w:left="1815" w:hanging="1275"/>
      </w:pPr>
      <w:rPr>
        <w:rFonts w:hint="eastAsia"/>
        <w:lang w:val="en-US"/>
      </w:rPr>
    </w:lvl>
    <w:lvl w:ilvl="1" w:tentative="0">
      <w:start w:val="1"/>
      <w:numFmt w:val="japaneseCounting"/>
      <w:lvlText w:val="%2、"/>
      <w:lvlJc w:val="left"/>
      <w:pPr>
        <w:tabs>
          <w:tab w:val="left" w:pos="1680"/>
        </w:tabs>
        <w:ind w:left="1680" w:hanging="720"/>
      </w:pPr>
      <w:rPr>
        <w:rFonts w:hint="eastAsia"/>
      </w:rPr>
    </w:lvl>
    <w:lvl w:ilvl="2" w:tentative="0">
      <w:start w:val="1"/>
      <w:numFmt w:val="decimal"/>
      <w:lvlText w:val="%3."/>
      <w:lvlJc w:val="left"/>
      <w:pPr>
        <w:ind w:left="502" w:hanging="360"/>
      </w:pPr>
      <w:rPr>
        <w:rFonts w:hint="default"/>
        <w:sz w:val="24"/>
        <w:szCs w:val="24"/>
      </w:r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2"/>
  </w:num>
  <w:num w:numId="2">
    <w:abstractNumId w:val="0"/>
  </w:num>
  <w:num w:numId="3">
    <w:abstractNumId w:val="6"/>
  </w:num>
  <w:num w:numId="4">
    <w:abstractNumId w:val="4"/>
  </w:num>
  <w:num w:numId="5">
    <w:abstractNumId w:val="1"/>
  </w:num>
  <w:num w:numId="6">
    <w:abstractNumId w:val="3"/>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mYmNhODQxOWNkODc0ZjYxNTI4MThkY2UxMGM3NzYifQ=="/>
  </w:docVars>
  <w:rsids>
    <w:rsidRoot w:val="00F9008B"/>
    <w:rsid w:val="0000010C"/>
    <w:rsid w:val="000004FE"/>
    <w:rsid w:val="00000FE0"/>
    <w:rsid w:val="00001068"/>
    <w:rsid w:val="00001117"/>
    <w:rsid w:val="0000114A"/>
    <w:rsid w:val="00001731"/>
    <w:rsid w:val="00001C2D"/>
    <w:rsid w:val="00001C55"/>
    <w:rsid w:val="00001CA8"/>
    <w:rsid w:val="00001F78"/>
    <w:rsid w:val="00001FAE"/>
    <w:rsid w:val="00002291"/>
    <w:rsid w:val="000027A1"/>
    <w:rsid w:val="00002DBF"/>
    <w:rsid w:val="00002EC0"/>
    <w:rsid w:val="00003224"/>
    <w:rsid w:val="000033F5"/>
    <w:rsid w:val="0000358C"/>
    <w:rsid w:val="0000361D"/>
    <w:rsid w:val="00003BEF"/>
    <w:rsid w:val="00004130"/>
    <w:rsid w:val="0000431F"/>
    <w:rsid w:val="00004634"/>
    <w:rsid w:val="00004D8B"/>
    <w:rsid w:val="000059E2"/>
    <w:rsid w:val="000061EA"/>
    <w:rsid w:val="00006AE7"/>
    <w:rsid w:val="00006B9B"/>
    <w:rsid w:val="00006BCA"/>
    <w:rsid w:val="00006C35"/>
    <w:rsid w:val="000072B1"/>
    <w:rsid w:val="00007329"/>
    <w:rsid w:val="00007E28"/>
    <w:rsid w:val="00007E84"/>
    <w:rsid w:val="00010401"/>
    <w:rsid w:val="000105A1"/>
    <w:rsid w:val="000107AD"/>
    <w:rsid w:val="00010835"/>
    <w:rsid w:val="000117D5"/>
    <w:rsid w:val="00011842"/>
    <w:rsid w:val="00011B34"/>
    <w:rsid w:val="00012137"/>
    <w:rsid w:val="000121FF"/>
    <w:rsid w:val="00012456"/>
    <w:rsid w:val="000125B8"/>
    <w:rsid w:val="00012692"/>
    <w:rsid w:val="00012705"/>
    <w:rsid w:val="00013446"/>
    <w:rsid w:val="00013509"/>
    <w:rsid w:val="000135BC"/>
    <w:rsid w:val="000135DC"/>
    <w:rsid w:val="000136D6"/>
    <w:rsid w:val="00014085"/>
    <w:rsid w:val="00014D89"/>
    <w:rsid w:val="00014DD9"/>
    <w:rsid w:val="00014EE0"/>
    <w:rsid w:val="000151E4"/>
    <w:rsid w:val="00015577"/>
    <w:rsid w:val="000156E4"/>
    <w:rsid w:val="000159A7"/>
    <w:rsid w:val="00015FB8"/>
    <w:rsid w:val="0001609F"/>
    <w:rsid w:val="00016271"/>
    <w:rsid w:val="0001635B"/>
    <w:rsid w:val="00016549"/>
    <w:rsid w:val="00016814"/>
    <w:rsid w:val="00016BF7"/>
    <w:rsid w:val="00016CD8"/>
    <w:rsid w:val="0001720C"/>
    <w:rsid w:val="0001767E"/>
    <w:rsid w:val="0001776D"/>
    <w:rsid w:val="00017F31"/>
    <w:rsid w:val="00020607"/>
    <w:rsid w:val="0002103A"/>
    <w:rsid w:val="000217E4"/>
    <w:rsid w:val="00021852"/>
    <w:rsid w:val="00021A12"/>
    <w:rsid w:val="000223BF"/>
    <w:rsid w:val="00022622"/>
    <w:rsid w:val="00023363"/>
    <w:rsid w:val="000235F3"/>
    <w:rsid w:val="00023644"/>
    <w:rsid w:val="00023712"/>
    <w:rsid w:val="00023921"/>
    <w:rsid w:val="00024291"/>
    <w:rsid w:val="00024A75"/>
    <w:rsid w:val="00024E3C"/>
    <w:rsid w:val="00024EB0"/>
    <w:rsid w:val="00025040"/>
    <w:rsid w:val="00025578"/>
    <w:rsid w:val="00025604"/>
    <w:rsid w:val="00025DAF"/>
    <w:rsid w:val="0002646A"/>
    <w:rsid w:val="0002651D"/>
    <w:rsid w:val="000267F1"/>
    <w:rsid w:val="00026CFD"/>
    <w:rsid w:val="00027C8B"/>
    <w:rsid w:val="00027CD9"/>
    <w:rsid w:val="00030242"/>
    <w:rsid w:val="00030B06"/>
    <w:rsid w:val="000314EA"/>
    <w:rsid w:val="0003183A"/>
    <w:rsid w:val="00031CDC"/>
    <w:rsid w:val="00032461"/>
    <w:rsid w:val="0003263B"/>
    <w:rsid w:val="0003282C"/>
    <w:rsid w:val="00032F6D"/>
    <w:rsid w:val="0003304A"/>
    <w:rsid w:val="0003317E"/>
    <w:rsid w:val="00033413"/>
    <w:rsid w:val="000337F3"/>
    <w:rsid w:val="00033DDB"/>
    <w:rsid w:val="00034B24"/>
    <w:rsid w:val="00034C27"/>
    <w:rsid w:val="00034E2A"/>
    <w:rsid w:val="0003577F"/>
    <w:rsid w:val="00035B29"/>
    <w:rsid w:val="00036466"/>
    <w:rsid w:val="0003675E"/>
    <w:rsid w:val="00037F87"/>
    <w:rsid w:val="00037FA2"/>
    <w:rsid w:val="000400D0"/>
    <w:rsid w:val="00040343"/>
    <w:rsid w:val="00041848"/>
    <w:rsid w:val="000425AC"/>
    <w:rsid w:val="000427B8"/>
    <w:rsid w:val="00042F4A"/>
    <w:rsid w:val="0004372B"/>
    <w:rsid w:val="00043AC8"/>
    <w:rsid w:val="00043BE5"/>
    <w:rsid w:val="00044003"/>
    <w:rsid w:val="00044411"/>
    <w:rsid w:val="00044527"/>
    <w:rsid w:val="000447E8"/>
    <w:rsid w:val="00044897"/>
    <w:rsid w:val="00044ACF"/>
    <w:rsid w:val="000454F4"/>
    <w:rsid w:val="00045D1E"/>
    <w:rsid w:val="00045E69"/>
    <w:rsid w:val="00045E97"/>
    <w:rsid w:val="00045EF4"/>
    <w:rsid w:val="00046547"/>
    <w:rsid w:val="000466D7"/>
    <w:rsid w:val="00046753"/>
    <w:rsid w:val="000468CD"/>
    <w:rsid w:val="00047254"/>
    <w:rsid w:val="00047E41"/>
    <w:rsid w:val="0005022B"/>
    <w:rsid w:val="00050450"/>
    <w:rsid w:val="00050771"/>
    <w:rsid w:val="000509B3"/>
    <w:rsid w:val="000509BA"/>
    <w:rsid w:val="000513F3"/>
    <w:rsid w:val="00051C73"/>
    <w:rsid w:val="00052287"/>
    <w:rsid w:val="000522E0"/>
    <w:rsid w:val="000532F4"/>
    <w:rsid w:val="000535A9"/>
    <w:rsid w:val="000536AE"/>
    <w:rsid w:val="00054C2F"/>
    <w:rsid w:val="00054CD5"/>
    <w:rsid w:val="00054D03"/>
    <w:rsid w:val="000550AC"/>
    <w:rsid w:val="0005584D"/>
    <w:rsid w:val="00055AA4"/>
    <w:rsid w:val="00055CC3"/>
    <w:rsid w:val="00055CEE"/>
    <w:rsid w:val="00055FB7"/>
    <w:rsid w:val="000566FA"/>
    <w:rsid w:val="00056A2B"/>
    <w:rsid w:val="00056DA8"/>
    <w:rsid w:val="00056E37"/>
    <w:rsid w:val="00056EE2"/>
    <w:rsid w:val="00056FE2"/>
    <w:rsid w:val="000570FB"/>
    <w:rsid w:val="0005750E"/>
    <w:rsid w:val="000575B8"/>
    <w:rsid w:val="00060131"/>
    <w:rsid w:val="0006026B"/>
    <w:rsid w:val="00060293"/>
    <w:rsid w:val="00060D40"/>
    <w:rsid w:val="00061341"/>
    <w:rsid w:val="000614F4"/>
    <w:rsid w:val="0006197E"/>
    <w:rsid w:val="00061AA1"/>
    <w:rsid w:val="00061BD3"/>
    <w:rsid w:val="00061BDA"/>
    <w:rsid w:val="000621FE"/>
    <w:rsid w:val="00062B90"/>
    <w:rsid w:val="00062C70"/>
    <w:rsid w:val="00062DD0"/>
    <w:rsid w:val="00062E6F"/>
    <w:rsid w:val="000630C7"/>
    <w:rsid w:val="0006400F"/>
    <w:rsid w:val="000645DD"/>
    <w:rsid w:val="00064D7E"/>
    <w:rsid w:val="00064F65"/>
    <w:rsid w:val="00064FD0"/>
    <w:rsid w:val="0006534A"/>
    <w:rsid w:val="00065A5D"/>
    <w:rsid w:val="00065BA2"/>
    <w:rsid w:val="000661CA"/>
    <w:rsid w:val="0006668D"/>
    <w:rsid w:val="00066896"/>
    <w:rsid w:val="00067002"/>
    <w:rsid w:val="00067993"/>
    <w:rsid w:val="00067B1C"/>
    <w:rsid w:val="00067CED"/>
    <w:rsid w:val="00067F66"/>
    <w:rsid w:val="0007041A"/>
    <w:rsid w:val="00070634"/>
    <w:rsid w:val="00070883"/>
    <w:rsid w:val="00070C3F"/>
    <w:rsid w:val="0007102C"/>
    <w:rsid w:val="00071D68"/>
    <w:rsid w:val="00071FCE"/>
    <w:rsid w:val="00072661"/>
    <w:rsid w:val="00072CCC"/>
    <w:rsid w:val="00072D1F"/>
    <w:rsid w:val="0007315D"/>
    <w:rsid w:val="00073549"/>
    <w:rsid w:val="0007483E"/>
    <w:rsid w:val="000751DB"/>
    <w:rsid w:val="0007542D"/>
    <w:rsid w:val="0007578F"/>
    <w:rsid w:val="00075E43"/>
    <w:rsid w:val="00077706"/>
    <w:rsid w:val="00077878"/>
    <w:rsid w:val="00077C37"/>
    <w:rsid w:val="00077E81"/>
    <w:rsid w:val="000804EF"/>
    <w:rsid w:val="00080558"/>
    <w:rsid w:val="000809D9"/>
    <w:rsid w:val="00081230"/>
    <w:rsid w:val="000814E2"/>
    <w:rsid w:val="000818C9"/>
    <w:rsid w:val="00081CBB"/>
    <w:rsid w:val="00081D42"/>
    <w:rsid w:val="000822EF"/>
    <w:rsid w:val="0008241E"/>
    <w:rsid w:val="0008268D"/>
    <w:rsid w:val="000826F5"/>
    <w:rsid w:val="000829B1"/>
    <w:rsid w:val="00082AAB"/>
    <w:rsid w:val="0008307D"/>
    <w:rsid w:val="000831E9"/>
    <w:rsid w:val="000833BB"/>
    <w:rsid w:val="0008452D"/>
    <w:rsid w:val="0008467B"/>
    <w:rsid w:val="000850FA"/>
    <w:rsid w:val="0008568A"/>
    <w:rsid w:val="000857A6"/>
    <w:rsid w:val="000859B5"/>
    <w:rsid w:val="00085C12"/>
    <w:rsid w:val="00085DA0"/>
    <w:rsid w:val="00085F82"/>
    <w:rsid w:val="00086506"/>
    <w:rsid w:val="00086B6E"/>
    <w:rsid w:val="00086B90"/>
    <w:rsid w:val="00086C2F"/>
    <w:rsid w:val="00086C64"/>
    <w:rsid w:val="000874BB"/>
    <w:rsid w:val="0008781A"/>
    <w:rsid w:val="0008795D"/>
    <w:rsid w:val="00090951"/>
    <w:rsid w:val="00090A61"/>
    <w:rsid w:val="000918F5"/>
    <w:rsid w:val="000919B5"/>
    <w:rsid w:val="00091C1D"/>
    <w:rsid w:val="00091E08"/>
    <w:rsid w:val="00092100"/>
    <w:rsid w:val="000922D8"/>
    <w:rsid w:val="000932E7"/>
    <w:rsid w:val="0009333A"/>
    <w:rsid w:val="000933C3"/>
    <w:rsid w:val="00093459"/>
    <w:rsid w:val="00093B8B"/>
    <w:rsid w:val="000951E7"/>
    <w:rsid w:val="00095B82"/>
    <w:rsid w:val="00096098"/>
    <w:rsid w:val="000961B2"/>
    <w:rsid w:val="000969D9"/>
    <w:rsid w:val="00096F37"/>
    <w:rsid w:val="00097087"/>
    <w:rsid w:val="00097FE5"/>
    <w:rsid w:val="000A0354"/>
    <w:rsid w:val="000A091F"/>
    <w:rsid w:val="000A0958"/>
    <w:rsid w:val="000A0FCC"/>
    <w:rsid w:val="000A1033"/>
    <w:rsid w:val="000A2712"/>
    <w:rsid w:val="000A2877"/>
    <w:rsid w:val="000A355D"/>
    <w:rsid w:val="000A35DA"/>
    <w:rsid w:val="000A371E"/>
    <w:rsid w:val="000A3DE5"/>
    <w:rsid w:val="000A4011"/>
    <w:rsid w:val="000A45D5"/>
    <w:rsid w:val="000A46CD"/>
    <w:rsid w:val="000A490E"/>
    <w:rsid w:val="000A529E"/>
    <w:rsid w:val="000A5B49"/>
    <w:rsid w:val="000A5F7A"/>
    <w:rsid w:val="000A5FE5"/>
    <w:rsid w:val="000A6684"/>
    <w:rsid w:val="000A7194"/>
    <w:rsid w:val="000A7218"/>
    <w:rsid w:val="000A740A"/>
    <w:rsid w:val="000A7446"/>
    <w:rsid w:val="000A7E7F"/>
    <w:rsid w:val="000A7ECD"/>
    <w:rsid w:val="000B04DD"/>
    <w:rsid w:val="000B0BF3"/>
    <w:rsid w:val="000B0F01"/>
    <w:rsid w:val="000B1346"/>
    <w:rsid w:val="000B1914"/>
    <w:rsid w:val="000B19DC"/>
    <w:rsid w:val="000B1B44"/>
    <w:rsid w:val="000B1CA2"/>
    <w:rsid w:val="000B202E"/>
    <w:rsid w:val="000B2293"/>
    <w:rsid w:val="000B24A4"/>
    <w:rsid w:val="000B255C"/>
    <w:rsid w:val="000B395E"/>
    <w:rsid w:val="000B39C3"/>
    <w:rsid w:val="000B3A00"/>
    <w:rsid w:val="000B4840"/>
    <w:rsid w:val="000B4D79"/>
    <w:rsid w:val="000B5627"/>
    <w:rsid w:val="000B5671"/>
    <w:rsid w:val="000B591F"/>
    <w:rsid w:val="000B6BF0"/>
    <w:rsid w:val="000B6CE8"/>
    <w:rsid w:val="000B7C94"/>
    <w:rsid w:val="000B7DAF"/>
    <w:rsid w:val="000C006F"/>
    <w:rsid w:val="000C071C"/>
    <w:rsid w:val="000C0931"/>
    <w:rsid w:val="000C0BB4"/>
    <w:rsid w:val="000C0BEE"/>
    <w:rsid w:val="000C11BE"/>
    <w:rsid w:val="000C1CB9"/>
    <w:rsid w:val="000C2159"/>
    <w:rsid w:val="000C21BB"/>
    <w:rsid w:val="000C289B"/>
    <w:rsid w:val="000C2EB4"/>
    <w:rsid w:val="000C352F"/>
    <w:rsid w:val="000C3F01"/>
    <w:rsid w:val="000C4017"/>
    <w:rsid w:val="000C410D"/>
    <w:rsid w:val="000C420D"/>
    <w:rsid w:val="000C4773"/>
    <w:rsid w:val="000C4944"/>
    <w:rsid w:val="000C4E24"/>
    <w:rsid w:val="000C5851"/>
    <w:rsid w:val="000C5C4A"/>
    <w:rsid w:val="000C5F01"/>
    <w:rsid w:val="000C63C4"/>
    <w:rsid w:val="000C66C1"/>
    <w:rsid w:val="000C6F0B"/>
    <w:rsid w:val="000C6F32"/>
    <w:rsid w:val="000C6FEF"/>
    <w:rsid w:val="000C7324"/>
    <w:rsid w:val="000C7442"/>
    <w:rsid w:val="000C755A"/>
    <w:rsid w:val="000C778C"/>
    <w:rsid w:val="000C7833"/>
    <w:rsid w:val="000C7E1B"/>
    <w:rsid w:val="000C7E73"/>
    <w:rsid w:val="000D001B"/>
    <w:rsid w:val="000D0A45"/>
    <w:rsid w:val="000D136E"/>
    <w:rsid w:val="000D1421"/>
    <w:rsid w:val="000D14AC"/>
    <w:rsid w:val="000D14EE"/>
    <w:rsid w:val="000D15BA"/>
    <w:rsid w:val="000D15BE"/>
    <w:rsid w:val="000D252B"/>
    <w:rsid w:val="000D2BCC"/>
    <w:rsid w:val="000D2C9B"/>
    <w:rsid w:val="000D2CCB"/>
    <w:rsid w:val="000D35FD"/>
    <w:rsid w:val="000D3D2D"/>
    <w:rsid w:val="000D3D99"/>
    <w:rsid w:val="000D451B"/>
    <w:rsid w:val="000D4653"/>
    <w:rsid w:val="000D4696"/>
    <w:rsid w:val="000D4817"/>
    <w:rsid w:val="000D4D0C"/>
    <w:rsid w:val="000D4FB9"/>
    <w:rsid w:val="000D54B4"/>
    <w:rsid w:val="000D584B"/>
    <w:rsid w:val="000D5EE9"/>
    <w:rsid w:val="000D5F55"/>
    <w:rsid w:val="000D6372"/>
    <w:rsid w:val="000D6825"/>
    <w:rsid w:val="000D6979"/>
    <w:rsid w:val="000D6CE7"/>
    <w:rsid w:val="000D6E38"/>
    <w:rsid w:val="000D6E63"/>
    <w:rsid w:val="000D711C"/>
    <w:rsid w:val="000D7B6E"/>
    <w:rsid w:val="000E01E4"/>
    <w:rsid w:val="000E0644"/>
    <w:rsid w:val="000E076D"/>
    <w:rsid w:val="000E087C"/>
    <w:rsid w:val="000E137E"/>
    <w:rsid w:val="000E187C"/>
    <w:rsid w:val="000E1B28"/>
    <w:rsid w:val="000E1E8D"/>
    <w:rsid w:val="000E1EBC"/>
    <w:rsid w:val="000E2173"/>
    <w:rsid w:val="000E220B"/>
    <w:rsid w:val="000E2266"/>
    <w:rsid w:val="000E2A50"/>
    <w:rsid w:val="000E30F2"/>
    <w:rsid w:val="000E316B"/>
    <w:rsid w:val="000E372D"/>
    <w:rsid w:val="000E3D08"/>
    <w:rsid w:val="000E40BB"/>
    <w:rsid w:val="000E45A5"/>
    <w:rsid w:val="000E4728"/>
    <w:rsid w:val="000E4D1F"/>
    <w:rsid w:val="000E5658"/>
    <w:rsid w:val="000E5698"/>
    <w:rsid w:val="000E5723"/>
    <w:rsid w:val="000E581B"/>
    <w:rsid w:val="000E64B2"/>
    <w:rsid w:val="000E65D2"/>
    <w:rsid w:val="000E6919"/>
    <w:rsid w:val="000E6B1B"/>
    <w:rsid w:val="000E6F0C"/>
    <w:rsid w:val="000E716F"/>
    <w:rsid w:val="000E732D"/>
    <w:rsid w:val="000F07ED"/>
    <w:rsid w:val="000F0CF2"/>
    <w:rsid w:val="000F1401"/>
    <w:rsid w:val="000F17E5"/>
    <w:rsid w:val="000F1926"/>
    <w:rsid w:val="000F1A32"/>
    <w:rsid w:val="000F1CC2"/>
    <w:rsid w:val="000F1D15"/>
    <w:rsid w:val="000F270A"/>
    <w:rsid w:val="000F2FA3"/>
    <w:rsid w:val="000F34C8"/>
    <w:rsid w:val="000F38BC"/>
    <w:rsid w:val="000F3E2A"/>
    <w:rsid w:val="000F4D26"/>
    <w:rsid w:val="000F5639"/>
    <w:rsid w:val="000F58A4"/>
    <w:rsid w:val="000F5F99"/>
    <w:rsid w:val="000F6833"/>
    <w:rsid w:val="000F6A24"/>
    <w:rsid w:val="000F7294"/>
    <w:rsid w:val="000F7502"/>
    <w:rsid w:val="000F7616"/>
    <w:rsid w:val="000F7DE9"/>
    <w:rsid w:val="000F7F7A"/>
    <w:rsid w:val="001002F4"/>
    <w:rsid w:val="0010050C"/>
    <w:rsid w:val="001006CB"/>
    <w:rsid w:val="001007E5"/>
    <w:rsid w:val="001011FC"/>
    <w:rsid w:val="0010165F"/>
    <w:rsid w:val="00101E7C"/>
    <w:rsid w:val="001023DC"/>
    <w:rsid w:val="00102572"/>
    <w:rsid w:val="001025DD"/>
    <w:rsid w:val="00102946"/>
    <w:rsid w:val="00102FBF"/>
    <w:rsid w:val="0010333D"/>
    <w:rsid w:val="0010372A"/>
    <w:rsid w:val="00103F41"/>
    <w:rsid w:val="00104662"/>
    <w:rsid w:val="00104F34"/>
    <w:rsid w:val="001053C5"/>
    <w:rsid w:val="001055AD"/>
    <w:rsid w:val="00105C14"/>
    <w:rsid w:val="00105D9C"/>
    <w:rsid w:val="001065A3"/>
    <w:rsid w:val="00106610"/>
    <w:rsid w:val="00106831"/>
    <w:rsid w:val="0010683E"/>
    <w:rsid w:val="0010691D"/>
    <w:rsid w:val="00106B33"/>
    <w:rsid w:val="00106E69"/>
    <w:rsid w:val="001072FD"/>
    <w:rsid w:val="00110AC5"/>
    <w:rsid w:val="00110D4D"/>
    <w:rsid w:val="00110F0B"/>
    <w:rsid w:val="0011108B"/>
    <w:rsid w:val="00111136"/>
    <w:rsid w:val="00111164"/>
    <w:rsid w:val="00111761"/>
    <w:rsid w:val="001120C6"/>
    <w:rsid w:val="00112164"/>
    <w:rsid w:val="0011241F"/>
    <w:rsid w:val="001128BF"/>
    <w:rsid w:val="00112D09"/>
    <w:rsid w:val="00112E8F"/>
    <w:rsid w:val="00112F03"/>
    <w:rsid w:val="00112F38"/>
    <w:rsid w:val="00113821"/>
    <w:rsid w:val="00114058"/>
    <w:rsid w:val="0011449E"/>
    <w:rsid w:val="001153EF"/>
    <w:rsid w:val="00115D55"/>
    <w:rsid w:val="00115E45"/>
    <w:rsid w:val="00115F85"/>
    <w:rsid w:val="0011688E"/>
    <w:rsid w:val="00116ACD"/>
    <w:rsid w:val="00116E19"/>
    <w:rsid w:val="0011718F"/>
    <w:rsid w:val="00117B7D"/>
    <w:rsid w:val="00117EFC"/>
    <w:rsid w:val="001205A8"/>
    <w:rsid w:val="00121766"/>
    <w:rsid w:val="0012291C"/>
    <w:rsid w:val="00122A64"/>
    <w:rsid w:val="00123694"/>
    <w:rsid w:val="0012388A"/>
    <w:rsid w:val="0012388C"/>
    <w:rsid w:val="00123AFA"/>
    <w:rsid w:val="00123C8C"/>
    <w:rsid w:val="00123E8B"/>
    <w:rsid w:val="00124405"/>
    <w:rsid w:val="00124B43"/>
    <w:rsid w:val="00124DF8"/>
    <w:rsid w:val="001253EA"/>
    <w:rsid w:val="00125B99"/>
    <w:rsid w:val="00126160"/>
    <w:rsid w:val="00126784"/>
    <w:rsid w:val="00126AEC"/>
    <w:rsid w:val="00126DB5"/>
    <w:rsid w:val="0012711C"/>
    <w:rsid w:val="00127178"/>
    <w:rsid w:val="00127F09"/>
    <w:rsid w:val="0013002A"/>
    <w:rsid w:val="001306B6"/>
    <w:rsid w:val="0013085D"/>
    <w:rsid w:val="0013089C"/>
    <w:rsid w:val="00130909"/>
    <w:rsid w:val="00130A2D"/>
    <w:rsid w:val="00130F54"/>
    <w:rsid w:val="00131888"/>
    <w:rsid w:val="00131EE1"/>
    <w:rsid w:val="00131F17"/>
    <w:rsid w:val="00131FBC"/>
    <w:rsid w:val="0013212F"/>
    <w:rsid w:val="00132284"/>
    <w:rsid w:val="001323F9"/>
    <w:rsid w:val="0013251F"/>
    <w:rsid w:val="00133088"/>
    <w:rsid w:val="00133346"/>
    <w:rsid w:val="001335B1"/>
    <w:rsid w:val="00133B4E"/>
    <w:rsid w:val="0013410F"/>
    <w:rsid w:val="001346AF"/>
    <w:rsid w:val="00134990"/>
    <w:rsid w:val="001354D1"/>
    <w:rsid w:val="00135840"/>
    <w:rsid w:val="00135A0A"/>
    <w:rsid w:val="00135BB9"/>
    <w:rsid w:val="00135E73"/>
    <w:rsid w:val="0013621D"/>
    <w:rsid w:val="00136354"/>
    <w:rsid w:val="00136674"/>
    <w:rsid w:val="00136B0E"/>
    <w:rsid w:val="00136C3B"/>
    <w:rsid w:val="001375EC"/>
    <w:rsid w:val="001376AB"/>
    <w:rsid w:val="0013777C"/>
    <w:rsid w:val="00137D5F"/>
    <w:rsid w:val="00137E0F"/>
    <w:rsid w:val="00140082"/>
    <w:rsid w:val="001400C5"/>
    <w:rsid w:val="00140175"/>
    <w:rsid w:val="00140757"/>
    <w:rsid w:val="00140D07"/>
    <w:rsid w:val="00140F6F"/>
    <w:rsid w:val="0014194E"/>
    <w:rsid w:val="00141A3A"/>
    <w:rsid w:val="00141FD4"/>
    <w:rsid w:val="001423FA"/>
    <w:rsid w:val="001427B5"/>
    <w:rsid w:val="001427CF"/>
    <w:rsid w:val="001428CF"/>
    <w:rsid w:val="00142D0C"/>
    <w:rsid w:val="00142E3C"/>
    <w:rsid w:val="00143387"/>
    <w:rsid w:val="001439BA"/>
    <w:rsid w:val="00144013"/>
    <w:rsid w:val="001455C3"/>
    <w:rsid w:val="00145764"/>
    <w:rsid w:val="00145A17"/>
    <w:rsid w:val="00145BBE"/>
    <w:rsid w:val="001460B5"/>
    <w:rsid w:val="0014641F"/>
    <w:rsid w:val="001464A8"/>
    <w:rsid w:val="001467BB"/>
    <w:rsid w:val="00146B1E"/>
    <w:rsid w:val="00146CA8"/>
    <w:rsid w:val="00147884"/>
    <w:rsid w:val="00150827"/>
    <w:rsid w:val="00150B0D"/>
    <w:rsid w:val="00150E10"/>
    <w:rsid w:val="00151A32"/>
    <w:rsid w:val="00151B2C"/>
    <w:rsid w:val="00151D0F"/>
    <w:rsid w:val="00151E31"/>
    <w:rsid w:val="00151F9B"/>
    <w:rsid w:val="00152289"/>
    <w:rsid w:val="00152425"/>
    <w:rsid w:val="00152BAD"/>
    <w:rsid w:val="00152CE3"/>
    <w:rsid w:val="00153652"/>
    <w:rsid w:val="00153697"/>
    <w:rsid w:val="0015374B"/>
    <w:rsid w:val="00153956"/>
    <w:rsid w:val="00153B95"/>
    <w:rsid w:val="00154146"/>
    <w:rsid w:val="00154190"/>
    <w:rsid w:val="001545EA"/>
    <w:rsid w:val="001549BA"/>
    <w:rsid w:val="00154BBF"/>
    <w:rsid w:val="00155099"/>
    <w:rsid w:val="00155C85"/>
    <w:rsid w:val="001560AD"/>
    <w:rsid w:val="00156592"/>
    <w:rsid w:val="00156A6C"/>
    <w:rsid w:val="00156B10"/>
    <w:rsid w:val="001576FE"/>
    <w:rsid w:val="00157823"/>
    <w:rsid w:val="0015790D"/>
    <w:rsid w:val="00157C5E"/>
    <w:rsid w:val="00157DD3"/>
    <w:rsid w:val="0016015A"/>
    <w:rsid w:val="001601E7"/>
    <w:rsid w:val="0016020E"/>
    <w:rsid w:val="00160503"/>
    <w:rsid w:val="00160BF6"/>
    <w:rsid w:val="00160D7C"/>
    <w:rsid w:val="00160E30"/>
    <w:rsid w:val="0016106D"/>
    <w:rsid w:val="001612E1"/>
    <w:rsid w:val="001614DB"/>
    <w:rsid w:val="0016194E"/>
    <w:rsid w:val="00161ADC"/>
    <w:rsid w:val="0016236C"/>
    <w:rsid w:val="00162625"/>
    <w:rsid w:val="00162707"/>
    <w:rsid w:val="001630A8"/>
    <w:rsid w:val="00163826"/>
    <w:rsid w:val="00163943"/>
    <w:rsid w:val="00163BA1"/>
    <w:rsid w:val="00163F22"/>
    <w:rsid w:val="0016417B"/>
    <w:rsid w:val="001643A6"/>
    <w:rsid w:val="0016470E"/>
    <w:rsid w:val="001649D3"/>
    <w:rsid w:val="00164E0A"/>
    <w:rsid w:val="001652D7"/>
    <w:rsid w:val="00165A5F"/>
    <w:rsid w:val="00166223"/>
    <w:rsid w:val="0016793E"/>
    <w:rsid w:val="00167D4D"/>
    <w:rsid w:val="0017054C"/>
    <w:rsid w:val="00170635"/>
    <w:rsid w:val="0017070D"/>
    <w:rsid w:val="00170837"/>
    <w:rsid w:val="00170F77"/>
    <w:rsid w:val="00171035"/>
    <w:rsid w:val="001713B7"/>
    <w:rsid w:val="00171ADB"/>
    <w:rsid w:val="00171E2C"/>
    <w:rsid w:val="00172029"/>
    <w:rsid w:val="001733A4"/>
    <w:rsid w:val="0017360E"/>
    <w:rsid w:val="00173AB9"/>
    <w:rsid w:val="00173EED"/>
    <w:rsid w:val="0017401D"/>
    <w:rsid w:val="00174368"/>
    <w:rsid w:val="001744EA"/>
    <w:rsid w:val="00174731"/>
    <w:rsid w:val="00174D82"/>
    <w:rsid w:val="00174E44"/>
    <w:rsid w:val="00175053"/>
    <w:rsid w:val="001753B7"/>
    <w:rsid w:val="001757E7"/>
    <w:rsid w:val="00175873"/>
    <w:rsid w:val="00175C59"/>
    <w:rsid w:val="001760BC"/>
    <w:rsid w:val="00176674"/>
    <w:rsid w:val="00176818"/>
    <w:rsid w:val="00176B82"/>
    <w:rsid w:val="00176E3B"/>
    <w:rsid w:val="00176ECB"/>
    <w:rsid w:val="0017752D"/>
    <w:rsid w:val="0017759F"/>
    <w:rsid w:val="00177832"/>
    <w:rsid w:val="00181089"/>
    <w:rsid w:val="00181178"/>
    <w:rsid w:val="0018119E"/>
    <w:rsid w:val="0018152C"/>
    <w:rsid w:val="00181DBA"/>
    <w:rsid w:val="00181EEF"/>
    <w:rsid w:val="00181F3E"/>
    <w:rsid w:val="00182FE0"/>
    <w:rsid w:val="0018375D"/>
    <w:rsid w:val="00183911"/>
    <w:rsid w:val="00184418"/>
    <w:rsid w:val="001845FB"/>
    <w:rsid w:val="00184A86"/>
    <w:rsid w:val="001857FB"/>
    <w:rsid w:val="00185DA6"/>
    <w:rsid w:val="00185F64"/>
    <w:rsid w:val="00186096"/>
    <w:rsid w:val="00186278"/>
    <w:rsid w:val="001862FE"/>
    <w:rsid w:val="001864AC"/>
    <w:rsid w:val="00186A33"/>
    <w:rsid w:val="00187317"/>
    <w:rsid w:val="0018772E"/>
    <w:rsid w:val="00187A94"/>
    <w:rsid w:val="0019029E"/>
    <w:rsid w:val="00190804"/>
    <w:rsid w:val="0019088F"/>
    <w:rsid w:val="00190C51"/>
    <w:rsid w:val="00192F00"/>
    <w:rsid w:val="00193ACC"/>
    <w:rsid w:val="00193BFE"/>
    <w:rsid w:val="00193E72"/>
    <w:rsid w:val="00195322"/>
    <w:rsid w:val="0019560E"/>
    <w:rsid w:val="001958E3"/>
    <w:rsid w:val="00195FFA"/>
    <w:rsid w:val="0019601B"/>
    <w:rsid w:val="00196048"/>
    <w:rsid w:val="0019667F"/>
    <w:rsid w:val="00196966"/>
    <w:rsid w:val="00196A82"/>
    <w:rsid w:val="0019769B"/>
    <w:rsid w:val="001979F9"/>
    <w:rsid w:val="00197FFE"/>
    <w:rsid w:val="001A0D25"/>
    <w:rsid w:val="001A0E14"/>
    <w:rsid w:val="001A1570"/>
    <w:rsid w:val="001A1917"/>
    <w:rsid w:val="001A1C64"/>
    <w:rsid w:val="001A1DFB"/>
    <w:rsid w:val="001A1E7F"/>
    <w:rsid w:val="001A2918"/>
    <w:rsid w:val="001A2D02"/>
    <w:rsid w:val="001A3076"/>
    <w:rsid w:val="001A3163"/>
    <w:rsid w:val="001A31A5"/>
    <w:rsid w:val="001A32A7"/>
    <w:rsid w:val="001A389C"/>
    <w:rsid w:val="001A3B75"/>
    <w:rsid w:val="001A42A3"/>
    <w:rsid w:val="001A46FB"/>
    <w:rsid w:val="001A4EC9"/>
    <w:rsid w:val="001A529F"/>
    <w:rsid w:val="001A5944"/>
    <w:rsid w:val="001A5FB1"/>
    <w:rsid w:val="001A618F"/>
    <w:rsid w:val="001A698A"/>
    <w:rsid w:val="001A6CCC"/>
    <w:rsid w:val="001A6E3B"/>
    <w:rsid w:val="001A70C8"/>
    <w:rsid w:val="001A71C9"/>
    <w:rsid w:val="001A72E1"/>
    <w:rsid w:val="001A7342"/>
    <w:rsid w:val="001A7429"/>
    <w:rsid w:val="001A760C"/>
    <w:rsid w:val="001A76F0"/>
    <w:rsid w:val="001A7977"/>
    <w:rsid w:val="001A799B"/>
    <w:rsid w:val="001A7AC7"/>
    <w:rsid w:val="001A7C38"/>
    <w:rsid w:val="001B02F8"/>
    <w:rsid w:val="001B2104"/>
    <w:rsid w:val="001B2263"/>
    <w:rsid w:val="001B2279"/>
    <w:rsid w:val="001B2729"/>
    <w:rsid w:val="001B2866"/>
    <w:rsid w:val="001B2881"/>
    <w:rsid w:val="001B2B73"/>
    <w:rsid w:val="001B3675"/>
    <w:rsid w:val="001B37C8"/>
    <w:rsid w:val="001B48BA"/>
    <w:rsid w:val="001B4B2C"/>
    <w:rsid w:val="001B4F10"/>
    <w:rsid w:val="001B5154"/>
    <w:rsid w:val="001B6E30"/>
    <w:rsid w:val="001B6E43"/>
    <w:rsid w:val="001B7C83"/>
    <w:rsid w:val="001B7CB3"/>
    <w:rsid w:val="001B7F9E"/>
    <w:rsid w:val="001C0206"/>
    <w:rsid w:val="001C0246"/>
    <w:rsid w:val="001C04D4"/>
    <w:rsid w:val="001C0B34"/>
    <w:rsid w:val="001C12A3"/>
    <w:rsid w:val="001C1419"/>
    <w:rsid w:val="001C15D8"/>
    <w:rsid w:val="001C17BB"/>
    <w:rsid w:val="001C187E"/>
    <w:rsid w:val="001C1A37"/>
    <w:rsid w:val="001C1C49"/>
    <w:rsid w:val="001C286F"/>
    <w:rsid w:val="001C2B86"/>
    <w:rsid w:val="001C2F02"/>
    <w:rsid w:val="001C2F54"/>
    <w:rsid w:val="001C3308"/>
    <w:rsid w:val="001C331D"/>
    <w:rsid w:val="001C3BBB"/>
    <w:rsid w:val="001C40D1"/>
    <w:rsid w:val="001C468A"/>
    <w:rsid w:val="001C4A38"/>
    <w:rsid w:val="001C4A9E"/>
    <w:rsid w:val="001C5001"/>
    <w:rsid w:val="001C504C"/>
    <w:rsid w:val="001C5103"/>
    <w:rsid w:val="001C52A8"/>
    <w:rsid w:val="001C5ADF"/>
    <w:rsid w:val="001C5E8E"/>
    <w:rsid w:val="001C6120"/>
    <w:rsid w:val="001C6516"/>
    <w:rsid w:val="001C6B5C"/>
    <w:rsid w:val="001C7155"/>
    <w:rsid w:val="001C7E48"/>
    <w:rsid w:val="001D0190"/>
    <w:rsid w:val="001D039B"/>
    <w:rsid w:val="001D0849"/>
    <w:rsid w:val="001D1258"/>
    <w:rsid w:val="001D1AB8"/>
    <w:rsid w:val="001D26F5"/>
    <w:rsid w:val="001D286F"/>
    <w:rsid w:val="001D2C94"/>
    <w:rsid w:val="001D33D9"/>
    <w:rsid w:val="001D34F6"/>
    <w:rsid w:val="001D36F6"/>
    <w:rsid w:val="001D3F6E"/>
    <w:rsid w:val="001D4303"/>
    <w:rsid w:val="001D45E5"/>
    <w:rsid w:val="001D461A"/>
    <w:rsid w:val="001D4A9D"/>
    <w:rsid w:val="001D4AAD"/>
    <w:rsid w:val="001D4E16"/>
    <w:rsid w:val="001D5AFA"/>
    <w:rsid w:val="001D652D"/>
    <w:rsid w:val="001D6AE8"/>
    <w:rsid w:val="001D72D9"/>
    <w:rsid w:val="001D784A"/>
    <w:rsid w:val="001E04A4"/>
    <w:rsid w:val="001E07C5"/>
    <w:rsid w:val="001E0B45"/>
    <w:rsid w:val="001E176D"/>
    <w:rsid w:val="001E1BCE"/>
    <w:rsid w:val="001E1E05"/>
    <w:rsid w:val="001E2086"/>
    <w:rsid w:val="001E339F"/>
    <w:rsid w:val="001E3586"/>
    <w:rsid w:val="001E3629"/>
    <w:rsid w:val="001E3E7D"/>
    <w:rsid w:val="001E40F0"/>
    <w:rsid w:val="001E4172"/>
    <w:rsid w:val="001E4F08"/>
    <w:rsid w:val="001E5490"/>
    <w:rsid w:val="001E5730"/>
    <w:rsid w:val="001E58B1"/>
    <w:rsid w:val="001E5E2E"/>
    <w:rsid w:val="001E6352"/>
    <w:rsid w:val="001E700A"/>
    <w:rsid w:val="001E70AD"/>
    <w:rsid w:val="001E7237"/>
    <w:rsid w:val="001E73E0"/>
    <w:rsid w:val="001E75B9"/>
    <w:rsid w:val="001E7AF6"/>
    <w:rsid w:val="001F01B8"/>
    <w:rsid w:val="001F0FC3"/>
    <w:rsid w:val="001F1188"/>
    <w:rsid w:val="001F1B8D"/>
    <w:rsid w:val="001F1C50"/>
    <w:rsid w:val="001F274F"/>
    <w:rsid w:val="001F289C"/>
    <w:rsid w:val="001F2BF9"/>
    <w:rsid w:val="001F3AF2"/>
    <w:rsid w:val="001F4BFC"/>
    <w:rsid w:val="001F4DCD"/>
    <w:rsid w:val="001F6008"/>
    <w:rsid w:val="001F604B"/>
    <w:rsid w:val="001F641B"/>
    <w:rsid w:val="001F6D4D"/>
    <w:rsid w:val="001F78EA"/>
    <w:rsid w:val="0020125C"/>
    <w:rsid w:val="0020130D"/>
    <w:rsid w:val="00201916"/>
    <w:rsid w:val="00201D06"/>
    <w:rsid w:val="00201E9F"/>
    <w:rsid w:val="00202A52"/>
    <w:rsid w:val="00202F25"/>
    <w:rsid w:val="002035B3"/>
    <w:rsid w:val="00203929"/>
    <w:rsid w:val="00203CD6"/>
    <w:rsid w:val="00203D01"/>
    <w:rsid w:val="00204460"/>
    <w:rsid w:val="002051EA"/>
    <w:rsid w:val="00205CBC"/>
    <w:rsid w:val="00205F99"/>
    <w:rsid w:val="00206259"/>
    <w:rsid w:val="002074B7"/>
    <w:rsid w:val="0020758D"/>
    <w:rsid w:val="00207C7B"/>
    <w:rsid w:val="00211470"/>
    <w:rsid w:val="00211922"/>
    <w:rsid w:val="00211B20"/>
    <w:rsid w:val="0021213A"/>
    <w:rsid w:val="0021265F"/>
    <w:rsid w:val="00212F0B"/>
    <w:rsid w:val="0021322F"/>
    <w:rsid w:val="00213232"/>
    <w:rsid w:val="00213817"/>
    <w:rsid w:val="00214428"/>
    <w:rsid w:val="002145EB"/>
    <w:rsid w:val="0021471A"/>
    <w:rsid w:val="00214F82"/>
    <w:rsid w:val="00214FE7"/>
    <w:rsid w:val="00215033"/>
    <w:rsid w:val="00215049"/>
    <w:rsid w:val="00215834"/>
    <w:rsid w:val="00215CC2"/>
    <w:rsid w:val="00215D95"/>
    <w:rsid w:val="00215ED8"/>
    <w:rsid w:val="00215FAF"/>
    <w:rsid w:val="00217417"/>
    <w:rsid w:val="00217700"/>
    <w:rsid w:val="002177E2"/>
    <w:rsid w:val="0021783B"/>
    <w:rsid w:val="00217AE0"/>
    <w:rsid w:val="00217B43"/>
    <w:rsid w:val="002205F3"/>
    <w:rsid w:val="0022085B"/>
    <w:rsid w:val="00220E53"/>
    <w:rsid w:val="0022176C"/>
    <w:rsid w:val="00221BD2"/>
    <w:rsid w:val="002225D1"/>
    <w:rsid w:val="002230FA"/>
    <w:rsid w:val="002232B9"/>
    <w:rsid w:val="00223DF2"/>
    <w:rsid w:val="00223E18"/>
    <w:rsid w:val="002249A2"/>
    <w:rsid w:val="00224C0C"/>
    <w:rsid w:val="0022510D"/>
    <w:rsid w:val="002256C2"/>
    <w:rsid w:val="002256D0"/>
    <w:rsid w:val="00225C8E"/>
    <w:rsid w:val="00226428"/>
    <w:rsid w:val="002265A9"/>
    <w:rsid w:val="002266CB"/>
    <w:rsid w:val="00227052"/>
    <w:rsid w:val="002272D5"/>
    <w:rsid w:val="0022738E"/>
    <w:rsid w:val="002277D6"/>
    <w:rsid w:val="00227906"/>
    <w:rsid w:val="00227934"/>
    <w:rsid w:val="00227E21"/>
    <w:rsid w:val="0023008A"/>
    <w:rsid w:val="0023179D"/>
    <w:rsid w:val="00231D05"/>
    <w:rsid w:val="0023241A"/>
    <w:rsid w:val="002324C4"/>
    <w:rsid w:val="00232EC8"/>
    <w:rsid w:val="00232EFA"/>
    <w:rsid w:val="002336E2"/>
    <w:rsid w:val="00233AC2"/>
    <w:rsid w:val="00233BAF"/>
    <w:rsid w:val="00233F80"/>
    <w:rsid w:val="0023423A"/>
    <w:rsid w:val="00234996"/>
    <w:rsid w:val="00235420"/>
    <w:rsid w:val="0023549A"/>
    <w:rsid w:val="00235700"/>
    <w:rsid w:val="0023788D"/>
    <w:rsid w:val="00237B29"/>
    <w:rsid w:val="00240422"/>
    <w:rsid w:val="0024065B"/>
    <w:rsid w:val="002409A6"/>
    <w:rsid w:val="00240C63"/>
    <w:rsid w:val="00240D91"/>
    <w:rsid w:val="00240EA5"/>
    <w:rsid w:val="00241132"/>
    <w:rsid w:val="00241205"/>
    <w:rsid w:val="002418C5"/>
    <w:rsid w:val="0024261D"/>
    <w:rsid w:val="00242712"/>
    <w:rsid w:val="00242D37"/>
    <w:rsid w:val="00242DFB"/>
    <w:rsid w:val="00243807"/>
    <w:rsid w:val="002440AC"/>
    <w:rsid w:val="0024416E"/>
    <w:rsid w:val="00244365"/>
    <w:rsid w:val="0024459A"/>
    <w:rsid w:val="002446A3"/>
    <w:rsid w:val="00244771"/>
    <w:rsid w:val="00244903"/>
    <w:rsid w:val="00244AFB"/>
    <w:rsid w:val="00244B97"/>
    <w:rsid w:val="00244D0D"/>
    <w:rsid w:val="002453DF"/>
    <w:rsid w:val="00245A81"/>
    <w:rsid w:val="002462A5"/>
    <w:rsid w:val="00246753"/>
    <w:rsid w:val="00246B86"/>
    <w:rsid w:val="00247094"/>
    <w:rsid w:val="00247335"/>
    <w:rsid w:val="002473EF"/>
    <w:rsid w:val="002477B9"/>
    <w:rsid w:val="00247B69"/>
    <w:rsid w:val="00247CBE"/>
    <w:rsid w:val="00250A1F"/>
    <w:rsid w:val="00250ADA"/>
    <w:rsid w:val="00250F1D"/>
    <w:rsid w:val="00251FF1"/>
    <w:rsid w:val="002520BA"/>
    <w:rsid w:val="00252234"/>
    <w:rsid w:val="002524E5"/>
    <w:rsid w:val="002528E3"/>
    <w:rsid w:val="00252944"/>
    <w:rsid w:val="00252D55"/>
    <w:rsid w:val="00252D82"/>
    <w:rsid w:val="00253006"/>
    <w:rsid w:val="00253165"/>
    <w:rsid w:val="002531EA"/>
    <w:rsid w:val="002533F5"/>
    <w:rsid w:val="00253C60"/>
    <w:rsid w:val="00253F21"/>
    <w:rsid w:val="0025429D"/>
    <w:rsid w:val="002549E9"/>
    <w:rsid w:val="00254A09"/>
    <w:rsid w:val="00254FF6"/>
    <w:rsid w:val="00255099"/>
    <w:rsid w:val="002555C6"/>
    <w:rsid w:val="0025597E"/>
    <w:rsid w:val="00255E14"/>
    <w:rsid w:val="00255E45"/>
    <w:rsid w:val="00255FC3"/>
    <w:rsid w:val="00255FF9"/>
    <w:rsid w:val="00256AD7"/>
    <w:rsid w:val="00257059"/>
    <w:rsid w:val="0025712F"/>
    <w:rsid w:val="00257395"/>
    <w:rsid w:val="00257857"/>
    <w:rsid w:val="002578DA"/>
    <w:rsid w:val="00257CBC"/>
    <w:rsid w:val="002602C2"/>
    <w:rsid w:val="002602DA"/>
    <w:rsid w:val="0026040B"/>
    <w:rsid w:val="00260433"/>
    <w:rsid w:val="002604F2"/>
    <w:rsid w:val="00260802"/>
    <w:rsid w:val="002609E3"/>
    <w:rsid w:val="0026116D"/>
    <w:rsid w:val="00261223"/>
    <w:rsid w:val="00261467"/>
    <w:rsid w:val="002617AB"/>
    <w:rsid w:val="00261D08"/>
    <w:rsid w:val="00261DCC"/>
    <w:rsid w:val="002624D0"/>
    <w:rsid w:val="00263572"/>
    <w:rsid w:val="00263EC7"/>
    <w:rsid w:val="0026491B"/>
    <w:rsid w:val="00264A36"/>
    <w:rsid w:val="00264B06"/>
    <w:rsid w:val="00264C1B"/>
    <w:rsid w:val="002657FB"/>
    <w:rsid w:val="00265D10"/>
    <w:rsid w:val="00265E2E"/>
    <w:rsid w:val="00265EF0"/>
    <w:rsid w:val="002661AB"/>
    <w:rsid w:val="0026742B"/>
    <w:rsid w:val="002674FE"/>
    <w:rsid w:val="00267E59"/>
    <w:rsid w:val="002702F6"/>
    <w:rsid w:val="00270748"/>
    <w:rsid w:val="00270CAB"/>
    <w:rsid w:val="0027117F"/>
    <w:rsid w:val="002712DC"/>
    <w:rsid w:val="002716A4"/>
    <w:rsid w:val="00271875"/>
    <w:rsid w:val="002718FF"/>
    <w:rsid w:val="00271955"/>
    <w:rsid w:val="00272278"/>
    <w:rsid w:val="00272432"/>
    <w:rsid w:val="00272633"/>
    <w:rsid w:val="00272D36"/>
    <w:rsid w:val="00272E48"/>
    <w:rsid w:val="00272FBF"/>
    <w:rsid w:val="002734ED"/>
    <w:rsid w:val="00273A10"/>
    <w:rsid w:val="00273A58"/>
    <w:rsid w:val="00273B5F"/>
    <w:rsid w:val="00274C6E"/>
    <w:rsid w:val="00274CAB"/>
    <w:rsid w:val="00274E8A"/>
    <w:rsid w:val="002755A8"/>
    <w:rsid w:val="00275FCE"/>
    <w:rsid w:val="002766B8"/>
    <w:rsid w:val="0027680F"/>
    <w:rsid w:val="002777C0"/>
    <w:rsid w:val="0028051E"/>
    <w:rsid w:val="0028076D"/>
    <w:rsid w:val="00281006"/>
    <w:rsid w:val="002815B1"/>
    <w:rsid w:val="00281893"/>
    <w:rsid w:val="00281C1F"/>
    <w:rsid w:val="00281EEA"/>
    <w:rsid w:val="00281F88"/>
    <w:rsid w:val="0028240D"/>
    <w:rsid w:val="0028288D"/>
    <w:rsid w:val="002829B7"/>
    <w:rsid w:val="00282B82"/>
    <w:rsid w:val="00282C74"/>
    <w:rsid w:val="00282E5B"/>
    <w:rsid w:val="002837D1"/>
    <w:rsid w:val="00283995"/>
    <w:rsid w:val="00283B11"/>
    <w:rsid w:val="002841A9"/>
    <w:rsid w:val="00284313"/>
    <w:rsid w:val="00284554"/>
    <w:rsid w:val="002848AD"/>
    <w:rsid w:val="00284DE4"/>
    <w:rsid w:val="00285154"/>
    <w:rsid w:val="00285BF2"/>
    <w:rsid w:val="00285C78"/>
    <w:rsid w:val="002863CE"/>
    <w:rsid w:val="00287E20"/>
    <w:rsid w:val="00287EB5"/>
    <w:rsid w:val="0029110F"/>
    <w:rsid w:val="00291492"/>
    <w:rsid w:val="00291527"/>
    <w:rsid w:val="002916B4"/>
    <w:rsid w:val="0029199A"/>
    <w:rsid w:val="00291BBE"/>
    <w:rsid w:val="00291FEB"/>
    <w:rsid w:val="00292174"/>
    <w:rsid w:val="00292E99"/>
    <w:rsid w:val="00293146"/>
    <w:rsid w:val="0029361E"/>
    <w:rsid w:val="00293D68"/>
    <w:rsid w:val="0029408A"/>
    <w:rsid w:val="00294352"/>
    <w:rsid w:val="002944A0"/>
    <w:rsid w:val="002946E4"/>
    <w:rsid w:val="0029495C"/>
    <w:rsid w:val="00295212"/>
    <w:rsid w:val="002957D9"/>
    <w:rsid w:val="00295B52"/>
    <w:rsid w:val="00296024"/>
    <w:rsid w:val="00296293"/>
    <w:rsid w:val="002969C7"/>
    <w:rsid w:val="00296AF7"/>
    <w:rsid w:val="00297021"/>
    <w:rsid w:val="002972F9"/>
    <w:rsid w:val="00297612"/>
    <w:rsid w:val="002977CA"/>
    <w:rsid w:val="00297ED7"/>
    <w:rsid w:val="002A0007"/>
    <w:rsid w:val="002A03AA"/>
    <w:rsid w:val="002A056D"/>
    <w:rsid w:val="002A0742"/>
    <w:rsid w:val="002A07FE"/>
    <w:rsid w:val="002A094D"/>
    <w:rsid w:val="002A0CAF"/>
    <w:rsid w:val="002A0DDB"/>
    <w:rsid w:val="002A1565"/>
    <w:rsid w:val="002A16A9"/>
    <w:rsid w:val="002A1A2A"/>
    <w:rsid w:val="002A2941"/>
    <w:rsid w:val="002A2DC4"/>
    <w:rsid w:val="002A3E69"/>
    <w:rsid w:val="002A44F9"/>
    <w:rsid w:val="002A4946"/>
    <w:rsid w:val="002A49EF"/>
    <w:rsid w:val="002A4B8B"/>
    <w:rsid w:val="002A5107"/>
    <w:rsid w:val="002A5188"/>
    <w:rsid w:val="002A535E"/>
    <w:rsid w:val="002A5DBD"/>
    <w:rsid w:val="002A6406"/>
    <w:rsid w:val="002A6432"/>
    <w:rsid w:val="002A6CF0"/>
    <w:rsid w:val="002A6FFC"/>
    <w:rsid w:val="002A7010"/>
    <w:rsid w:val="002A70BA"/>
    <w:rsid w:val="002A7A57"/>
    <w:rsid w:val="002A7BB2"/>
    <w:rsid w:val="002A7CC1"/>
    <w:rsid w:val="002A7DCB"/>
    <w:rsid w:val="002B0685"/>
    <w:rsid w:val="002B0B53"/>
    <w:rsid w:val="002B0CF8"/>
    <w:rsid w:val="002B1617"/>
    <w:rsid w:val="002B1A90"/>
    <w:rsid w:val="002B1D11"/>
    <w:rsid w:val="002B273B"/>
    <w:rsid w:val="002B29AA"/>
    <w:rsid w:val="002B2A7E"/>
    <w:rsid w:val="002B2F1B"/>
    <w:rsid w:val="002B3332"/>
    <w:rsid w:val="002B34C7"/>
    <w:rsid w:val="002B3F25"/>
    <w:rsid w:val="002B5456"/>
    <w:rsid w:val="002B5AFB"/>
    <w:rsid w:val="002B6257"/>
    <w:rsid w:val="002B6272"/>
    <w:rsid w:val="002B6320"/>
    <w:rsid w:val="002B66AC"/>
    <w:rsid w:val="002B6852"/>
    <w:rsid w:val="002B74EF"/>
    <w:rsid w:val="002B77E1"/>
    <w:rsid w:val="002C0656"/>
    <w:rsid w:val="002C0714"/>
    <w:rsid w:val="002C0A96"/>
    <w:rsid w:val="002C13C6"/>
    <w:rsid w:val="002C1BF4"/>
    <w:rsid w:val="002C1E0D"/>
    <w:rsid w:val="002C2266"/>
    <w:rsid w:val="002C2356"/>
    <w:rsid w:val="002C238F"/>
    <w:rsid w:val="002C276F"/>
    <w:rsid w:val="002C28EB"/>
    <w:rsid w:val="002C2BE9"/>
    <w:rsid w:val="002C316C"/>
    <w:rsid w:val="002C3265"/>
    <w:rsid w:val="002C3AED"/>
    <w:rsid w:val="002C3E56"/>
    <w:rsid w:val="002C414C"/>
    <w:rsid w:val="002C4154"/>
    <w:rsid w:val="002C49F8"/>
    <w:rsid w:val="002C4C2F"/>
    <w:rsid w:val="002C5776"/>
    <w:rsid w:val="002C5EED"/>
    <w:rsid w:val="002C66DE"/>
    <w:rsid w:val="002C7193"/>
    <w:rsid w:val="002C7699"/>
    <w:rsid w:val="002C7A49"/>
    <w:rsid w:val="002D0128"/>
    <w:rsid w:val="002D02FB"/>
    <w:rsid w:val="002D0E85"/>
    <w:rsid w:val="002D0FA7"/>
    <w:rsid w:val="002D12FB"/>
    <w:rsid w:val="002D19D1"/>
    <w:rsid w:val="002D1F35"/>
    <w:rsid w:val="002D1FA3"/>
    <w:rsid w:val="002D20CD"/>
    <w:rsid w:val="002D23C6"/>
    <w:rsid w:val="002D24F0"/>
    <w:rsid w:val="002D25EB"/>
    <w:rsid w:val="002D29F3"/>
    <w:rsid w:val="002D2E80"/>
    <w:rsid w:val="002D3126"/>
    <w:rsid w:val="002D3529"/>
    <w:rsid w:val="002D3D0A"/>
    <w:rsid w:val="002D3EF0"/>
    <w:rsid w:val="002D478E"/>
    <w:rsid w:val="002D47AE"/>
    <w:rsid w:val="002D4A94"/>
    <w:rsid w:val="002D4AFE"/>
    <w:rsid w:val="002D5181"/>
    <w:rsid w:val="002D6278"/>
    <w:rsid w:val="002D65FF"/>
    <w:rsid w:val="002D6D10"/>
    <w:rsid w:val="002D71E2"/>
    <w:rsid w:val="002D7B6A"/>
    <w:rsid w:val="002E0026"/>
    <w:rsid w:val="002E08E8"/>
    <w:rsid w:val="002E0918"/>
    <w:rsid w:val="002E0BAA"/>
    <w:rsid w:val="002E0D96"/>
    <w:rsid w:val="002E0EA5"/>
    <w:rsid w:val="002E0F1C"/>
    <w:rsid w:val="002E1E19"/>
    <w:rsid w:val="002E1FAC"/>
    <w:rsid w:val="002E283F"/>
    <w:rsid w:val="002E2854"/>
    <w:rsid w:val="002E2E74"/>
    <w:rsid w:val="002E32D2"/>
    <w:rsid w:val="002E361B"/>
    <w:rsid w:val="002E37AB"/>
    <w:rsid w:val="002E3A80"/>
    <w:rsid w:val="002E41C7"/>
    <w:rsid w:val="002E4C1A"/>
    <w:rsid w:val="002E51DF"/>
    <w:rsid w:val="002E57B9"/>
    <w:rsid w:val="002E5C39"/>
    <w:rsid w:val="002E6127"/>
    <w:rsid w:val="002E6885"/>
    <w:rsid w:val="002E72E4"/>
    <w:rsid w:val="002E739D"/>
    <w:rsid w:val="002F0F36"/>
    <w:rsid w:val="002F1276"/>
    <w:rsid w:val="002F141C"/>
    <w:rsid w:val="002F1986"/>
    <w:rsid w:val="002F1E5F"/>
    <w:rsid w:val="002F2A49"/>
    <w:rsid w:val="002F3550"/>
    <w:rsid w:val="002F3B63"/>
    <w:rsid w:val="002F3C56"/>
    <w:rsid w:val="002F4156"/>
    <w:rsid w:val="002F4271"/>
    <w:rsid w:val="002F46B0"/>
    <w:rsid w:val="002F4B17"/>
    <w:rsid w:val="002F5150"/>
    <w:rsid w:val="002F5463"/>
    <w:rsid w:val="002F58C2"/>
    <w:rsid w:val="002F5932"/>
    <w:rsid w:val="002F5C85"/>
    <w:rsid w:val="002F5E10"/>
    <w:rsid w:val="002F603B"/>
    <w:rsid w:val="002F60AC"/>
    <w:rsid w:val="002F6201"/>
    <w:rsid w:val="002F6493"/>
    <w:rsid w:val="002F724B"/>
    <w:rsid w:val="002F72BA"/>
    <w:rsid w:val="002F7A72"/>
    <w:rsid w:val="00300267"/>
    <w:rsid w:val="003004D2"/>
    <w:rsid w:val="00300D6B"/>
    <w:rsid w:val="00301380"/>
    <w:rsid w:val="00301D6A"/>
    <w:rsid w:val="00301E89"/>
    <w:rsid w:val="00302052"/>
    <w:rsid w:val="00302142"/>
    <w:rsid w:val="00302169"/>
    <w:rsid w:val="00302612"/>
    <w:rsid w:val="00302963"/>
    <w:rsid w:val="00303254"/>
    <w:rsid w:val="003044D9"/>
    <w:rsid w:val="00304D8A"/>
    <w:rsid w:val="00305216"/>
    <w:rsid w:val="0030555B"/>
    <w:rsid w:val="003061F5"/>
    <w:rsid w:val="00306A49"/>
    <w:rsid w:val="00306CBF"/>
    <w:rsid w:val="00306D27"/>
    <w:rsid w:val="0030739C"/>
    <w:rsid w:val="00310ACB"/>
    <w:rsid w:val="00310D51"/>
    <w:rsid w:val="00311B36"/>
    <w:rsid w:val="00311C53"/>
    <w:rsid w:val="00311C92"/>
    <w:rsid w:val="0031252E"/>
    <w:rsid w:val="00313321"/>
    <w:rsid w:val="003133AE"/>
    <w:rsid w:val="0031371B"/>
    <w:rsid w:val="00314156"/>
    <w:rsid w:val="00314CF8"/>
    <w:rsid w:val="0031535B"/>
    <w:rsid w:val="003154DD"/>
    <w:rsid w:val="00315BD6"/>
    <w:rsid w:val="00316267"/>
    <w:rsid w:val="00316F76"/>
    <w:rsid w:val="003170F4"/>
    <w:rsid w:val="0032035D"/>
    <w:rsid w:val="0032056F"/>
    <w:rsid w:val="003205E9"/>
    <w:rsid w:val="00320B28"/>
    <w:rsid w:val="0032123E"/>
    <w:rsid w:val="003216D5"/>
    <w:rsid w:val="003216FF"/>
    <w:rsid w:val="00321866"/>
    <w:rsid w:val="00321A83"/>
    <w:rsid w:val="00321C1A"/>
    <w:rsid w:val="00321F6B"/>
    <w:rsid w:val="00322389"/>
    <w:rsid w:val="003223CA"/>
    <w:rsid w:val="00322BE5"/>
    <w:rsid w:val="00322E87"/>
    <w:rsid w:val="00322FEA"/>
    <w:rsid w:val="0032312D"/>
    <w:rsid w:val="00323AA5"/>
    <w:rsid w:val="003242E4"/>
    <w:rsid w:val="0032468D"/>
    <w:rsid w:val="00324887"/>
    <w:rsid w:val="00324926"/>
    <w:rsid w:val="00324B25"/>
    <w:rsid w:val="0032522F"/>
    <w:rsid w:val="003253C4"/>
    <w:rsid w:val="0032550F"/>
    <w:rsid w:val="00325992"/>
    <w:rsid w:val="00325B74"/>
    <w:rsid w:val="0032638F"/>
    <w:rsid w:val="003263EA"/>
    <w:rsid w:val="00326B59"/>
    <w:rsid w:val="00326BD4"/>
    <w:rsid w:val="003272C6"/>
    <w:rsid w:val="00327752"/>
    <w:rsid w:val="00327C7C"/>
    <w:rsid w:val="00330009"/>
    <w:rsid w:val="003301E6"/>
    <w:rsid w:val="003310AB"/>
    <w:rsid w:val="003314D2"/>
    <w:rsid w:val="00331712"/>
    <w:rsid w:val="00331A3F"/>
    <w:rsid w:val="00332191"/>
    <w:rsid w:val="00332720"/>
    <w:rsid w:val="00332EED"/>
    <w:rsid w:val="003331E4"/>
    <w:rsid w:val="003334A7"/>
    <w:rsid w:val="003337E8"/>
    <w:rsid w:val="00333A14"/>
    <w:rsid w:val="00333B2A"/>
    <w:rsid w:val="00333FD5"/>
    <w:rsid w:val="00334649"/>
    <w:rsid w:val="003350E9"/>
    <w:rsid w:val="003351BA"/>
    <w:rsid w:val="0033520F"/>
    <w:rsid w:val="0033596B"/>
    <w:rsid w:val="00335A93"/>
    <w:rsid w:val="00335E6B"/>
    <w:rsid w:val="0033650E"/>
    <w:rsid w:val="0033659C"/>
    <w:rsid w:val="00336907"/>
    <w:rsid w:val="003369DF"/>
    <w:rsid w:val="00336AD1"/>
    <w:rsid w:val="00336C71"/>
    <w:rsid w:val="00336D96"/>
    <w:rsid w:val="00336DFC"/>
    <w:rsid w:val="00337079"/>
    <w:rsid w:val="00337230"/>
    <w:rsid w:val="003377D0"/>
    <w:rsid w:val="00337BDC"/>
    <w:rsid w:val="00337D75"/>
    <w:rsid w:val="00340020"/>
    <w:rsid w:val="0034028D"/>
    <w:rsid w:val="00340AFD"/>
    <w:rsid w:val="00341162"/>
    <w:rsid w:val="00341866"/>
    <w:rsid w:val="00341DAF"/>
    <w:rsid w:val="00342181"/>
    <w:rsid w:val="00342B37"/>
    <w:rsid w:val="00343560"/>
    <w:rsid w:val="00343A20"/>
    <w:rsid w:val="0034402B"/>
    <w:rsid w:val="0034449E"/>
    <w:rsid w:val="003449F4"/>
    <w:rsid w:val="00344D46"/>
    <w:rsid w:val="00345337"/>
    <w:rsid w:val="003465A5"/>
    <w:rsid w:val="00346817"/>
    <w:rsid w:val="003471D8"/>
    <w:rsid w:val="00347440"/>
    <w:rsid w:val="003475EA"/>
    <w:rsid w:val="00347A27"/>
    <w:rsid w:val="00347CD4"/>
    <w:rsid w:val="00347E2E"/>
    <w:rsid w:val="00350A55"/>
    <w:rsid w:val="00350DF8"/>
    <w:rsid w:val="00351A8A"/>
    <w:rsid w:val="0035266A"/>
    <w:rsid w:val="0035279C"/>
    <w:rsid w:val="003535D2"/>
    <w:rsid w:val="0035384D"/>
    <w:rsid w:val="00353C0B"/>
    <w:rsid w:val="00354472"/>
    <w:rsid w:val="00354AE4"/>
    <w:rsid w:val="00354B0A"/>
    <w:rsid w:val="0035551B"/>
    <w:rsid w:val="003555ED"/>
    <w:rsid w:val="00355911"/>
    <w:rsid w:val="00355BFC"/>
    <w:rsid w:val="003560EF"/>
    <w:rsid w:val="0035636B"/>
    <w:rsid w:val="0035636C"/>
    <w:rsid w:val="003564CC"/>
    <w:rsid w:val="00357424"/>
    <w:rsid w:val="00357BE9"/>
    <w:rsid w:val="0036004C"/>
    <w:rsid w:val="003601A2"/>
    <w:rsid w:val="00361257"/>
    <w:rsid w:val="003613EE"/>
    <w:rsid w:val="0036174F"/>
    <w:rsid w:val="00361789"/>
    <w:rsid w:val="0036196D"/>
    <w:rsid w:val="00361A59"/>
    <w:rsid w:val="00361F9E"/>
    <w:rsid w:val="00362136"/>
    <w:rsid w:val="003626CF"/>
    <w:rsid w:val="003627BD"/>
    <w:rsid w:val="00362997"/>
    <w:rsid w:val="00362B7F"/>
    <w:rsid w:val="00362C59"/>
    <w:rsid w:val="00363040"/>
    <w:rsid w:val="003630B7"/>
    <w:rsid w:val="00363786"/>
    <w:rsid w:val="003638A4"/>
    <w:rsid w:val="003639BF"/>
    <w:rsid w:val="00363E41"/>
    <w:rsid w:val="00363FD2"/>
    <w:rsid w:val="00364653"/>
    <w:rsid w:val="0036572E"/>
    <w:rsid w:val="0036614A"/>
    <w:rsid w:val="00366168"/>
    <w:rsid w:val="003663D9"/>
    <w:rsid w:val="003666BF"/>
    <w:rsid w:val="00366707"/>
    <w:rsid w:val="00366B3B"/>
    <w:rsid w:val="00366FA9"/>
    <w:rsid w:val="00367B19"/>
    <w:rsid w:val="00367E49"/>
    <w:rsid w:val="003700E6"/>
    <w:rsid w:val="0037017C"/>
    <w:rsid w:val="00370490"/>
    <w:rsid w:val="00371C86"/>
    <w:rsid w:val="00371EB4"/>
    <w:rsid w:val="0037236C"/>
    <w:rsid w:val="003729DE"/>
    <w:rsid w:val="00372BBD"/>
    <w:rsid w:val="00372EA2"/>
    <w:rsid w:val="00373059"/>
    <w:rsid w:val="003735D3"/>
    <w:rsid w:val="0037386D"/>
    <w:rsid w:val="00373956"/>
    <w:rsid w:val="00374153"/>
    <w:rsid w:val="00374671"/>
    <w:rsid w:val="003750E0"/>
    <w:rsid w:val="00375AF1"/>
    <w:rsid w:val="00375C2F"/>
    <w:rsid w:val="00375FC5"/>
    <w:rsid w:val="003768DC"/>
    <w:rsid w:val="003769BA"/>
    <w:rsid w:val="00377871"/>
    <w:rsid w:val="003778B2"/>
    <w:rsid w:val="00377E58"/>
    <w:rsid w:val="003805E3"/>
    <w:rsid w:val="00380618"/>
    <w:rsid w:val="0038062E"/>
    <w:rsid w:val="003806D7"/>
    <w:rsid w:val="003807F7"/>
    <w:rsid w:val="00381610"/>
    <w:rsid w:val="0038166B"/>
    <w:rsid w:val="00381C9E"/>
    <w:rsid w:val="00381CA8"/>
    <w:rsid w:val="00382106"/>
    <w:rsid w:val="00382657"/>
    <w:rsid w:val="00382708"/>
    <w:rsid w:val="00382B82"/>
    <w:rsid w:val="003844BF"/>
    <w:rsid w:val="00384566"/>
    <w:rsid w:val="003854D5"/>
    <w:rsid w:val="0038552A"/>
    <w:rsid w:val="003859EA"/>
    <w:rsid w:val="0038709E"/>
    <w:rsid w:val="00387978"/>
    <w:rsid w:val="00387D30"/>
    <w:rsid w:val="0039168C"/>
    <w:rsid w:val="00391753"/>
    <w:rsid w:val="00391C7F"/>
    <w:rsid w:val="00392454"/>
    <w:rsid w:val="00392C85"/>
    <w:rsid w:val="00392FD8"/>
    <w:rsid w:val="00393E11"/>
    <w:rsid w:val="003942F4"/>
    <w:rsid w:val="00394475"/>
    <w:rsid w:val="0039517A"/>
    <w:rsid w:val="003951DB"/>
    <w:rsid w:val="003954FE"/>
    <w:rsid w:val="00395B51"/>
    <w:rsid w:val="00396796"/>
    <w:rsid w:val="00396D9B"/>
    <w:rsid w:val="00396EC6"/>
    <w:rsid w:val="003970BA"/>
    <w:rsid w:val="0039746C"/>
    <w:rsid w:val="00397DC6"/>
    <w:rsid w:val="003A0E82"/>
    <w:rsid w:val="003A0FAC"/>
    <w:rsid w:val="003A184D"/>
    <w:rsid w:val="003A1FB7"/>
    <w:rsid w:val="003A2773"/>
    <w:rsid w:val="003A371E"/>
    <w:rsid w:val="003A3957"/>
    <w:rsid w:val="003A3E29"/>
    <w:rsid w:val="003A439B"/>
    <w:rsid w:val="003A462A"/>
    <w:rsid w:val="003A595F"/>
    <w:rsid w:val="003A5EEC"/>
    <w:rsid w:val="003A6560"/>
    <w:rsid w:val="003A6B7A"/>
    <w:rsid w:val="003A748F"/>
    <w:rsid w:val="003A79AE"/>
    <w:rsid w:val="003A7CA3"/>
    <w:rsid w:val="003B00B6"/>
    <w:rsid w:val="003B01C4"/>
    <w:rsid w:val="003B0BB0"/>
    <w:rsid w:val="003B11EE"/>
    <w:rsid w:val="003B15F8"/>
    <w:rsid w:val="003B166F"/>
    <w:rsid w:val="003B1B60"/>
    <w:rsid w:val="003B1F47"/>
    <w:rsid w:val="003B207E"/>
    <w:rsid w:val="003B230B"/>
    <w:rsid w:val="003B23BC"/>
    <w:rsid w:val="003B28BA"/>
    <w:rsid w:val="003B28F6"/>
    <w:rsid w:val="003B2DB5"/>
    <w:rsid w:val="003B2F05"/>
    <w:rsid w:val="003B3966"/>
    <w:rsid w:val="003B39B7"/>
    <w:rsid w:val="003B40E7"/>
    <w:rsid w:val="003B4754"/>
    <w:rsid w:val="003B4EB0"/>
    <w:rsid w:val="003B5094"/>
    <w:rsid w:val="003B5310"/>
    <w:rsid w:val="003B552F"/>
    <w:rsid w:val="003B5F6A"/>
    <w:rsid w:val="003B6B23"/>
    <w:rsid w:val="003B6B7F"/>
    <w:rsid w:val="003B7820"/>
    <w:rsid w:val="003C01A4"/>
    <w:rsid w:val="003C0219"/>
    <w:rsid w:val="003C0941"/>
    <w:rsid w:val="003C0C12"/>
    <w:rsid w:val="003C0E6B"/>
    <w:rsid w:val="003C149F"/>
    <w:rsid w:val="003C16EE"/>
    <w:rsid w:val="003C1C87"/>
    <w:rsid w:val="003C1D4D"/>
    <w:rsid w:val="003C2097"/>
    <w:rsid w:val="003C2401"/>
    <w:rsid w:val="003C2927"/>
    <w:rsid w:val="003C2C85"/>
    <w:rsid w:val="003C2F61"/>
    <w:rsid w:val="003C345E"/>
    <w:rsid w:val="003C4409"/>
    <w:rsid w:val="003C4594"/>
    <w:rsid w:val="003C4997"/>
    <w:rsid w:val="003C4DA5"/>
    <w:rsid w:val="003C502A"/>
    <w:rsid w:val="003C5206"/>
    <w:rsid w:val="003C5666"/>
    <w:rsid w:val="003C58BA"/>
    <w:rsid w:val="003C60CC"/>
    <w:rsid w:val="003C64F4"/>
    <w:rsid w:val="003C6D4E"/>
    <w:rsid w:val="003C724B"/>
    <w:rsid w:val="003C73DB"/>
    <w:rsid w:val="003C77F3"/>
    <w:rsid w:val="003D0185"/>
    <w:rsid w:val="003D02CB"/>
    <w:rsid w:val="003D0382"/>
    <w:rsid w:val="003D069C"/>
    <w:rsid w:val="003D0863"/>
    <w:rsid w:val="003D0AA6"/>
    <w:rsid w:val="003D18F6"/>
    <w:rsid w:val="003D191E"/>
    <w:rsid w:val="003D1A19"/>
    <w:rsid w:val="003D2027"/>
    <w:rsid w:val="003D22A5"/>
    <w:rsid w:val="003D23A4"/>
    <w:rsid w:val="003D3414"/>
    <w:rsid w:val="003D3426"/>
    <w:rsid w:val="003D3654"/>
    <w:rsid w:val="003D3721"/>
    <w:rsid w:val="003D413A"/>
    <w:rsid w:val="003D4C25"/>
    <w:rsid w:val="003D6722"/>
    <w:rsid w:val="003D7428"/>
    <w:rsid w:val="003D77F2"/>
    <w:rsid w:val="003D7871"/>
    <w:rsid w:val="003D78CC"/>
    <w:rsid w:val="003D7D01"/>
    <w:rsid w:val="003D7ED8"/>
    <w:rsid w:val="003E0003"/>
    <w:rsid w:val="003E0099"/>
    <w:rsid w:val="003E08C7"/>
    <w:rsid w:val="003E122B"/>
    <w:rsid w:val="003E1427"/>
    <w:rsid w:val="003E162D"/>
    <w:rsid w:val="003E1A72"/>
    <w:rsid w:val="003E27B8"/>
    <w:rsid w:val="003E2880"/>
    <w:rsid w:val="003E28FB"/>
    <w:rsid w:val="003E2A00"/>
    <w:rsid w:val="003E312C"/>
    <w:rsid w:val="003E382C"/>
    <w:rsid w:val="003E3D00"/>
    <w:rsid w:val="003E4487"/>
    <w:rsid w:val="003E4531"/>
    <w:rsid w:val="003E4771"/>
    <w:rsid w:val="003E484E"/>
    <w:rsid w:val="003E52E3"/>
    <w:rsid w:val="003E541C"/>
    <w:rsid w:val="003E54A8"/>
    <w:rsid w:val="003E5833"/>
    <w:rsid w:val="003E5DA8"/>
    <w:rsid w:val="003E6E2C"/>
    <w:rsid w:val="003E7109"/>
    <w:rsid w:val="003E77DC"/>
    <w:rsid w:val="003E7BC1"/>
    <w:rsid w:val="003F0453"/>
    <w:rsid w:val="003F0C9F"/>
    <w:rsid w:val="003F144A"/>
    <w:rsid w:val="003F1B02"/>
    <w:rsid w:val="003F1EFE"/>
    <w:rsid w:val="003F2240"/>
    <w:rsid w:val="003F2460"/>
    <w:rsid w:val="003F2E7B"/>
    <w:rsid w:val="003F3CD5"/>
    <w:rsid w:val="003F4473"/>
    <w:rsid w:val="003F4CF5"/>
    <w:rsid w:val="003F4E31"/>
    <w:rsid w:val="003F4F09"/>
    <w:rsid w:val="003F51EE"/>
    <w:rsid w:val="003F574E"/>
    <w:rsid w:val="003F60D6"/>
    <w:rsid w:val="003F68E9"/>
    <w:rsid w:val="003F728C"/>
    <w:rsid w:val="003F7E15"/>
    <w:rsid w:val="003F7FDA"/>
    <w:rsid w:val="00400E65"/>
    <w:rsid w:val="004013AD"/>
    <w:rsid w:val="00401BCF"/>
    <w:rsid w:val="00401E20"/>
    <w:rsid w:val="004021C0"/>
    <w:rsid w:val="004024F9"/>
    <w:rsid w:val="0040268F"/>
    <w:rsid w:val="004028CE"/>
    <w:rsid w:val="0040313D"/>
    <w:rsid w:val="004043FA"/>
    <w:rsid w:val="00404970"/>
    <w:rsid w:val="00405181"/>
    <w:rsid w:val="0040567F"/>
    <w:rsid w:val="00405727"/>
    <w:rsid w:val="00405873"/>
    <w:rsid w:val="00405F09"/>
    <w:rsid w:val="004066F4"/>
    <w:rsid w:val="00406706"/>
    <w:rsid w:val="00406A32"/>
    <w:rsid w:val="0040760B"/>
    <w:rsid w:val="00407BCE"/>
    <w:rsid w:val="00410117"/>
    <w:rsid w:val="00410C32"/>
    <w:rsid w:val="00411237"/>
    <w:rsid w:val="00411557"/>
    <w:rsid w:val="00411994"/>
    <w:rsid w:val="00411D74"/>
    <w:rsid w:val="00411DDE"/>
    <w:rsid w:val="00411F84"/>
    <w:rsid w:val="00412069"/>
    <w:rsid w:val="004121A1"/>
    <w:rsid w:val="00412477"/>
    <w:rsid w:val="00412570"/>
    <w:rsid w:val="004127A2"/>
    <w:rsid w:val="0041280A"/>
    <w:rsid w:val="00412A9D"/>
    <w:rsid w:val="00412CB1"/>
    <w:rsid w:val="004133A5"/>
    <w:rsid w:val="00413D45"/>
    <w:rsid w:val="00414197"/>
    <w:rsid w:val="004144D7"/>
    <w:rsid w:val="00414D68"/>
    <w:rsid w:val="00414FD9"/>
    <w:rsid w:val="0041503D"/>
    <w:rsid w:val="00415773"/>
    <w:rsid w:val="00415CAE"/>
    <w:rsid w:val="00415EE7"/>
    <w:rsid w:val="00415FD6"/>
    <w:rsid w:val="004160FA"/>
    <w:rsid w:val="0041669E"/>
    <w:rsid w:val="00416ACA"/>
    <w:rsid w:val="00416C56"/>
    <w:rsid w:val="00417294"/>
    <w:rsid w:val="00417416"/>
    <w:rsid w:val="00417419"/>
    <w:rsid w:val="004176B8"/>
    <w:rsid w:val="00417B99"/>
    <w:rsid w:val="00417CE0"/>
    <w:rsid w:val="00420474"/>
    <w:rsid w:val="004209D5"/>
    <w:rsid w:val="00420FAF"/>
    <w:rsid w:val="00421184"/>
    <w:rsid w:val="004212C1"/>
    <w:rsid w:val="004214B7"/>
    <w:rsid w:val="00421510"/>
    <w:rsid w:val="00421892"/>
    <w:rsid w:val="00421FB5"/>
    <w:rsid w:val="004226ED"/>
    <w:rsid w:val="00422775"/>
    <w:rsid w:val="00422AF4"/>
    <w:rsid w:val="004235F4"/>
    <w:rsid w:val="004236C9"/>
    <w:rsid w:val="00423CF3"/>
    <w:rsid w:val="00423E18"/>
    <w:rsid w:val="004245E4"/>
    <w:rsid w:val="00424B7C"/>
    <w:rsid w:val="00424BE4"/>
    <w:rsid w:val="0042500C"/>
    <w:rsid w:val="00425514"/>
    <w:rsid w:val="004256BD"/>
    <w:rsid w:val="00425863"/>
    <w:rsid w:val="00425D02"/>
    <w:rsid w:val="00425EDC"/>
    <w:rsid w:val="00426C3E"/>
    <w:rsid w:val="00426CF3"/>
    <w:rsid w:val="004275CD"/>
    <w:rsid w:val="00427E74"/>
    <w:rsid w:val="00427FEB"/>
    <w:rsid w:val="00427FF2"/>
    <w:rsid w:val="004305C0"/>
    <w:rsid w:val="00430B20"/>
    <w:rsid w:val="00430B6C"/>
    <w:rsid w:val="0043227C"/>
    <w:rsid w:val="004330B1"/>
    <w:rsid w:val="004335C0"/>
    <w:rsid w:val="00433B34"/>
    <w:rsid w:val="004340EC"/>
    <w:rsid w:val="00435121"/>
    <w:rsid w:val="00435715"/>
    <w:rsid w:val="0043571B"/>
    <w:rsid w:val="00435EE0"/>
    <w:rsid w:val="00435F29"/>
    <w:rsid w:val="0043610C"/>
    <w:rsid w:val="004366FF"/>
    <w:rsid w:val="004371D4"/>
    <w:rsid w:val="004373A3"/>
    <w:rsid w:val="00437D83"/>
    <w:rsid w:val="004401DD"/>
    <w:rsid w:val="00440344"/>
    <w:rsid w:val="00441264"/>
    <w:rsid w:val="00441B0F"/>
    <w:rsid w:val="00441F06"/>
    <w:rsid w:val="004422D5"/>
    <w:rsid w:val="004425C6"/>
    <w:rsid w:val="00443CC7"/>
    <w:rsid w:val="00443D5D"/>
    <w:rsid w:val="00445CBA"/>
    <w:rsid w:val="004463CB"/>
    <w:rsid w:val="004466F7"/>
    <w:rsid w:val="00446858"/>
    <w:rsid w:val="00447304"/>
    <w:rsid w:val="004476F6"/>
    <w:rsid w:val="00447CDD"/>
    <w:rsid w:val="00450127"/>
    <w:rsid w:val="0045075F"/>
    <w:rsid w:val="004516AD"/>
    <w:rsid w:val="00451BA6"/>
    <w:rsid w:val="00451E84"/>
    <w:rsid w:val="00451EA3"/>
    <w:rsid w:val="00451F01"/>
    <w:rsid w:val="00451F2B"/>
    <w:rsid w:val="00454660"/>
    <w:rsid w:val="004546A7"/>
    <w:rsid w:val="00454831"/>
    <w:rsid w:val="004548DF"/>
    <w:rsid w:val="00456889"/>
    <w:rsid w:val="00456CC0"/>
    <w:rsid w:val="00457933"/>
    <w:rsid w:val="00457C78"/>
    <w:rsid w:val="0046068D"/>
    <w:rsid w:val="00460735"/>
    <w:rsid w:val="00460AD5"/>
    <w:rsid w:val="00460EB8"/>
    <w:rsid w:val="00461090"/>
    <w:rsid w:val="00461991"/>
    <w:rsid w:val="00461ACB"/>
    <w:rsid w:val="00461C43"/>
    <w:rsid w:val="00462125"/>
    <w:rsid w:val="00463216"/>
    <w:rsid w:val="0046334D"/>
    <w:rsid w:val="00463911"/>
    <w:rsid w:val="00463C95"/>
    <w:rsid w:val="00463E1C"/>
    <w:rsid w:val="00464052"/>
    <w:rsid w:val="00465153"/>
    <w:rsid w:val="00465602"/>
    <w:rsid w:val="004656A4"/>
    <w:rsid w:val="00466A4A"/>
    <w:rsid w:val="00466AFD"/>
    <w:rsid w:val="00470696"/>
    <w:rsid w:val="004713A5"/>
    <w:rsid w:val="0047162F"/>
    <w:rsid w:val="00472177"/>
    <w:rsid w:val="00472234"/>
    <w:rsid w:val="004724C9"/>
    <w:rsid w:val="00472585"/>
    <w:rsid w:val="00472EAC"/>
    <w:rsid w:val="00474130"/>
    <w:rsid w:val="00474EDD"/>
    <w:rsid w:val="00475A6C"/>
    <w:rsid w:val="004764AF"/>
    <w:rsid w:val="00476D04"/>
    <w:rsid w:val="00476F58"/>
    <w:rsid w:val="0047775E"/>
    <w:rsid w:val="00477AAE"/>
    <w:rsid w:val="00477AF6"/>
    <w:rsid w:val="00477B3B"/>
    <w:rsid w:val="00477BCB"/>
    <w:rsid w:val="004801A7"/>
    <w:rsid w:val="00480E47"/>
    <w:rsid w:val="00481666"/>
    <w:rsid w:val="0048181B"/>
    <w:rsid w:val="00481F2B"/>
    <w:rsid w:val="004820C5"/>
    <w:rsid w:val="00482198"/>
    <w:rsid w:val="004823D8"/>
    <w:rsid w:val="00482F20"/>
    <w:rsid w:val="00483196"/>
    <w:rsid w:val="0048340F"/>
    <w:rsid w:val="0048423C"/>
    <w:rsid w:val="00484449"/>
    <w:rsid w:val="004852CE"/>
    <w:rsid w:val="0048540C"/>
    <w:rsid w:val="00485F92"/>
    <w:rsid w:val="004860BD"/>
    <w:rsid w:val="004866E1"/>
    <w:rsid w:val="00486C72"/>
    <w:rsid w:val="004870CE"/>
    <w:rsid w:val="00487D3A"/>
    <w:rsid w:val="00490954"/>
    <w:rsid w:val="0049102F"/>
    <w:rsid w:val="0049277A"/>
    <w:rsid w:val="00492B38"/>
    <w:rsid w:val="00492F73"/>
    <w:rsid w:val="00492FE4"/>
    <w:rsid w:val="00493035"/>
    <w:rsid w:val="0049330F"/>
    <w:rsid w:val="00493321"/>
    <w:rsid w:val="004936DE"/>
    <w:rsid w:val="004949B0"/>
    <w:rsid w:val="00494A50"/>
    <w:rsid w:val="0049544E"/>
    <w:rsid w:val="00495670"/>
    <w:rsid w:val="0049567B"/>
    <w:rsid w:val="0049604B"/>
    <w:rsid w:val="00496636"/>
    <w:rsid w:val="00496666"/>
    <w:rsid w:val="00496AC9"/>
    <w:rsid w:val="004A040E"/>
    <w:rsid w:val="004A042D"/>
    <w:rsid w:val="004A0831"/>
    <w:rsid w:val="004A11E0"/>
    <w:rsid w:val="004A1953"/>
    <w:rsid w:val="004A1FC5"/>
    <w:rsid w:val="004A2158"/>
    <w:rsid w:val="004A2639"/>
    <w:rsid w:val="004A29A5"/>
    <w:rsid w:val="004A3225"/>
    <w:rsid w:val="004A374A"/>
    <w:rsid w:val="004A395B"/>
    <w:rsid w:val="004A3C59"/>
    <w:rsid w:val="004A3FE2"/>
    <w:rsid w:val="004A4195"/>
    <w:rsid w:val="004A480D"/>
    <w:rsid w:val="004A4D76"/>
    <w:rsid w:val="004A53C2"/>
    <w:rsid w:val="004A5851"/>
    <w:rsid w:val="004A5A91"/>
    <w:rsid w:val="004A5B0F"/>
    <w:rsid w:val="004A5CF1"/>
    <w:rsid w:val="004A66E0"/>
    <w:rsid w:val="004A7450"/>
    <w:rsid w:val="004A7AAE"/>
    <w:rsid w:val="004A7D49"/>
    <w:rsid w:val="004A7E52"/>
    <w:rsid w:val="004A7F21"/>
    <w:rsid w:val="004B08DB"/>
    <w:rsid w:val="004B1422"/>
    <w:rsid w:val="004B1DF2"/>
    <w:rsid w:val="004B24EB"/>
    <w:rsid w:val="004B29AC"/>
    <w:rsid w:val="004B3C8B"/>
    <w:rsid w:val="004B44A9"/>
    <w:rsid w:val="004B4509"/>
    <w:rsid w:val="004B452A"/>
    <w:rsid w:val="004B4871"/>
    <w:rsid w:val="004B4ADF"/>
    <w:rsid w:val="004B4C00"/>
    <w:rsid w:val="004B4E06"/>
    <w:rsid w:val="004B5493"/>
    <w:rsid w:val="004B5914"/>
    <w:rsid w:val="004B6640"/>
    <w:rsid w:val="004B6C77"/>
    <w:rsid w:val="004B6D0A"/>
    <w:rsid w:val="004B6DA4"/>
    <w:rsid w:val="004B794C"/>
    <w:rsid w:val="004B7995"/>
    <w:rsid w:val="004C01E1"/>
    <w:rsid w:val="004C02B3"/>
    <w:rsid w:val="004C098E"/>
    <w:rsid w:val="004C0BBE"/>
    <w:rsid w:val="004C0E2F"/>
    <w:rsid w:val="004C1705"/>
    <w:rsid w:val="004C19CF"/>
    <w:rsid w:val="004C1D72"/>
    <w:rsid w:val="004C222E"/>
    <w:rsid w:val="004C2561"/>
    <w:rsid w:val="004C25B4"/>
    <w:rsid w:val="004C2806"/>
    <w:rsid w:val="004C30E9"/>
    <w:rsid w:val="004C3A7A"/>
    <w:rsid w:val="004C3ADD"/>
    <w:rsid w:val="004C428E"/>
    <w:rsid w:val="004C441A"/>
    <w:rsid w:val="004C4775"/>
    <w:rsid w:val="004C483D"/>
    <w:rsid w:val="004C48A9"/>
    <w:rsid w:val="004C49B3"/>
    <w:rsid w:val="004C4D05"/>
    <w:rsid w:val="004C4FF6"/>
    <w:rsid w:val="004C56E1"/>
    <w:rsid w:val="004C590B"/>
    <w:rsid w:val="004C6017"/>
    <w:rsid w:val="004C63C7"/>
    <w:rsid w:val="004C6D39"/>
    <w:rsid w:val="004C6D98"/>
    <w:rsid w:val="004C7217"/>
    <w:rsid w:val="004C7743"/>
    <w:rsid w:val="004C77A7"/>
    <w:rsid w:val="004C7AEC"/>
    <w:rsid w:val="004D039E"/>
    <w:rsid w:val="004D04A3"/>
    <w:rsid w:val="004D0C9F"/>
    <w:rsid w:val="004D15FD"/>
    <w:rsid w:val="004D1856"/>
    <w:rsid w:val="004D1A0A"/>
    <w:rsid w:val="004D2369"/>
    <w:rsid w:val="004D2485"/>
    <w:rsid w:val="004D25D5"/>
    <w:rsid w:val="004D3A57"/>
    <w:rsid w:val="004D3FC8"/>
    <w:rsid w:val="004D47FF"/>
    <w:rsid w:val="004D4D35"/>
    <w:rsid w:val="004D518F"/>
    <w:rsid w:val="004D54D7"/>
    <w:rsid w:val="004D5BB7"/>
    <w:rsid w:val="004D6053"/>
    <w:rsid w:val="004D6FA4"/>
    <w:rsid w:val="004D7C23"/>
    <w:rsid w:val="004E01C6"/>
    <w:rsid w:val="004E0212"/>
    <w:rsid w:val="004E0ADC"/>
    <w:rsid w:val="004E0FB1"/>
    <w:rsid w:val="004E1043"/>
    <w:rsid w:val="004E1DCA"/>
    <w:rsid w:val="004E21B4"/>
    <w:rsid w:val="004E22F0"/>
    <w:rsid w:val="004E252B"/>
    <w:rsid w:val="004E2861"/>
    <w:rsid w:val="004E2A85"/>
    <w:rsid w:val="004E3F72"/>
    <w:rsid w:val="004E4A78"/>
    <w:rsid w:val="004E4CB2"/>
    <w:rsid w:val="004E551E"/>
    <w:rsid w:val="004E584D"/>
    <w:rsid w:val="004E58F6"/>
    <w:rsid w:val="004E5E37"/>
    <w:rsid w:val="004E5E4C"/>
    <w:rsid w:val="004E5F79"/>
    <w:rsid w:val="004E5F8E"/>
    <w:rsid w:val="004E623E"/>
    <w:rsid w:val="004E6589"/>
    <w:rsid w:val="004E6CF9"/>
    <w:rsid w:val="004E7152"/>
    <w:rsid w:val="004E734E"/>
    <w:rsid w:val="004E7B92"/>
    <w:rsid w:val="004E7EC0"/>
    <w:rsid w:val="004E7F48"/>
    <w:rsid w:val="004F014E"/>
    <w:rsid w:val="004F023B"/>
    <w:rsid w:val="004F0BC6"/>
    <w:rsid w:val="004F1123"/>
    <w:rsid w:val="004F12D3"/>
    <w:rsid w:val="004F1715"/>
    <w:rsid w:val="004F17DA"/>
    <w:rsid w:val="004F1ECD"/>
    <w:rsid w:val="004F355B"/>
    <w:rsid w:val="004F3A2F"/>
    <w:rsid w:val="004F3BD2"/>
    <w:rsid w:val="004F4372"/>
    <w:rsid w:val="004F43E0"/>
    <w:rsid w:val="004F45EB"/>
    <w:rsid w:val="004F5079"/>
    <w:rsid w:val="004F5132"/>
    <w:rsid w:val="004F521B"/>
    <w:rsid w:val="004F52BB"/>
    <w:rsid w:val="004F5582"/>
    <w:rsid w:val="004F56B1"/>
    <w:rsid w:val="004F59B8"/>
    <w:rsid w:val="004F62A7"/>
    <w:rsid w:val="004F62C7"/>
    <w:rsid w:val="004F62F9"/>
    <w:rsid w:val="004F66B3"/>
    <w:rsid w:val="004F6FA7"/>
    <w:rsid w:val="004F72DA"/>
    <w:rsid w:val="004F7352"/>
    <w:rsid w:val="004F7889"/>
    <w:rsid w:val="004F7E84"/>
    <w:rsid w:val="0050015C"/>
    <w:rsid w:val="00500418"/>
    <w:rsid w:val="00500CCF"/>
    <w:rsid w:val="00500E62"/>
    <w:rsid w:val="005010DE"/>
    <w:rsid w:val="005011FD"/>
    <w:rsid w:val="0050164B"/>
    <w:rsid w:val="00501AA5"/>
    <w:rsid w:val="00502958"/>
    <w:rsid w:val="00502BD2"/>
    <w:rsid w:val="00502DA4"/>
    <w:rsid w:val="00503790"/>
    <w:rsid w:val="005038F3"/>
    <w:rsid w:val="00503F83"/>
    <w:rsid w:val="0050421C"/>
    <w:rsid w:val="005048FF"/>
    <w:rsid w:val="00504A9B"/>
    <w:rsid w:val="00504E9A"/>
    <w:rsid w:val="00504F83"/>
    <w:rsid w:val="00505395"/>
    <w:rsid w:val="005059B9"/>
    <w:rsid w:val="00505F64"/>
    <w:rsid w:val="005067F9"/>
    <w:rsid w:val="00506DCD"/>
    <w:rsid w:val="00507325"/>
    <w:rsid w:val="00507583"/>
    <w:rsid w:val="00507C56"/>
    <w:rsid w:val="00507F13"/>
    <w:rsid w:val="005109D4"/>
    <w:rsid w:val="00510C7B"/>
    <w:rsid w:val="00510CF4"/>
    <w:rsid w:val="0051160A"/>
    <w:rsid w:val="005118BA"/>
    <w:rsid w:val="00511B37"/>
    <w:rsid w:val="00511C56"/>
    <w:rsid w:val="00512385"/>
    <w:rsid w:val="00512A4D"/>
    <w:rsid w:val="00512D87"/>
    <w:rsid w:val="005130DA"/>
    <w:rsid w:val="00513DDA"/>
    <w:rsid w:val="00513E19"/>
    <w:rsid w:val="005148B4"/>
    <w:rsid w:val="00514B29"/>
    <w:rsid w:val="00514E8C"/>
    <w:rsid w:val="005152B1"/>
    <w:rsid w:val="005152F0"/>
    <w:rsid w:val="0051532D"/>
    <w:rsid w:val="00515856"/>
    <w:rsid w:val="005163E6"/>
    <w:rsid w:val="00516D23"/>
    <w:rsid w:val="005172EC"/>
    <w:rsid w:val="0051740D"/>
    <w:rsid w:val="005178CE"/>
    <w:rsid w:val="00521356"/>
    <w:rsid w:val="00521CAB"/>
    <w:rsid w:val="00521DFB"/>
    <w:rsid w:val="005224EF"/>
    <w:rsid w:val="00522654"/>
    <w:rsid w:val="00522835"/>
    <w:rsid w:val="0052293D"/>
    <w:rsid w:val="00522AF4"/>
    <w:rsid w:val="00523499"/>
    <w:rsid w:val="00523BC7"/>
    <w:rsid w:val="00523C08"/>
    <w:rsid w:val="00523C10"/>
    <w:rsid w:val="00523E23"/>
    <w:rsid w:val="005245D5"/>
    <w:rsid w:val="005247FE"/>
    <w:rsid w:val="00524889"/>
    <w:rsid w:val="00524EED"/>
    <w:rsid w:val="0052575D"/>
    <w:rsid w:val="005259FC"/>
    <w:rsid w:val="00525A53"/>
    <w:rsid w:val="005260F1"/>
    <w:rsid w:val="00526569"/>
    <w:rsid w:val="00526726"/>
    <w:rsid w:val="00526F91"/>
    <w:rsid w:val="00527256"/>
    <w:rsid w:val="00527934"/>
    <w:rsid w:val="00527B57"/>
    <w:rsid w:val="00527C8D"/>
    <w:rsid w:val="00527C9C"/>
    <w:rsid w:val="005308D1"/>
    <w:rsid w:val="00530AC4"/>
    <w:rsid w:val="00530CC6"/>
    <w:rsid w:val="00531F7B"/>
    <w:rsid w:val="00532064"/>
    <w:rsid w:val="00532451"/>
    <w:rsid w:val="0053268A"/>
    <w:rsid w:val="0053309E"/>
    <w:rsid w:val="00533169"/>
    <w:rsid w:val="00533194"/>
    <w:rsid w:val="005332C8"/>
    <w:rsid w:val="00534021"/>
    <w:rsid w:val="0053442D"/>
    <w:rsid w:val="0053464E"/>
    <w:rsid w:val="00534CBD"/>
    <w:rsid w:val="005352C8"/>
    <w:rsid w:val="005354C1"/>
    <w:rsid w:val="00535F99"/>
    <w:rsid w:val="005361DE"/>
    <w:rsid w:val="00536356"/>
    <w:rsid w:val="00536CBB"/>
    <w:rsid w:val="00536DDD"/>
    <w:rsid w:val="00537033"/>
    <w:rsid w:val="00537D97"/>
    <w:rsid w:val="00540A37"/>
    <w:rsid w:val="00540B49"/>
    <w:rsid w:val="005418DB"/>
    <w:rsid w:val="0054230B"/>
    <w:rsid w:val="00542967"/>
    <w:rsid w:val="005434EA"/>
    <w:rsid w:val="0054351E"/>
    <w:rsid w:val="00543A04"/>
    <w:rsid w:val="00544ABA"/>
    <w:rsid w:val="00545D55"/>
    <w:rsid w:val="005461AB"/>
    <w:rsid w:val="00546C6A"/>
    <w:rsid w:val="00546FBA"/>
    <w:rsid w:val="00547F04"/>
    <w:rsid w:val="00550924"/>
    <w:rsid w:val="00550D63"/>
    <w:rsid w:val="00550EF1"/>
    <w:rsid w:val="00551075"/>
    <w:rsid w:val="005513C8"/>
    <w:rsid w:val="0055236E"/>
    <w:rsid w:val="0055352C"/>
    <w:rsid w:val="005538A6"/>
    <w:rsid w:val="00554E09"/>
    <w:rsid w:val="00554F94"/>
    <w:rsid w:val="00555161"/>
    <w:rsid w:val="00555A59"/>
    <w:rsid w:val="00555DE6"/>
    <w:rsid w:val="00555EB3"/>
    <w:rsid w:val="005567F6"/>
    <w:rsid w:val="00556E29"/>
    <w:rsid w:val="00557474"/>
    <w:rsid w:val="00557DAA"/>
    <w:rsid w:val="00557DAD"/>
    <w:rsid w:val="00561138"/>
    <w:rsid w:val="00561699"/>
    <w:rsid w:val="0056187E"/>
    <w:rsid w:val="0056194F"/>
    <w:rsid w:val="005619E1"/>
    <w:rsid w:val="00562629"/>
    <w:rsid w:val="005628FE"/>
    <w:rsid w:val="0056364B"/>
    <w:rsid w:val="005637AE"/>
    <w:rsid w:val="00563D49"/>
    <w:rsid w:val="00564191"/>
    <w:rsid w:val="00564557"/>
    <w:rsid w:val="0056458C"/>
    <w:rsid w:val="00564628"/>
    <w:rsid w:val="005648B9"/>
    <w:rsid w:val="00564A3C"/>
    <w:rsid w:val="00564F82"/>
    <w:rsid w:val="00564FF6"/>
    <w:rsid w:val="005653AF"/>
    <w:rsid w:val="00565501"/>
    <w:rsid w:val="00565523"/>
    <w:rsid w:val="00565755"/>
    <w:rsid w:val="0056601E"/>
    <w:rsid w:val="00566406"/>
    <w:rsid w:val="005664A6"/>
    <w:rsid w:val="00566538"/>
    <w:rsid w:val="0056725A"/>
    <w:rsid w:val="0056741F"/>
    <w:rsid w:val="00567647"/>
    <w:rsid w:val="0056781B"/>
    <w:rsid w:val="00567BE2"/>
    <w:rsid w:val="00570102"/>
    <w:rsid w:val="00570505"/>
    <w:rsid w:val="005712E6"/>
    <w:rsid w:val="00572942"/>
    <w:rsid w:val="005730DB"/>
    <w:rsid w:val="00573251"/>
    <w:rsid w:val="005733A8"/>
    <w:rsid w:val="005734F9"/>
    <w:rsid w:val="005736EE"/>
    <w:rsid w:val="00573B5B"/>
    <w:rsid w:val="00573F55"/>
    <w:rsid w:val="00574070"/>
    <w:rsid w:val="005743B5"/>
    <w:rsid w:val="00575148"/>
    <w:rsid w:val="0057540E"/>
    <w:rsid w:val="005757B6"/>
    <w:rsid w:val="005761E2"/>
    <w:rsid w:val="00577534"/>
    <w:rsid w:val="0058000F"/>
    <w:rsid w:val="00580557"/>
    <w:rsid w:val="0058074F"/>
    <w:rsid w:val="00580A76"/>
    <w:rsid w:val="00581042"/>
    <w:rsid w:val="00581703"/>
    <w:rsid w:val="00581B15"/>
    <w:rsid w:val="005821DD"/>
    <w:rsid w:val="005833B5"/>
    <w:rsid w:val="00583908"/>
    <w:rsid w:val="00583AB6"/>
    <w:rsid w:val="00583C9C"/>
    <w:rsid w:val="00584757"/>
    <w:rsid w:val="00584E21"/>
    <w:rsid w:val="00585194"/>
    <w:rsid w:val="0058608B"/>
    <w:rsid w:val="005863C1"/>
    <w:rsid w:val="0058654D"/>
    <w:rsid w:val="00586786"/>
    <w:rsid w:val="005875F2"/>
    <w:rsid w:val="00587729"/>
    <w:rsid w:val="00587886"/>
    <w:rsid w:val="00587A66"/>
    <w:rsid w:val="00590147"/>
    <w:rsid w:val="00590BD1"/>
    <w:rsid w:val="00590D26"/>
    <w:rsid w:val="00591276"/>
    <w:rsid w:val="00591490"/>
    <w:rsid w:val="0059151A"/>
    <w:rsid w:val="005916C9"/>
    <w:rsid w:val="00591C7E"/>
    <w:rsid w:val="00591DCF"/>
    <w:rsid w:val="005929B4"/>
    <w:rsid w:val="00592A3C"/>
    <w:rsid w:val="0059367F"/>
    <w:rsid w:val="00593720"/>
    <w:rsid w:val="00593909"/>
    <w:rsid w:val="00593A71"/>
    <w:rsid w:val="005941E1"/>
    <w:rsid w:val="005943E2"/>
    <w:rsid w:val="005946E1"/>
    <w:rsid w:val="00594B8A"/>
    <w:rsid w:val="00595009"/>
    <w:rsid w:val="005954B7"/>
    <w:rsid w:val="00595A05"/>
    <w:rsid w:val="00595F17"/>
    <w:rsid w:val="00595F3D"/>
    <w:rsid w:val="00595F89"/>
    <w:rsid w:val="005960C7"/>
    <w:rsid w:val="005963FB"/>
    <w:rsid w:val="00596873"/>
    <w:rsid w:val="00596BB3"/>
    <w:rsid w:val="00596BD4"/>
    <w:rsid w:val="00596FA8"/>
    <w:rsid w:val="005971A7"/>
    <w:rsid w:val="00597310"/>
    <w:rsid w:val="005977AB"/>
    <w:rsid w:val="005A01C5"/>
    <w:rsid w:val="005A0532"/>
    <w:rsid w:val="005A071C"/>
    <w:rsid w:val="005A07E7"/>
    <w:rsid w:val="005A0A57"/>
    <w:rsid w:val="005A0B9F"/>
    <w:rsid w:val="005A0DBB"/>
    <w:rsid w:val="005A0EBD"/>
    <w:rsid w:val="005A1246"/>
    <w:rsid w:val="005A1270"/>
    <w:rsid w:val="005A1295"/>
    <w:rsid w:val="005A1FBF"/>
    <w:rsid w:val="005A1FD5"/>
    <w:rsid w:val="005A25CA"/>
    <w:rsid w:val="005A29B1"/>
    <w:rsid w:val="005A2EBF"/>
    <w:rsid w:val="005A3750"/>
    <w:rsid w:val="005A380B"/>
    <w:rsid w:val="005A4890"/>
    <w:rsid w:val="005A49D4"/>
    <w:rsid w:val="005A4D7C"/>
    <w:rsid w:val="005A51C9"/>
    <w:rsid w:val="005A59DA"/>
    <w:rsid w:val="005A5A96"/>
    <w:rsid w:val="005A5D7F"/>
    <w:rsid w:val="005A5DC0"/>
    <w:rsid w:val="005A65C3"/>
    <w:rsid w:val="005A6B6D"/>
    <w:rsid w:val="005A6ED5"/>
    <w:rsid w:val="005A6F0E"/>
    <w:rsid w:val="005A6F57"/>
    <w:rsid w:val="005A7235"/>
    <w:rsid w:val="005A795B"/>
    <w:rsid w:val="005A7BAF"/>
    <w:rsid w:val="005B00FD"/>
    <w:rsid w:val="005B05FA"/>
    <w:rsid w:val="005B0652"/>
    <w:rsid w:val="005B10AE"/>
    <w:rsid w:val="005B1213"/>
    <w:rsid w:val="005B1B55"/>
    <w:rsid w:val="005B1DBD"/>
    <w:rsid w:val="005B26B0"/>
    <w:rsid w:val="005B3EBD"/>
    <w:rsid w:val="005B3F0C"/>
    <w:rsid w:val="005B48E8"/>
    <w:rsid w:val="005B564F"/>
    <w:rsid w:val="005B56D9"/>
    <w:rsid w:val="005B5BA3"/>
    <w:rsid w:val="005B5E62"/>
    <w:rsid w:val="005B6908"/>
    <w:rsid w:val="005B6DBE"/>
    <w:rsid w:val="005B7668"/>
    <w:rsid w:val="005B7E97"/>
    <w:rsid w:val="005B7F46"/>
    <w:rsid w:val="005C059E"/>
    <w:rsid w:val="005C07D2"/>
    <w:rsid w:val="005C09A7"/>
    <w:rsid w:val="005C0EA8"/>
    <w:rsid w:val="005C102D"/>
    <w:rsid w:val="005C132C"/>
    <w:rsid w:val="005C1742"/>
    <w:rsid w:val="005C17FB"/>
    <w:rsid w:val="005C1833"/>
    <w:rsid w:val="005C1838"/>
    <w:rsid w:val="005C18C2"/>
    <w:rsid w:val="005C2063"/>
    <w:rsid w:val="005C22F5"/>
    <w:rsid w:val="005C244F"/>
    <w:rsid w:val="005C2767"/>
    <w:rsid w:val="005C2922"/>
    <w:rsid w:val="005C2C01"/>
    <w:rsid w:val="005C2F60"/>
    <w:rsid w:val="005C323D"/>
    <w:rsid w:val="005C33F1"/>
    <w:rsid w:val="005C3772"/>
    <w:rsid w:val="005C39C3"/>
    <w:rsid w:val="005C4229"/>
    <w:rsid w:val="005C4580"/>
    <w:rsid w:val="005C5065"/>
    <w:rsid w:val="005C52F3"/>
    <w:rsid w:val="005C564C"/>
    <w:rsid w:val="005C6234"/>
    <w:rsid w:val="005C636F"/>
    <w:rsid w:val="005C64DC"/>
    <w:rsid w:val="005C6605"/>
    <w:rsid w:val="005C6CCB"/>
    <w:rsid w:val="005C71A0"/>
    <w:rsid w:val="005C7802"/>
    <w:rsid w:val="005C7B50"/>
    <w:rsid w:val="005D029E"/>
    <w:rsid w:val="005D0427"/>
    <w:rsid w:val="005D0776"/>
    <w:rsid w:val="005D07AE"/>
    <w:rsid w:val="005D08FD"/>
    <w:rsid w:val="005D0AA2"/>
    <w:rsid w:val="005D0C83"/>
    <w:rsid w:val="005D113B"/>
    <w:rsid w:val="005D14CC"/>
    <w:rsid w:val="005D1732"/>
    <w:rsid w:val="005D2D9A"/>
    <w:rsid w:val="005D3A6E"/>
    <w:rsid w:val="005D3B21"/>
    <w:rsid w:val="005D4019"/>
    <w:rsid w:val="005D41DC"/>
    <w:rsid w:val="005D460F"/>
    <w:rsid w:val="005D4631"/>
    <w:rsid w:val="005D4DC5"/>
    <w:rsid w:val="005D5442"/>
    <w:rsid w:val="005D5B70"/>
    <w:rsid w:val="005D5C22"/>
    <w:rsid w:val="005D5E6C"/>
    <w:rsid w:val="005D63A9"/>
    <w:rsid w:val="005D65AF"/>
    <w:rsid w:val="005D65D5"/>
    <w:rsid w:val="005D6C56"/>
    <w:rsid w:val="005D6CED"/>
    <w:rsid w:val="005D6F49"/>
    <w:rsid w:val="005D7E8A"/>
    <w:rsid w:val="005E06FA"/>
    <w:rsid w:val="005E11A5"/>
    <w:rsid w:val="005E13D4"/>
    <w:rsid w:val="005E1435"/>
    <w:rsid w:val="005E21F3"/>
    <w:rsid w:val="005E235C"/>
    <w:rsid w:val="005E3078"/>
    <w:rsid w:val="005E34C0"/>
    <w:rsid w:val="005E45F3"/>
    <w:rsid w:val="005E49CA"/>
    <w:rsid w:val="005E5384"/>
    <w:rsid w:val="005E5427"/>
    <w:rsid w:val="005E5428"/>
    <w:rsid w:val="005E5A7C"/>
    <w:rsid w:val="005E5C33"/>
    <w:rsid w:val="005E6976"/>
    <w:rsid w:val="005E703B"/>
    <w:rsid w:val="005E721A"/>
    <w:rsid w:val="005E74EC"/>
    <w:rsid w:val="005E7917"/>
    <w:rsid w:val="005E7AB6"/>
    <w:rsid w:val="005E7B1E"/>
    <w:rsid w:val="005E7CBC"/>
    <w:rsid w:val="005E7DB0"/>
    <w:rsid w:val="005F0979"/>
    <w:rsid w:val="005F0A62"/>
    <w:rsid w:val="005F0FA8"/>
    <w:rsid w:val="005F1282"/>
    <w:rsid w:val="005F1C5D"/>
    <w:rsid w:val="005F2317"/>
    <w:rsid w:val="005F2550"/>
    <w:rsid w:val="005F2B2D"/>
    <w:rsid w:val="005F2FD5"/>
    <w:rsid w:val="005F340A"/>
    <w:rsid w:val="005F359B"/>
    <w:rsid w:val="005F3869"/>
    <w:rsid w:val="005F3AE8"/>
    <w:rsid w:val="005F3B09"/>
    <w:rsid w:val="005F3B47"/>
    <w:rsid w:val="005F47C1"/>
    <w:rsid w:val="005F4926"/>
    <w:rsid w:val="005F4B6F"/>
    <w:rsid w:val="005F5009"/>
    <w:rsid w:val="005F5054"/>
    <w:rsid w:val="005F530F"/>
    <w:rsid w:val="005F5D2A"/>
    <w:rsid w:val="005F65D9"/>
    <w:rsid w:val="005F6768"/>
    <w:rsid w:val="005F69CF"/>
    <w:rsid w:val="005F6E39"/>
    <w:rsid w:val="005F6E58"/>
    <w:rsid w:val="005F7031"/>
    <w:rsid w:val="005F704C"/>
    <w:rsid w:val="005F7A22"/>
    <w:rsid w:val="005F7B9D"/>
    <w:rsid w:val="00600501"/>
    <w:rsid w:val="00600B0C"/>
    <w:rsid w:val="0060233D"/>
    <w:rsid w:val="00602DFA"/>
    <w:rsid w:val="006031D1"/>
    <w:rsid w:val="006033BF"/>
    <w:rsid w:val="00603702"/>
    <w:rsid w:val="00603B4B"/>
    <w:rsid w:val="00603F20"/>
    <w:rsid w:val="006046A9"/>
    <w:rsid w:val="0060471B"/>
    <w:rsid w:val="00604868"/>
    <w:rsid w:val="00604F37"/>
    <w:rsid w:val="0060508A"/>
    <w:rsid w:val="0060559A"/>
    <w:rsid w:val="006055AF"/>
    <w:rsid w:val="006056E2"/>
    <w:rsid w:val="00605942"/>
    <w:rsid w:val="00605C9F"/>
    <w:rsid w:val="006068E8"/>
    <w:rsid w:val="00606ADB"/>
    <w:rsid w:val="006072DE"/>
    <w:rsid w:val="006075F4"/>
    <w:rsid w:val="006078A8"/>
    <w:rsid w:val="00607BAD"/>
    <w:rsid w:val="00607EC7"/>
    <w:rsid w:val="006102BC"/>
    <w:rsid w:val="0061048A"/>
    <w:rsid w:val="00610AE7"/>
    <w:rsid w:val="00611178"/>
    <w:rsid w:val="0061148D"/>
    <w:rsid w:val="00611D01"/>
    <w:rsid w:val="006122EC"/>
    <w:rsid w:val="006124B3"/>
    <w:rsid w:val="00612611"/>
    <w:rsid w:val="0061279A"/>
    <w:rsid w:val="00612A10"/>
    <w:rsid w:val="00613009"/>
    <w:rsid w:val="006130D0"/>
    <w:rsid w:val="006132EA"/>
    <w:rsid w:val="00613481"/>
    <w:rsid w:val="00613CA5"/>
    <w:rsid w:val="0061401C"/>
    <w:rsid w:val="0061420B"/>
    <w:rsid w:val="00614518"/>
    <w:rsid w:val="00614A59"/>
    <w:rsid w:val="00614BD4"/>
    <w:rsid w:val="00614D33"/>
    <w:rsid w:val="00614E7E"/>
    <w:rsid w:val="0061537D"/>
    <w:rsid w:val="0061537F"/>
    <w:rsid w:val="006156D7"/>
    <w:rsid w:val="00615CF1"/>
    <w:rsid w:val="00615DEA"/>
    <w:rsid w:val="006165A4"/>
    <w:rsid w:val="00616A60"/>
    <w:rsid w:val="00616D0C"/>
    <w:rsid w:val="00616EE6"/>
    <w:rsid w:val="006171FB"/>
    <w:rsid w:val="00617283"/>
    <w:rsid w:val="00617A2A"/>
    <w:rsid w:val="006206F3"/>
    <w:rsid w:val="006207F4"/>
    <w:rsid w:val="00620C67"/>
    <w:rsid w:val="00621646"/>
    <w:rsid w:val="00621803"/>
    <w:rsid w:val="00621A34"/>
    <w:rsid w:val="006220F1"/>
    <w:rsid w:val="00622E22"/>
    <w:rsid w:val="00623E46"/>
    <w:rsid w:val="00624604"/>
    <w:rsid w:val="0062469C"/>
    <w:rsid w:val="00624D2C"/>
    <w:rsid w:val="00624F7F"/>
    <w:rsid w:val="00625142"/>
    <w:rsid w:val="00625145"/>
    <w:rsid w:val="00626768"/>
    <w:rsid w:val="00626F9D"/>
    <w:rsid w:val="00627402"/>
    <w:rsid w:val="00627403"/>
    <w:rsid w:val="00627474"/>
    <w:rsid w:val="00627A61"/>
    <w:rsid w:val="00627CEA"/>
    <w:rsid w:val="00627E37"/>
    <w:rsid w:val="00630480"/>
    <w:rsid w:val="0063058E"/>
    <w:rsid w:val="006305F8"/>
    <w:rsid w:val="00630B6F"/>
    <w:rsid w:val="0063197B"/>
    <w:rsid w:val="006319D0"/>
    <w:rsid w:val="00631DA7"/>
    <w:rsid w:val="006327BB"/>
    <w:rsid w:val="00632B9C"/>
    <w:rsid w:val="00632F18"/>
    <w:rsid w:val="006332D7"/>
    <w:rsid w:val="0063333D"/>
    <w:rsid w:val="00634225"/>
    <w:rsid w:val="00635003"/>
    <w:rsid w:val="006351CE"/>
    <w:rsid w:val="0063524A"/>
    <w:rsid w:val="00635281"/>
    <w:rsid w:val="006352FD"/>
    <w:rsid w:val="00635B15"/>
    <w:rsid w:val="00635D43"/>
    <w:rsid w:val="00636037"/>
    <w:rsid w:val="006362E1"/>
    <w:rsid w:val="006367DA"/>
    <w:rsid w:val="00636F62"/>
    <w:rsid w:val="006370E1"/>
    <w:rsid w:val="00637382"/>
    <w:rsid w:val="006375B2"/>
    <w:rsid w:val="006375BB"/>
    <w:rsid w:val="0064025A"/>
    <w:rsid w:val="00640285"/>
    <w:rsid w:val="006409EE"/>
    <w:rsid w:val="00640BF7"/>
    <w:rsid w:val="00640F55"/>
    <w:rsid w:val="00640FFF"/>
    <w:rsid w:val="00641761"/>
    <w:rsid w:val="006419AF"/>
    <w:rsid w:val="006425FC"/>
    <w:rsid w:val="00642631"/>
    <w:rsid w:val="00642DF5"/>
    <w:rsid w:val="0064304A"/>
    <w:rsid w:val="006433B1"/>
    <w:rsid w:val="0064380B"/>
    <w:rsid w:val="00643A4F"/>
    <w:rsid w:val="00643FF5"/>
    <w:rsid w:val="006441FD"/>
    <w:rsid w:val="00644E5A"/>
    <w:rsid w:val="00644F2C"/>
    <w:rsid w:val="00645065"/>
    <w:rsid w:val="006450DD"/>
    <w:rsid w:val="00645141"/>
    <w:rsid w:val="0064552B"/>
    <w:rsid w:val="00645AEE"/>
    <w:rsid w:val="00646428"/>
    <w:rsid w:val="00646AFD"/>
    <w:rsid w:val="0064707F"/>
    <w:rsid w:val="006471E8"/>
    <w:rsid w:val="00647B6D"/>
    <w:rsid w:val="00647E90"/>
    <w:rsid w:val="00647FA3"/>
    <w:rsid w:val="006500F7"/>
    <w:rsid w:val="00650769"/>
    <w:rsid w:val="00650DB2"/>
    <w:rsid w:val="0065106D"/>
    <w:rsid w:val="006516B7"/>
    <w:rsid w:val="006518E4"/>
    <w:rsid w:val="006519F4"/>
    <w:rsid w:val="00651DB3"/>
    <w:rsid w:val="00651FB8"/>
    <w:rsid w:val="0065203F"/>
    <w:rsid w:val="006520D5"/>
    <w:rsid w:val="0065239B"/>
    <w:rsid w:val="00652BA0"/>
    <w:rsid w:val="00653045"/>
    <w:rsid w:val="0065349A"/>
    <w:rsid w:val="0065350E"/>
    <w:rsid w:val="00653A25"/>
    <w:rsid w:val="00653D81"/>
    <w:rsid w:val="00653D93"/>
    <w:rsid w:val="00653FDA"/>
    <w:rsid w:val="006541A0"/>
    <w:rsid w:val="00654E99"/>
    <w:rsid w:val="00655104"/>
    <w:rsid w:val="0065548F"/>
    <w:rsid w:val="00655633"/>
    <w:rsid w:val="006559BB"/>
    <w:rsid w:val="00655D93"/>
    <w:rsid w:val="00655E86"/>
    <w:rsid w:val="00656614"/>
    <w:rsid w:val="00656C4D"/>
    <w:rsid w:val="006573A9"/>
    <w:rsid w:val="006577CD"/>
    <w:rsid w:val="00657CCC"/>
    <w:rsid w:val="00660162"/>
    <w:rsid w:val="0066036D"/>
    <w:rsid w:val="006604FA"/>
    <w:rsid w:val="00660879"/>
    <w:rsid w:val="00660B3F"/>
    <w:rsid w:val="006610B1"/>
    <w:rsid w:val="00661639"/>
    <w:rsid w:val="00661655"/>
    <w:rsid w:val="0066174D"/>
    <w:rsid w:val="00661E36"/>
    <w:rsid w:val="0066288A"/>
    <w:rsid w:val="0066318A"/>
    <w:rsid w:val="006631D3"/>
    <w:rsid w:val="00663C45"/>
    <w:rsid w:val="00663D0F"/>
    <w:rsid w:val="00664525"/>
    <w:rsid w:val="0066465B"/>
    <w:rsid w:val="00664C81"/>
    <w:rsid w:val="0066521A"/>
    <w:rsid w:val="0066540C"/>
    <w:rsid w:val="006656B3"/>
    <w:rsid w:val="00665EAE"/>
    <w:rsid w:val="006661EA"/>
    <w:rsid w:val="00666909"/>
    <w:rsid w:val="00666EBC"/>
    <w:rsid w:val="00667189"/>
    <w:rsid w:val="0066749E"/>
    <w:rsid w:val="00667CCB"/>
    <w:rsid w:val="00667EFD"/>
    <w:rsid w:val="00670475"/>
    <w:rsid w:val="00670B8C"/>
    <w:rsid w:val="00670C4A"/>
    <w:rsid w:val="00670C4E"/>
    <w:rsid w:val="006712FE"/>
    <w:rsid w:val="00671F3E"/>
    <w:rsid w:val="0067221D"/>
    <w:rsid w:val="00672482"/>
    <w:rsid w:val="00672A18"/>
    <w:rsid w:val="006735D0"/>
    <w:rsid w:val="00673753"/>
    <w:rsid w:val="006739E9"/>
    <w:rsid w:val="00674D52"/>
    <w:rsid w:val="00674F93"/>
    <w:rsid w:val="0067546F"/>
    <w:rsid w:val="00676287"/>
    <w:rsid w:val="0067669B"/>
    <w:rsid w:val="00676CE4"/>
    <w:rsid w:val="00676EC2"/>
    <w:rsid w:val="00676F61"/>
    <w:rsid w:val="00676FA5"/>
    <w:rsid w:val="006771A4"/>
    <w:rsid w:val="006771AD"/>
    <w:rsid w:val="006774A8"/>
    <w:rsid w:val="00677572"/>
    <w:rsid w:val="00681156"/>
    <w:rsid w:val="00681229"/>
    <w:rsid w:val="00681514"/>
    <w:rsid w:val="0068185E"/>
    <w:rsid w:val="00681BE5"/>
    <w:rsid w:val="00681E30"/>
    <w:rsid w:val="00683476"/>
    <w:rsid w:val="0068379B"/>
    <w:rsid w:val="00683D98"/>
    <w:rsid w:val="00683D99"/>
    <w:rsid w:val="00684079"/>
    <w:rsid w:val="006848EE"/>
    <w:rsid w:val="0068629B"/>
    <w:rsid w:val="00686425"/>
    <w:rsid w:val="00686C12"/>
    <w:rsid w:val="00686C73"/>
    <w:rsid w:val="00686D19"/>
    <w:rsid w:val="00686D75"/>
    <w:rsid w:val="00686E51"/>
    <w:rsid w:val="0068736A"/>
    <w:rsid w:val="00687D17"/>
    <w:rsid w:val="00690024"/>
    <w:rsid w:val="006903A4"/>
    <w:rsid w:val="00690AD8"/>
    <w:rsid w:val="00690CAA"/>
    <w:rsid w:val="00690EFB"/>
    <w:rsid w:val="0069137B"/>
    <w:rsid w:val="006913EC"/>
    <w:rsid w:val="006914B7"/>
    <w:rsid w:val="00691742"/>
    <w:rsid w:val="00691DEE"/>
    <w:rsid w:val="00692242"/>
    <w:rsid w:val="0069236E"/>
    <w:rsid w:val="00692704"/>
    <w:rsid w:val="00692E67"/>
    <w:rsid w:val="00693194"/>
    <w:rsid w:val="00693ACF"/>
    <w:rsid w:val="00693EE5"/>
    <w:rsid w:val="00694487"/>
    <w:rsid w:val="006944C5"/>
    <w:rsid w:val="00694B8D"/>
    <w:rsid w:val="00694E36"/>
    <w:rsid w:val="0069532F"/>
    <w:rsid w:val="0069561C"/>
    <w:rsid w:val="00695634"/>
    <w:rsid w:val="0069600D"/>
    <w:rsid w:val="006963AE"/>
    <w:rsid w:val="00697053"/>
    <w:rsid w:val="00697BBA"/>
    <w:rsid w:val="006A0320"/>
    <w:rsid w:val="006A066A"/>
    <w:rsid w:val="006A06CA"/>
    <w:rsid w:val="006A083E"/>
    <w:rsid w:val="006A0964"/>
    <w:rsid w:val="006A0FFD"/>
    <w:rsid w:val="006A1170"/>
    <w:rsid w:val="006A14A3"/>
    <w:rsid w:val="006A159D"/>
    <w:rsid w:val="006A18BF"/>
    <w:rsid w:val="006A1F58"/>
    <w:rsid w:val="006A242E"/>
    <w:rsid w:val="006A26AB"/>
    <w:rsid w:val="006A298D"/>
    <w:rsid w:val="006A2F80"/>
    <w:rsid w:val="006A3A48"/>
    <w:rsid w:val="006A3FD6"/>
    <w:rsid w:val="006A4076"/>
    <w:rsid w:val="006A436F"/>
    <w:rsid w:val="006A4ABF"/>
    <w:rsid w:val="006A4E5B"/>
    <w:rsid w:val="006A59D8"/>
    <w:rsid w:val="006A6B7B"/>
    <w:rsid w:val="006A78F8"/>
    <w:rsid w:val="006A7C26"/>
    <w:rsid w:val="006A7E27"/>
    <w:rsid w:val="006B010E"/>
    <w:rsid w:val="006B03CA"/>
    <w:rsid w:val="006B091F"/>
    <w:rsid w:val="006B0CAF"/>
    <w:rsid w:val="006B0ED0"/>
    <w:rsid w:val="006B0EED"/>
    <w:rsid w:val="006B147E"/>
    <w:rsid w:val="006B16F9"/>
    <w:rsid w:val="006B1B52"/>
    <w:rsid w:val="006B1DF6"/>
    <w:rsid w:val="006B233F"/>
    <w:rsid w:val="006B275E"/>
    <w:rsid w:val="006B28EA"/>
    <w:rsid w:val="006B2DA3"/>
    <w:rsid w:val="006B2FBB"/>
    <w:rsid w:val="006B378A"/>
    <w:rsid w:val="006B3BD5"/>
    <w:rsid w:val="006B40BE"/>
    <w:rsid w:val="006B4185"/>
    <w:rsid w:val="006B4224"/>
    <w:rsid w:val="006B4493"/>
    <w:rsid w:val="006B4B62"/>
    <w:rsid w:val="006B53DC"/>
    <w:rsid w:val="006B5423"/>
    <w:rsid w:val="006B5855"/>
    <w:rsid w:val="006B5AB2"/>
    <w:rsid w:val="006B5C67"/>
    <w:rsid w:val="006B6B5D"/>
    <w:rsid w:val="006B6BF6"/>
    <w:rsid w:val="006B6C0D"/>
    <w:rsid w:val="006B70CF"/>
    <w:rsid w:val="006B7657"/>
    <w:rsid w:val="006C10B3"/>
    <w:rsid w:val="006C166D"/>
    <w:rsid w:val="006C1818"/>
    <w:rsid w:val="006C1C4F"/>
    <w:rsid w:val="006C1F8B"/>
    <w:rsid w:val="006C2721"/>
    <w:rsid w:val="006C2B65"/>
    <w:rsid w:val="006C2BE5"/>
    <w:rsid w:val="006C377A"/>
    <w:rsid w:val="006C3868"/>
    <w:rsid w:val="006C38FF"/>
    <w:rsid w:val="006C3E6E"/>
    <w:rsid w:val="006C3EEA"/>
    <w:rsid w:val="006C3F92"/>
    <w:rsid w:val="006C43A6"/>
    <w:rsid w:val="006C4A4A"/>
    <w:rsid w:val="006C4E89"/>
    <w:rsid w:val="006C53EB"/>
    <w:rsid w:val="006C5434"/>
    <w:rsid w:val="006C5D29"/>
    <w:rsid w:val="006C650D"/>
    <w:rsid w:val="006C69A5"/>
    <w:rsid w:val="006C7740"/>
    <w:rsid w:val="006D0028"/>
    <w:rsid w:val="006D0389"/>
    <w:rsid w:val="006D0848"/>
    <w:rsid w:val="006D0BA5"/>
    <w:rsid w:val="006D0C15"/>
    <w:rsid w:val="006D0D8B"/>
    <w:rsid w:val="006D0FBF"/>
    <w:rsid w:val="006D10DC"/>
    <w:rsid w:val="006D1586"/>
    <w:rsid w:val="006D19C1"/>
    <w:rsid w:val="006D2827"/>
    <w:rsid w:val="006D2848"/>
    <w:rsid w:val="006D2B19"/>
    <w:rsid w:val="006D2EC9"/>
    <w:rsid w:val="006D3A05"/>
    <w:rsid w:val="006D3B62"/>
    <w:rsid w:val="006D3FDF"/>
    <w:rsid w:val="006D4527"/>
    <w:rsid w:val="006D4B05"/>
    <w:rsid w:val="006D4F86"/>
    <w:rsid w:val="006D5F98"/>
    <w:rsid w:val="006D6665"/>
    <w:rsid w:val="006D7098"/>
    <w:rsid w:val="006D740E"/>
    <w:rsid w:val="006D7F72"/>
    <w:rsid w:val="006E00B7"/>
    <w:rsid w:val="006E0E5B"/>
    <w:rsid w:val="006E1241"/>
    <w:rsid w:val="006E2562"/>
    <w:rsid w:val="006E3023"/>
    <w:rsid w:val="006E3369"/>
    <w:rsid w:val="006E3435"/>
    <w:rsid w:val="006E3D12"/>
    <w:rsid w:val="006E449C"/>
    <w:rsid w:val="006E4726"/>
    <w:rsid w:val="006E4E72"/>
    <w:rsid w:val="006E50D0"/>
    <w:rsid w:val="006E663E"/>
    <w:rsid w:val="006E6EDF"/>
    <w:rsid w:val="006E7BA5"/>
    <w:rsid w:val="006F01E8"/>
    <w:rsid w:val="006F02D7"/>
    <w:rsid w:val="006F03EC"/>
    <w:rsid w:val="006F059F"/>
    <w:rsid w:val="006F0EBB"/>
    <w:rsid w:val="006F1E96"/>
    <w:rsid w:val="006F2D24"/>
    <w:rsid w:val="006F352A"/>
    <w:rsid w:val="006F35A1"/>
    <w:rsid w:val="006F37F7"/>
    <w:rsid w:val="006F3909"/>
    <w:rsid w:val="006F4036"/>
    <w:rsid w:val="006F428E"/>
    <w:rsid w:val="006F4605"/>
    <w:rsid w:val="006F48E1"/>
    <w:rsid w:val="006F4FA0"/>
    <w:rsid w:val="006F5096"/>
    <w:rsid w:val="006F5160"/>
    <w:rsid w:val="006F5374"/>
    <w:rsid w:val="006F57D7"/>
    <w:rsid w:val="006F5ABA"/>
    <w:rsid w:val="006F5C15"/>
    <w:rsid w:val="006F60DF"/>
    <w:rsid w:val="006F64DE"/>
    <w:rsid w:val="006F6766"/>
    <w:rsid w:val="006F68C1"/>
    <w:rsid w:val="006F6CE2"/>
    <w:rsid w:val="006F6E10"/>
    <w:rsid w:val="007009F9"/>
    <w:rsid w:val="007014F8"/>
    <w:rsid w:val="0070150D"/>
    <w:rsid w:val="007016D2"/>
    <w:rsid w:val="007018D8"/>
    <w:rsid w:val="00701979"/>
    <w:rsid w:val="00701C6E"/>
    <w:rsid w:val="007029E8"/>
    <w:rsid w:val="00703107"/>
    <w:rsid w:val="00703138"/>
    <w:rsid w:val="00703277"/>
    <w:rsid w:val="0070356D"/>
    <w:rsid w:val="00703981"/>
    <w:rsid w:val="00703CDF"/>
    <w:rsid w:val="00703D7E"/>
    <w:rsid w:val="00703F24"/>
    <w:rsid w:val="007045CB"/>
    <w:rsid w:val="0070495F"/>
    <w:rsid w:val="00704B6E"/>
    <w:rsid w:val="00704F73"/>
    <w:rsid w:val="0070508D"/>
    <w:rsid w:val="0070542E"/>
    <w:rsid w:val="0070604A"/>
    <w:rsid w:val="007060D4"/>
    <w:rsid w:val="0070624C"/>
    <w:rsid w:val="00706451"/>
    <w:rsid w:val="007076F6"/>
    <w:rsid w:val="00707B32"/>
    <w:rsid w:val="00707E0F"/>
    <w:rsid w:val="0071068A"/>
    <w:rsid w:val="00710E19"/>
    <w:rsid w:val="00710E52"/>
    <w:rsid w:val="007114C9"/>
    <w:rsid w:val="0071154B"/>
    <w:rsid w:val="0071174F"/>
    <w:rsid w:val="0071196A"/>
    <w:rsid w:val="00711B11"/>
    <w:rsid w:val="007131CF"/>
    <w:rsid w:val="007133C0"/>
    <w:rsid w:val="00713613"/>
    <w:rsid w:val="007137C6"/>
    <w:rsid w:val="007138FC"/>
    <w:rsid w:val="0071393D"/>
    <w:rsid w:val="00713E79"/>
    <w:rsid w:val="00714245"/>
    <w:rsid w:val="00714A14"/>
    <w:rsid w:val="00715441"/>
    <w:rsid w:val="00715739"/>
    <w:rsid w:val="0071576C"/>
    <w:rsid w:val="00715C94"/>
    <w:rsid w:val="007165F0"/>
    <w:rsid w:val="00716A09"/>
    <w:rsid w:val="007170DB"/>
    <w:rsid w:val="00717880"/>
    <w:rsid w:val="00717CA8"/>
    <w:rsid w:val="007205E7"/>
    <w:rsid w:val="007209C4"/>
    <w:rsid w:val="00720A9F"/>
    <w:rsid w:val="00721E9E"/>
    <w:rsid w:val="007227FE"/>
    <w:rsid w:val="007233C3"/>
    <w:rsid w:val="00723C95"/>
    <w:rsid w:val="007244E7"/>
    <w:rsid w:val="0072505F"/>
    <w:rsid w:val="007251B4"/>
    <w:rsid w:val="00725B00"/>
    <w:rsid w:val="0072680C"/>
    <w:rsid w:val="00726B3D"/>
    <w:rsid w:val="00726C64"/>
    <w:rsid w:val="0072789E"/>
    <w:rsid w:val="00730DDD"/>
    <w:rsid w:val="007310B7"/>
    <w:rsid w:val="00731237"/>
    <w:rsid w:val="00731A22"/>
    <w:rsid w:val="0073207E"/>
    <w:rsid w:val="00732523"/>
    <w:rsid w:val="0073254B"/>
    <w:rsid w:val="00732664"/>
    <w:rsid w:val="00732BA7"/>
    <w:rsid w:val="007333EA"/>
    <w:rsid w:val="00733601"/>
    <w:rsid w:val="00733A57"/>
    <w:rsid w:val="00733F36"/>
    <w:rsid w:val="007340CE"/>
    <w:rsid w:val="00734781"/>
    <w:rsid w:val="007349FC"/>
    <w:rsid w:val="00734B6F"/>
    <w:rsid w:val="007351A5"/>
    <w:rsid w:val="00735293"/>
    <w:rsid w:val="00735376"/>
    <w:rsid w:val="007363EA"/>
    <w:rsid w:val="007365BF"/>
    <w:rsid w:val="00736A02"/>
    <w:rsid w:val="00736E06"/>
    <w:rsid w:val="00736E37"/>
    <w:rsid w:val="00737286"/>
    <w:rsid w:val="007373DB"/>
    <w:rsid w:val="00737847"/>
    <w:rsid w:val="00737F27"/>
    <w:rsid w:val="00737FD3"/>
    <w:rsid w:val="00740240"/>
    <w:rsid w:val="007407DB"/>
    <w:rsid w:val="00740BFC"/>
    <w:rsid w:val="00740F76"/>
    <w:rsid w:val="00741037"/>
    <w:rsid w:val="00741447"/>
    <w:rsid w:val="007422B3"/>
    <w:rsid w:val="007424BF"/>
    <w:rsid w:val="007435F1"/>
    <w:rsid w:val="00743BC1"/>
    <w:rsid w:val="00743DDD"/>
    <w:rsid w:val="00744625"/>
    <w:rsid w:val="007446BB"/>
    <w:rsid w:val="00744AF1"/>
    <w:rsid w:val="00744F11"/>
    <w:rsid w:val="00745156"/>
    <w:rsid w:val="00745882"/>
    <w:rsid w:val="00745A04"/>
    <w:rsid w:val="00745A0F"/>
    <w:rsid w:val="00745DA7"/>
    <w:rsid w:val="00745DFD"/>
    <w:rsid w:val="00746197"/>
    <w:rsid w:val="0074689C"/>
    <w:rsid w:val="00746B3F"/>
    <w:rsid w:val="00747117"/>
    <w:rsid w:val="007479C2"/>
    <w:rsid w:val="00747B0D"/>
    <w:rsid w:val="00751452"/>
    <w:rsid w:val="007521A5"/>
    <w:rsid w:val="00752D54"/>
    <w:rsid w:val="00752E99"/>
    <w:rsid w:val="00753959"/>
    <w:rsid w:val="00753DD6"/>
    <w:rsid w:val="00754A4A"/>
    <w:rsid w:val="00755F9F"/>
    <w:rsid w:val="0075617D"/>
    <w:rsid w:val="007566FB"/>
    <w:rsid w:val="007567A8"/>
    <w:rsid w:val="00756D6A"/>
    <w:rsid w:val="00757EE2"/>
    <w:rsid w:val="0076043F"/>
    <w:rsid w:val="00760F66"/>
    <w:rsid w:val="007611F8"/>
    <w:rsid w:val="00761200"/>
    <w:rsid w:val="00761931"/>
    <w:rsid w:val="00761BD1"/>
    <w:rsid w:val="007627BA"/>
    <w:rsid w:val="0076291E"/>
    <w:rsid w:val="00762B29"/>
    <w:rsid w:val="00762C76"/>
    <w:rsid w:val="00762D81"/>
    <w:rsid w:val="0076317B"/>
    <w:rsid w:val="007643D5"/>
    <w:rsid w:val="00765366"/>
    <w:rsid w:val="00765914"/>
    <w:rsid w:val="00765AC2"/>
    <w:rsid w:val="0076614D"/>
    <w:rsid w:val="0076624C"/>
    <w:rsid w:val="0076627D"/>
    <w:rsid w:val="00766304"/>
    <w:rsid w:val="00766C2C"/>
    <w:rsid w:val="00767A28"/>
    <w:rsid w:val="00767DD2"/>
    <w:rsid w:val="00770264"/>
    <w:rsid w:val="0077082B"/>
    <w:rsid w:val="00770E60"/>
    <w:rsid w:val="00771324"/>
    <w:rsid w:val="00771C8F"/>
    <w:rsid w:val="00771E1A"/>
    <w:rsid w:val="0077266E"/>
    <w:rsid w:val="0077292E"/>
    <w:rsid w:val="007737D4"/>
    <w:rsid w:val="007737D8"/>
    <w:rsid w:val="0077391C"/>
    <w:rsid w:val="00773D24"/>
    <w:rsid w:val="00773E40"/>
    <w:rsid w:val="00774576"/>
    <w:rsid w:val="007745DA"/>
    <w:rsid w:val="0077508A"/>
    <w:rsid w:val="00775475"/>
    <w:rsid w:val="00775567"/>
    <w:rsid w:val="00775B4E"/>
    <w:rsid w:val="00775DFA"/>
    <w:rsid w:val="00775E0D"/>
    <w:rsid w:val="00776343"/>
    <w:rsid w:val="00776416"/>
    <w:rsid w:val="0077673C"/>
    <w:rsid w:val="00776C7B"/>
    <w:rsid w:val="00776CEF"/>
    <w:rsid w:val="007774AE"/>
    <w:rsid w:val="00777E7E"/>
    <w:rsid w:val="00777EFA"/>
    <w:rsid w:val="007804DD"/>
    <w:rsid w:val="00780EBC"/>
    <w:rsid w:val="00780EC1"/>
    <w:rsid w:val="00780F3B"/>
    <w:rsid w:val="0078115B"/>
    <w:rsid w:val="007816EE"/>
    <w:rsid w:val="00781AE1"/>
    <w:rsid w:val="00782071"/>
    <w:rsid w:val="00782783"/>
    <w:rsid w:val="00782946"/>
    <w:rsid w:val="00782ECD"/>
    <w:rsid w:val="00782F44"/>
    <w:rsid w:val="0078363B"/>
    <w:rsid w:val="00783BD9"/>
    <w:rsid w:val="00783CCF"/>
    <w:rsid w:val="00783F5B"/>
    <w:rsid w:val="00784609"/>
    <w:rsid w:val="00784720"/>
    <w:rsid w:val="0078481D"/>
    <w:rsid w:val="00785476"/>
    <w:rsid w:val="007859FC"/>
    <w:rsid w:val="00785F1E"/>
    <w:rsid w:val="00785F4C"/>
    <w:rsid w:val="0078609C"/>
    <w:rsid w:val="00786355"/>
    <w:rsid w:val="00787370"/>
    <w:rsid w:val="007874AE"/>
    <w:rsid w:val="0078750B"/>
    <w:rsid w:val="00787F5E"/>
    <w:rsid w:val="0079024D"/>
    <w:rsid w:val="00791069"/>
    <w:rsid w:val="007911B8"/>
    <w:rsid w:val="00791DAE"/>
    <w:rsid w:val="007930E8"/>
    <w:rsid w:val="00793A57"/>
    <w:rsid w:val="00793A9C"/>
    <w:rsid w:val="00793F28"/>
    <w:rsid w:val="007944D2"/>
    <w:rsid w:val="007944EA"/>
    <w:rsid w:val="00794986"/>
    <w:rsid w:val="00794B19"/>
    <w:rsid w:val="00794FFA"/>
    <w:rsid w:val="00795B8D"/>
    <w:rsid w:val="00795E34"/>
    <w:rsid w:val="00795F0E"/>
    <w:rsid w:val="00796495"/>
    <w:rsid w:val="00797063"/>
    <w:rsid w:val="00797D8F"/>
    <w:rsid w:val="007A0C00"/>
    <w:rsid w:val="007A0E15"/>
    <w:rsid w:val="007A176E"/>
    <w:rsid w:val="007A1823"/>
    <w:rsid w:val="007A19BF"/>
    <w:rsid w:val="007A2A69"/>
    <w:rsid w:val="007A2CF1"/>
    <w:rsid w:val="007A338B"/>
    <w:rsid w:val="007A384E"/>
    <w:rsid w:val="007A41B5"/>
    <w:rsid w:val="007A4486"/>
    <w:rsid w:val="007A4682"/>
    <w:rsid w:val="007A5754"/>
    <w:rsid w:val="007A5879"/>
    <w:rsid w:val="007A58A8"/>
    <w:rsid w:val="007A5BDC"/>
    <w:rsid w:val="007A629D"/>
    <w:rsid w:val="007A6610"/>
    <w:rsid w:val="007A6AF0"/>
    <w:rsid w:val="007A6D51"/>
    <w:rsid w:val="007A6DD3"/>
    <w:rsid w:val="007A6FF3"/>
    <w:rsid w:val="007A7169"/>
    <w:rsid w:val="007A71DC"/>
    <w:rsid w:val="007A7A04"/>
    <w:rsid w:val="007B04FF"/>
    <w:rsid w:val="007B0976"/>
    <w:rsid w:val="007B0CAC"/>
    <w:rsid w:val="007B147C"/>
    <w:rsid w:val="007B15F3"/>
    <w:rsid w:val="007B1701"/>
    <w:rsid w:val="007B1738"/>
    <w:rsid w:val="007B1C32"/>
    <w:rsid w:val="007B1DBB"/>
    <w:rsid w:val="007B2319"/>
    <w:rsid w:val="007B2FBF"/>
    <w:rsid w:val="007B3E13"/>
    <w:rsid w:val="007B4044"/>
    <w:rsid w:val="007B4046"/>
    <w:rsid w:val="007B4300"/>
    <w:rsid w:val="007B542E"/>
    <w:rsid w:val="007B565C"/>
    <w:rsid w:val="007B595F"/>
    <w:rsid w:val="007B5B7E"/>
    <w:rsid w:val="007B5D75"/>
    <w:rsid w:val="007B6D5E"/>
    <w:rsid w:val="007B6FA1"/>
    <w:rsid w:val="007B7115"/>
    <w:rsid w:val="007B736B"/>
    <w:rsid w:val="007C012E"/>
    <w:rsid w:val="007C055A"/>
    <w:rsid w:val="007C0853"/>
    <w:rsid w:val="007C0C90"/>
    <w:rsid w:val="007C0E07"/>
    <w:rsid w:val="007C0E86"/>
    <w:rsid w:val="007C192C"/>
    <w:rsid w:val="007C249E"/>
    <w:rsid w:val="007C26CF"/>
    <w:rsid w:val="007C271B"/>
    <w:rsid w:val="007C2C14"/>
    <w:rsid w:val="007C3A55"/>
    <w:rsid w:val="007C404B"/>
    <w:rsid w:val="007C4166"/>
    <w:rsid w:val="007C44E1"/>
    <w:rsid w:val="007C46EC"/>
    <w:rsid w:val="007C48DD"/>
    <w:rsid w:val="007C4A05"/>
    <w:rsid w:val="007C4F3C"/>
    <w:rsid w:val="007C5711"/>
    <w:rsid w:val="007C57B9"/>
    <w:rsid w:val="007C6325"/>
    <w:rsid w:val="007C6AE6"/>
    <w:rsid w:val="007C73A3"/>
    <w:rsid w:val="007C7975"/>
    <w:rsid w:val="007C7EF5"/>
    <w:rsid w:val="007D047C"/>
    <w:rsid w:val="007D06AC"/>
    <w:rsid w:val="007D0741"/>
    <w:rsid w:val="007D0997"/>
    <w:rsid w:val="007D0A53"/>
    <w:rsid w:val="007D0FFC"/>
    <w:rsid w:val="007D1013"/>
    <w:rsid w:val="007D19EC"/>
    <w:rsid w:val="007D2608"/>
    <w:rsid w:val="007D30C3"/>
    <w:rsid w:val="007D35AC"/>
    <w:rsid w:val="007D36B1"/>
    <w:rsid w:val="007D36D7"/>
    <w:rsid w:val="007D3BA1"/>
    <w:rsid w:val="007D3EC8"/>
    <w:rsid w:val="007D40AC"/>
    <w:rsid w:val="007D4317"/>
    <w:rsid w:val="007D4C12"/>
    <w:rsid w:val="007D57E0"/>
    <w:rsid w:val="007D5946"/>
    <w:rsid w:val="007D5962"/>
    <w:rsid w:val="007D5A2B"/>
    <w:rsid w:val="007D5FFD"/>
    <w:rsid w:val="007D6213"/>
    <w:rsid w:val="007D63B2"/>
    <w:rsid w:val="007D651D"/>
    <w:rsid w:val="007D71B7"/>
    <w:rsid w:val="007D7C66"/>
    <w:rsid w:val="007D7CF3"/>
    <w:rsid w:val="007E0274"/>
    <w:rsid w:val="007E02A7"/>
    <w:rsid w:val="007E0415"/>
    <w:rsid w:val="007E08D9"/>
    <w:rsid w:val="007E0991"/>
    <w:rsid w:val="007E0AFE"/>
    <w:rsid w:val="007E0B2C"/>
    <w:rsid w:val="007E0BD1"/>
    <w:rsid w:val="007E107F"/>
    <w:rsid w:val="007E2FD7"/>
    <w:rsid w:val="007E310B"/>
    <w:rsid w:val="007E38DA"/>
    <w:rsid w:val="007E3AE9"/>
    <w:rsid w:val="007E3D65"/>
    <w:rsid w:val="007E3EE2"/>
    <w:rsid w:val="007E3F29"/>
    <w:rsid w:val="007E4480"/>
    <w:rsid w:val="007E47E7"/>
    <w:rsid w:val="007E4A68"/>
    <w:rsid w:val="007E4A98"/>
    <w:rsid w:val="007E4EB6"/>
    <w:rsid w:val="007E571F"/>
    <w:rsid w:val="007E5844"/>
    <w:rsid w:val="007E5DD7"/>
    <w:rsid w:val="007E66CA"/>
    <w:rsid w:val="007E6B49"/>
    <w:rsid w:val="007E6FB9"/>
    <w:rsid w:val="007E7139"/>
    <w:rsid w:val="007E7366"/>
    <w:rsid w:val="007E7EA1"/>
    <w:rsid w:val="007E7EA4"/>
    <w:rsid w:val="007F03CE"/>
    <w:rsid w:val="007F04D3"/>
    <w:rsid w:val="007F096F"/>
    <w:rsid w:val="007F137D"/>
    <w:rsid w:val="007F17B5"/>
    <w:rsid w:val="007F245F"/>
    <w:rsid w:val="007F2D8D"/>
    <w:rsid w:val="007F2EBF"/>
    <w:rsid w:val="007F3044"/>
    <w:rsid w:val="007F3249"/>
    <w:rsid w:val="007F3704"/>
    <w:rsid w:val="007F4657"/>
    <w:rsid w:val="007F4F50"/>
    <w:rsid w:val="007F5609"/>
    <w:rsid w:val="007F5625"/>
    <w:rsid w:val="007F568A"/>
    <w:rsid w:val="007F59F7"/>
    <w:rsid w:val="007F5E21"/>
    <w:rsid w:val="007F6413"/>
    <w:rsid w:val="007F6761"/>
    <w:rsid w:val="007F676E"/>
    <w:rsid w:val="007F6B11"/>
    <w:rsid w:val="007F6E2B"/>
    <w:rsid w:val="007F7D12"/>
    <w:rsid w:val="007F7F02"/>
    <w:rsid w:val="00800258"/>
    <w:rsid w:val="00800C97"/>
    <w:rsid w:val="008014B3"/>
    <w:rsid w:val="0080153D"/>
    <w:rsid w:val="00801D7A"/>
    <w:rsid w:val="0080220F"/>
    <w:rsid w:val="00802597"/>
    <w:rsid w:val="008026A7"/>
    <w:rsid w:val="00802735"/>
    <w:rsid w:val="008028C2"/>
    <w:rsid w:val="00802DDB"/>
    <w:rsid w:val="0080379D"/>
    <w:rsid w:val="008037D8"/>
    <w:rsid w:val="00803B7E"/>
    <w:rsid w:val="00803DA6"/>
    <w:rsid w:val="00804073"/>
    <w:rsid w:val="008040D8"/>
    <w:rsid w:val="008040D9"/>
    <w:rsid w:val="0080436E"/>
    <w:rsid w:val="00804937"/>
    <w:rsid w:val="00804C5D"/>
    <w:rsid w:val="00804E1E"/>
    <w:rsid w:val="00804E43"/>
    <w:rsid w:val="008050F5"/>
    <w:rsid w:val="0080519C"/>
    <w:rsid w:val="0080553F"/>
    <w:rsid w:val="00805E48"/>
    <w:rsid w:val="00806336"/>
    <w:rsid w:val="00807ADD"/>
    <w:rsid w:val="00807C09"/>
    <w:rsid w:val="00810BC2"/>
    <w:rsid w:val="00811683"/>
    <w:rsid w:val="00811AFF"/>
    <w:rsid w:val="00812373"/>
    <w:rsid w:val="00812D30"/>
    <w:rsid w:val="00813B84"/>
    <w:rsid w:val="00813F3A"/>
    <w:rsid w:val="008140E8"/>
    <w:rsid w:val="008148D4"/>
    <w:rsid w:val="0081491F"/>
    <w:rsid w:val="00814941"/>
    <w:rsid w:val="00814A65"/>
    <w:rsid w:val="00814BD9"/>
    <w:rsid w:val="008158AC"/>
    <w:rsid w:val="00816605"/>
    <w:rsid w:val="00816805"/>
    <w:rsid w:val="00816BE8"/>
    <w:rsid w:val="00816CD5"/>
    <w:rsid w:val="00816DBD"/>
    <w:rsid w:val="00816FE2"/>
    <w:rsid w:val="00817062"/>
    <w:rsid w:val="00817991"/>
    <w:rsid w:val="00817F58"/>
    <w:rsid w:val="008203C5"/>
    <w:rsid w:val="0082046A"/>
    <w:rsid w:val="008204C7"/>
    <w:rsid w:val="00820B20"/>
    <w:rsid w:val="00820B84"/>
    <w:rsid w:val="0082199B"/>
    <w:rsid w:val="00821C2A"/>
    <w:rsid w:val="008226BF"/>
    <w:rsid w:val="008227B7"/>
    <w:rsid w:val="00823BA0"/>
    <w:rsid w:val="008243A8"/>
    <w:rsid w:val="00824925"/>
    <w:rsid w:val="00824C8B"/>
    <w:rsid w:val="008252E8"/>
    <w:rsid w:val="00825BA8"/>
    <w:rsid w:val="00825C14"/>
    <w:rsid w:val="0082641D"/>
    <w:rsid w:val="008267CA"/>
    <w:rsid w:val="00826A52"/>
    <w:rsid w:val="00826E45"/>
    <w:rsid w:val="008270EE"/>
    <w:rsid w:val="0082722B"/>
    <w:rsid w:val="0082745B"/>
    <w:rsid w:val="00827C1B"/>
    <w:rsid w:val="0083016B"/>
    <w:rsid w:val="008301F1"/>
    <w:rsid w:val="00830C0E"/>
    <w:rsid w:val="008313E0"/>
    <w:rsid w:val="008317EC"/>
    <w:rsid w:val="0083195D"/>
    <w:rsid w:val="00831B7B"/>
    <w:rsid w:val="00831D90"/>
    <w:rsid w:val="00832076"/>
    <w:rsid w:val="008324F3"/>
    <w:rsid w:val="00832691"/>
    <w:rsid w:val="0083296B"/>
    <w:rsid w:val="00832B8A"/>
    <w:rsid w:val="00833547"/>
    <w:rsid w:val="00833852"/>
    <w:rsid w:val="00833AB9"/>
    <w:rsid w:val="00833B62"/>
    <w:rsid w:val="00834820"/>
    <w:rsid w:val="00834C82"/>
    <w:rsid w:val="00834DB6"/>
    <w:rsid w:val="00834F93"/>
    <w:rsid w:val="00835F6D"/>
    <w:rsid w:val="008374F3"/>
    <w:rsid w:val="008375DA"/>
    <w:rsid w:val="00840C4A"/>
    <w:rsid w:val="008411B9"/>
    <w:rsid w:val="0084122F"/>
    <w:rsid w:val="00841573"/>
    <w:rsid w:val="00841D08"/>
    <w:rsid w:val="00842D43"/>
    <w:rsid w:val="00842F64"/>
    <w:rsid w:val="0084323E"/>
    <w:rsid w:val="0084361C"/>
    <w:rsid w:val="00843D50"/>
    <w:rsid w:val="008441D9"/>
    <w:rsid w:val="0084464E"/>
    <w:rsid w:val="008455E6"/>
    <w:rsid w:val="008458BF"/>
    <w:rsid w:val="00846262"/>
    <w:rsid w:val="00846370"/>
    <w:rsid w:val="008463E8"/>
    <w:rsid w:val="00847665"/>
    <w:rsid w:val="00847BC5"/>
    <w:rsid w:val="00847F11"/>
    <w:rsid w:val="00850010"/>
    <w:rsid w:val="008503F4"/>
    <w:rsid w:val="008504A0"/>
    <w:rsid w:val="00850AC1"/>
    <w:rsid w:val="00850C2A"/>
    <w:rsid w:val="00850DFA"/>
    <w:rsid w:val="00851331"/>
    <w:rsid w:val="008516D1"/>
    <w:rsid w:val="00852003"/>
    <w:rsid w:val="0085212C"/>
    <w:rsid w:val="00852988"/>
    <w:rsid w:val="00852F9E"/>
    <w:rsid w:val="00854053"/>
    <w:rsid w:val="008543AC"/>
    <w:rsid w:val="008548B8"/>
    <w:rsid w:val="00854965"/>
    <w:rsid w:val="00854D5C"/>
    <w:rsid w:val="00855298"/>
    <w:rsid w:val="008554D1"/>
    <w:rsid w:val="008558E0"/>
    <w:rsid w:val="008569E0"/>
    <w:rsid w:val="00857AF7"/>
    <w:rsid w:val="00857BE5"/>
    <w:rsid w:val="00860109"/>
    <w:rsid w:val="008601BD"/>
    <w:rsid w:val="00860359"/>
    <w:rsid w:val="00860E43"/>
    <w:rsid w:val="00861252"/>
    <w:rsid w:val="0086171A"/>
    <w:rsid w:val="0086226C"/>
    <w:rsid w:val="00863237"/>
    <w:rsid w:val="00863C07"/>
    <w:rsid w:val="008640B7"/>
    <w:rsid w:val="008644A4"/>
    <w:rsid w:val="00864A6C"/>
    <w:rsid w:val="00864BB1"/>
    <w:rsid w:val="00864DF7"/>
    <w:rsid w:val="00865278"/>
    <w:rsid w:val="008654F9"/>
    <w:rsid w:val="008658C0"/>
    <w:rsid w:val="008660F7"/>
    <w:rsid w:val="00866388"/>
    <w:rsid w:val="0086644B"/>
    <w:rsid w:val="00866BAB"/>
    <w:rsid w:val="00866FE3"/>
    <w:rsid w:val="0086722D"/>
    <w:rsid w:val="00867AD8"/>
    <w:rsid w:val="00867D56"/>
    <w:rsid w:val="00867D70"/>
    <w:rsid w:val="00870646"/>
    <w:rsid w:val="008706C3"/>
    <w:rsid w:val="00870BAA"/>
    <w:rsid w:val="00870D91"/>
    <w:rsid w:val="008716D1"/>
    <w:rsid w:val="008716ED"/>
    <w:rsid w:val="008718AD"/>
    <w:rsid w:val="0087193F"/>
    <w:rsid w:val="008724E6"/>
    <w:rsid w:val="008728C8"/>
    <w:rsid w:val="00873205"/>
    <w:rsid w:val="008735E8"/>
    <w:rsid w:val="0087377E"/>
    <w:rsid w:val="00874594"/>
    <w:rsid w:val="00874776"/>
    <w:rsid w:val="0087487C"/>
    <w:rsid w:val="00874A07"/>
    <w:rsid w:val="00874B75"/>
    <w:rsid w:val="00875007"/>
    <w:rsid w:val="008750DB"/>
    <w:rsid w:val="008751B4"/>
    <w:rsid w:val="0087527F"/>
    <w:rsid w:val="008753D4"/>
    <w:rsid w:val="008754B5"/>
    <w:rsid w:val="00875837"/>
    <w:rsid w:val="00875AF3"/>
    <w:rsid w:val="008765E9"/>
    <w:rsid w:val="00876605"/>
    <w:rsid w:val="00876ABB"/>
    <w:rsid w:val="00876B13"/>
    <w:rsid w:val="00876D37"/>
    <w:rsid w:val="00880017"/>
    <w:rsid w:val="00880305"/>
    <w:rsid w:val="0088088A"/>
    <w:rsid w:val="00880A3F"/>
    <w:rsid w:val="00880EE2"/>
    <w:rsid w:val="008813BC"/>
    <w:rsid w:val="00881732"/>
    <w:rsid w:val="008818A2"/>
    <w:rsid w:val="00881FF9"/>
    <w:rsid w:val="0088213D"/>
    <w:rsid w:val="008821C6"/>
    <w:rsid w:val="0088243D"/>
    <w:rsid w:val="0088251A"/>
    <w:rsid w:val="00882D28"/>
    <w:rsid w:val="00883A67"/>
    <w:rsid w:val="008848E9"/>
    <w:rsid w:val="00884FD8"/>
    <w:rsid w:val="00885244"/>
    <w:rsid w:val="008857C7"/>
    <w:rsid w:val="008858B3"/>
    <w:rsid w:val="00885BF6"/>
    <w:rsid w:val="008866CF"/>
    <w:rsid w:val="00886782"/>
    <w:rsid w:val="00886834"/>
    <w:rsid w:val="008869A1"/>
    <w:rsid w:val="00886B3F"/>
    <w:rsid w:val="0088727A"/>
    <w:rsid w:val="0089015D"/>
    <w:rsid w:val="0089021A"/>
    <w:rsid w:val="0089022E"/>
    <w:rsid w:val="00890330"/>
    <w:rsid w:val="00890475"/>
    <w:rsid w:val="00890A7C"/>
    <w:rsid w:val="00890D11"/>
    <w:rsid w:val="008910EE"/>
    <w:rsid w:val="00891A26"/>
    <w:rsid w:val="008923F8"/>
    <w:rsid w:val="0089287A"/>
    <w:rsid w:val="008928F1"/>
    <w:rsid w:val="00892BBF"/>
    <w:rsid w:val="00892DB5"/>
    <w:rsid w:val="00893F27"/>
    <w:rsid w:val="008942BD"/>
    <w:rsid w:val="0089478A"/>
    <w:rsid w:val="0089480A"/>
    <w:rsid w:val="00894FE5"/>
    <w:rsid w:val="00895658"/>
    <w:rsid w:val="008956DA"/>
    <w:rsid w:val="00895BA9"/>
    <w:rsid w:val="00895D79"/>
    <w:rsid w:val="00895DA5"/>
    <w:rsid w:val="0089601B"/>
    <w:rsid w:val="0089647F"/>
    <w:rsid w:val="0089655D"/>
    <w:rsid w:val="00896784"/>
    <w:rsid w:val="00896C56"/>
    <w:rsid w:val="00897051"/>
    <w:rsid w:val="00897824"/>
    <w:rsid w:val="00897BCB"/>
    <w:rsid w:val="00897C07"/>
    <w:rsid w:val="00897DBA"/>
    <w:rsid w:val="008A02FA"/>
    <w:rsid w:val="008A06A8"/>
    <w:rsid w:val="008A1AAC"/>
    <w:rsid w:val="008A20CA"/>
    <w:rsid w:val="008A239B"/>
    <w:rsid w:val="008A2505"/>
    <w:rsid w:val="008A2779"/>
    <w:rsid w:val="008A2956"/>
    <w:rsid w:val="008A2EA1"/>
    <w:rsid w:val="008A2EF6"/>
    <w:rsid w:val="008A3480"/>
    <w:rsid w:val="008A3642"/>
    <w:rsid w:val="008A3875"/>
    <w:rsid w:val="008A4F3C"/>
    <w:rsid w:val="008A51AD"/>
    <w:rsid w:val="008A53BA"/>
    <w:rsid w:val="008A551D"/>
    <w:rsid w:val="008A56BA"/>
    <w:rsid w:val="008A570A"/>
    <w:rsid w:val="008A58E4"/>
    <w:rsid w:val="008A58E7"/>
    <w:rsid w:val="008A5C1D"/>
    <w:rsid w:val="008A615A"/>
    <w:rsid w:val="008A6357"/>
    <w:rsid w:val="008A650C"/>
    <w:rsid w:val="008A6A36"/>
    <w:rsid w:val="008A6CB9"/>
    <w:rsid w:val="008A6DC1"/>
    <w:rsid w:val="008A7083"/>
    <w:rsid w:val="008A7100"/>
    <w:rsid w:val="008A7139"/>
    <w:rsid w:val="008A776D"/>
    <w:rsid w:val="008A7C74"/>
    <w:rsid w:val="008B03BD"/>
    <w:rsid w:val="008B04C0"/>
    <w:rsid w:val="008B09E1"/>
    <w:rsid w:val="008B0A83"/>
    <w:rsid w:val="008B0DCF"/>
    <w:rsid w:val="008B0E93"/>
    <w:rsid w:val="008B0F76"/>
    <w:rsid w:val="008B0F8D"/>
    <w:rsid w:val="008B198D"/>
    <w:rsid w:val="008B23A8"/>
    <w:rsid w:val="008B24E6"/>
    <w:rsid w:val="008B29A4"/>
    <w:rsid w:val="008B2BB4"/>
    <w:rsid w:val="008B2C30"/>
    <w:rsid w:val="008B2C99"/>
    <w:rsid w:val="008B3C2B"/>
    <w:rsid w:val="008B4679"/>
    <w:rsid w:val="008B4D00"/>
    <w:rsid w:val="008B4D13"/>
    <w:rsid w:val="008B4E78"/>
    <w:rsid w:val="008B4FE2"/>
    <w:rsid w:val="008B5C3D"/>
    <w:rsid w:val="008B61A1"/>
    <w:rsid w:val="008B66D8"/>
    <w:rsid w:val="008B66EE"/>
    <w:rsid w:val="008B6793"/>
    <w:rsid w:val="008B6E87"/>
    <w:rsid w:val="008B75C2"/>
    <w:rsid w:val="008B787A"/>
    <w:rsid w:val="008C0A89"/>
    <w:rsid w:val="008C0AA9"/>
    <w:rsid w:val="008C0E71"/>
    <w:rsid w:val="008C1852"/>
    <w:rsid w:val="008C1CD2"/>
    <w:rsid w:val="008C2CFF"/>
    <w:rsid w:val="008C2E1E"/>
    <w:rsid w:val="008C2E22"/>
    <w:rsid w:val="008C2ED2"/>
    <w:rsid w:val="008C3612"/>
    <w:rsid w:val="008C3D4D"/>
    <w:rsid w:val="008C4026"/>
    <w:rsid w:val="008C417E"/>
    <w:rsid w:val="008C4296"/>
    <w:rsid w:val="008C4E31"/>
    <w:rsid w:val="008C5B51"/>
    <w:rsid w:val="008C5F0A"/>
    <w:rsid w:val="008C6105"/>
    <w:rsid w:val="008C6124"/>
    <w:rsid w:val="008C6334"/>
    <w:rsid w:val="008C66BD"/>
    <w:rsid w:val="008C67C7"/>
    <w:rsid w:val="008C6968"/>
    <w:rsid w:val="008C742A"/>
    <w:rsid w:val="008C74C7"/>
    <w:rsid w:val="008C7714"/>
    <w:rsid w:val="008C78BA"/>
    <w:rsid w:val="008C7F4F"/>
    <w:rsid w:val="008D00F3"/>
    <w:rsid w:val="008D0241"/>
    <w:rsid w:val="008D0B34"/>
    <w:rsid w:val="008D0F27"/>
    <w:rsid w:val="008D11F0"/>
    <w:rsid w:val="008D15A2"/>
    <w:rsid w:val="008D18CD"/>
    <w:rsid w:val="008D1F86"/>
    <w:rsid w:val="008D20E0"/>
    <w:rsid w:val="008D2B6E"/>
    <w:rsid w:val="008D335C"/>
    <w:rsid w:val="008D35B7"/>
    <w:rsid w:val="008D4007"/>
    <w:rsid w:val="008D436A"/>
    <w:rsid w:val="008D461C"/>
    <w:rsid w:val="008D4C72"/>
    <w:rsid w:val="008D4CF8"/>
    <w:rsid w:val="008D5054"/>
    <w:rsid w:val="008D5246"/>
    <w:rsid w:val="008D5291"/>
    <w:rsid w:val="008D5368"/>
    <w:rsid w:val="008D561B"/>
    <w:rsid w:val="008D582B"/>
    <w:rsid w:val="008D5CF9"/>
    <w:rsid w:val="008D5D0A"/>
    <w:rsid w:val="008D6199"/>
    <w:rsid w:val="008D64B9"/>
    <w:rsid w:val="008D6794"/>
    <w:rsid w:val="008D7F05"/>
    <w:rsid w:val="008D7F65"/>
    <w:rsid w:val="008E0178"/>
    <w:rsid w:val="008E02F8"/>
    <w:rsid w:val="008E12AF"/>
    <w:rsid w:val="008E1342"/>
    <w:rsid w:val="008E1DC9"/>
    <w:rsid w:val="008E211C"/>
    <w:rsid w:val="008E28EC"/>
    <w:rsid w:val="008E2BB3"/>
    <w:rsid w:val="008E2BC5"/>
    <w:rsid w:val="008E2C79"/>
    <w:rsid w:val="008E3176"/>
    <w:rsid w:val="008E3564"/>
    <w:rsid w:val="008E3A0B"/>
    <w:rsid w:val="008E3A90"/>
    <w:rsid w:val="008E3AAB"/>
    <w:rsid w:val="008E3F34"/>
    <w:rsid w:val="008E4043"/>
    <w:rsid w:val="008E4520"/>
    <w:rsid w:val="008E54E8"/>
    <w:rsid w:val="008E5740"/>
    <w:rsid w:val="008E5868"/>
    <w:rsid w:val="008E59EE"/>
    <w:rsid w:val="008E5ADB"/>
    <w:rsid w:val="008E5DC8"/>
    <w:rsid w:val="008E6465"/>
    <w:rsid w:val="008E6C57"/>
    <w:rsid w:val="008E7082"/>
    <w:rsid w:val="008E72AF"/>
    <w:rsid w:val="008F0952"/>
    <w:rsid w:val="008F1154"/>
    <w:rsid w:val="008F1B84"/>
    <w:rsid w:val="008F1B9D"/>
    <w:rsid w:val="008F1DB6"/>
    <w:rsid w:val="008F20DE"/>
    <w:rsid w:val="008F3151"/>
    <w:rsid w:val="008F337C"/>
    <w:rsid w:val="008F39C0"/>
    <w:rsid w:val="008F39E4"/>
    <w:rsid w:val="008F51F0"/>
    <w:rsid w:val="008F5633"/>
    <w:rsid w:val="008F57CD"/>
    <w:rsid w:val="008F5960"/>
    <w:rsid w:val="008F5CD0"/>
    <w:rsid w:val="008F629A"/>
    <w:rsid w:val="008F62B4"/>
    <w:rsid w:val="008F667F"/>
    <w:rsid w:val="008F6A9B"/>
    <w:rsid w:val="008F6F03"/>
    <w:rsid w:val="008F7603"/>
    <w:rsid w:val="008F769D"/>
    <w:rsid w:val="008F76B7"/>
    <w:rsid w:val="008F76DC"/>
    <w:rsid w:val="008F7D2F"/>
    <w:rsid w:val="008F7E68"/>
    <w:rsid w:val="009013C5"/>
    <w:rsid w:val="0090147B"/>
    <w:rsid w:val="00901649"/>
    <w:rsid w:val="00901CBA"/>
    <w:rsid w:val="00901DC6"/>
    <w:rsid w:val="009021DC"/>
    <w:rsid w:val="00902C23"/>
    <w:rsid w:val="00902EFD"/>
    <w:rsid w:val="00903026"/>
    <w:rsid w:val="0090357B"/>
    <w:rsid w:val="00903832"/>
    <w:rsid w:val="009042D0"/>
    <w:rsid w:val="009044BE"/>
    <w:rsid w:val="009048EB"/>
    <w:rsid w:val="00904913"/>
    <w:rsid w:val="00904C15"/>
    <w:rsid w:val="009050B3"/>
    <w:rsid w:val="00905298"/>
    <w:rsid w:val="00905945"/>
    <w:rsid w:val="00905FEB"/>
    <w:rsid w:val="00906164"/>
    <w:rsid w:val="00906252"/>
    <w:rsid w:val="0090672E"/>
    <w:rsid w:val="00906A4F"/>
    <w:rsid w:val="00906BD6"/>
    <w:rsid w:val="00907074"/>
    <w:rsid w:val="009073C7"/>
    <w:rsid w:val="009078BA"/>
    <w:rsid w:val="009079C7"/>
    <w:rsid w:val="009079F7"/>
    <w:rsid w:val="00907B44"/>
    <w:rsid w:val="00907C33"/>
    <w:rsid w:val="00910666"/>
    <w:rsid w:val="009108D2"/>
    <w:rsid w:val="00910C20"/>
    <w:rsid w:val="00910FE1"/>
    <w:rsid w:val="0091106A"/>
    <w:rsid w:val="00911C09"/>
    <w:rsid w:val="00911D1C"/>
    <w:rsid w:val="00912DA2"/>
    <w:rsid w:val="00912F0B"/>
    <w:rsid w:val="00912F38"/>
    <w:rsid w:val="0091340D"/>
    <w:rsid w:val="00913C58"/>
    <w:rsid w:val="009140B4"/>
    <w:rsid w:val="00914174"/>
    <w:rsid w:val="0091428A"/>
    <w:rsid w:val="00914733"/>
    <w:rsid w:val="0091495E"/>
    <w:rsid w:val="00914AA5"/>
    <w:rsid w:val="00914EAF"/>
    <w:rsid w:val="00915428"/>
    <w:rsid w:val="00915B3E"/>
    <w:rsid w:val="009162DD"/>
    <w:rsid w:val="009163E7"/>
    <w:rsid w:val="0091670A"/>
    <w:rsid w:val="0091671A"/>
    <w:rsid w:val="009169F6"/>
    <w:rsid w:val="0091719D"/>
    <w:rsid w:val="00917903"/>
    <w:rsid w:val="00917BEA"/>
    <w:rsid w:val="00920189"/>
    <w:rsid w:val="00920203"/>
    <w:rsid w:val="00920997"/>
    <w:rsid w:val="00920B1E"/>
    <w:rsid w:val="00920DD5"/>
    <w:rsid w:val="00921161"/>
    <w:rsid w:val="00922492"/>
    <w:rsid w:val="009224EB"/>
    <w:rsid w:val="0092272F"/>
    <w:rsid w:val="00922BE2"/>
    <w:rsid w:val="00922EDE"/>
    <w:rsid w:val="00923772"/>
    <w:rsid w:val="009237D9"/>
    <w:rsid w:val="0092406C"/>
    <w:rsid w:val="00924096"/>
    <w:rsid w:val="0092411C"/>
    <w:rsid w:val="009243BC"/>
    <w:rsid w:val="009244D5"/>
    <w:rsid w:val="0092523A"/>
    <w:rsid w:val="009252F1"/>
    <w:rsid w:val="00925588"/>
    <w:rsid w:val="00925733"/>
    <w:rsid w:val="00925AF5"/>
    <w:rsid w:val="00926268"/>
    <w:rsid w:val="009264A2"/>
    <w:rsid w:val="00926F0A"/>
    <w:rsid w:val="0092715D"/>
    <w:rsid w:val="00927299"/>
    <w:rsid w:val="00930632"/>
    <w:rsid w:val="009310BC"/>
    <w:rsid w:val="00931D3F"/>
    <w:rsid w:val="00931E52"/>
    <w:rsid w:val="009324C4"/>
    <w:rsid w:val="00932671"/>
    <w:rsid w:val="00932A7A"/>
    <w:rsid w:val="00932D26"/>
    <w:rsid w:val="009330BF"/>
    <w:rsid w:val="00933817"/>
    <w:rsid w:val="009340EB"/>
    <w:rsid w:val="009344B8"/>
    <w:rsid w:val="00934510"/>
    <w:rsid w:val="0093476C"/>
    <w:rsid w:val="00935A1E"/>
    <w:rsid w:val="00935AA3"/>
    <w:rsid w:val="00935B7C"/>
    <w:rsid w:val="00935E3A"/>
    <w:rsid w:val="00936005"/>
    <w:rsid w:val="0093607C"/>
    <w:rsid w:val="00940008"/>
    <w:rsid w:val="00940FFA"/>
    <w:rsid w:val="00941010"/>
    <w:rsid w:val="009410E9"/>
    <w:rsid w:val="0094143B"/>
    <w:rsid w:val="00941503"/>
    <w:rsid w:val="0094187D"/>
    <w:rsid w:val="009423ED"/>
    <w:rsid w:val="00942C90"/>
    <w:rsid w:val="00942F29"/>
    <w:rsid w:val="00942FB6"/>
    <w:rsid w:val="009430E1"/>
    <w:rsid w:val="009433F9"/>
    <w:rsid w:val="009434EB"/>
    <w:rsid w:val="00943EA6"/>
    <w:rsid w:val="009443F2"/>
    <w:rsid w:val="0094477F"/>
    <w:rsid w:val="009448F2"/>
    <w:rsid w:val="009451E0"/>
    <w:rsid w:val="0094524B"/>
    <w:rsid w:val="00945591"/>
    <w:rsid w:val="009456E3"/>
    <w:rsid w:val="00945759"/>
    <w:rsid w:val="00945925"/>
    <w:rsid w:val="009466E9"/>
    <w:rsid w:val="009469DD"/>
    <w:rsid w:val="00946CB3"/>
    <w:rsid w:val="00946D20"/>
    <w:rsid w:val="00946E51"/>
    <w:rsid w:val="0094732E"/>
    <w:rsid w:val="009473F4"/>
    <w:rsid w:val="0094767D"/>
    <w:rsid w:val="00950231"/>
    <w:rsid w:val="00950794"/>
    <w:rsid w:val="009507AA"/>
    <w:rsid w:val="009509EF"/>
    <w:rsid w:val="009515CA"/>
    <w:rsid w:val="00951691"/>
    <w:rsid w:val="00951FCE"/>
    <w:rsid w:val="009521CC"/>
    <w:rsid w:val="0095226C"/>
    <w:rsid w:val="0095269B"/>
    <w:rsid w:val="00952C05"/>
    <w:rsid w:val="00952D52"/>
    <w:rsid w:val="00953161"/>
    <w:rsid w:val="009533BB"/>
    <w:rsid w:val="009540B7"/>
    <w:rsid w:val="009543D0"/>
    <w:rsid w:val="00954AF9"/>
    <w:rsid w:val="00954DAE"/>
    <w:rsid w:val="00955410"/>
    <w:rsid w:val="009558EE"/>
    <w:rsid w:val="009559D5"/>
    <w:rsid w:val="00955C17"/>
    <w:rsid w:val="00955FFA"/>
    <w:rsid w:val="00956170"/>
    <w:rsid w:val="009561F8"/>
    <w:rsid w:val="00956BA1"/>
    <w:rsid w:val="00956D42"/>
    <w:rsid w:val="00956F0F"/>
    <w:rsid w:val="0095727F"/>
    <w:rsid w:val="009572AF"/>
    <w:rsid w:val="0095775D"/>
    <w:rsid w:val="00957E41"/>
    <w:rsid w:val="0096016E"/>
    <w:rsid w:val="0096023A"/>
    <w:rsid w:val="009607AB"/>
    <w:rsid w:val="00960B95"/>
    <w:rsid w:val="00960EFE"/>
    <w:rsid w:val="00961154"/>
    <w:rsid w:val="009615DB"/>
    <w:rsid w:val="00962683"/>
    <w:rsid w:val="00962ADC"/>
    <w:rsid w:val="00962E23"/>
    <w:rsid w:val="0096487C"/>
    <w:rsid w:val="00964BC2"/>
    <w:rsid w:val="00964D4A"/>
    <w:rsid w:val="00964EAE"/>
    <w:rsid w:val="00965023"/>
    <w:rsid w:val="009650B7"/>
    <w:rsid w:val="0096515D"/>
    <w:rsid w:val="0096554B"/>
    <w:rsid w:val="00965841"/>
    <w:rsid w:val="00966623"/>
    <w:rsid w:val="00966FCD"/>
    <w:rsid w:val="009678DB"/>
    <w:rsid w:val="00970728"/>
    <w:rsid w:val="009707C9"/>
    <w:rsid w:val="009709F3"/>
    <w:rsid w:val="00971303"/>
    <w:rsid w:val="00971E0B"/>
    <w:rsid w:val="00972101"/>
    <w:rsid w:val="00972285"/>
    <w:rsid w:val="00972FB5"/>
    <w:rsid w:val="00973607"/>
    <w:rsid w:val="009736FE"/>
    <w:rsid w:val="00973B96"/>
    <w:rsid w:val="00973E3C"/>
    <w:rsid w:val="0097453A"/>
    <w:rsid w:val="00974763"/>
    <w:rsid w:val="00974766"/>
    <w:rsid w:val="009757CA"/>
    <w:rsid w:val="00976E76"/>
    <w:rsid w:val="00977A14"/>
    <w:rsid w:val="00977E9B"/>
    <w:rsid w:val="0098012C"/>
    <w:rsid w:val="009807BF"/>
    <w:rsid w:val="009809CE"/>
    <w:rsid w:val="0098131F"/>
    <w:rsid w:val="00981479"/>
    <w:rsid w:val="00981F74"/>
    <w:rsid w:val="0098237C"/>
    <w:rsid w:val="0098269D"/>
    <w:rsid w:val="009829B3"/>
    <w:rsid w:val="00982C31"/>
    <w:rsid w:val="00982D45"/>
    <w:rsid w:val="00983165"/>
    <w:rsid w:val="00983343"/>
    <w:rsid w:val="009833C4"/>
    <w:rsid w:val="0098347E"/>
    <w:rsid w:val="009834E0"/>
    <w:rsid w:val="009838FF"/>
    <w:rsid w:val="00984149"/>
    <w:rsid w:val="00984788"/>
    <w:rsid w:val="00984909"/>
    <w:rsid w:val="00984FF3"/>
    <w:rsid w:val="00984FF9"/>
    <w:rsid w:val="009850C5"/>
    <w:rsid w:val="0098516C"/>
    <w:rsid w:val="00986326"/>
    <w:rsid w:val="00986849"/>
    <w:rsid w:val="00986BB7"/>
    <w:rsid w:val="00986D4B"/>
    <w:rsid w:val="00986F6D"/>
    <w:rsid w:val="0098727C"/>
    <w:rsid w:val="00987708"/>
    <w:rsid w:val="00987DF0"/>
    <w:rsid w:val="00987E2E"/>
    <w:rsid w:val="0099008B"/>
    <w:rsid w:val="00990387"/>
    <w:rsid w:val="009908C6"/>
    <w:rsid w:val="00990B9B"/>
    <w:rsid w:val="0099177B"/>
    <w:rsid w:val="00991B8C"/>
    <w:rsid w:val="0099367E"/>
    <w:rsid w:val="00993FE4"/>
    <w:rsid w:val="0099425E"/>
    <w:rsid w:val="00994CDC"/>
    <w:rsid w:val="009969CD"/>
    <w:rsid w:val="009970CF"/>
    <w:rsid w:val="0099770A"/>
    <w:rsid w:val="00997769"/>
    <w:rsid w:val="00997A2E"/>
    <w:rsid w:val="009A0204"/>
    <w:rsid w:val="009A048E"/>
    <w:rsid w:val="009A119F"/>
    <w:rsid w:val="009A1609"/>
    <w:rsid w:val="009A16A3"/>
    <w:rsid w:val="009A1A7E"/>
    <w:rsid w:val="009A3480"/>
    <w:rsid w:val="009A3DB8"/>
    <w:rsid w:val="009A43B3"/>
    <w:rsid w:val="009A464D"/>
    <w:rsid w:val="009A496F"/>
    <w:rsid w:val="009A4B78"/>
    <w:rsid w:val="009A4D73"/>
    <w:rsid w:val="009A4E41"/>
    <w:rsid w:val="009A5297"/>
    <w:rsid w:val="009A5438"/>
    <w:rsid w:val="009A5851"/>
    <w:rsid w:val="009A5A91"/>
    <w:rsid w:val="009A5C0C"/>
    <w:rsid w:val="009A5D40"/>
    <w:rsid w:val="009A5E10"/>
    <w:rsid w:val="009A6665"/>
    <w:rsid w:val="009A743F"/>
    <w:rsid w:val="009A74F7"/>
    <w:rsid w:val="009B00F2"/>
    <w:rsid w:val="009B0E67"/>
    <w:rsid w:val="009B0FB2"/>
    <w:rsid w:val="009B1113"/>
    <w:rsid w:val="009B1C34"/>
    <w:rsid w:val="009B1D22"/>
    <w:rsid w:val="009B1E86"/>
    <w:rsid w:val="009B1EB2"/>
    <w:rsid w:val="009B25FB"/>
    <w:rsid w:val="009B27C4"/>
    <w:rsid w:val="009B2BE6"/>
    <w:rsid w:val="009B2D92"/>
    <w:rsid w:val="009B31DE"/>
    <w:rsid w:val="009B3250"/>
    <w:rsid w:val="009B35A6"/>
    <w:rsid w:val="009B42A4"/>
    <w:rsid w:val="009B42D2"/>
    <w:rsid w:val="009B44D0"/>
    <w:rsid w:val="009B4A06"/>
    <w:rsid w:val="009B5970"/>
    <w:rsid w:val="009B5FD5"/>
    <w:rsid w:val="009B60EA"/>
    <w:rsid w:val="009B70C8"/>
    <w:rsid w:val="009B737C"/>
    <w:rsid w:val="009B742E"/>
    <w:rsid w:val="009C090B"/>
    <w:rsid w:val="009C0AC6"/>
    <w:rsid w:val="009C11B2"/>
    <w:rsid w:val="009C1456"/>
    <w:rsid w:val="009C164F"/>
    <w:rsid w:val="009C19C6"/>
    <w:rsid w:val="009C1C30"/>
    <w:rsid w:val="009C22DD"/>
    <w:rsid w:val="009C29D5"/>
    <w:rsid w:val="009C30A0"/>
    <w:rsid w:val="009C359E"/>
    <w:rsid w:val="009C37FE"/>
    <w:rsid w:val="009C4082"/>
    <w:rsid w:val="009C4A38"/>
    <w:rsid w:val="009C4A72"/>
    <w:rsid w:val="009C4AD8"/>
    <w:rsid w:val="009C4D3D"/>
    <w:rsid w:val="009C529D"/>
    <w:rsid w:val="009C55E2"/>
    <w:rsid w:val="009C5767"/>
    <w:rsid w:val="009C5A4E"/>
    <w:rsid w:val="009C5EE5"/>
    <w:rsid w:val="009C61E3"/>
    <w:rsid w:val="009C6B56"/>
    <w:rsid w:val="009C6C52"/>
    <w:rsid w:val="009C7DB8"/>
    <w:rsid w:val="009C7FF0"/>
    <w:rsid w:val="009D010D"/>
    <w:rsid w:val="009D0244"/>
    <w:rsid w:val="009D0F71"/>
    <w:rsid w:val="009D1039"/>
    <w:rsid w:val="009D111C"/>
    <w:rsid w:val="009D1189"/>
    <w:rsid w:val="009D1502"/>
    <w:rsid w:val="009D17A0"/>
    <w:rsid w:val="009D1F7A"/>
    <w:rsid w:val="009D226B"/>
    <w:rsid w:val="009D2873"/>
    <w:rsid w:val="009D2942"/>
    <w:rsid w:val="009D2BB8"/>
    <w:rsid w:val="009D3A1A"/>
    <w:rsid w:val="009D426A"/>
    <w:rsid w:val="009D4DDF"/>
    <w:rsid w:val="009D5BDB"/>
    <w:rsid w:val="009D6B03"/>
    <w:rsid w:val="009D6B3D"/>
    <w:rsid w:val="009D7422"/>
    <w:rsid w:val="009D78E7"/>
    <w:rsid w:val="009E0742"/>
    <w:rsid w:val="009E0B29"/>
    <w:rsid w:val="009E1291"/>
    <w:rsid w:val="009E12BC"/>
    <w:rsid w:val="009E139D"/>
    <w:rsid w:val="009E1EF5"/>
    <w:rsid w:val="009E224D"/>
    <w:rsid w:val="009E24EF"/>
    <w:rsid w:val="009E26D5"/>
    <w:rsid w:val="009E2A07"/>
    <w:rsid w:val="009E3398"/>
    <w:rsid w:val="009E3577"/>
    <w:rsid w:val="009E37A5"/>
    <w:rsid w:val="009E395B"/>
    <w:rsid w:val="009E3D2B"/>
    <w:rsid w:val="009E3DC2"/>
    <w:rsid w:val="009E3E84"/>
    <w:rsid w:val="009E4053"/>
    <w:rsid w:val="009E4097"/>
    <w:rsid w:val="009E4664"/>
    <w:rsid w:val="009E4D8E"/>
    <w:rsid w:val="009E4E90"/>
    <w:rsid w:val="009E4EB7"/>
    <w:rsid w:val="009E5427"/>
    <w:rsid w:val="009E57C1"/>
    <w:rsid w:val="009E624A"/>
    <w:rsid w:val="009E6B32"/>
    <w:rsid w:val="009E7039"/>
    <w:rsid w:val="009E70F3"/>
    <w:rsid w:val="009E7E98"/>
    <w:rsid w:val="009F00EE"/>
    <w:rsid w:val="009F0827"/>
    <w:rsid w:val="009F0BED"/>
    <w:rsid w:val="009F1673"/>
    <w:rsid w:val="009F3255"/>
    <w:rsid w:val="009F341D"/>
    <w:rsid w:val="009F34AA"/>
    <w:rsid w:val="009F3DCE"/>
    <w:rsid w:val="009F44FF"/>
    <w:rsid w:val="009F46E8"/>
    <w:rsid w:val="009F472D"/>
    <w:rsid w:val="009F4CF0"/>
    <w:rsid w:val="009F4E88"/>
    <w:rsid w:val="009F50D1"/>
    <w:rsid w:val="009F573B"/>
    <w:rsid w:val="009F5918"/>
    <w:rsid w:val="009F596D"/>
    <w:rsid w:val="009F60CA"/>
    <w:rsid w:val="009F6A91"/>
    <w:rsid w:val="009F71A6"/>
    <w:rsid w:val="009F71AA"/>
    <w:rsid w:val="009F754A"/>
    <w:rsid w:val="009F791F"/>
    <w:rsid w:val="009F7F86"/>
    <w:rsid w:val="00A0034D"/>
    <w:rsid w:val="00A00BFB"/>
    <w:rsid w:val="00A00DCF"/>
    <w:rsid w:val="00A0126C"/>
    <w:rsid w:val="00A012DA"/>
    <w:rsid w:val="00A0187E"/>
    <w:rsid w:val="00A026F0"/>
    <w:rsid w:val="00A02F2D"/>
    <w:rsid w:val="00A02F61"/>
    <w:rsid w:val="00A03529"/>
    <w:rsid w:val="00A03E0E"/>
    <w:rsid w:val="00A03F6E"/>
    <w:rsid w:val="00A040D1"/>
    <w:rsid w:val="00A044B7"/>
    <w:rsid w:val="00A04A0A"/>
    <w:rsid w:val="00A04D4D"/>
    <w:rsid w:val="00A050A8"/>
    <w:rsid w:val="00A056A3"/>
    <w:rsid w:val="00A059AF"/>
    <w:rsid w:val="00A05B51"/>
    <w:rsid w:val="00A06286"/>
    <w:rsid w:val="00A06318"/>
    <w:rsid w:val="00A063BC"/>
    <w:rsid w:val="00A068E1"/>
    <w:rsid w:val="00A06A80"/>
    <w:rsid w:val="00A06CAC"/>
    <w:rsid w:val="00A06D8A"/>
    <w:rsid w:val="00A0711F"/>
    <w:rsid w:val="00A07B0B"/>
    <w:rsid w:val="00A102A0"/>
    <w:rsid w:val="00A10860"/>
    <w:rsid w:val="00A114FA"/>
    <w:rsid w:val="00A11AF3"/>
    <w:rsid w:val="00A12ACF"/>
    <w:rsid w:val="00A12B42"/>
    <w:rsid w:val="00A12BD4"/>
    <w:rsid w:val="00A12C09"/>
    <w:rsid w:val="00A13084"/>
    <w:rsid w:val="00A1327F"/>
    <w:rsid w:val="00A13817"/>
    <w:rsid w:val="00A138D3"/>
    <w:rsid w:val="00A13E0F"/>
    <w:rsid w:val="00A144B7"/>
    <w:rsid w:val="00A149B4"/>
    <w:rsid w:val="00A14BA0"/>
    <w:rsid w:val="00A14FF0"/>
    <w:rsid w:val="00A1504D"/>
    <w:rsid w:val="00A152D3"/>
    <w:rsid w:val="00A15F4F"/>
    <w:rsid w:val="00A160AB"/>
    <w:rsid w:val="00A16745"/>
    <w:rsid w:val="00A16747"/>
    <w:rsid w:val="00A17E93"/>
    <w:rsid w:val="00A17F7F"/>
    <w:rsid w:val="00A20013"/>
    <w:rsid w:val="00A2056F"/>
    <w:rsid w:val="00A20582"/>
    <w:rsid w:val="00A20C65"/>
    <w:rsid w:val="00A21767"/>
    <w:rsid w:val="00A21866"/>
    <w:rsid w:val="00A21FD5"/>
    <w:rsid w:val="00A22751"/>
    <w:rsid w:val="00A22940"/>
    <w:rsid w:val="00A23102"/>
    <w:rsid w:val="00A233D8"/>
    <w:rsid w:val="00A2343F"/>
    <w:rsid w:val="00A23505"/>
    <w:rsid w:val="00A23A42"/>
    <w:rsid w:val="00A2428B"/>
    <w:rsid w:val="00A247E5"/>
    <w:rsid w:val="00A248BD"/>
    <w:rsid w:val="00A2493D"/>
    <w:rsid w:val="00A24D81"/>
    <w:rsid w:val="00A24EA5"/>
    <w:rsid w:val="00A25173"/>
    <w:rsid w:val="00A252F0"/>
    <w:rsid w:val="00A25588"/>
    <w:rsid w:val="00A259F2"/>
    <w:rsid w:val="00A26463"/>
    <w:rsid w:val="00A2660E"/>
    <w:rsid w:val="00A26916"/>
    <w:rsid w:val="00A26A73"/>
    <w:rsid w:val="00A26B47"/>
    <w:rsid w:val="00A26FF1"/>
    <w:rsid w:val="00A27547"/>
    <w:rsid w:val="00A2770B"/>
    <w:rsid w:val="00A27806"/>
    <w:rsid w:val="00A30181"/>
    <w:rsid w:val="00A305A3"/>
    <w:rsid w:val="00A3068C"/>
    <w:rsid w:val="00A3127F"/>
    <w:rsid w:val="00A31498"/>
    <w:rsid w:val="00A315BC"/>
    <w:rsid w:val="00A31922"/>
    <w:rsid w:val="00A31BCC"/>
    <w:rsid w:val="00A31C70"/>
    <w:rsid w:val="00A31C87"/>
    <w:rsid w:val="00A325BB"/>
    <w:rsid w:val="00A3283A"/>
    <w:rsid w:val="00A3297A"/>
    <w:rsid w:val="00A32A58"/>
    <w:rsid w:val="00A32EEC"/>
    <w:rsid w:val="00A336C5"/>
    <w:rsid w:val="00A33782"/>
    <w:rsid w:val="00A3391B"/>
    <w:rsid w:val="00A339D9"/>
    <w:rsid w:val="00A33BD6"/>
    <w:rsid w:val="00A34A06"/>
    <w:rsid w:val="00A3510A"/>
    <w:rsid w:val="00A3515F"/>
    <w:rsid w:val="00A35751"/>
    <w:rsid w:val="00A3577F"/>
    <w:rsid w:val="00A35BBC"/>
    <w:rsid w:val="00A35DAB"/>
    <w:rsid w:val="00A360E2"/>
    <w:rsid w:val="00A36724"/>
    <w:rsid w:val="00A367AF"/>
    <w:rsid w:val="00A36C13"/>
    <w:rsid w:val="00A36F0A"/>
    <w:rsid w:val="00A377C2"/>
    <w:rsid w:val="00A37A31"/>
    <w:rsid w:val="00A37C56"/>
    <w:rsid w:val="00A40B1F"/>
    <w:rsid w:val="00A40B4D"/>
    <w:rsid w:val="00A40C0C"/>
    <w:rsid w:val="00A40E2E"/>
    <w:rsid w:val="00A411E2"/>
    <w:rsid w:val="00A41373"/>
    <w:rsid w:val="00A41638"/>
    <w:rsid w:val="00A41B15"/>
    <w:rsid w:val="00A4224E"/>
    <w:rsid w:val="00A4229F"/>
    <w:rsid w:val="00A428A9"/>
    <w:rsid w:val="00A429B4"/>
    <w:rsid w:val="00A42ACA"/>
    <w:rsid w:val="00A4327C"/>
    <w:rsid w:val="00A43496"/>
    <w:rsid w:val="00A43665"/>
    <w:rsid w:val="00A4399A"/>
    <w:rsid w:val="00A43AAB"/>
    <w:rsid w:val="00A43AFE"/>
    <w:rsid w:val="00A441CC"/>
    <w:rsid w:val="00A447E3"/>
    <w:rsid w:val="00A44AAD"/>
    <w:rsid w:val="00A44D3B"/>
    <w:rsid w:val="00A45241"/>
    <w:rsid w:val="00A45280"/>
    <w:rsid w:val="00A452B8"/>
    <w:rsid w:val="00A45BF7"/>
    <w:rsid w:val="00A463B5"/>
    <w:rsid w:val="00A463BA"/>
    <w:rsid w:val="00A46675"/>
    <w:rsid w:val="00A46A5F"/>
    <w:rsid w:val="00A471A3"/>
    <w:rsid w:val="00A47597"/>
    <w:rsid w:val="00A47E44"/>
    <w:rsid w:val="00A47F91"/>
    <w:rsid w:val="00A507D7"/>
    <w:rsid w:val="00A50A5C"/>
    <w:rsid w:val="00A50BE2"/>
    <w:rsid w:val="00A50CC6"/>
    <w:rsid w:val="00A50E40"/>
    <w:rsid w:val="00A51462"/>
    <w:rsid w:val="00A51869"/>
    <w:rsid w:val="00A51946"/>
    <w:rsid w:val="00A51FF7"/>
    <w:rsid w:val="00A52079"/>
    <w:rsid w:val="00A52143"/>
    <w:rsid w:val="00A521E9"/>
    <w:rsid w:val="00A5298E"/>
    <w:rsid w:val="00A52B3E"/>
    <w:rsid w:val="00A5313B"/>
    <w:rsid w:val="00A5320E"/>
    <w:rsid w:val="00A537B5"/>
    <w:rsid w:val="00A53F7B"/>
    <w:rsid w:val="00A54090"/>
    <w:rsid w:val="00A541F3"/>
    <w:rsid w:val="00A54282"/>
    <w:rsid w:val="00A549D3"/>
    <w:rsid w:val="00A54DF0"/>
    <w:rsid w:val="00A57E98"/>
    <w:rsid w:val="00A60017"/>
    <w:rsid w:val="00A60849"/>
    <w:rsid w:val="00A6105B"/>
    <w:rsid w:val="00A61355"/>
    <w:rsid w:val="00A61668"/>
    <w:rsid w:val="00A621D3"/>
    <w:rsid w:val="00A628F8"/>
    <w:rsid w:val="00A62B7A"/>
    <w:rsid w:val="00A631A1"/>
    <w:rsid w:val="00A632EA"/>
    <w:rsid w:val="00A6339D"/>
    <w:rsid w:val="00A634BE"/>
    <w:rsid w:val="00A63AD7"/>
    <w:rsid w:val="00A63BFD"/>
    <w:rsid w:val="00A63E61"/>
    <w:rsid w:val="00A6491F"/>
    <w:rsid w:val="00A64A9E"/>
    <w:rsid w:val="00A64C72"/>
    <w:rsid w:val="00A64D1A"/>
    <w:rsid w:val="00A65320"/>
    <w:rsid w:val="00A65BA5"/>
    <w:rsid w:val="00A66354"/>
    <w:rsid w:val="00A66E37"/>
    <w:rsid w:val="00A66ECF"/>
    <w:rsid w:val="00A67681"/>
    <w:rsid w:val="00A67E38"/>
    <w:rsid w:val="00A703E4"/>
    <w:rsid w:val="00A704C9"/>
    <w:rsid w:val="00A70DC6"/>
    <w:rsid w:val="00A71080"/>
    <w:rsid w:val="00A71986"/>
    <w:rsid w:val="00A71E3D"/>
    <w:rsid w:val="00A71E73"/>
    <w:rsid w:val="00A72352"/>
    <w:rsid w:val="00A72740"/>
    <w:rsid w:val="00A72F97"/>
    <w:rsid w:val="00A73A64"/>
    <w:rsid w:val="00A742AD"/>
    <w:rsid w:val="00A746D7"/>
    <w:rsid w:val="00A74AB2"/>
    <w:rsid w:val="00A75A27"/>
    <w:rsid w:val="00A75A46"/>
    <w:rsid w:val="00A75B36"/>
    <w:rsid w:val="00A7623B"/>
    <w:rsid w:val="00A7660A"/>
    <w:rsid w:val="00A7663A"/>
    <w:rsid w:val="00A7696B"/>
    <w:rsid w:val="00A769D4"/>
    <w:rsid w:val="00A76A9C"/>
    <w:rsid w:val="00A777AE"/>
    <w:rsid w:val="00A8008F"/>
    <w:rsid w:val="00A804C7"/>
    <w:rsid w:val="00A80857"/>
    <w:rsid w:val="00A80A39"/>
    <w:rsid w:val="00A80DF0"/>
    <w:rsid w:val="00A80E64"/>
    <w:rsid w:val="00A8191A"/>
    <w:rsid w:val="00A81A16"/>
    <w:rsid w:val="00A823A7"/>
    <w:rsid w:val="00A824D4"/>
    <w:rsid w:val="00A825C8"/>
    <w:rsid w:val="00A82742"/>
    <w:rsid w:val="00A82A29"/>
    <w:rsid w:val="00A83984"/>
    <w:rsid w:val="00A83A1E"/>
    <w:rsid w:val="00A84198"/>
    <w:rsid w:val="00A841AB"/>
    <w:rsid w:val="00A84FFD"/>
    <w:rsid w:val="00A86104"/>
    <w:rsid w:val="00A8655A"/>
    <w:rsid w:val="00A86B5D"/>
    <w:rsid w:val="00A87203"/>
    <w:rsid w:val="00A87744"/>
    <w:rsid w:val="00A87AE6"/>
    <w:rsid w:val="00A87B03"/>
    <w:rsid w:val="00A87B09"/>
    <w:rsid w:val="00A87C22"/>
    <w:rsid w:val="00A90590"/>
    <w:rsid w:val="00A90A97"/>
    <w:rsid w:val="00A90CB4"/>
    <w:rsid w:val="00A910DA"/>
    <w:rsid w:val="00A91318"/>
    <w:rsid w:val="00A920E1"/>
    <w:rsid w:val="00A92998"/>
    <w:rsid w:val="00A933AE"/>
    <w:rsid w:val="00A93863"/>
    <w:rsid w:val="00A93928"/>
    <w:rsid w:val="00A93F73"/>
    <w:rsid w:val="00A9415E"/>
    <w:rsid w:val="00A9423F"/>
    <w:rsid w:val="00A94EBD"/>
    <w:rsid w:val="00A9510D"/>
    <w:rsid w:val="00A95580"/>
    <w:rsid w:val="00A956AC"/>
    <w:rsid w:val="00A95D2A"/>
    <w:rsid w:val="00A961D6"/>
    <w:rsid w:val="00A96214"/>
    <w:rsid w:val="00A96653"/>
    <w:rsid w:val="00A967E8"/>
    <w:rsid w:val="00A97F4B"/>
    <w:rsid w:val="00AA04C5"/>
    <w:rsid w:val="00AA10B1"/>
    <w:rsid w:val="00AA19CD"/>
    <w:rsid w:val="00AA2657"/>
    <w:rsid w:val="00AA2803"/>
    <w:rsid w:val="00AA2BF2"/>
    <w:rsid w:val="00AA2D68"/>
    <w:rsid w:val="00AA2D6F"/>
    <w:rsid w:val="00AA2E92"/>
    <w:rsid w:val="00AA3987"/>
    <w:rsid w:val="00AA3B68"/>
    <w:rsid w:val="00AA3E79"/>
    <w:rsid w:val="00AA4240"/>
    <w:rsid w:val="00AA4E59"/>
    <w:rsid w:val="00AA4FB4"/>
    <w:rsid w:val="00AA5C0B"/>
    <w:rsid w:val="00AA5E3B"/>
    <w:rsid w:val="00AA6225"/>
    <w:rsid w:val="00AA63AD"/>
    <w:rsid w:val="00AA65B4"/>
    <w:rsid w:val="00AA6A75"/>
    <w:rsid w:val="00AA745E"/>
    <w:rsid w:val="00AA7509"/>
    <w:rsid w:val="00AB04AB"/>
    <w:rsid w:val="00AB0733"/>
    <w:rsid w:val="00AB09D2"/>
    <w:rsid w:val="00AB0B64"/>
    <w:rsid w:val="00AB0C30"/>
    <w:rsid w:val="00AB176B"/>
    <w:rsid w:val="00AB2C5F"/>
    <w:rsid w:val="00AB37E6"/>
    <w:rsid w:val="00AB3DBA"/>
    <w:rsid w:val="00AB431C"/>
    <w:rsid w:val="00AB470E"/>
    <w:rsid w:val="00AB4C80"/>
    <w:rsid w:val="00AB506B"/>
    <w:rsid w:val="00AB5467"/>
    <w:rsid w:val="00AB5883"/>
    <w:rsid w:val="00AB5A7E"/>
    <w:rsid w:val="00AB7538"/>
    <w:rsid w:val="00AB77F3"/>
    <w:rsid w:val="00AC0256"/>
    <w:rsid w:val="00AC0AAD"/>
    <w:rsid w:val="00AC0FA5"/>
    <w:rsid w:val="00AC1231"/>
    <w:rsid w:val="00AC1346"/>
    <w:rsid w:val="00AC1992"/>
    <w:rsid w:val="00AC1E14"/>
    <w:rsid w:val="00AC2CFA"/>
    <w:rsid w:val="00AC3263"/>
    <w:rsid w:val="00AC337E"/>
    <w:rsid w:val="00AC3E12"/>
    <w:rsid w:val="00AC406E"/>
    <w:rsid w:val="00AC417C"/>
    <w:rsid w:val="00AC430C"/>
    <w:rsid w:val="00AC4951"/>
    <w:rsid w:val="00AC4985"/>
    <w:rsid w:val="00AC49C9"/>
    <w:rsid w:val="00AC4A6B"/>
    <w:rsid w:val="00AC5C19"/>
    <w:rsid w:val="00AC60F0"/>
    <w:rsid w:val="00AC63C7"/>
    <w:rsid w:val="00AC6657"/>
    <w:rsid w:val="00AC6B8D"/>
    <w:rsid w:val="00AC6D7A"/>
    <w:rsid w:val="00AC7363"/>
    <w:rsid w:val="00AC7401"/>
    <w:rsid w:val="00AC7901"/>
    <w:rsid w:val="00AC79F3"/>
    <w:rsid w:val="00AC7FDD"/>
    <w:rsid w:val="00AD0949"/>
    <w:rsid w:val="00AD0F1D"/>
    <w:rsid w:val="00AD1179"/>
    <w:rsid w:val="00AD1359"/>
    <w:rsid w:val="00AD1516"/>
    <w:rsid w:val="00AD19F0"/>
    <w:rsid w:val="00AD1FCE"/>
    <w:rsid w:val="00AD26E1"/>
    <w:rsid w:val="00AD29CC"/>
    <w:rsid w:val="00AD3268"/>
    <w:rsid w:val="00AD3652"/>
    <w:rsid w:val="00AD3DE2"/>
    <w:rsid w:val="00AD4261"/>
    <w:rsid w:val="00AD46F5"/>
    <w:rsid w:val="00AD51A3"/>
    <w:rsid w:val="00AD598B"/>
    <w:rsid w:val="00AD5AC5"/>
    <w:rsid w:val="00AD7154"/>
    <w:rsid w:val="00AD797D"/>
    <w:rsid w:val="00AD7E02"/>
    <w:rsid w:val="00AE0034"/>
    <w:rsid w:val="00AE02F4"/>
    <w:rsid w:val="00AE0483"/>
    <w:rsid w:val="00AE08DD"/>
    <w:rsid w:val="00AE09C2"/>
    <w:rsid w:val="00AE10B3"/>
    <w:rsid w:val="00AE124F"/>
    <w:rsid w:val="00AE13BD"/>
    <w:rsid w:val="00AE1ABF"/>
    <w:rsid w:val="00AE1AF9"/>
    <w:rsid w:val="00AE1D14"/>
    <w:rsid w:val="00AE1E60"/>
    <w:rsid w:val="00AE2068"/>
    <w:rsid w:val="00AE2258"/>
    <w:rsid w:val="00AE277E"/>
    <w:rsid w:val="00AE2A36"/>
    <w:rsid w:val="00AE2BC6"/>
    <w:rsid w:val="00AE3251"/>
    <w:rsid w:val="00AE33DA"/>
    <w:rsid w:val="00AE3FE0"/>
    <w:rsid w:val="00AE5058"/>
    <w:rsid w:val="00AE51CD"/>
    <w:rsid w:val="00AE5471"/>
    <w:rsid w:val="00AE54AA"/>
    <w:rsid w:val="00AE60E4"/>
    <w:rsid w:val="00AE6872"/>
    <w:rsid w:val="00AE6C58"/>
    <w:rsid w:val="00AE72C4"/>
    <w:rsid w:val="00AE7F05"/>
    <w:rsid w:val="00AE7F38"/>
    <w:rsid w:val="00AF054D"/>
    <w:rsid w:val="00AF0939"/>
    <w:rsid w:val="00AF0981"/>
    <w:rsid w:val="00AF0F9C"/>
    <w:rsid w:val="00AF10F0"/>
    <w:rsid w:val="00AF18E2"/>
    <w:rsid w:val="00AF242F"/>
    <w:rsid w:val="00AF24E7"/>
    <w:rsid w:val="00AF272B"/>
    <w:rsid w:val="00AF2838"/>
    <w:rsid w:val="00AF291B"/>
    <w:rsid w:val="00AF2DAA"/>
    <w:rsid w:val="00AF2EBD"/>
    <w:rsid w:val="00AF33AE"/>
    <w:rsid w:val="00AF3BF3"/>
    <w:rsid w:val="00AF3CDC"/>
    <w:rsid w:val="00AF44B1"/>
    <w:rsid w:val="00AF5800"/>
    <w:rsid w:val="00AF6986"/>
    <w:rsid w:val="00AF69FE"/>
    <w:rsid w:val="00AF6A77"/>
    <w:rsid w:val="00AF6D1B"/>
    <w:rsid w:val="00AF73ED"/>
    <w:rsid w:val="00AF7D69"/>
    <w:rsid w:val="00AF7ED2"/>
    <w:rsid w:val="00B004D8"/>
    <w:rsid w:val="00B007D8"/>
    <w:rsid w:val="00B00830"/>
    <w:rsid w:val="00B00CC5"/>
    <w:rsid w:val="00B016D2"/>
    <w:rsid w:val="00B02091"/>
    <w:rsid w:val="00B0250E"/>
    <w:rsid w:val="00B02B43"/>
    <w:rsid w:val="00B03697"/>
    <w:rsid w:val="00B03D36"/>
    <w:rsid w:val="00B03DAE"/>
    <w:rsid w:val="00B04540"/>
    <w:rsid w:val="00B046F1"/>
    <w:rsid w:val="00B05116"/>
    <w:rsid w:val="00B051A7"/>
    <w:rsid w:val="00B051FA"/>
    <w:rsid w:val="00B05F1A"/>
    <w:rsid w:val="00B07B33"/>
    <w:rsid w:val="00B07BB0"/>
    <w:rsid w:val="00B07FA2"/>
    <w:rsid w:val="00B100CF"/>
    <w:rsid w:val="00B1074F"/>
    <w:rsid w:val="00B10E82"/>
    <w:rsid w:val="00B111A6"/>
    <w:rsid w:val="00B115E5"/>
    <w:rsid w:val="00B118EE"/>
    <w:rsid w:val="00B11B03"/>
    <w:rsid w:val="00B11C5B"/>
    <w:rsid w:val="00B121CD"/>
    <w:rsid w:val="00B12343"/>
    <w:rsid w:val="00B12529"/>
    <w:rsid w:val="00B128C5"/>
    <w:rsid w:val="00B12B11"/>
    <w:rsid w:val="00B12C94"/>
    <w:rsid w:val="00B1313C"/>
    <w:rsid w:val="00B135AB"/>
    <w:rsid w:val="00B13797"/>
    <w:rsid w:val="00B137BF"/>
    <w:rsid w:val="00B13A1B"/>
    <w:rsid w:val="00B13A76"/>
    <w:rsid w:val="00B142D9"/>
    <w:rsid w:val="00B145D5"/>
    <w:rsid w:val="00B14BC4"/>
    <w:rsid w:val="00B158A3"/>
    <w:rsid w:val="00B15B25"/>
    <w:rsid w:val="00B15C36"/>
    <w:rsid w:val="00B15EA0"/>
    <w:rsid w:val="00B16069"/>
    <w:rsid w:val="00B16940"/>
    <w:rsid w:val="00B1745A"/>
    <w:rsid w:val="00B17785"/>
    <w:rsid w:val="00B17A4E"/>
    <w:rsid w:val="00B17B30"/>
    <w:rsid w:val="00B17C2F"/>
    <w:rsid w:val="00B2153E"/>
    <w:rsid w:val="00B218CB"/>
    <w:rsid w:val="00B21FA7"/>
    <w:rsid w:val="00B22022"/>
    <w:rsid w:val="00B225E4"/>
    <w:rsid w:val="00B23223"/>
    <w:rsid w:val="00B2335B"/>
    <w:rsid w:val="00B23F7A"/>
    <w:rsid w:val="00B240B1"/>
    <w:rsid w:val="00B241FE"/>
    <w:rsid w:val="00B24208"/>
    <w:rsid w:val="00B24374"/>
    <w:rsid w:val="00B24728"/>
    <w:rsid w:val="00B248A9"/>
    <w:rsid w:val="00B2490A"/>
    <w:rsid w:val="00B24BE3"/>
    <w:rsid w:val="00B24D28"/>
    <w:rsid w:val="00B24F1C"/>
    <w:rsid w:val="00B25D76"/>
    <w:rsid w:val="00B27032"/>
    <w:rsid w:val="00B27085"/>
    <w:rsid w:val="00B27583"/>
    <w:rsid w:val="00B30003"/>
    <w:rsid w:val="00B3015C"/>
    <w:rsid w:val="00B30642"/>
    <w:rsid w:val="00B31201"/>
    <w:rsid w:val="00B315D2"/>
    <w:rsid w:val="00B31B4B"/>
    <w:rsid w:val="00B31E36"/>
    <w:rsid w:val="00B3258F"/>
    <w:rsid w:val="00B32E26"/>
    <w:rsid w:val="00B338B7"/>
    <w:rsid w:val="00B33E98"/>
    <w:rsid w:val="00B34061"/>
    <w:rsid w:val="00B34376"/>
    <w:rsid w:val="00B3440A"/>
    <w:rsid w:val="00B34441"/>
    <w:rsid w:val="00B35533"/>
    <w:rsid w:val="00B35534"/>
    <w:rsid w:val="00B35A87"/>
    <w:rsid w:val="00B35AFD"/>
    <w:rsid w:val="00B35F9A"/>
    <w:rsid w:val="00B3609C"/>
    <w:rsid w:val="00B36236"/>
    <w:rsid w:val="00B3662E"/>
    <w:rsid w:val="00B36645"/>
    <w:rsid w:val="00B366D2"/>
    <w:rsid w:val="00B366FA"/>
    <w:rsid w:val="00B36E86"/>
    <w:rsid w:val="00B379BA"/>
    <w:rsid w:val="00B408FC"/>
    <w:rsid w:val="00B40B30"/>
    <w:rsid w:val="00B40E47"/>
    <w:rsid w:val="00B412FD"/>
    <w:rsid w:val="00B41E1C"/>
    <w:rsid w:val="00B422BE"/>
    <w:rsid w:val="00B4241D"/>
    <w:rsid w:val="00B426BB"/>
    <w:rsid w:val="00B42EB9"/>
    <w:rsid w:val="00B436F0"/>
    <w:rsid w:val="00B441FE"/>
    <w:rsid w:val="00B44821"/>
    <w:rsid w:val="00B44AD3"/>
    <w:rsid w:val="00B44B82"/>
    <w:rsid w:val="00B450EB"/>
    <w:rsid w:val="00B45152"/>
    <w:rsid w:val="00B454DD"/>
    <w:rsid w:val="00B45E54"/>
    <w:rsid w:val="00B460B8"/>
    <w:rsid w:val="00B464E4"/>
    <w:rsid w:val="00B4689A"/>
    <w:rsid w:val="00B46D5F"/>
    <w:rsid w:val="00B46E7B"/>
    <w:rsid w:val="00B47006"/>
    <w:rsid w:val="00B47DC5"/>
    <w:rsid w:val="00B50395"/>
    <w:rsid w:val="00B505B3"/>
    <w:rsid w:val="00B50882"/>
    <w:rsid w:val="00B50A74"/>
    <w:rsid w:val="00B5199C"/>
    <w:rsid w:val="00B520A0"/>
    <w:rsid w:val="00B5257E"/>
    <w:rsid w:val="00B525CE"/>
    <w:rsid w:val="00B52CFD"/>
    <w:rsid w:val="00B545A8"/>
    <w:rsid w:val="00B54CAE"/>
    <w:rsid w:val="00B55782"/>
    <w:rsid w:val="00B55AD4"/>
    <w:rsid w:val="00B56527"/>
    <w:rsid w:val="00B56706"/>
    <w:rsid w:val="00B57019"/>
    <w:rsid w:val="00B576DA"/>
    <w:rsid w:val="00B57710"/>
    <w:rsid w:val="00B57B84"/>
    <w:rsid w:val="00B601C9"/>
    <w:rsid w:val="00B60D04"/>
    <w:rsid w:val="00B6158F"/>
    <w:rsid w:val="00B61EE8"/>
    <w:rsid w:val="00B633A3"/>
    <w:rsid w:val="00B63533"/>
    <w:rsid w:val="00B63BDB"/>
    <w:rsid w:val="00B64A0E"/>
    <w:rsid w:val="00B64DDF"/>
    <w:rsid w:val="00B6601E"/>
    <w:rsid w:val="00B663AA"/>
    <w:rsid w:val="00B66839"/>
    <w:rsid w:val="00B66DD5"/>
    <w:rsid w:val="00B67722"/>
    <w:rsid w:val="00B67B97"/>
    <w:rsid w:val="00B67F01"/>
    <w:rsid w:val="00B70329"/>
    <w:rsid w:val="00B7089B"/>
    <w:rsid w:val="00B70AF1"/>
    <w:rsid w:val="00B711AB"/>
    <w:rsid w:val="00B714F0"/>
    <w:rsid w:val="00B71A40"/>
    <w:rsid w:val="00B71C8C"/>
    <w:rsid w:val="00B71CB4"/>
    <w:rsid w:val="00B71FD7"/>
    <w:rsid w:val="00B725E7"/>
    <w:rsid w:val="00B72C07"/>
    <w:rsid w:val="00B72DF7"/>
    <w:rsid w:val="00B72F42"/>
    <w:rsid w:val="00B72F96"/>
    <w:rsid w:val="00B732C9"/>
    <w:rsid w:val="00B73E44"/>
    <w:rsid w:val="00B74290"/>
    <w:rsid w:val="00B74510"/>
    <w:rsid w:val="00B74BD4"/>
    <w:rsid w:val="00B74BF7"/>
    <w:rsid w:val="00B760FD"/>
    <w:rsid w:val="00B76185"/>
    <w:rsid w:val="00B7674F"/>
    <w:rsid w:val="00B76BCD"/>
    <w:rsid w:val="00B779E6"/>
    <w:rsid w:val="00B804E2"/>
    <w:rsid w:val="00B811B2"/>
    <w:rsid w:val="00B81BA3"/>
    <w:rsid w:val="00B82213"/>
    <w:rsid w:val="00B8276E"/>
    <w:rsid w:val="00B82912"/>
    <w:rsid w:val="00B839A9"/>
    <w:rsid w:val="00B83A62"/>
    <w:rsid w:val="00B83B59"/>
    <w:rsid w:val="00B84252"/>
    <w:rsid w:val="00B8468F"/>
    <w:rsid w:val="00B849F1"/>
    <w:rsid w:val="00B84FC6"/>
    <w:rsid w:val="00B857F5"/>
    <w:rsid w:val="00B86D6C"/>
    <w:rsid w:val="00B86EB5"/>
    <w:rsid w:val="00B86F47"/>
    <w:rsid w:val="00B874A3"/>
    <w:rsid w:val="00B874B4"/>
    <w:rsid w:val="00B8787A"/>
    <w:rsid w:val="00B87887"/>
    <w:rsid w:val="00B90123"/>
    <w:rsid w:val="00B90196"/>
    <w:rsid w:val="00B911C1"/>
    <w:rsid w:val="00B91374"/>
    <w:rsid w:val="00B91E2F"/>
    <w:rsid w:val="00B9216A"/>
    <w:rsid w:val="00B922C3"/>
    <w:rsid w:val="00B9272E"/>
    <w:rsid w:val="00B927A7"/>
    <w:rsid w:val="00B92B9E"/>
    <w:rsid w:val="00B93315"/>
    <w:rsid w:val="00B93519"/>
    <w:rsid w:val="00B9372A"/>
    <w:rsid w:val="00B9425C"/>
    <w:rsid w:val="00B94AAF"/>
    <w:rsid w:val="00B953FF"/>
    <w:rsid w:val="00B9622D"/>
    <w:rsid w:val="00B96263"/>
    <w:rsid w:val="00B968A5"/>
    <w:rsid w:val="00B972CD"/>
    <w:rsid w:val="00B97D02"/>
    <w:rsid w:val="00BA0304"/>
    <w:rsid w:val="00BA0557"/>
    <w:rsid w:val="00BA19C4"/>
    <w:rsid w:val="00BA26B6"/>
    <w:rsid w:val="00BA3038"/>
    <w:rsid w:val="00BA370A"/>
    <w:rsid w:val="00BA4278"/>
    <w:rsid w:val="00BA48BC"/>
    <w:rsid w:val="00BA4A29"/>
    <w:rsid w:val="00BA4BE7"/>
    <w:rsid w:val="00BA5F20"/>
    <w:rsid w:val="00BA5F44"/>
    <w:rsid w:val="00BA6018"/>
    <w:rsid w:val="00BA68D9"/>
    <w:rsid w:val="00BA695F"/>
    <w:rsid w:val="00BA6FD8"/>
    <w:rsid w:val="00BA7172"/>
    <w:rsid w:val="00BA7B01"/>
    <w:rsid w:val="00BB02D7"/>
    <w:rsid w:val="00BB0D9F"/>
    <w:rsid w:val="00BB0DEE"/>
    <w:rsid w:val="00BB0F93"/>
    <w:rsid w:val="00BB1031"/>
    <w:rsid w:val="00BB1805"/>
    <w:rsid w:val="00BB1B33"/>
    <w:rsid w:val="00BB2480"/>
    <w:rsid w:val="00BB27FD"/>
    <w:rsid w:val="00BB2C4E"/>
    <w:rsid w:val="00BB2E29"/>
    <w:rsid w:val="00BB2F74"/>
    <w:rsid w:val="00BB3206"/>
    <w:rsid w:val="00BB3277"/>
    <w:rsid w:val="00BB32C2"/>
    <w:rsid w:val="00BB39BF"/>
    <w:rsid w:val="00BB3B0D"/>
    <w:rsid w:val="00BB4A38"/>
    <w:rsid w:val="00BB524C"/>
    <w:rsid w:val="00BB5DAB"/>
    <w:rsid w:val="00BB5F45"/>
    <w:rsid w:val="00BB6006"/>
    <w:rsid w:val="00BB6195"/>
    <w:rsid w:val="00BB61A3"/>
    <w:rsid w:val="00BB67EA"/>
    <w:rsid w:val="00BB707E"/>
    <w:rsid w:val="00BB7568"/>
    <w:rsid w:val="00BC007C"/>
    <w:rsid w:val="00BC0986"/>
    <w:rsid w:val="00BC0A66"/>
    <w:rsid w:val="00BC0AB2"/>
    <w:rsid w:val="00BC1308"/>
    <w:rsid w:val="00BC1A83"/>
    <w:rsid w:val="00BC1BF4"/>
    <w:rsid w:val="00BC2600"/>
    <w:rsid w:val="00BC2F24"/>
    <w:rsid w:val="00BC33BE"/>
    <w:rsid w:val="00BC3A47"/>
    <w:rsid w:val="00BC3EEB"/>
    <w:rsid w:val="00BC4780"/>
    <w:rsid w:val="00BC52C8"/>
    <w:rsid w:val="00BC5485"/>
    <w:rsid w:val="00BC549C"/>
    <w:rsid w:val="00BC570E"/>
    <w:rsid w:val="00BC5A6C"/>
    <w:rsid w:val="00BC5AF6"/>
    <w:rsid w:val="00BC5B4B"/>
    <w:rsid w:val="00BC5E93"/>
    <w:rsid w:val="00BC5EDB"/>
    <w:rsid w:val="00BC63B7"/>
    <w:rsid w:val="00BC69A2"/>
    <w:rsid w:val="00BC6ED6"/>
    <w:rsid w:val="00BC6F03"/>
    <w:rsid w:val="00BC6FA1"/>
    <w:rsid w:val="00BC72DC"/>
    <w:rsid w:val="00BC7487"/>
    <w:rsid w:val="00BD0570"/>
    <w:rsid w:val="00BD0853"/>
    <w:rsid w:val="00BD112D"/>
    <w:rsid w:val="00BD214E"/>
    <w:rsid w:val="00BD2395"/>
    <w:rsid w:val="00BD25B8"/>
    <w:rsid w:val="00BD26ED"/>
    <w:rsid w:val="00BD2842"/>
    <w:rsid w:val="00BD3120"/>
    <w:rsid w:val="00BD3354"/>
    <w:rsid w:val="00BD384E"/>
    <w:rsid w:val="00BD3E76"/>
    <w:rsid w:val="00BD3EE2"/>
    <w:rsid w:val="00BD3FCF"/>
    <w:rsid w:val="00BD42D2"/>
    <w:rsid w:val="00BD4718"/>
    <w:rsid w:val="00BD47D7"/>
    <w:rsid w:val="00BD4EFB"/>
    <w:rsid w:val="00BD5076"/>
    <w:rsid w:val="00BD5551"/>
    <w:rsid w:val="00BD5EF8"/>
    <w:rsid w:val="00BD5F6D"/>
    <w:rsid w:val="00BD6C5E"/>
    <w:rsid w:val="00BD6D43"/>
    <w:rsid w:val="00BD7090"/>
    <w:rsid w:val="00BD7490"/>
    <w:rsid w:val="00BD767F"/>
    <w:rsid w:val="00BD7DA0"/>
    <w:rsid w:val="00BE08E6"/>
    <w:rsid w:val="00BE096B"/>
    <w:rsid w:val="00BE09C3"/>
    <w:rsid w:val="00BE0C27"/>
    <w:rsid w:val="00BE0F9B"/>
    <w:rsid w:val="00BE15BB"/>
    <w:rsid w:val="00BE198F"/>
    <w:rsid w:val="00BE3225"/>
    <w:rsid w:val="00BE4875"/>
    <w:rsid w:val="00BE4CCF"/>
    <w:rsid w:val="00BE5964"/>
    <w:rsid w:val="00BE660B"/>
    <w:rsid w:val="00BE6AFE"/>
    <w:rsid w:val="00BE6BBE"/>
    <w:rsid w:val="00BE7021"/>
    <w:rsid w:val="00BE7300"/>
    <w:rsid w:val="00BE76F7"/>
    <w:rsid w:val="00BE784F"/>
    <w:rsid w:val="00BE79C6"/>
    <w:rsid w:val="00BF0238"/>
    <w:rsid w:val="00BF0717"/>
    <w:rsid w:val="00BF0F79"/>
    <w:rsid w:val="00BF1750"/>
    <w:rsid w:val="00BF178E"/>
    <w:rsid w:val="00BF189F"/>
    <w:rsid w:val="00BF1910"/>
    <w:rsid w:val="00BF1B44"/>
    <w:rsid w:val="00BF1D88"/>
    <w:rsid w:val="00BF1F01"/>
    <w:rsid w:val="00BF1FC2"/>
    <w:rsid w:val="00BF23CC"/>
    <w:rsid w:val="00BF243F"/>
    <w:rsid w:val="00BF2708"/>
    <w:rsid w:val="00BF3284"/>
    <w:rsid w:val="00BF4C2B"/>
    <w:rsid w:val="00BF507A"/>
    <w:rsid w:val="00BF507C"/>
    <w:rsid w:val="00BF53F1"/>
    <w:rsid w:val="00BF5717"/>
    <w:rsid w:val="00BF5B9D"/>
    <w:rsid w:val="00BF5C45"/>
    <w:rsid w:val="00BF5FA3"/>
    <w:rsid w:val="00BF62F2"/>
    <w:rsid w:val="00BF6317"/>
    <w:rsid w:val="00BF63A5"/>
    <w:rsid w:val="00BF72A7"/>
    <w:rsid w:val="00BF7558"/>
    <w:rsid w:val="00BF7DD2"/>
    <w:rsid w:val="00C0111E"/>
    <w:rsid w:val="00C01B67"/>
    <w:rsid w:val="00C02676"/>
    <w:rsid w:val="00C029AB"/>
    <w:rsid w:val="00C02D74"/>
    <w:rsid w:val="00C03BD5"/>
    <w:rsid w:val="00C03C8B"/>
    <w:rsid w:val="00C03F3C"/>
    <w:rsid w:val="00C0425C"/>
    <w:rsid w:val="00C049BE"/>
    <w:rsid w:val="00C04A71"/>
    <w:rsid w:val="00C04DF0"/>
    <w:rsid w:val="00C05A4C"/>
    <w:rsid w:val="00C05A67"/>
    <w:rsid w:val="00C05D54"/>
    <w:rsid w:val="00C05DD2"/>
    <w:rsid w:val="00C0632D"/>
    <w:rsid w:val="00C0641F"/>
    <w:rsid w:val="00C06C9A"/>
    <w:rsid w:val="00C06E6F"/>
    <w:rsid w:val="00C075DB"/>
    <w:rsid w:val="00C07EBA"/>
    <w:rsid w:val="00C07FBC"/>
    <w:rsid w:val="00C100E2"/>
    <w:rsid w:val="00C100E7"/>
    <w:rsid w:val="00C11113"/>
    <w:rsid w:val="00C11687"/>
    <w:rsid w:val="00C11697"/>
    <w:rsid w:val="00C11E28"/>
    <w:rsid w:val="00C11F66"/>
    <w:rsid w:val="00C1200C"/>
    <w:rsid w:val="00C12120"/>
    <w:rsid w:val="00C1225B"/>
    <w:rsid w:val="00C122F9"/>
    <w:rsid w:val="00C1253A"/>
    <w:rsid w:val="00C128C9"/>
    <w:rsid w:val="00C12CF3"/>
    <w:rsid w:val="00C12F88"/>
    <w:rsid w:val="00C131A8"/>
    <w:rsid w:val="00C1322D"/>
    <w:rsid w:val="00C135A3"/>
    <w:rsid w:val="00C1477A"/>
    <w:rsid w:val="00C14A62"/>
    <w:rsid w:val="00C158EB"/>
    <w:rsid w:val="00C159B1"/>
    <w:rsid w:val="00C15D51"/>
    <w:rsid w:val="00C161F5"/>
    <w:rsid w:val="00C16B90"/>
    <w:rsid w:val="00C16C92"/>
    <w:rsid w:val="00C16ED6"/>
    <w:rsid w:val="00C1706B"/>
    <w:rsid w:val="00C17DB7"/>
    <w:rsid w:val="00C17E48"/>
    <w:rsid w:val="00C17F0B"/>
    <w:rsid w:val="00C2016A"/>
    <w:rsid w:val="00C201E7"/>
    <w:rsid w:val="00C20506"/>
    <w:rsid w:val="00C20AA2"/>
    <w:rsid w:val="00C20B2D"/>
    <w:rsid w:val="00C20B91"/>
    <w:rsid w:val="00C21155"/>
    <w:rsid w:val="00C2146C"/>
    <w:rsid w:val="00C214D7"/>
    <w:rsid w:val="00C21561"/>
    <w:rsid w:val="00C21576"/>
    <w:rsid w:val="00C217EE"/>
    <w:rsid w:val="00C22784"/>
    <w:rsid w:val="00C22FAA"/>
    <w:rsid w:val="00C23A4C"/>
    <w:rsid w:val="00C240ED"/>
    <w:rsid w:val="00C2419D"/>
    <w:rsid w:val="00C243A4"/>
    <w:rsid w:val="00C24416"/>
    <w:rsid w:val="00C248DB"/>
    <w:rsid w:val="00C26170"/>
    <w:rsid w:val="00C26B5A"/>
    <w:rsid w:val="00C26BB1"/>
    <w:rsid w:val="00C26D52"/>
    <w:rsid w:val="00C303E4"/>
    <w:rsid w:val="00C30775"/>
    <w:rsid w:val="00C30B8D"/>
    <w:rsid w:val="00C30DBE"/>
    <w:rsid w:val="00C3134E"/>
    <w:rsid w:val="00C315D8"/>
    <w:rsid w:val="00C31C4A"/>
    <w:rsid w:val="00C31D2D"/>
    <w:rsid w:val="00C32079"/>
    <w:rsid w:val="00C3209A"/>
    <w:rsid w:val="00C32639"/>
    <w:rsid w:val="00C32808"/>
    <w:rsid w:val="00C32AD2"/>
    <w:rsid w:val="00C33114"/>
    <w:rsid w:val="00C3415E"/>
    <w:rsid w:val="00C34193"/>
    <w:rsid w:val="00C347FD"/>
    <w:rsid w:val="00C34DAE"/>
    <w:rsid w:val="00C34E1E"/>
    <w:rsid w:val="00C34E5A"/>
    <w:rsid w:val="00C3510D"/>
    <w:rsid w:val="00C35553"/>
    <w:rsid w:val="00C35D9C"/>
    <w:rsid w:val="00C36219"/>
    <w:rsid w:val="00C36656"/>
    <w:rsid w:val="00C3698E"/>
    <w:rsid w:val="00C36CCA"/>
    <w:rsid w:val="00C36E1C"/>
    <w:rsid w:val="00C36F42"/>
    <w:rsid w:val="00C3718A"/>
    <w:rsid w:val="00C379C5"/>
    <w:rsid w:val="00C37EEE"/>
    <w:rsid w:val="00C40453"/>
    <w:rsid w:val="00C404A7"/>
    <w:rsid w:val="00C40E71"/>
    <w:rsid w:val="00C41879"/>
    <w:rsid w:val="00C41A7C"/>
    <w:rsid w:val="00C42CC0"/>
    <w:rsid w:val="00C42CEF"/>
    <w:rsid w:val="00C42D55"/>
    <w:rsid w:val="00C43080"/>
    <w:rsid w:val="00C4370E"/>
    <w:rsid w:val="00C43823"/>
    <w:rsid w:val="00C4384B"/>
    <w:rsid w:val="00C4393C"/>
    <w:rsid w:val="00C43F2D"/>
    <w:rsid w:val="00C44068"/>
    <w:rsid w:val="00C442AE"/>
    <w:rsid w:val="00C44C2B"/>
    <w:rsid w:val="00C4518B"/>
    <w:rsid w:val="00C45780"/>
    <w:rsid w:val="00C458D6"/>
    <w:rsid w:val="00C45919"/>
    <w:rsid w:val="00C4655A"/>
    <w:rsid w:val="00C466BF"/>
    <w:rsid w:val="00C47385"/>
    <w:rsid w:val="00C47555"/>
    <w:rsid w:val="00C476AC"/>
    <w:rsid w:val="00C47E67"/>
    <w:rsid w:val="00C47FD9"/>
    <w:rsid w:val="00C50C1A"/>
    <w:rsid w:val="00C50E1E"/>
    <w:rsid w:val="00C51132"/>
    <w:rsid w:val="00C51508"/>
    <w:rsid w:val="00C51D73"/>
    <w:rsid w:val="00C52A05"/>
    <w:rsid w:val="00C52E97"/>
    <w:rsid w:val="00C52EAF"/>
    <w:rsid w:val="00C52FBA"/>
    <w:rsid w:val="00C53189"/>
    <w:rsid w:val="00C534E5"/>
    <w:rsid w:val="00C534F4"/>
    <w:rsid w:val="00C5375B"/>
    <w:rsid w:val="00C53AD3"/>
    <w:rsid w:val="00C53B15"/>
    <w:rsid w:val="00C53DA9"/>
    <w:rsid w:val="00C53EF7"/>
    <w:rsid w:val="00C54280"/>
    <w:rsid w:val="00C545FC"/>
    <w:rsid w:val="00C54929"/>
    <w:rsid w:val="00C550B6"/>
    <w:rsid w:val="00C556B1"/>
    <w:rsid w:val="00C55A05"/>
    <w:rsid w:val="00C55F8D"/>
    <w:rsid w:val="00C56101"/>
    <w:rsid w:val="00C565F2"/>
    <w:rsid w:val="00C567E3"/>
    <w:rsid w:val="00C56C45"/>
    <w:rsid w:val="00C56CD8"/>
    <w:rsid w:val="00C573CC"/>
    <w:rsid w:val="00C57B81"/>
    <w:rsid w:val="00C57FB9"/>
    <w:rsid w:val="00C6077B"/>
    <w:rsid w:val="00C60950"/>
    <w:rsid w:val="00C60DD1"/>
    <w:rsid w:val="00C61565"/>
    <w:rsid w:val="00C61574"/>
    <w:rsid w:val="00C615B4"/>
    <w:rsid w:val="00C6184A"/>
    <w:rsid w:val="00C618B6"/>
    <w:rsid w:val="00C61AC6"/>
    <w:rsid w:val="00C61ACF"/>
    <w:rsid w:val="00C6211D"/>
    <w:rsid w:val="00C62B32"/>
    <w:rsid w:val="00C63DED"/>
    <w:rsid w:val="00C63E88"/>
    <w:rsid w:val="00C6436D"/>
    <w:rsid w:val="00C64F97"/>
    <w:rsid w:val="00C65585"/>
    <w:rsid w:val="00C656EB"/>
    <w:rsid w:val="00C65DF4"/>
    <w:rsid w:val="00C667F0"/>
    <w:rsid w:val="00C66AC8"/>
    <w:rsid w:val="00C673BC"/>
    <w:rsid w:val="00C675A7"/>
    <w:rsid w:val="00C679FE"/>
    <w:rsid w:val="00C67B49"/>
    <w:rsid w:val="00C67D20"/>
    <w:rsid w:val="00C711F5"/>
    <w:rsid w:val="00C713A1"/>
    <w:rsid w:val="00C71828"/>
    <w:rsid w:val="00C72105"/>
    <w:rsid w:val="00C74520"/>
    <w:rsid w:val="00C74954"/>
    <w:rsid w:val="00C7557A"/>
    <w:rsid w:val="00C75765"/>
    <w:rsid w:val="00C76028"/>
    <w:rsid w:val="00C76184"/>
    <w:rsid w:val="00C76462"/>
    <w:rsid w:val="00C7673D"/>
    <w:rsid w:val="00C76A80"/>
    <w:rsid w:val="00C76C27"/>
    <w:rsid w:val="00C76E09"/>
    <w:rsid w:val="00C76F07"/>
    <w:rsid w:val="00C77EF6"/>
    <w:rsid w:val="00C80A5B"/>
    <w:rsid w:val="00C80B4B"/>
    <w:rsid w:val="00C80D63"/>
    <w:rsid w:val="00C80E85"/>
    <w:rsid w:val="00C8129D"/>
    <w:rsid w:val="00C812D5"/>
    <w:rsid w:val="00C81536"/>
    <w:rsid w:val="00C81BEA"/>
    <w:rsid w:val="00C81DF5"/>
    <w:rsid w:val="00C82188"/>
    <w:rsid w:val="00C8242B"/>
    <w:rsid w:val="00C829D9"/>
    <w:rsid w:val="00C82A50"/>
    <w:rsid w:val="00C82EF3"/>
    <w:rsid w:val="00C8322A"/>
    <w:rsid w:val="00C83240"/>
    <w:rsid w:val="00C83381"/>
    <w:rsid w:val="00C83607"/>
    <w:rsid w:val="00C83768"/>
    <w:rsid w:val="00C83B18"/>
    <w:rsid w:val="00C840C3"/>
    <w:rsid w:val="00C841B4"/>
    <w:rsid w:val="00C84266"/>
    <w:rsid w:val="00C8466F"/>
    <w:rsid w:val="00C8489E"/>
    <w:rsid w:val="00C849E0"/>
    <w:rsid w:val="00C84B74"/>
    <w:rsid w:val="00C8512A"/>
    <w:rsid w:val="00C85378"/>
    <w:rsid w:val="00C85970"/>
    <w:rsid w:val="00C85E9B"/>
    <w:rsid w:val="00C8738E"/>
    <w:rsid w:val="00C874C8"/>
    <w:rsid w:val="00C90165"/>
    <w:rsid w:val="00C902DA"/>
    <w:rsid w:val="00C9063C"/>
    <w:rsid w:val="00C90733"/>
    <w:rsid w:val="00C9103C"/>
    <w:rsid w:val="00C921C4"/>
    <w:rsid w:val="00C9235F"/>
    <w:rsid w:val="00C9257F"/>
    <w:rsid w:val="00C9319C"/>
    <w:rsid w:val="00C9330C"/>
    <w:rsid w:val="00C934F6"/>
    <w:rsid w:val="00C93874"/>
    <w:rsid w:val="00C93A4C"/>
    <w:rsid w:val="00C944EB"/>
    <w:rsid w:val="00C94FD2"/>
    <w:rsid w:val="00C95341"/>
    <w:rsid w:val="00C95B76"/>
    <w:rsid w:val="00C964C3"/>
    <w:rsid w:val="00C964D6"/>
    <w:rsid w:val="00C96635"/>
    <w:rsid w:val="00C966B7"/>
    <w:rsid w:val="00C969DB"/>
    <w:rsid w:val="00C96A6E"/>
    <w:rsid w:val="00C97A4A"/>
    <w:rsid w:val="00C97DC9"/>
    <w:rsid w:val="00C97EE3"/>
    <w:rsid w:val="00CA042A"/>
    <w:rsid w:val="00CA1033"/>
    <w:rsid w:val="00CA12BA"/>
    <w:rsid w:val="00CA165C"/>
    <w:rsid w:val="00CA193C"/>
    <w:rsid w:val="00CA1C0D"/>
    <w:rsid w:val="00CA1DAE"/>
    <w:rsid w:val="00CA1E62"/>
    <w:rsid w:val="00CA2267"/>
    <w:rsid w:val="00CA38AD"/>
    <w:rsid w:val="00CA3EEE"/>
    <w:rsid w:val="00CA4403"/>
    <w:rsid w:val="00CA5098"/>
    <w:rsid w:val="00CA5503"/>
    <w:rsid w:val="00CA612D"/>
    <w:rsid w:val="00CA651B"/>
    <w:rsid w:val="00CA66C3"/>
    <w:rsid w:val="00CA6CAD"/>
    <w:rsid w:val="00CA70A8"/>
    <w:rsid w:val="00CA70D0"/>
    <w:rsid w:val="00CA74A4"/>
    <w:rsid w:val="00CA75FD"/>
    <w:rsid w:val="00CA7683"/>
    <w:rsid w:val="00CA77AE"/>
    <w:rsid w:val="00CA7EA1"/>
    <w:rsid w:val="00CA7EEB"/>
    <w:rsid w:val="00CB009B"/>
    <w:rsid w:val="00CB0231"/>
    <w:rsid w:val="00CB0838"/>
    <w:rsid w:val="00CB092E"/>
    <w:rsid w:val="00CB1AFD"/>
    <w:rsid w:val="00CB1EB3"/>
    <w:rsid w:val="00CB2126"/>
    <w:rsid w:val="00CB2308"/>
    <w:rsid w:val="00CB24AD"/>
    <w:rsid w:val="00CB2C59"/>
    <w:rsid w:val="00CB2D9C"/>
    <w:rsid w:val="00CB34AB"/>
    <w:rsid w:val="00CB3529"/>
    <w:rsid w:val="00CB38A9"/>
    <w:rsid w:val="00CB3FE0"/>
    <w:rsid w:val="00CB4728"/>
    <w:rsid w:val="00CB59E7"/>
    <w:rsid w:val="00CB5D27"/>
    <w:rsid w:val="00CB5E4A"/>
    <w:rsid w:val="00CB6B57"/>
    <w:rsid w:val="00CB6FCA"/>
    <w:rsid w:val="00CB724D"/>
    <w:rsid w:val="00CB73EA"/>
    <w:rsid w:val="00CB76E3"/>
    <w:rsid w:val="00CB7D4E"/>
    <w:rsid w:val="00CB7F1F"/>
    <w:rsid w:val="00CC002B"/>
    <w:rsid w:val="00CC07E5"/>
    <w:rsid w:val="00CC09F0"/>
    <w:rsid w:val="00CC0C11"/>
    <w:rsid w:val="00CC1F52"/>
    <w:rsid w:val="00CC233F"/>
    <w:rsid w:val="00CC27FD"/>
    <w:rsid w:val="00CC2920"/>
    <w:rsid w:val="00CC29A4"/>
    <w:rsid w:val="00CC31E8"/>
    <w:rsid w:val="00CC3AB9"/>
    <w:rsid w:val="00CC3C9E"/>
    <w:rsid w:val="00CC45E0"/>
    <w:rsid w:val="00CC4BBE"/>
    <w:rsid w:val="00CC4BC3"/>
    <w:rsid w:val="00CC50C7"/>
    <w:rsid w:val="00CC55AC"/>
    <w:rsid w:val="00CC5859"/>
    <w:rsid w:val="00CC66CB"/>
    <w:rsid w:val="00CC6D1C"/>
    <w:rsid w:val="00CC71DD"/>
    <w:rsid w:val="00CC71F3"/>
    <w:rsid w:val="00CC72C0"/>
    <w:rsid w:val="00CC757D"/>
    <w:rsid w:val="00CC7C74"/>
    <w:rsid w:val="00CC7D5E"/>
    <w:rsid w:val="00CD00DB"/>
    <w:rsid w:val="00CD0119"/>
    <w:rsid w:val="00CD07FD"/>
    <w:rsid w:val="00CD0866"/>
    <w:rsid w:val="00CD0B6B"/>
    <w:rsid w:val="00CD1169"/>
    <w:rsid w:val="00CD15F1"/>
    <w:rsid w:val="00CD16C7"/>
    <w:rsid w:val="00CD1A40"/>
    <w:rsid w:val="00CD1B33"/>
    <w:rsid w:val="00CD25F3"/>
    <w:rsid w:val="00CD27FF"/>
    <w:rsid w:val="00CD2875"/>
    <w:rsid w:val="00CD2DF3"/>
    <w:rsid w:val="00CD305C"/>
    <w:rsid w:val="00CD3A6D"/>
    <w:rsid w:val="00CD3E5A"/>
    <w:rsid w:val="00CD3E63"/>
    <w:rsid w:val="00CD40A3"/>
    <w:rsid w:val="00CD4353"/>
    <w:rsid w:val="00CD457E"/>
    <w:rsid w:val="00CD4CD3"/>
    <w:rsid w:val="00CD589F"/>
    <w:rsid w:val="00CD60C9"/>
    <w:rsid w:val="00CD6345"/>
    <w:rsid w:val="00CD6835"/>
    <w:rsid w:val="00CD6BBB"/>
    <w:rsid w:val="00CD706C"/>
    <w:rsid w:val="00CD7482"/>
    <w:rsid w:val="00CD7C66"/>
    <w:rsid w:val="00CE05BD"/>
    <w:rsid w:val="00CE07C1"/>
    <w:rsid w:val="00CE1567"/>
    <w:rsid w:val="00CE1859"/>
    <w:rsid w:val="00CE186F"/>
    <w:rsid w:val="00CE20E3"/>
    <w:rsid w:val="00CE273A"/>
    <w:rsid w:val="00CE321C"/>
    <w:rsid w:val="00CE32D4"/>
    <w:rsid w:val="00CE32E8"/>
    <w:rsid w:val="00CE3502"/>
    <w:rsid w:val="00CE353C"/>
    <w:rsid w:val="00CE3700"/>
    <w:rsid w:val="00CE3B69"/>
    <w:rsid w:val="00CE4559"/>
    <w:rsid w:val="00CE4B49"/>
    <w:rsid w:val="00CE5118"/>
    <w:rsid w:val="00CE5487"/>
    <w:rsid w:val="00CE59B5"/>
    <w:rsid w:val="00CE59DB"/>
    <w:rsid w:val="00CE5D3A"/>
    <w:rsid w:val="00CE67D8"/>
    <w:rsid w:val="00CE68EA"/>
    <w:rsid w:val="00CE7381"/>
    <w:rsid w:val="00CE7447"/>
    <w:rsid w:val="00CE74CE"/>
    <w:rsid w:val="00CE7510"/>
    <w:rsid w:val="00CF0829"/>
    <w:rsid w:val="00CF0E74"/>
    <w:rsid w:val="00CF15E3"/>
    <w:rsid w:val="00CF1833"/>
    <w:rsid w:val="00CF1AEA"/>
    <w:rsid w:val="00CF2091"/>
    <w:rsid w:val="00CF21F6"/>
    <w:rsid w:val="00CF2278"/>
    <w:rsid w:val="00CF2C62"/>
    <w:rsid w:val="00CF2F66"/>
    <w:rsid w:val="00CF337B"/>
    <w:rsid w:val="00CF3FE7"/>
    <w:rsid w:val="00CF420F"/>
    <w:rsid w:val="00CF4416"/>
    <w:rsid w:val="00CF5762"/>
    <w:rsid w:val="00CF64F6"/>
    <w:rsid w:val="00CF65B4"/>
    <w:rsid w:val="00CF6806"/>
    <w:rsid w:val="00CF69B0"/>
    <w:rsid w:val="00CF6C05"/>
    <w:rsid w:val="00CF709F"/>
    <w:rsid w:val="00CF7485"/>
    <w:rsid w:val="00CF7E56"/>
    <w:rsid w:val="00D01744"/>
    <w:rsid w:val="00D01C03"/>
    <w:rsid w:val="00D01F71"/>
    <w:rsid w:val="00D025CE"/>
    <w:rsid w:val="00D026A3"/>
    <w:rsid w:val="00D02A0F"/>
    <w:rsid w:val="00D02CA6"/>
    <w:rsid w:val="00D02DF3"/>
    <w:rsid w:val="00D03181"/>
    <w:rsid w:val="00D037DC"/>
    <w:rsid w:val="00D0383B"/>
    <w:rsid w:val="00D03A8A"/>
    <w:rsid w:val="00D03DA5"/>
    <w:rsid w:val="00D03F27"/>
    <w:rsid w:val="00D043EE"/>
    <w:rsid w:val="00D0470D"/>
    <w:rsid w:val="00D05249"/>
    <w:rsid w:val="00D055CA"/>
    <w:rsid w:val="00D059FC"/>
    <w:rsid w:val="00D05DEF"/>
    <w:rsid w:val="00D06861"/>
    <w:rsid w:val="00D0688A"/>
    <w:rsid w:val="00D06F22"/>
    <w:rsid w:val="00D07A9C"/>
    <w:rsid w:val="00D07B44"/>
    <w:rsid w:val="00D10076"/>
    <w:rsid w:val="00D1033B"/>
    <w:rsid w:val="00D10477"/>
    <w:rsid w:val="00D107E2"/>
    <w:rsid w:val="00D11D76"/>
    <w:rsid w:val="00D121F5"/>
    <w:rsid w:val="00D126E4"/>
    <w:rsid w:val="00D131BF"/>
    <w:rsid w:val="00D13A90"/>
    <w:rsid w:val="00D140E6"/>
    <w:rsid w:val="00D14C7E"/>
    <w:rsid w:val="00D158EF"/>
    <w:rsid w:val="00D15B5F"/>
    <w:rsid w:val="00D15C14"/>
    <w:rsid w:val="00D15E74"/>
    <w:rsid w:val="00D15FAA"/>
    <w:rsid w:val="00D16ECB"/>
    <w:rsid w:val="00D16EEE"/>
    <w:rsid w:val="00D17090"/>
    <w:rsid w:val="00D17167"/>
    <w:rsid w:val="00D17BA5"/>
    <w:rsid w:val="00D2058D"/>
    <w:rsid w:val="00D2176E"/>
    <w:rsid w:val="00D2182A"/>
    <w:rsid w:val="00D218BC"/>
    <w:rsid w:val="00D2193D"/>
    <w:rsid w:val="00D22105"/>
    <w:rsid w:val="00D2211C"/>
    <w:rsid w:val="00D22B55"/>
    <w:rsid w:val="00D22C81"/>
    <w:rsid w:val="00D23055"/>
    <w:rsid w:val="00D230AD"/>
    <w:rsid w:val="00D2320E"/>
    <w:rsid w:val="00D2327A"/>
    <w:rsid w:val="00D249E1"/>
    <w:rsid w:val="00D251AB"/>
    <w:rsid w:val="00D25240"/>
    <w:rsid w:val="00D25AC6"/>
    <w:rsid w:val="00D25BF1"/>
    <w:rsid w:val="00D25FAD"/>
    <w:rsid w:val="00D261D3"/>
    <w:rsid w:val="00D27086"/>
    <w:rsid w:val="00D2775C"/>
    <w:rsid w:val="00D27A4C"/>
    <w:rsid w:val="00D3140A"/>
    <w:rsid w:val="00D319DF"/>
    <w:rsid w:val="00D31C02"/>
    <w:rsid w:val="00D3225E"/>
    <w:rsid w:val="00D324BC"/>
    <w:rsid w:val="00D32B9F"/>
    <w:rsid w:val="00D331A5"/>
    <w:rsid w:val="00D33565"/>
    <w:rsid w:val="00D33761"/>
    <w:rsid w:val="00D33762"/>
    <w:rsid w:val="00D343A4"/>
    <w:rsid w:val="00D34BD1"/>
    <w:rsid w:val="00D35177"/>
    <w:rsid w:val="00D35340"/>
    <w:rsid w:val="00D3538E"/>
    <w:rsid w:val="00D356E1"/>
    <w:rsid w:val="00D361A1"/>
    <w:rsid w:val="00D40609"/>
    <w:rsid w:val="00D40983"/>
    <w:rsid w:val="00D40B3B"/>
    <w:rsid w:val="00D41188"/>
    <w:rsid w:val="00D417D3"/>
    <w:rsid w:val="00D418D5"/>
    <w:rsid w:val="00D41DB1"/>
    <w:rsid w:val="00D4276D"/>
    <w:rsid w:val="00D42798"/>
    <w:rsid w:val="00D42970"/>
    <w:rsid w:val="00D43468"/>
    <w:rsid w:val="00D43AED"/>
    <w:rsid w:val="00D44916"/>
    <w:rsid w:val="00D45AE4"/>
    <w:rsid w:val="00D45CA4"/>
    <w:rsid w:val="00D45EA7"/>
    <w:rsid w:val="00D45F22"/>
    <w:rsid w:val="00D4628C"/>
    <w:rsid w:val="00D47178"/>
    <w:rsid w:val="00D4752E"/>
    <w:rsid w:val="00D47842"/>
    <w:rsid w:val="00D47BEF"/>
    <w:rsid w:val="00D50826"/>
    <w:rsid w:val="00D51675"/>
    <w:rsid w:val="00D51F73"/>
    <w:rsid w:val="00D52827"/>
    <w:rsid w:val="00D529BE"/>
    <w:rsid w:val="00D52CF6"/>
    <w:rsid w:val="00D53D3E"/>
    <w:rsid w:val="00D547E0"/>
    <w:rsid w:val="00D548B1"/>
    <w:rsid w:val="00D54992"/>
    <w:rsid w:val="00D55291"/>
    <w:rsid w:val="00D55829"/>
    <w:rsid w:val="00D55C48"/>
    <w:rsid w:val="00D55E47"/>
    <w:rsid w:val="00D56392"/>
    <w:rsid w:val="00D56997"/>
    <w:rsid w:val="00D56BF7"/>
    <w:rsid w:val="00D570E6"/>
    <w:rsid w:val="00D5730F"/>
    <w:rsid w:val="00D5774F"/>
    <w:rsid w:val="00D6006A"/>
    <w:rsid w:val="00D60809"/>
    <w:rsid w:val="00D60D7F"/>
    <w:rsid w:val="00D61066"/>
    <w:rsid w:val="00D61C9C"/>
    <w:rsid w:val="00D61E7B"/>
    <w:rsid w:val="00D62111"/>
    <w:rsid w:val="00D62229"/>
    <w:rsid w:val="00D625B8"/>
    <w:rsid w:val="00D626F8"/>
    <w:rsid w:val="00D636DC"/>
    <w:rsid w:val="00D6370C"/>
    <w:rsid w:val="00D63F4C"/>
    <w:rsid w:val="00D64613"/>
    <w:rsid w:val="00D64702"/>
    <w:rsid w:val="00D6474A"/>
    <w:rsid w:val="00D649DC"/>
    <w:rsid w:val="00D65A6A"/>
    <w:rsid w:val="00D66008"/>
    <w:rsid w:val="00D66BFD"/>
    <w:rsid w:val="00D66C91"/>
    <w:rsid w:val="00D674EE"/>
    <w:rsid w:val="00D67535"/>
    <w:rsid w:val="00D67BC9"/>
    <w:rsid w:val="00D67DBC"/>
    <w:rsid w:val="00D704D9"/>
    <w:rsid w:val="00D70612"/>
    <w:rsid w:val="00D70934"/>
    <w:rsid w:val="00D70BD2"/>
    <w:rsid w:val="00D70C54"/>
    <w:rsid w:val="00D713F2"/>
    <w:rsid w:val="00D721B1"/>
    <w:rsid w:val="00D72705"/>
    <w:rsid w:val="00D7317B"/>
    <w:rsid w:val="00D7382F"/>
    <w:rsid w:val="00D738BF"/>
    <w:rsid w:val="00D73B93"/>
    <w:rsid w:val="00D73C52"/>
    <w:rsid w:val="00D73C95"/>
    <w:rsid w:val="00D73D17"/>
    <w:rsid w:val="00D7400F"/>
    <w:rsid w:val="00D745C1"/>
    <w:rsid w:val="00D74784"/>
    <w:rsid w:val="00D756F6"/>
    <w:rsid w:val="00D75731"/>
    <w:rsid w:val="00D75B45"/>
    <w:rsid w:val="00D75B5C"/>
    <w:rsid w:val="00D75F8C"/>
    <w:rsid w:val="00D76050"/>
    <w:rsid w:val="00D76210"/>
    <w:rsid w:val="00D76309"/>
    <w:rsid w:val="00D76423"/>
    <w:rsid w:val="00D767BF"/>
    <w:rsid w:val="00D77278"/>
    <w:rsid w:val="00D775B5"/>
    <w:rsid w:val="00D77961"/>
    <w:rsid w:val="00D77A47"/>
    <w:rsid w:val="00D77B20"/>
    <w:rsid w:val="00D77B3B"/>
    <w:rsid w:val="00D8007C"/>
    <w:rsid w:val="00D8031E"/>
    <w:rsid w:val="00D8079F"/>
    <w:rsid w:val="00D81036"/>
    <w:rsid w:val="00D8103B"/>
    <w:rsid w:val="00D8111B"/>
    <w:rsid w:val="00D81242"/>
    <w:rsid w:val="00D812D2"/>
    <w:rsid w:val="00D81C87"/>
    <w:rsid w:val="00D81CC2"/>
    <w:rsid w:val="00D82C80"/>
    <w:rsid w:val="00D82D02"/>
    <w:rsid w:val="00D82D0F"/>
    <w:rsid w:val="00D834A5"/>
    <w:rsid w:val="00D8353C"/>
    <w:rsid w:val="00D83A5A"/>
    <w:rsid w:val="00D84157"/>
    <w:rsid w:val="00D84AB8"/>
    <w:rsid w:val="00D84BD7"/>
    <w:rsid w:val="00D84DCA"/>
    <w:rsid w:val="00D85114"/>
    <w:rsid w:val="00D857BC"/>
    <w:rsid w:val="00D85CC6"/>
    <w:rsid w:val="00D86A92"/>
    <w:rsid w:val="00D871B6"/>
    <w:rsid w:val="00D873F3"/>
    <w:rsid w:val="00D875E1"/>
    <w:rsid w:val="00D90275"/>
    <w:rsid w:val="00D902F5"/>
    <w:rsid w:val="00D9037F"/>
    <w:rsid w:val="00D9075D"/>
    <w:rsid w:val="00D90959"/>
    <w:rsid w:val="00D91410"/>
    <w:rsid w:val="00D91438"/>
    <w:rsid w:val="00D91594"/>
    <w:rsid w:val="00D91ABE"/>
    <w:rsid w:val="00D91DFB"/>
    <w:rsid w:val="00D921DA"/>
    <w:rsid w:val="00D92A4A"/>
    <w:rsid w:val="00D92C2F"/>
    <w:rsid w:val="00D92F7F"/>
    <w:rsid w:val="00D930AC"/>
    <w:rsid w:val="00D9459D"/>
    <w:rsid w:val="00D94730"/>
    <w:rsid w:val="00D94858"/>
    <w:rsid w:val="00D9487D"/>
    <w:rsid w:val="00D94972"/>
    <w:rsid w:val="00D954A1"/>
    <w:rsid w:val="00D95519"/>
    <w:rsid w:val="00D95744"/>
    <w:rsid w:val="00D958FC"/>
    <w:rsid w:val="00D959AE"/>
    <w:rsid w:val="00D95DC2"/>
    <w:rsid w:val="00D96678"/>
    <w:rsid w:val="00D9673A"/>
    <w:rsid w:val="00D96C73"/>
    <w:rsid w:val="00D96D46"/>
    <w:rsid w:val="00D97C27"/>
    <w:rsid w:val="00DA032C"/>
    <w:rsid w:val="00DA0526"/>
    <w:rsid w:val="00DA0639"/>
    <w:rsid w:val="00DA0B8C"/>
    <w:rsid w:val="00DA0CF7"/>
    <w:rsid w:val="00DA0E96"/>
    <w:rsid w:val="00DA1203"/>
    <w:rsid w:val="00DA12B1"/>
    <w:rsid w:val="00DA14A0"/>
    <w:rsid w:val="00DA15AC"/>
    <w:rsid w:val="00DA15EB"/>
    <w:rsid w:val="00DA18DA"/>
    <w:rsid w:val="00DA1F0C"/>
    <w:rsid w:val="00DA2A10"/>
    <w:rsid w:val="00DA2B06"/>
    <w:rsid w:val="00DA2B20"/>
    <w:rsid w:val="00DA3565"/>
    <w:rsid w:val="00DA3A5B"/>
    <w:rsid w:val="00DA3D0B"/>
    <w:rsid w:val="00DA3F51"/>
    <w:rsid w:val="00DA448F"/>
    <w:rsid w:val="00DA45A0"/>
    <w:rsid w:val="00DA45DB"/>
    <w:rsid w:val="00DA48D9"/>
    <w:rsid w:val="00DA49F8"/>
    <w:rsid w:val="00DA4AAE"/>
    <w:rsid w:val="00DA5572"/>
    <w:rsid w:val="00DA5D5D"/>
    <w:rsid w:val="00DA6A15"/>
    <w:rsid w:val="00DA6B3A"/>
    <w:rsid w:val="00DA6CC2"/>
    <w:rsid w:val="00DA7028"/>
    <w:rsid w:val="00DA7029"/>
    <w:rsid w:val="00DA77A0"/>
    <w:rsid w:val="00DB09A2"/>
    <w:rsid w:val="00DB103D"/>
    <w:rsid w:val="00DB1448"/>
    <w:rsid w:val="00DB1907"/>
    <w:rsid w:val="00DB1998"/>
    <w:rsid w:val="00DB1FC4"/>
    <w:rsid w:val="00DB21F0"/>
    <w:rsid w:val="00DB2C5F"/>
    <w:rsid w:val="00DB3A58"/>
    <w:rsid w:val="00DB3BDF"/>
    <w:rsid w:val="00DB3C58"/>
    <w:rsid w:val="00DB3C72"/>
    <w:rsid w:val="00DB3D46"/>
    <w:rsid w:val="00DB401C"/>
    <w:rsid w:val="00DB46C8"/>
    <w:rsid w:val="00DB52F0"/>
    <w:rsid w:val="00DB540E"/>
    <w:rsid w:val="00DB5899"/>
    <w:rsid w:val="00DB5A63"/>
    <w:rsid w:val="00DB6166"/>
    <w:rsid w:val="00DB6520"/>
    <w:rsid w:val="00DB656B"/>
    <w:rsid w:val="00DB6803"/>
    <w:rsid w:val="00DB691E"/>
    <w:rsid w:val="00DB6C64"/>
    <w:rsid w:val="00DB6C99"/>
    <w:rsid w:val="00DB75A3"/>
    <w:rsid w:val="00DC02F5"/>
    <w:rsid w:val="00DC0574"/>
    <w:rsid w:val="00DC0C65"/>
    <w:rsid w:val="00DC10E5"/>
    <w:rsid w:val="00DC16BF"/>
    <w:rsid w:val="00DC16E1"/>
    <w:rsid w:val="00DC16FC"/>
    <w:rsid w:val="00DC1881"/>
    <w:rsid w:val="00DC1ED7"/>
    <w:rsid w:val="00DC294E"/>
    <w:rsid w:val="00DC3921"/>
    <w:rsid w:val="00DC3A6F"/>
    <w:rsid w:val="00DC3D1C"/>
    <w:rsid w:val="00DC42FE"/>
    <w:rsid w:val="00DC43E1"/>
    <w:rsid w:val="00DC48A4"/>
    <w:rsid w:val="00DC5199"/>
    <w:rsid w:val="00DC5A32"/>
    <w:rsid w:val="00DC5E4E"/>
    <w:rsid w:val="00DC651B"/>
    <w:rsid w:val="00DC662F"/>
    <w:rsid w:val="00DC6961"/>
    <w:rsid w:val="00DC6E78"/>
    <w:rsid w:val="00DC707F"/>
    <w:rsid w:val="00DC729A"/>
    <w:rsid w:val="00DC73B1"/>
    <w:rsid w:val="00DC7519"/>
    <w:rsid w:val="00DC7630"/>
    <w:rsid w:val="00DC7708"/>
    <w:rsid w:val="00DC7EB5"/>
    <w:rsid w:val="00DD04AC"/>
    <w:rsid w:val="00DD04DD"/>
    <w:rsid w:val="00DD0891"/>
    <w:rsid w:val="00DD0B35"/>
    <w:rsid w:val="00DD0C4D"/>
    <w:rsid w:val="00DD0F9F"/>
    <w:rsid w:val="00DD11A7"/>
    <w:rsid w:val="00DD1298"/>
    <w:rsid w:val="00DD2300"/>
    <w:rsid w:val="00DD2309"/>
    <w:rsid w:val="00DD28B3"/>
    <w:rsid w:val="00DD2DE3"/>
    <w:rsid w:val="00DD2DE8"/>
    <w:rsid w:val="00DD316F"/>
    <w:rsid w:val="00DD357C"/>
    <w:rsid w:val="00DD37CA"/>
    <w:rsid w:val="00DD3D55"/>
    <w:rsid w:val="00DD3DF7"/>
    <w:rsid w:val="00DD4AE2"/>
    <w:rsid w:val="00DD4B0C"/>
    <w:rsid w:val="00DD4B12"/>
    <w:rsid w:val="00DD4BFA"/>
    <w:rsid w:val="00DD51F8"/>
    <w:rsid w:val="00DD5829"/>
    <w:rsid w:val="00DD6388"/>
    <w:rsid w:val="00DD6C53"/>
    <w:rsid w:val="00DD7082"/>
    <w:rsid w:val="00DD7198"/>
    <w:rsid w:val="00DD7752"/>
    <w:rsid w:val="00DD7CB6"/>
    <w:rsid w:val="00DE0077"/>
    <w:rsid w:val="00DE0137"/>
    <w:rsid w:val="00DE01BA"/>
    <w:rsid w:val="00DE061F"/>
    <w:rsid w:val="00DE0DCF"/>
    <w:rsid w:val="00DE137B"/>
    <w:rsid w:val="00DE19D9"/>
    <w:rsid w:val="00DE1DC6"/>
    <w:rsid w:val="00DE1F77"/>
    <w:rsid w:val="00DE21C6"/>
    <w:rsid w:val="00DE21E0"/>
    <w:rsid w:val="00DE22AA"/>
    <w:rsid w:val="00DE288F"/>
    <w:rsid w:val="00DE2C45"/>
    <w:rsid w:val="00DE2D49"/>
    <w:rsid w:val="00DE2ED5"/>
    <w:rsid w:val="00DE2F4E"/>
    <w:rsid w:val="00DE3E66"/>
    <w:rsid w:val="00DE3F75"/>
    <w:rsid w:val="00DE41FC"/>
    <w:rsid w:val="00DE45F5"/>
    <w:rsid w:val="00DE4AAD"/>
    <w:rsid w:val="00DE4C0C"/>
    <w:rsid w:val="00DE4FC8"/>
    <w:rsid w:val="00DE53B5"/>
    <w:rsid w:val="00DE5A50"/>
    <w:rsid w:val="00DE60C5"/>
    <w:rsid w:val="00DE6A8A"/>
    <w:rsid w:val="00DE7323"/>
    <w:rsid w:val="00DE75F0"/>
    <w:rsid w:val="00DE77CB"/>
    <w:rsid w:val="00DE7EBA"/>
    <w:rsid w:val="00DF04BD"/>
    <w:rsid w:val="00DF050A"/>
    <w:rsid w:val="00DF068D"/>
    <w:rsid w:val="00DF0D3A"/>
    <w:rsid w:val="00DF140A"/>
    <w:rsid w:val="00DF1A9A"/>
    <w:rsid w:val="00DF1C2D"/>
    <w:rsid w:val="00DF1F8A"/>
    <w:rsid w:val="00DF2209"/>
    <w:rsid w:val="00DF248E"/>
    <w:rsid w:val="00DF2715"/>
    <w:rsid w:val="00DF3577"/>
    <w:rsid w:val="00DF4063"/>
    <w:rsid w:val="00DF44F4"/>
    <w:rsid w:val="00DF5F13"/>
    <w:rsid w:val="00DF63DD"/>
    <w:rsid w:val="00DF6544"/>
    <w:rsid w:val="00DF6B62"/>
    <w:rsid w:val="00DF7BD0"/>
    <w:rsid w:val="00DF7BDF"/>
    <w:rsid w:val="00E00303"/>
    <w:rsid w:val="00E005D1"/>
    <w:rsid w:val="00E00A62"/>
    <w:rsid w:val="00E010A0"/>
    <w:rsid w:val="00E0125E"/>
    <w:rsid w:val="00E01668"/>
    <w:rsid w:val="00E0173A"/>
    <w:rsid w:val="00E01849"/>
    <w:rsid w:val="00E020D1"/>
    <w:rsid w:val="00E02B4E"/>
    <w:rsid w:val="00E02B64"/>
    <w:rsid w:val="00E02EAD"/>
    <w:rsid w:val="00E03453"/>
    <w:rsid w:val="00E03D3F"/>
    <w:rsid w:val="00E03DED"/>
    <w:rsid w:val="00E0437C"/>
    <w:rsid w:val="00E0452C"/>
    <w:rsid w:val="00E04D61"/>
    <w:rsid w:val="00E0504C"/>
    <w:rsid w:val="00E05074"/>
    <w:rsid w:val="00E052DA"/>
    <w:rsid w:val="00E05489"/>
    <w:rsid w:val="00E05741"/>
    <w:rsid w:val="00E05F7F"/>
    <w:rsid w:val="00E06549"/>
    <w:rsid w:val="00E06930"/>
    <w:rsid w:val="00E06971"/>
    <w:rsid w:val="00E07D90"/>
    <w:rsid w:val="00E105B3"/>
    <w:rsid w:val="00E10846"/>
    <w:rsid w:val="00E10883"/>
    <w:rsid w:val="00E108F4"/>
    <w:rsid w:val="00E10D4E"/>
    <w:rsid w:val="00E1100C"/>
    <w:rsid w:val="00E11489"/>
    <w:rsid w:val="00E11711"/>
    <w:rsid w:val="00E11E63"/>
    <w:rsid w:val="00E11F94"/>
    <w:rsid w:val="00E12696"/>
    <w:rsid w:val="00E1310D"/>
    <w:rsid w:val="00E13359"/>
    <w:rsid w:val="00E138BF"/>
    <w:rsid w:val="00E14EFA"/>
    <w:rsid w:val="00E151B9"/>
    <w:rsid w:val="00E158C4"/>
    <w:rsid w:val="00E15CC4"/>
    <w:rsid w:val="00E15DA3"/>
    <w:rsid w:val="00E161E6"/>
    <w:rsid w:val="00E167C9"/>
    <w:rsid w:val="00E1698C"/>
    <w:rsid w:val="00E16BDB"/>
    <w:rsid w:val="00E172BE"/>
    <w:rsid w:val="00E17CF7"/>
    <w:rsid w:val="00E205D6"/>
    <w:rsid w:val="00E209AB"/>
    <w:rsid w:val="00E21060"/>
    <w:rsid w:val="00E216EC"/>
    <w:rsid w:val="00E2189A"/>
    <w:rsid w:val="00E21A60"/>
    <w:rsid w:val="00E22B5A"/>
    <w:rsid w:val="00E22B68"/>
    <w:rsid w:val="00E231C9"/>
    <w:rsid w:val="00E23EBF"/>
    <w:rsid w:val="00E23FD5"/>
    <w:rsid w:val="00E24669"/>
    <w:rsid w:val="00E24A70"/>
    <w:rsid w:val="00E24C48"/>
    <w:rsid w:val="00E24EE4"/>
    <w:rsid w:val="00E25981"/>
    <w:rsid w:val="00E26056"/>
    <w:rsid w:val="00E26141"/>
    <w:rsid w:val="00E266F5"/>
    <w:rsid w:val="00E2673E"/>
    <w:rsid w:val="00E26E4F"/>
    <w:rsid w:val="00E270D3"/>
    <w:rsid w:val="00E27FC7"/>
    <w:rsid w:val="00E3050B"/>
    <w:rsid w:val="00E30700"/>
    <w:rsid w:val="00E31115"/>
    <w:rsid w:val="00E31360"/>
    <w:rsid w:val="00E31D28"/>
    <w:rsid w:val="00E3226B"/>
    <w:rsid w:val="00E32425"/>
    <w:rsid w:val="00E3252C"/>
    <w:rsid w:val="00E325FF"/>
    <w:rsid w:val="00E32CB8"/>
    <w:rsid w:val="00E32F67"/>
    <w:rsid w:val="00E3440F"/>
    <w:rsid w:val="00E34F3A"/>
    <w:rsid w:val="00E35F99"/>
    <w:rsid w:val="00E35F9A"/>
    <w:rsid w:val="00E3637F"/>
    <w:rsid w:val="00E364B6"/>
    <w:rsid w:val="00E36723"/>
    <w:rsid w:val="00E369D4"/>
    <w:rsid w:val="00E370F8"/>
    <w:rsid w:val="00E3713C"/>
    <w:rsid w:val="00E37362"/>
    <w:rsid w:val="00E3767B"/>
    <w:rsid w:val="00E37E1C"/>
    <w:rsid w:val="00E40079"/>
    <w:rsid w:val="00E40126"/>
    <w:rsid w:val="00E4013B"/>
    <w:rsid w:val="00E40C85"/>
    <w:rsid w:val="00E40CBF"/>
    <w:rsid w:val="00E40E7D"/>
    <w:rsid w:val="00E40EE4"/>
    <w:rsid w:val="00E413C6"/>
    <w:rsid w:val="00E41F9E"/>
    <w:rsid w:val="00E420D5"/>
    <w:rsid w:val="00E42517"/>
    <w:rsid w:val="00E42948"/>
    <w:rsid w:val="00E42D55"/>
    <w:rsid w:val="00E42FFE"/>
    <w:rsid w:val="00E4316E"/>
    <w:rsid w:val="00E435AB"/>
    <w:rsid w:val="00E44275"/>
    <w:rsid w:val="00E44705"/>
    <w:rsid w:val="00E44777"/>
    <w:rsid w:val="00E44F67"/>
    <w:rsid w:val="00E4535F"/>
    <w:rsid w:val="00E455E3"/>
    <w:rsid w:val="00E466BC"/>
    <w:rsid w:val="00E4686A"/>
    <w:rsid w:val="00E46889"/>
    <w:rsid w:val="00E479FD"/>
    <w:rsid w:val="00E47A76"/>
    <w:rsid w:val="00E504D6"/>
    <w:rsid w:val="00E50B6F"/>
    <w:rsid w:val="00E50EBE"/>
    <w:rsid w:val="00E50F69"/>
    <w:rsid w:val="00E50FC6"/>
    <w:rsid w:val="00E52372"/>
    <w:rsid w:val="00E5272D"/>
    <w:rsid w:val="00E52786"/>
    <w:rsid w:val="00E52F05"/>
    <w:rsid w:val="00E540CA"/>
    <w:rsid w:val="00E54C83"/>
    <w:rsid w:val="00E54CF5"/>
    <w:rsid w:val="00E55460"/>
    <w:rsid w:val="00E55B28"/>
    <w:rsid w:val="00E56020"/>
    <w:rsid w:val="00E56D4A"/>
    <w:rsid w:val="00E57119"/>
    <w:rsid w:val="00E5719E"/>
    <w:rsid w:val="00E57D7B"/>
    <w:rsid w:val="00E57F4B"/>
    <w:rsid w:val="00E600A6"/>
    <w:rsid w:val="00E602E5"/>
    <w:rsid w:val="00E602F8"/>
    <w:rsid w:val="00E6085B"/>
    <w:rsid w:val="00E60FBA"/>
    <w:rsid w:val="00E60FBF"/>
    <w:rsid w:val="00E611AE"/>
    <w:rsid w:val="00E616F9"/>
    <w:rsid w:val="00E61852"/>
    <w:rsid w:val="00E61A0C"/>
    <w:rsid w:val="00E61D22"/>
    <w:rsid w:val="00E61D96"/>
    <w:rsid w:val="00E61E4B"/>
    <w:rsid w:val="00E61E57"/>
    <w:rsid w:val="00E62F6E"/>
    <w:rsid w:val="00E63B3C"/>
    <w:rsid w:val="00E63DA2"/>
    <w:rsid w:val="00E641E8"/>
    <w:rsid w:val="00E642AF"/>
    <w:rsid w:val="00E644C6"/>
    <w:rsid w:val="00E64555"/>
    <w:rsid w:val="00E64595"/>
    <w:rsid w:val="00E646BB"/>
    <w:rsid w:val="00E64B83"/>
    <w:rsid w:val="00E64D24"/>
    <w:rsid w:val="00E64FAF"/>
    <w:rsid w:val="00E653A6"/>
    <w:rsid w:val="00E6549C"/>
    <w:rsid w:val="00E654B9"/>
    <w:rsid w:val="00E6589D"/>
    <w:rsid w:val="00E65E8C"/>
    <w:rsid w:val="00E665E7"/>
    <w:rsid w:val="00E6661C"/>
    <w:rsid w:val="00E66C96"/>
    <w:rsid w:val="00E70130"/>
    <w:rsid w:val="00E706DE"/>
    <w:rsid w:val="00E71063"/>
    <w:rsid w:val="00E715FC"/>
    <w:rsid w:val="00E7199E"/>
    <w:rsid w:val="00E71A45"/>
    <w:rsid w:val="00E71C21"/>
    <w:rsid w:val="00E727A4"/>
    <w:rsid w:val="00E72F23"/>
    <w:rsid w:val="00E730FC"/>
    <w:rsid w:val="00E73481"/>
    <w:rsid w:val="00E7385A"/>
    <w:rsid w:val="00E7391F"/>
    <w:rsid w:val="00E73CE6"/>
    <w:rsid w:val="00E74780"/>
    <w:rsid w:val="00E74956"/>
    <w:rsid w:val="00E74DDC"/>
    <w:rsid w:val="00E74F7C"/>
    <w:rsid w:val="00E75061"/>
    <w:rsid w:val="00E752F7"/>
    <w:rsid w:val="00E75848"/>
    <w:rsid w:val="00E759D4"/>
    <w:rsid w:val="00E76A3C"/>
    <w:rsid w:val="00E76F9B"/>
    <w:rsid w:val="00E771FC"/>
    <w:rsid w:val="00E773E5"/>
    <w:rsid w:val="00E77BDD"/>
    <w:rsid w:val="00E806D3"/>
    <w:rsid w:val="00E8104D"/>
    <w:rsid w:val="00E81C34"/>
    <w:rsid w:val="00E81D83"/>
    <w:rsid w:val="00E821BB"/>
    <w:rsid w:val="00E822E9"/>
    <w:rsid w:val="00E826FE"/>
    <w:rsid w:val="00E8275E"/>
    <w:rsid w:val="00E827AF"/>
    <w:rsid w:val="00E82DE9"/>
    <w:rsid w:val="00E83253"/>
    <w:rsid w:val="00E83714"/>
    <w:rsid w:val="00E83831"/>
    <w:rsid w:val="00E84218"/>
    <w:rsid w:val="00E844AB"/>
    <w:rsid w:val="00E84C97"/>
    <w:rsid w:val="00E85005"/>
    <w:rsid w:val="00E85296"/>
    <w:rsid w:val="00E8533B"/>
    <w:rsid w:val="00E85E4E"/>
    <w:rsid w:val="00E86327"/>
    <w:rsid w:val="00E86DF0"/>
    <w:rsid w:val="00E87BD2"/>
    <w:rsid w:val="00E87CDC"/>
    <w:rsid w:val="00E90B33"/>
    <w:rsid w:val="00E910E4"/>
    <w:rsid w:val="00E911E0"/>
    <w:rsid w:val="00E9163E"/>
    <w:rsid w:val="00E92115"/>
    <w:rsid w:val="00E93407"/>
    <w:rsid w:val="00E940A8"/>
    <w:rsid w:val="00E94307"/>
    <w:rsid w:val="00E947E8"/>
    <w:rsid w:val="00E94B0F"/>
    <w:rsid w:val="00E9503F"/>
    <w:rsid w:val="00E956F3"/>
    <w:rsid w:val="00E95AA7"/>
    <w:rsid w:val="00E9662E"/>
    <w:rsid w:val="00E96E68"/>
    <w:rsid w:val="00E97013"/>
    <w:rsid w:val="00E97EA1"/>
    <w:rsid w:val="00EA0BBE"/>
    <w:rsid w:val="00EA137C"/>
    <w:rsid w:val="00EA18B9"/>
    <w:rsid w:val="00EA1FBC"/>
    <w:rsid w:val="00EA20A1"/>
    <w:rsid w:val="00EA212B"/>
    <w:rsid w:val="00EA24B5"/>
    <w:rsid w:val="00EA2AAA"/>
    <w:rsid w:val="00EA2D44"/>
    <w:rsid w:val="00EA3A1D"/>
    <w:rsid w:val="00EA3CD7"/>
    <w:rsid w:val="00EA3D04"/>
    <w:rsid w:val="00EA3E2D"/>
    <w:rsid w:val="00EA4010"/>
    <w:rsid w:val="00EA429D"/>
    <w:rsid w:val="00EA43AF"/>
    <w:rsid w:val="00EA4676"/>
    <w:rsid w:val="00EA47FB"/>
    <w:rsid w:val="00EA4C7C"/>
    <w:rsid w:val="00EA4D4C"/>
    <w:rsid w:val="00EA554F"/>
    <w:rsid w:val="00EA6250"/>
    <w:rsid w:val="00EA66A4"/>
    <w:rsid w:val="00EA6819"/>
    <w:rsid w:val="00EA6A1E"/>
    <w:rsid w:val="00EA6CAC"/>
    <w:rsid w:val="00EA7321"/>
    <w:rsid w:val="00EA75BD"/>
    <w:rsid w:val="00EA7786"/>
    <w:rsid w:val="00EA7C47"/>
    <w:rsid w:val="00EB0F0F"/>
    <w:rsid w:val="00EB12A5"/>
    <w:rsid w:val="00EB1587"/>
    <w:rsid w:val="00EB24D8"/>
    <w:rsid w:val="00EB277B"/>
    <w:rsid w:val="00EB2F20"/>
    <w:rsid w:val="00EB2F35"/>
    <w:rsid w:val="00EB31DB"/>
    <w:rsid w:val="00EB3422"/>
    <w:rsid w:val="00EB3A31"/>
    <w:rsid w:val="00EB4EAF"/>
    <w:rsid w:val="00EB4EE8"/>
    <w:rsid w:val="00EB548E"/>
    <w:rsid w:val="00EB5C41"/>
    <w:rsid w:val="00EB5F5A"/>
    <w:rsid w:val="00EB656C"/>
    <w:rsid w:val="00EB657E"/>
    <w:rsid w:val="00EB695E"/>
    <w:rsid w:val="00EB69D1"/>
    <w:rsid w:val="00EB69D4"/>
    <w:rsid w:val="00EB6FE9"/>
    <w:rsid w:val="00EB72FF"/>
    <w:rsid w:val="00EB753E"/>
    <w:rsid w:val="00EB756F"/>
    <w:rsid w:val="00EB79C8"/>
    <w:rsid w:val="00EB7E3F"/>
    <w:rsid w:val="00EB7E78"/>
    <w:rsid w:val="00EC0301"/>
    <w:rsid w:val="00EC08B5"/>
    <w:rsid w:val="00EC09C6"/>
    <w:rsid w:val="00EC0EA5"/>
    <w:rsid w:val="00EC1056"/>
    <w:rsid w:val="00EC1470"/>
    <w:rsid w:val="00EC222E"/>
    <w:rsid w:val="00EC252B"/>
    <w:rsid w:val="00EC2716"/>
    <w:rsid w:val="00EC2DBB"/>
    <w:rsid w:val="00EC358E"/>
    <w:rsid w:val="00EC3940"/>
    <w:rsid w:val="00EC3FD2"/>
    <w:rsid w:val="00EC4095"/>
    <w:rsid w:val="00EC43B5"/>
    <w:rsid w:val="00EC4537"/>
    <w:rsid w:val="00EC472C"/>
    <w:rsid w:val="00EC4960"/>
    <w:rsid w:val="00EC4AE3"/>
    <w:rsid w:val="00EC5414"/>
    <w:rsid w:val="00EC54EE"/>
    <w:rsid w:val="00EC59B2"/>
    <w:rsid w:val="00EC5A3B"/>
    <w:rsid w:val="00EC5C32"/>
    <w:rsid w:val="00EC6424"/>
    <w:rsid w:val="00EC786C"/>
    <w:rsid w:val="00EC7ADD"/>
    <w:rsid w:val="00EC7C26"/>
    <w:rsid w:val="00ED015C"/>
    <w:rsid w:val="00ED04FE"/>
    <w:rsid w:val="00ED0DD0"/>
    <w:rsid w:val="00ED1122"/>
    <w:rsid w:val="00ED15A5"/>
    <w:rsid w:val="00ED1989"/>
    <w:rsid w:val="00ED28F2"/>
    <w:rsid w:val="00ED2F3E"/>
    <w:rsid w:val="00ED3145"/>
    <w:rsid w:val="00ED3309"/>
    <w:rsid w:val="00ED356E"/>
    <w:rsid w:val="00ED3792"/>
    <w:rsid w:val="00ED3BDA"/>
    <w:rsid w:val="00ED5A3B"/>
    <w:rsid w:val="00ED5C30"/>
    <w:rsid w:val="00ED5E02"/>
    <w:rsid w:val="00ED5E19"/>
    <w:rsid w:val="00ED5EED"/>
    <w:rsid w:val="00ED612A"/>
    <w:rsid w:val="00ED6B1C"/>
    <w:rsid w:val="00ED6CF7"/>
    <w:rsid w:val="00ED6DC6"/>
    <w:rsid w:val="00ED6F33"/>
    <w:rsid w:val="00ED70A5"/>
    <w:rsid w:val="00ED7716"/>
    <w:rsid w:val="00ED7737"/>
    <w:rsid w:val="00ED7747"/>
    <w:rsid w:val="00ED7CF4"/>
    <w:rsid w:val="00ED7FA2"/>
    <w:rsid w:val="00EE0786"/>
    <w:rsid w:val="00EE1B0E"/>
    <w:rsid w:val="00EE22FB"/>
    <w:rsid w:val="00EE2407"/>
    <w:rsid w:val="00EE26AE"/>
    <w:rsid w:val="00EE29C8"/>
    <w:rsid w:val="00EE2A54"/>
    <w:rsid w:val="00EE2FC2"/>
    <w:rsid w:val="00EE3B6B"/>
    <w:rsid w:val="00EE3B88"/>
    <w:rsid w:val="00EE4B11"/>
    <w:rsid w:val="00EE4B75"/>
    <w:rsid w:val="00EE4D34"/>
    <w:rsid w:val="00EE4DBD"/>
    <w:rsid w:val="00EE6AC6"/>
    <w:rsid w:val="00EE6E26"/>
    <w:rsid w:val="00EE784F"/>
    <w:rsid w:val="00EE7A1D"/>
    <w:rsid w:val="00EE7BA1"/>
    <w:rsid w:val="00EE7DBD"/>
    <w:rsid w:val="00EF0500"/>
    <w:rsid w:val="00EF0808"/>
    <w:rsid w:val="00EF1002"/>
    <w:rsid w:val="00EF143F"/>
    <w:rsid w:val="00EF1986"/>
    <w:rsid w:val="00EF1D3B"/>
    <w:rsid w:val="00EF23D8"/>
    <w:rsid w:val="00EF2A5A"/>
    <w:rsid w:val="00EF2A87"/>
    <w:rsid w:val="00EF388E"/>
    <w:rsid w:val="00EF3A74"/>
    <w:rsid w:val="00EF3AE9"/>
    <w:rsid w:val="00EF3EA5"/>
    <w:rsid w:val="00EF49FB"/>
    <w:rsid w:val="00EF4EDE"/>
    <w:rsid w:val="00EF55D6"/>
    <w:rsid w:val="00EF644D"/>
    <w:rsid w:val="00EF6BAD"/>
    <w:rsid w:val="00EF6D29"/>
    <w:rsid w:val="00EF6E79"/>
    <w:rsid w:val="00EF7138"/>
    <w:rsid w:val="00EF7E0B"/>
    <w:rsid w:val="00F006AD"/>
    <w:rsid w:val="00F00881"/>
    <w:rsid w:val="00F00917"/>
    <w:rsid w:val="00F00B65"/>
    <w:rsid w:val="00F010BB"/>
    <w:rsid w:val="00F012C1"/>
    <w:rsid w:val="00F0175F"/>
    <w:rsid w:val="00F01A41"/>
    <w:rsid w:val="00F03280"/>
    <w:rsid w:val="00F0362A"/>
    <w:rsid w:val="00F0385C"/>
    <w:rsid w:val="00F03ABE"/>
    <w:rsid w:val="00F03B69"/>
    <w:rsid w:val="00F04345"/>
    <w:rsid w:val="00F047A4"/>
    <w:rsid w:val="00F04F52"/>
    <w:rsid w:val="00F0502D"/>
    <w:rsid w:val="00F0510F"/>
    <w:rsid w:val="00F0563F"/>
    <w:rsid w:val="00F05973"/>
    <w:rsid w:val="00F064D5"/>
    <w:rsid w:val="00F064EF"/>
    <w:rsid w:val="00F06558"/>
    <w:rsid w:val="00F06F42"/>
    <w:rsid w:val="00F07122"/>
    <w:rsid w:val="00F074C9"/>
    <w:rsid w:val="00F07588"/>
    <w:rsid w:val="00F07C82"/>
    <w:rsid w:val="00F07F5E"/>
    <w:rsid w:val="00F1001E"/>
    <w:rsid w:val="00F1055F"/>
    <w:rsid w:val="00F106BB"/>
    <w:rsid w:val="00F10BA6"/>
    <w:rsid w:val="00F11027"/>
    <w:rsid w:val="00F111BA"/>
    <w:rsid w:val="00F1155D"/>
    <w:rsid w:val="00F116DD"/>
    <w:rsid w:val="00F11D9F"/>
    <w:rsid w:val="00F11E31"/>
    <w:rsid w:val="00F12C53"/>
    <w:rsid w:val="00F1360C"/>
    <w:rsid w:val="00F13858"/>
    <w:rsid w:val="00F13AA1"/>
    <w:rsid w:val="00F13F2A"/>
    <w:rsid w:val="00F14D9E"/>
    <w:rsid w:val="00F15097"/>
    <w:rsid w:val="00F153F8"/>
    <w:rsid w:val="00F15671"/>
    <w:rsid w:val="00F1643E"/>
    <w:rsid w:val="00F16506"/>
    <w:rsid w:val="00F16695"/>
    <w:rsid w:val="00F17159"/>
    <w:rsid w:val="00F1733F"/>
    <w:rsid w:val="00F202E3"/>
    <w:rsid w:val="00F20C6E"/>
    <w:rsid w:val="00F20D6C"/>
    <w:rsid w:val="00F20F03"/>
    <w:rsid w:val="00F211AF"/>
    <w:rsid w:val="00F2255F"/>
    <w:rsid w:val="00F225CF"/>
    <w:rsid w:val="00F22712"/>
    <w:rsid w:val="00F2279B"/>
    <w:rsid w:val="00F22882"/>
    <w:rsid w:val="00F22985"/>
    <w:rsid w:val="00F22AEF"/>
    <w:rsid w:val="00F22F7A"/>
    <w:rsid w:val="00F2343C"/>
    <w:rsid w:val="00F23CFC"/>
    <w:rsid w:val="00F24076"/>
    <w:rsid w:val="00F240CB"/>
    <w:rsid w:val="00F2492F"/>
    <w:rsid w:val="00F2500D"/>
    <w:rsid w:val="00F251B2"/>
    <w:rsid w:val="00F2596D"/>
    <w:rsid w:val="00F25CAA"/>
    <w:rsid w:val="00F26AD6"/>
    <w:rsid w:val="00F2711C"/>
    <w:rsid w:val="00F2720E"/>
    <w:rsid w:val="00F27253"/>
    <w:rsid w:val="00F277E8"/>
    <w:rsid w:val="00F27B04"/>
    <w:rsid w:val="00F27E3D"/>
    <w:rsid w:val="00F27EB2"/>
    <w:rsid w:val="00F301D0"/>
    <w:rsid w:val="00F3069F"/>
    <w:rsid w:val="00F30A02"/>
    <w:rsid w:val="00F30C3F"/>
    <w:rsid w:val="00F30C60"/>
    <w:rsid w:val="00F30F38"/>
    <w:rsid w:val="00F311D1"/>
    <w:rsid w:val="00F3158A"/>
    <w:rsid w:val="00F318DB"/>
    <w:rsid w:val="00F3199C"/>
    <w:rsid w:val="00F31F7D"/>
    <w:rsid w:val="00F31FB9"/>
    <w:rsid w:val="00F325E1"/>
    <w:rsid w:val="00F326F6"/>
    <w:rsid w:val="00F32AFF"/>
    <w:rsid w:val="00F33550"/>
    <w:rsid w:val="00F33825"/>
    <w:rsid w:val="00F33968"/>
    <w:rsid w:val="00F33A8B"/>
    <w:rsid w:val="00F33D3B"/>
    <w:rsid w:val="00F34A96"/>
    <w:rsid w:val="00F34EBF"/>
    <w:rsid w:val="00F34F05"/>
    <w:rsid w:val="00F356D5"/>
    <w:rsid w:val="00F359A5"/>
    <w:rsid w:val="00F361AE"/>
    <w:rsid w:val="00F36240"/>
    <w:rsid w:val="00F363EB"/>
    <w:rsid w:val="00F365DE"/>
    <w:rsid w:val="00F366DA"/>
    <w:rsid w:val="00F367CF"/>
    <w:rsid w:val="00F36D37"/>
    <w:rsid w:val="00F3719A"/>
    <w:rsid w:val="00F379BF"/>
    <w:rsid w:val="00F37EA7"/>
    <w:rsid w:val="00F405C7"/>
    <w:rsid w:val="00F40805"/>
    <w:rsid w:val="00F40B93"/>
    <w:rsid w:val="00F40C5E"/>
    <w:rsid w:val="00F40E3E"/>
    <w:rsid w:val="00F4163A"/>
    <w:rsid w:val="00F41873"/>
    <w:rsid w:val="00F419C3"/>
    <w:rsid w:val="00F41D91"/>
    <w:rsid w:val="00F41E2B"/>
    <w:rsid w:val="00F421DA"/>
    <w:rsid w:val="00F423BE"/>
    <w:rsid w:val="00F424A5"/>
    <w:rsid w:val="00F425EF"/>
    <w:rsid w:val="00F428AC"/>
    <w:rsid w:val="00F42AAD"/>
    <w:rsid w:val="00F42EE3"/>
    <w:rsid w:val="00F43149"/>
    <w:rsid w:val="00F43660"/>
    <w:rsid w:val="00F43B91"/>
    <w:rsid w:val="00F44542"/>
    <w:rsid w:val="00F4482A"/>
    <w:rsid w:val="00F448DD"/>
    <w:rsid w:val="00F44D6A"/>
    <w:rsid w:val="00F44DB8"/>
    <w:rsid w:val="00F455C0"/>
    <w:rsid w:val="00F45760"/>
    <w:rsid w:val="00F45925"/>
    <w:rsid w:val="00F46BA6"/>
    <w:rsid w:val="00F46C97"/>
    <w:rsid w:val="00F4703E"/>
    <w:rsid w:val="00F4775F"/>
    <w:rsid w:val="00F47824"/>
    <w:rsid w:val="00F503E6"/>
    <w:rsid w:val="00F50427"/>
    <w:rsid w:val="00F50781"/>
    <w:rsid w:val="00F50CA3"/>
    <w:rsid w:val="00F517ED"/>
    <w:rsid w:val="00F51F3F"/>
    <w:rsid w:val="00F528B5"/>
    <w:rsid w:val="00F528E7"/>
    <w:rsid w:val="00F52C8A"/>
    <w:rsid w:val="00F5352D"/>
    <w:rsid w:val="00F53615"/>
    <w:rsid w:val="00F53A91"/>
    <w:rsid w:val="00F5441F"/>
    <w:rsid w:val="00F54466"/>
    <w:rsid w:val="00F54783"/>
    <w:rsid w:val="00F547E9"/>
    <w:rsid w:val="00F5494E"/>
    <w:rsid w:val="00F54ABE"/>
    <w:rsid w:val="00F55385"/>
    <w:rsid w:val="00F55804"/>
    <w:rsid w:val="00F55F1A"/>
    <w:rsid w:val="00F56310"/>
    <w:rsid w:val="00F5684C"/>
    <w:rsid w:val="00F570D4"/>
    <w:rsid w:val="00F57210"/>
    <w:rsid w:val="00F577FC"/>
    <w:rsid w:val="00F602F0"/>
    <w:rsid w:val="00F60C90"/>
    <w:rsid w:val="00F619EE"/>
    <w:rsid w:val="00F61CF5"/>
    <w:rsid w:val="00F61FF9"/>
    <w:rsid w:val="00F62069"/>
    <w:rsid w:val="00F620E0"/>
    <w:rsid w:val="00F62159"/>
    <w:rsid w:val="00F62A7C"/>
    <w:rsid w:val="00F62A7D"/>
    <w:rsid w:val="00F62B93"/>
    <w:rsid w:val="00F633CC"/>
    <w:rsid w:val="00F633E5"/>
    <w:rsid w:val="00F63C89"/>
    <w:rsid w:val="00F647EC"/>
    <w:rsid w:val="00F64FAB"/>
    <w:rsid w:val="00F65AC8"/>
    <w:rsid w:val="00F65CEA"/>
    <w:rsid w:val="00F65DE8"/>
    <w:rsid w:val="00F65F15"/>
    <w:rsid w:val="00F66443"/>
    <w:rsid w:val="00F675EA"/>
    <w:rsid w:val="00F7073B"/>
    <w:rsid w:val="00F7074A"/>
    <w:rsid w:val="00F70809"/>
    <w:rsid w:val="00F70AD6"/>
    <w:rsid w:val="00F71687"/>
    <w:rsid w:val="00F71708"/>
    <w:rsid w:val="00F717C1"/>
    <w:rsid w:val="00F71AAE"/>
    <w:rsid w:val="00F71CDB"/>
    <w:rsid w:val="00F725D3"/>
    <w:rsid w:val="00F7281E"/>
    <w:rsid w:val="00F72C1A"/>
    <w:rsid w:val="00F72C3D"/>
    <w:rsid w:val="00F737AB"/>
    <w:rsid w:val="00F74216"/>
    <w:rsid w:val="00F749A8"/>
    <w:rsid w:val="00F74F0F"/>
    <w:rsid w:val="00F75731"/>
    <w:rsid w:val="00F75841"/>
    <w:rsid w:val="00F76333"/>
    <w:rsid w:val="00F770C6"/>
    <w:rsid w:val="00F77100"/>
    <w:rsid w:val="00F77843"/>
    <w:rsid w:val="00F80550"/>
    <w:rsid w:val="00F8090F"/>
    <w:rsid w:val="00F80A8A"/>
    <w:rsid w:val="00F8119A"/>
    <w:rsid w:val="00F8139A"/>
    <w:rsid w:val="00F82AAE"/>
    <w:rsid w:val="00F834B9"/>
    <w:rsid w:val="00F834BE"/>
    <w:rsid w:val="00F838A9"/>
    <w:rsid w:val="00F849E3"/>
    <w:rsid w:val="00F84B4E"/>
    <w:rsid w:val="00F84C44"/>
    <w:rsid w:val="00F84F30"/>
    <w:rsid w:val="00F851B7"/>
    <w:rsid w:val="00F8566C"/>
    <w:rsid w:val="00F858D4"/>
    <w:rsid w:val="00F85C65"/>
    <w:rsid w:val="00F860EB"/>
    <w:rsid w:val="00F868B6"/>
    <w:rsid w:val="00F86968"/>
    <w:rsid w:val="00F86E42"/>
    <w:rsid w:val="00F876E6"/>
    <w:rsid w:val="00F87825"/>
    <w:rsid w:val="00F87838"/>
    <w:rsid w:val="00F879E8"/>
    <w:rsid w:val="00F87FCE"/>
    <w:rsid w:val="00F9008B"/>
    <w:rsid w:val="00F909C7"/>
    <w:rsid w:val="00F9155D"/>
    <w:rsid w:val="00F91669"/>
    <w:rsid w:val="00F916DE"/>
    <w:rsid w:val="00F9184F"/>
    <w:rsid w:val="00F91943"/>
    <w:rsid w:val="00F9231D"/>
    <w:rsid w:val="00F9261F"/>
    <w:rsid w:val="00F92A66"/>
    <w:rsid w:val="00F931CF"/>
    <w:rsid w:val="00F93A31"/>
    <w:rsid w:val="00F93D6E"/>
    <w:rsid w:val="00F9423D"/>
    <w:rsid w:val="00F942C2"/>
    <w:rsid w:val="00F9449D"/>
    <w:rsid w:val="00F94609"/>
    <w:rsid w:val="00F94F16"/>
    <w:rsid w:val="00F95182"/>
    <w:rsid w:val="00F957D2"/>
    <w:rsid w:val="00F95D94"/>
    <w:rsid w:val="00F95E86"/>
    <w:rsid w:val="00F96F86"/>
    <w:rsid w:val="00FA02B8"/>
    <w:rsid w:val="00FA07CB"/>
    <w:rsid w:val="00FA0980"/>
    <w:rsid w:val="00FA1028"/>
    <w:rsid w:val="00FA157E"/>
    <w:rsid w:val="00FA181F"/>
    <w:rsid w:val="00FA1C1F"/>
    <w:rsid w:val="00FA1E82"/>
    <w:rsid w:val="00FA2137"/>
    <w:rsid w:val="00FA272D"/>
    <w:rsid w:val="00FA338D"/>
    <w:rsid w:val="00FA34A2"/>
    <w:rsid w:val="00FA3742"/>
    <w:rsid w:val="00FA3837"/>
    <w:rsid w:val="00FA39FC"/>
    <w:rsid w:val="00FA44B4"/>
    <w:rsid w:val="00FA4538"/>
    <w:rsid w:val="00FA4998"/>
    <w:rsid w:val="00FA4DC2"/>
    <w:rsid w:val="00FA57D1"/>
    <w:rsid w:val="00FA67E3"/>
    <w:rsid w:val="00FA6A25"/>
    <w:rsid w:val="00FA7157"/>
    <w:rsid w:val="00FA73A6"/>
    <w:rsid w:val="00FA7698"/>
    <w:rsid w:val="00FA78C2"/>
    <w:rsid w:val="00FA7A2D"/>
    <w:rsid w:val="00FA7B4F"/>
    <w:rsid w:val="00FA7DA6"/>
    <w:rsid w:val="00FB02F8"/>
    <w:rsid w:val="00FB06E7"/>
    <w:rsid w:val="00FB0822"/>
    <w:rsid w:val="00FB0AC3"/>
    <w:rsid w:val="00FB1093"/>
    <w:rsid w:val="00FB13A0"/>
    <w:rsid w:val="00FB2142"/>
    <w:rsid w:val="00FB227E"/>
    <w:rsid w:val="00FB25DA"/>
    <w:rsid w:val="00FB267D"/>
    <w:rsid w:val="00FB2A18"/>
    <w:rsid w:val="00FB2BF4"/>
    <w:rsid w:val="00FB2C8D"/>
    <w:rsid w:val="00FB2DC6"/>
    <w:rsid w:val="00FB4267"/>
    <w:rsid w:val="00FB4CEE"/>
    <w:rsid w:val="00FB59D4"/>
    <w:rsid w:val="00FB5E81"/>
    <w:rsid w:val="00FB6E39"/>
    <w:rsid w:val="00FB6E6C"/>
    <w:rsid w:val="00FB714B"/>
    <w:rsid w:val="00FB71B0"/>
    <w:rsid w:val="00FB7ABA"/>
    <w:rsid w:val="00FB7C21"/>
    <w:rsid w:val="00FB7C46"/>
    <w:rsid w:val="00FC02D1"/>
    <w:rsid w:val="00FC04E0"/>
    <w:rsid w:val="00FC06CE"/>
    <w:rsid w:val="00FC0D98"/>
    <w:rsid w:val="00FC0E2F"/>
    <w:rsid w:val="00FC1042"/>
    <w:rsid w:val="00FC11C6"/>
    <w:rsid w:val="00FC17D8"/>
    <w:rsid w:val="00FC2144"/>
    <w:rsid w:val="00FC279A"/>
    <w:rsid w:val="00FC324D"/>
    <w:rsid w:val="00FC39A1"/>
    <w:rsid w:val="00FC3BC3"/>
    <w:rsid w:val="00FC3E47"/>
    <w:rsid w:val="00FC4B53"/>
    <w:rsid w:val="00FC4BAE"/>
    <w:rsid w:val="00FC4F75"/>
    <w:rsid w:val="00FC5160"/>
    <w:rsid w:val="00FC5A36"/>
    <w:rsid w:val="00FC6353"/>
    <w:rsid w:val="00FC6638"/>
    <w:rsid w:val="00FC69CF"/>
    <w:rsid w:val="00FC6B0B"/>
    <w:rsid w:val="00FC713B"/>
    <w:rsid w:val="00FC7862"/>
    <w:rsid w:val="00FC79D5"/>
    <w:rsid w:val="00FC7B35"/>
    <w:rsid w:val="00FC7B53"/>
    <w:rsid w:val="00FC7BD8"/>
    <w:rsid w:val="00FD0177"/>
    <w:rsid w:val="00FD0AE7"/>
    <w:rsid w:val="00FD0B44"/>
    <w:rsid w:val="00FD0F70"/>
    <w:rsid w:val="00FD2315"/>
    <w:rsid w:val="00FD29A7"/>
    <w:rsid w:val="00FD2B15"/>
    <w:rsid w:val="00FD3092"/>
    <w:rsid w:val="00FD3D48"/>
    <w:rsid w:val="00FD3FAB"/>
    <w:rsid w:val="00FD412E"/>
    <w:rsid w:val="00FD41CD"/>
    <w:rsid w:val="00FD420F"/>
    <w:rsid w:val="00FD4339"/>
    <w:rsid w:val="00FD4B0C"/>
    <w:rsid w:val="00FD4E61"/>
    <w:rsid w:val="00FD4F2F"/>
    <w:rsid w:val="00FD51F7"/>
    <w:rsid w:val="00FD5258"/>
    <w:rsid w:val="00FD52E0"/>
    <w:rsid w:val="00FD5602"/>
    <w:rsid w:val="00FD5661"/>
    <w:rsid w:val="00FD5A2A"/>
    <w:rsid w:val="00FD5AE2"/>
    <w:rsid w:val="00FD5F79"/>
    <w:rsid w:val="00FD6163"/>
    <w:rsid w:val="00FD62B4"/>
    <w:rsid w:val="00FD69BB"/>
    <w:rsid w:val="00FD7142"/>
    <w:rsid w:val="00FD750F"/>
    <w:rsid w:val="00FE011C"/>
    <w:rsid w:val="00FE0458"/>
    <w:rsid w:val="00FE07DC"/>
    <w:rsid w:val="00FE08FB"/>
    <w:rsid w:val="00FE1116"/>
    <w:rsid w:val="00FE2075"/>
    <w:rsid w:val="00FE2080"/>
    <w:rsid w:val="00FE2112"/>
    <w:rsid w:val="00FE27B9"/>
    <w:rsid w:val="00FE2E37"/>
    <w:rsid w:val="00FE30EF"/>
    <w:rsid w:val="00FE3640"/>
    <w:rsid w:val="00FE36B6"/>
    <w:rsid w:val="00FE3780"/>
    <w:rsid w:val="00FE3954"/>
    <w:rsid w:val="00FE3AE5"/>
    <w:rsid w:val="00FE3CF7"/>
    <w:rsid w:val="00FE4071"/>
    <w:rsid w:val="00FE42E3"/>
    <w:rsid w:val="00FE4ECD"/>
    <w:rsid w:val="00FE528C"/>
    <w:rsid w:val="00FE52B7"/>
    <w:rsid w:val="00FE53C5"/>
    <w:rsid w:val="00FE56A8"/>
    <w:rsid w:val="00FE5807"/>
    <w:rsid w:val="00FE5C39"/>
    <w:rsid w:val="00FE5C57"/>
    <w:rsid w:val="00FE624E"/>
    <w:rsid w:val="00FE6415"/>
    <w:rsid w:val="00FE69E7"/>
    <w:rsid w:val="00FE6BB8"/>
    <w:rsid w:val="00FE6E76"/>
    <w:rsid w:val="00FF027B"/>
    <w:rsid w:val="00FF1174"/>
    <w:rsid w:val="00FF165A"/>
    <w:rsid w:val="00FF1B72"/>
    <w:rsid w:val="00FF1CF1"/>
    <w:rsid w:val="00FF1F4C"/>
    <w:rsid w:val="00FF1F90"/>
    <w:rsid w:val="00FF228F"/>
    <w:rsid w:val="00FF35DC"/>
    <w:rsid w:val="00FF3A6A"/>
    <w:rsid w:val="00FF3C7A"/>
    <w:rsid w:val="00FF3E09"/>
    <w:rsid w:val="00FF411C"/>
    <w:rsid w:val="00FF44C6"/>
    <w:rsid w:val="00FF4B2E"/>
    <w:rsid w:val="00FF4E4B"/>
    <w:rsid w:val="00FF4E4E"/>
    <w:rsid w:val="00FF5049"/>
    <w:rsid w:val="00FF519C"/>
    <w:rsid w:val="00FF5D1F"/>
    <w:rsid w:val="00FF5F95"/>
    <w:rsid w:val="00FF6126"/>
    <w:rsid w:val="00FF61F5"/>
    <w:rsid w:val="00FF62AA"/>
    <w:rsid w:val="00FF64D7"/>
    <w:rsid w:val="00FF678B"/>
    <w:rsid w:val="00FF6B6C"/>
    <w:rsid w:val="00FF6DD4"/>
    <w:rsid w:val="015E0F15"/>
    <w:rsid w:val="01663906"/>
    <w:rsid w:val="01714ECB"/>
    <w:rsid w:val="01901FEF"/>
    <w:rsid w:val="01AA2C10"/>
    <w:rsid w:val="037738D8"/>
    <w:rsid w:val="04272850"/>
    <w:rsid w:val="047B2AA8"/>
    <w:rsid w:val="05332B57"/>
    <w:rsid w:val="06197F7E"/>
    <w:rsid w:val="062804A3"/>
    <w:rsid w:val="068955F4"/>
    <w:rsid w:val="06D071E1"/>
    <w:rsid w:val="075A5BC6"/>
    <w:rsid w:val="075F0692"/>
    <w:rsid w:val="07935DE5"/>
    <w:rsid w:val="07DB054A"/>
    <w:rsid w:val="081172DC"/>
    <w:rsid w:val="083D2AF4"/>
    <w:rsid w:val="08F53B23"/>
    <w:rsid w:val="099A1CEE"/>
    <w:rsid w:val="0A053C89"/>
    <w:rsid w:val="0A070656"/>
    <w:rsid w:val="0A913ED8"/>
    <w:rsid w:val="0B1D5DDF"/>
    <w:rsid w:val="0B2034AD"/>
    <w:rsid w:val="0B24171E"/>
    <w:rsid w:val="0B5C3243"/>
    <w:rsid w:val="0B5E59FA"/>
    <w:rsid w:val="0BAD59A4"/>
    <w:rsid w:val="0C274EF7"/>
    <w:rsid w:val="0C2769AC"/>
    <w:rsid w:val="0C357211"/>
    <w:rsid w:val="0C466B45"/>
    <w:rsid w:val="0D584403"/>
    <w:rsid w:val="0DE30DD2"/>
    <w:rsid w:val="0DEE7765"/>
    <w:rsid w:val="0E0D4EA8"/>
    <w:rsid w:val="0E652045"/>
    <w:rsid w:val="0F204221"/>
    <w:rsid w:val="0F2B5D1F"/>
    <w:rsid w:val="0F6053AB"/>
    <w:rsid w:val="0FD22848"/>
    <w:rsid w:val="0FE4691A"/>
    <w:rsid w:val="10050347"/>
    <w:rsid w:val="101C0A97"/>
    <w:rsid w:val="10505595"/>
    <w:rsid w:val="10674DD9"/>
    <w:rsid w:val="10F67974"/>
    <w:rsid w:val="12685FCD"/>
    <w:rsid w:val="128D191E"/>
    <w:rsid w:val="12A67527"/>
    <w:rsid w:val="13810255"/>
    <w:rsid w:val="13EF0479"/>
    <w:rsid w:val="145324A8"/>
    <w:rsid w:val="145358B3"/>
    <w:rsid w:val="14695EAA"/>
    <w:rsid w:val="146F2C7A"/>
    <w:rsid w:val="1494546F"/>
    <w:rsid w:val="149E4992"/>
    <w:rsid w:val="15B50326"/>
    <w:rsid w:val="16170BEA"/>
    <w:rsid w:val="161E1D5B"/>
    <w:rsid w:val="16962C7A"/>
    <w:rsid w:val="16A3101D"/>
    <w:rsid w:val="16CC05DF"/>
    <w:rsid w:val="170E5D26"/>
    <w:rsid w:val="174F016B"/>
    <w:rsid w:val="17694B12"/>
    <w:rsid w:val="17BE59A2"/>
    <w:rsid w:val="18185849"/>
    <w:rsid w:val="187C781B"/>
    <w:rsid w:val="199B6134"/>
    <w:rsid w:val="19DC60C6"/>
    <w:rsid w:val="1A442DE9"/>
    <w:rsid w:val="1AFB2E83"/>
    <w:rsid w:val="1B3121E7"/>
    <w:rsid w:val="1BC305D3"/>
    <w:rsid w:val="1BF679EE"/>
    <w:rsid w:val="1CD55680"/>
    <w:rsid w:val="1D15446A"/>
    <w:rsid w:val="1D321E13"/>
    <w:rsid w:val="1DA717A4"/>
    <w:rsid w:val="1DBC044E"/>
    <w:rsid w:val="1DE70498"/>
    <w:rsid w:val="1F4849CA"/>
    <w:rsid w:val="1F4A101C"/>
    <w:rsid w:val="1F4F53ED"/>
    <w:rsid w:val="1F873477"/>
    <w:rsid w:val="1FBE7569"/>
    <w:rsid w:val="1FE25B40"/>
    <w:rsid w:val="20511755"/>
    <w:rsid w:val="20A9456C"/>
    <w:rsid w:val="20B00655"/>
    <w:rsid w:val="21455F84"/>
    <w:rsid w:val="217D4EBE"/>
    <w:rsid w:val="21B10E65"/>
    <w:rsid w:val="21B271ED"/>
    <w:rsid w:val="21B8398B"/>
    <w:rsid w:val="221B6805"/>
    <w:rsid w:val="22447D7B"/>
    <w:rsid w:val="22505E15"/>
    <w:rsid w:val="22552F34"/>
    <w:rsid w:val="229F42F1"/>
    <w:rsid w:val="24072D0A"/>
    <w:rsid w:val="24131ED5"/>
    <w:rsid w:val="24977600"/>
    <w:rsid w:val="24B831E2"/>
    <w:rsid w:val="24D74796"/>
    <w:rsid w:val="250B120F"/>
    <w:rsid w:val="25114D14"/>
    <w:rsid w:val="252C7220"/>
    <w:rsid w:val="256C2A6E"/>
    <w:rsid w:val="25787665"/>
    <w:rsid w:val="259124D5"/>
    <w:rsid w:val="25B95C6E"/>
    <w:rsid w:val="25F67E5A"/>
    <w:rsid w:val="26152EB1"/>
    <w:rsid w:val="26813D30"/>
    <w:rsid w:val="26A50560"/>
    <w:rsid w:val="270F55EE"/>
    <w:rsid w:val="272F1A96"/>
    <w:rsid w:val="27366201"/>
    <w:rsid w:val="276E48E5"/>
    <w:rsid w:val="27E6663B"/>
    <w:rsid w:val="27F52753"/>
    <w:rsid w:val="284035F2"/>
    <w:rsid w:val="28553930"/>
    <w:rsid w:val="29143908"/>
    <w:rsid w:val="292F5620"/>
    <w:rsid w:val="297B0CF7"/>
    <w:rsid w:val="2B1B3318"/>
    <w:rsid w:val="2B822DA1"/>
    <w:rsid w:val="2BE13903"/>
    <w:rsid w:val="2C077CC9"/>
    <w:rsid w:val="2C3D6859"/>
    <w:rsid w:val="2C6E08C2"/>
    <w:rsid w:val="2CE618B6"/>
    <w:rsid w:val="2E606C4B"/>
    <w:rsid w:val="2EA133AF"/>
    <w:rsid w:val="2EDD2DD9"/>
    <w:rsid w:val="2F723467"/>
    <w:rsid w:val="2F7553E7"/>
    <w:rsid w:val="2F922149"/>
    <w:rsid w:val="30002B75"/>
    <w:rsid w:val="303D6622"/>
    <w:rsid w:val="30405CA0"/>
    <w:rsid w:val="306835D0"/>
    <w:rsid w:val="30F62005"/>
    <w:rsid w:val="313E0DD8"/>
    <w:rsid w:val="313F5699"/>
    <w:rsid w:val="31920EFC"/>
    <w:rsid w:val="32153FA4"/>
    <w:rsid w:val="32A0292F"/>
    <w:rsid w:val="32A02B99"/>
    <w:rsid w:val="330F2BAA"/>
    <w:rsid w:val="331D4DE9"/>
    <w:rsid w:val="335450AB"/>
    <w:rsid w:val="337D5F7B"/>
    <w:rsid w:val="33D414D0"/>
    <w:rsid w:val="33DA5945"/>
    <w:rsid w:val="3411197D"/>
    <w:rsid w:val="34603E67"/>
    <w:rsid w:val="34AD26E7"/>
    <w:rsid w:val="35CD358A"/>
    <w:rsid w:val="35E23642"/>
    <w:rsid w:val="36232DB0"/>
    <w:rsid w:val="362C0BAC"/>
    <w:rsid w:val="371F01BC"/>
    <w:rsid w:val="37457E46"/>
    <w:rsid w:val="3800212F"/>
    <w:rsid w:val="385F359C"/>
    <w:rsid w:val="388123BB"/>
    <w:rsid w:val="393B0E13"/>
    <w:rsid w:val="399135F9"/>
    <w:rsid w:val="3B223262"/>
    <w:rsid w:val="3B266C42"/>
    <w:rsid w:val="3BA80B19"/>
    <w:rsid w:val="3BE848C4"/>
    <w:rsid w:val="3C3B15E2"/>
    <w:rsid w:val="3C4240EC"/>
    <w:rsid w:val="3CFA1BCE"/>
    <w:rsid w:val="3D711B40"/>
    <w:rsid w:val="3D9F7F26"/>
    <w:rsid w:val="3DC348D3"/>
    <w:rsid w:val="3DF0138D"/>
    <w:rsid w:val="3E3B3F30"/>
    <w:rsid w:val="3E800AA6"/>
    <w:rsid w:val="3EF4725F"/>
    <w:rsid w:val="3F3A1FEB"/>
    <w:rsid w:val="3F6A726A"/>
    <w:rsid w:val="3FFB4CC3"/>
    <w:rsid w:val="40A67243"/>
    <w:rsid w:val="41F11750"/>
    <w:rsid w:val="42253D73"/>
    <w:rsid w:val="422C7D41"/>
    <w:rsid w:val="42F827BF"/>
    <w:rsid w:val="43461A6B"/>
    <w:rsid w:val="43D24AAE"/>
    <w:rsid w:val="445A645C"/>
    <w:rsid w:val="44E4602A"/>
    <w:rsid w:val="45247770"/>
    <w:rsid w:val="45B80788"/>
    <w:rsid w:val="46181376"/>
    <w:rsid w:val="467D1647"/>
    <w:rsid w:val="46AA2F9F"/>
    <w:rsid w:val="477115AD"/>
    <w:rsid w:val="47D400B1"/>
    <w:rsid w:val="47E9061B"/>
    <w:rsid w:val="484245C7"/>
    <w:rsid w:val="48883BF9"/>
    <w:rsid w:val="488D7CFE"/>
    <w:rsid w:val="491133E8"/>
    <w:rsid w:val="49323FD7"/>
    <w:rsid w:val="49543E80"/>
    <w:rsid w:val="495B5688"/>
    <w:rsid w:val="4AD04C95"/>
    <w:rsid w:val="4B5C05B0"/>
    <w:rsid w:val="4B8F3EAC"/>
    <w:rsid w:val="4C12409B"/>
    <w:rsid w:val="4CF3344B"/>
    <w:rsid w:val="4D5601C7"/>
    <w:rsid w:val="4D774028"/>
    <w:rsid w:val="4D84279B"/>
    <w:rsid w:val="4E34228F"/>
    <w:rsid w:val="4EAC5711"/>
    <w:rsid w:val="4EBA57DB"/>
    <w:rsid w:val="4F4E6379"/>
    <w:rsid w:val="4FA87897"/>
    <w:rsid w:val="506C74F2"/>
    <w:rsid w:val="50AC1958"/>
    <w:rsid w:val="51B2004B"/>
    <w:rsid w:val="51BD7D15"/>
    <w:rsid w:val="52BF6E89"/>
    <w:rsid w:val="539834E7"/>
    <w:rsid w:val="53B80B00"/>
    <w:rsid w:val="53D67233"/>
    <w:rsid w:val="54556AEA"/>
    <w:rsid w:val="55131A57"/>
    <w:rsid w:val="55622629"/>
    <w:rsid w:val="557958E4"/>
    <w:rsid w:val="55CE626F"/>
    <w:rsid w:val="56070C86"/>
    <w:rsid w:val="563B4C0B"/>
    <w:rsid w:val="568E4DA2"/>
    <w:rsid w:val="57593CE3"/>
    <w:rsid w:val="577D71D5"/>
    <w:rsid w:val="57E44E66"/>
    <w:rsid w:val="581F5BB4"/>
    <w:rsid w:val="58820088"/>
    <w:rsid w:val="5A3A2DDD"/>
    <w:rsid w:val="5A716C05"/>
    <w:rsid w:val="5A8A233D"/>
    <w:rsid w:val="5ABB7A77"/>
    <w:rsid w:val="5B3031CA"/>
    <w:rsid w:val="5BD3526B"/>
    <w:rsid w:val="5BE62B50"/>
    <w:rsid w:val="5BF918A2"/>
    <w:rsid w:val="5C37020C"/>
    <w:rsid w:val="5C9155E0"/>
    <w:rsid w:val="5D4452E4"/>
    <w:rsid w:val="5D8F207F"/>
    <w:rsid w:val="5DA25CF6"/>
    <w:rsid w:val="5DE10EE3"/>
    <w:rsid w:val="5E064F36"/>
    <w:rsid w:val="5E176F0D"/>
    <w:rsid w:val="5EAC049C"/>
    <w:rsid w:val="5FCB7293"/>
    <w:rsid w:val="600452D7"/>
    <w:rsid w:val="60113A80"/>
    <w:rsid w:val="606478FC"/>
    <w:rsid w:val="609977D4"/>
    <w:rsid w:val="60FC6105"/>
    <w:rsid w:val="617B2CF6"/>
    <w:rsid w:val="61FD5876"/>
    <w:rsid w:val="62093465"/>
    <w:rsid w:val="62315204"/>
    <w:rsid w:val="627E55B4"/>
    <w:rsid w:val="62920206"/>
    <w:rsid w:val="62B8336A"/>
    <w:rsid w:val="63654BA0"/>
    <w:rsid w:val="63BD2EF1"/>
    <w:rsid w:val="64337579"/>
    <w:rsid w:val="643A6F91"/>
    <w:rsid w:val="64441196"/>
    <w:rsid w:val="64D766B5"/>
    <w:rsid w:val="65077E41"/>
    <w:rsid w:val="65091B75"/>
    <w:rsid w:val="652A1A23"/>
    <w:rsid w:val="65A67D23"/>
    <w:rsid w:val="65BC6440"/>
    <w:rsid w:val="65C36E7F"/>
    <w:rsid w:val="65D21A26"/>
    <w:rsid w:val="66247356"/>
    <w:rsid w:val="663033C6"/>
    <w:rsid w:val="663B7430"/>
    <w:rsid w:val="672A0BC3"/>
    <w:rsid w:val="675C2222"/>
    <w:rsid w:val="67AF7FBD"/>
    <w:rsid w:val="67B339ED"/>
    <w:rsid w:val="687775B2"/>
    <w:rsid w:val="69392B0D"/>
    <w:rsid w:val="697A2199"/>
    <w:rsid w:val="6A1B14A7"/>
    <w:rsid w:val="6AD32BB4"/>
    <w:rsid w:val="6AE5012B"/>
    <w:rsid w:val="6AF40D47"/>
    <w:rsid w:val="6B241A17"/>
    <w:rsid w:val="6B7636D8"/>
    <w:rsid w:val="6DF30B28"/>
    <w:rsid w:val="6E1148C4"/>
    <w:rsid w:val="6E713CCA"/>
    <w:rsid w:val="6E81596A"/>
    <w:rsid w:val="6E914282"/>
    <w:rsid w:val="6E9C0F6F"/>
    <w:rsid w:val="6F0E4EC3"/>
    <w:rsid w:val="6FCB013A"/>
    <w:rsid w:val="70557737"/>
    <w:rsid w:val="71AD7318"/>
    <w:rsid w:val="71B95A25"/>
    <w:rsid w:val="71C37A53"/>
    <w:rsid w:val="71EA5EF0"/>
    <w:rsid w:val="71F9581F"/>
    <w:rsid w:val="72290019"/>
    <w:rsid w:val="72553376"/>
    <w:rsid w:val="726D70E7"/>
    <w:rsid w:val="72A63D8F"/>
    <w:rsid w:val="72BC394B"/>
    <w:rsid w:val="72D134E1"/>
    <w:rsid w:val="72E32735"/>
    <w:rsid w:val="7427011F"/>
    <w:rsid w:val="746F2EE7"/>
    <w:rsid w:val="747D74F0"/>
    <w:rsid w:val="74837D23"/>
    <w:rsid w:val="749B41B7"/>
    <w:rsid w:val="74C31ECB"/>
    <w:rsid w:val="74E134D0"/>
    <w:rsid w:val="74F72F88"/>
    <w:rsid w:val="75605A57"/>
    <w:rsid w:val="75942919"/>
    <w:rsid w:val="75A24683"/>
    <w:rsid w:val="75DE10F7"/>
    <w:rsid w:val="75E55000"/>
    <w:rsid w:val="768F0D80"/>
    <w:rsid w:val="772207AC"/>
    <w:rsid w:val="77540081"/>
    <w:rsid w:val="77AA57AB"/>
    <w:rsid w:val="781A799C"/>
    <w:rsid w:val="784B4C85"/>
    <w:rsid w:val="787F2012"/>
    <w:rsid w:val="793623C2"/>
    <w:rsid w:val="79723BD2"/>
    <w:rsid w:val="79E537AF"/>
    <w:rsid w:val="7A385094"/>
    <w:rsid w:val="7AAA36FF"/>
    <w:rsid w:val="7B1538AF"/>
    <w:rsid w:val="7C9C4E59"/>
    <w:rsid w:val="7CB7092B"/>
    <w:rsid w:val="7CF16C56"/>
    <w:rsid w:val="7D1A5E32"/>
    <w:rsid w:val="7D327E74"/>
    <w:rsid w:val="7D391B9A"/>
    <w:rsid w:val="7D4C3324"/>
    <w:rsid w:val="7DFA765C"/>
    <w:rsid w:val="7E2F1D63"/>
    <w:rsid w:val="FD36D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5"/>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77"/>
    <w:qFormat/>
    <w:uiPriority w:val="0"/>
    <w:pPr>
      <w:keepNext/>
      <w:keepLines/>
      <w:spacing w:before="260" w:after="260" w:line="416" w:lineRule="auto"/>
      <w:outlineLvl w:val="2"/>
    </w:pPr>
    <w:rPr>
      <w:b/>
      <w:bCs/>
      <w:kern w:val="0"/>
      <w:sz w:val="32"/>
      <w:szCs w:val="32"/>
    </w:rPr>
  </w:style>
  <w:style w:type="paragraph" w:styleId="6">
    <w:name w:val="heading 4"/>
    <w:basedOn w:val="1"/>
    <w:next w:val="1"/>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8"/>
    <w:link w:val="78"/>
    <w:qFormat/>
    <w:uiPriority w:val="0"/>
    <w:pPr>
      <w:keepNext/>
      <w:keepLines/>
      <w:numPr>
        <w:ilvl w:val="4"/>
        <w:numId w:val="1"/>
      </w:numPr>
      <w:spacing w:before="280" w:after="290" w:line="376" w:lineRule="auto"/>
      <w:outlineLvl w:val="4"/>
    </w:pPr>
    <w:rPr>
      <w:b/>
      <w:sz w:val="28"/>
    </w:rPr>
  </w:style>
  <w:style w:type="paragraph" w:styleId="9">
    <w:name w:val="heading 6"/>
    <w:basedOn w:val="1"/>
    <w:next w:val="8"/>
    <w:link w:val="79"/>
    <w:qFormat/>
    <w:uiPriority w:val="0"/>
    <w:pPr>
      <w:keepNext/>
      <w:keepLines/>
      <w:numPr>
        <w:ilvl w:val="5"/>
        <w:numId w:val="1"/>
      </w:numPr>
      <w:spacing w:before="240" w:after="64" w:line="320" w:lineRule="auto"/>
      <w:outlineLvl w:val="5"/>
    </w:pPr>
    <w:rPr>
      <w:rFonts w:ascii="Arial" w:hAnsi="Arial" w:eastAsia="黑体"/>
      <w:b/>
      <w:sz w:val="24"/>
    </w:rPr>
  </w:style>
  <w:style w:type="paragraph" w:styleId="10">
    <w:name w:val="heading 7"/>
    <w:basedOn w:val="1"/>
    <w:next w:val="8"/>
    <w:link w:val="80"/>
    <w:qFormat/>
    <w:uiPriority w:val="0"/>
    <w:pPr>
      <w:keepNext/>
      <w:keepLines/>
      <w:numPr>
        <w:ilvl w:val="6"/>
        <w:numId w:val="1"/>
      </w:numPr>
      <w:spacing w:before="240" w:after="64" w:line="320" w:lineRule="auto"/>
      <w:outlineLvl w:val="6"/>
    </w:pPr>
    <w:rPr>
      <w:b/>
      <w:sz w:val="24"/>
    </w:rPr>
  </w:style>
  <w:style w:type="paragraph" w:styleId="11">
    <w:name w:val="heading 8"/>
    <w:basedOn w:val="1"/>
    <w:next w:val="8"/>
    <w:link w:val="81"/>
    <w:qFormat/>
    <w:uiPriority w:val="0"/>
    <w:pPr>
      <w:keepNext/>
      <w:keepLines/>
      <w:numPr>
        <w:ilvl w:val="7"/>
        <w:numId w:val="1"/>
      </w:numPr>
      <w:spacing w:before="240" w:after="64" w:line="320" w:lineRule="auto"/>
      <w:outlineLvl w:val="7"/>
    </w:pPr>
    <w:rPr>
      <w:rFonts w:ascii="Arial" w:hAnsi="Arial" w:eastAsia="黑体"/>
      <w:sz w:val="24"/>
    </w:rPr>
  </w:style>
  <w:style w:type="paragraph" w:styleId="12">
    <w:name w:val="heading 9"/>
    <w:basedOn w:val="1"/>
    <w:next w:val="8"/>
    <w:link w:val="82"/>
    <w:qFormat/>
    <w:uiPriority w:val="0"/>
    <w:pPr>
      <w:keepNext/>
      <w:keepLines/>
      <w:numPr>
        <w:ilvl w:val="8"/>
        <w:numId w:val="1"/>
      </w:numPr>
      <w:spacing w:before="240" w:after="64" w:line="320" w:lineRule="auto"/>
      <w:outlineLvl w:val="8"/>
    </w:pPr>
    <w:rPr>
      <w:rFonts w:ascii="Arial" w:hAnsi="Arial" w:eastAsia="黑体"/>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customStyle="1" w:styleId="2">
    <w:name w:val="Title1"/>
    <w:basedOn w:val="1"/>
    <w:next w:val="1"/>
    <w:qFormat/>
    <w:uiPriority w:val="0"/>
    <w:pPr>
      <w:jc w:val="center"/>
      <w:outlineLvl w:val="0"/>
    </w:pPr>
    <w:rPr>
      <w:rFonts w:ascii="Calibri Light" w:hAnsi="Calibri Light" w:eastAsia="Arial Unicode MS"/>
      <w:b/>
    </w:rPr>
  </w:style>
  <w:style w:type="paragraph" w:styleId="8">
    <w:name w:val="Normal Indent"/>
    <w:basedOn w:val="1"/>
    <w:qFormat/>
    <w:uiPriority w:val="0"/>
    <w:pPr>
      <w:ind w:firstLine="420"/>
    </w:pPr>
    <w:rPr>
      <w:szCs w:val="20"/>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List Number"/>
    <w:basedOn w:val="1"/>
    <w:qFormat/>
    <w:uiPriority w:val="0"/>
    <w:pPr>
      <w:widowControl/>
      <w:tabs>
        <w:tab w:val="left" w:pos="454"/>
        <w:tab w:val="left" w:pos="720"/>
        <w:tab w:val="left" w:pos="840"/>
      </w:tabs>
      <w:spacing w:after="50" w:afterLines="50"/>
      <w:ind w:left="454" w:hanging="284"/>
      <w:jc w:val="left"/>
    </w:pPr>
    <w:rPr>
      <w:kern w:val="0"/>
      <w:sz w:val="24"/>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Document Map"/>
    <w:basedOn w:val="1"/>
    <w:link w:val="83"/>
    <w:unhideWhenUsed/>
    <w:qFormat/>
    <w:uiPriority w:val="0"/>
    <w:pPr>
      <w:shd w:val="clear" w:color="auto" w:fill="000080"/>
    </w:pPr>
    <w:rPr>
      <w:rFonts w:hint="eastAsia" w:ascii="宋体" w:hAnsi="宋体"/>
      <w:kern w:val="0"/>
      <w:sz w:val="20"/>
      <w:szCs w:val="20"/>
    </w:rPr>
  </w:style>
  <w:style w:type="paragraph" w:styleId="17">
    <w:name w:val="annotation text"/>
    <w:basedOn w:val="1"/>
    <w:link w:val="84"/>
    <w:unhideWhenUsed/>
    <w:qFormat/>
    <w:uiPriority w:val="0"/>
    <w:pPr>
      <w:jc w:val="left"/>
    </w:pPr>
  </w:style>
  <w:style w:type="paragraph" w:styleId="18">
    <w:name w:val="Body Text 3"/>
    <w:basedOn w:val="1"/>
    <w:link w:val="85"/>
    <w:qFormat/>
    <w:uiPriority w:val="0"/>
    <w:pPr>
      <w:spacing w:line="500" w:lineRule="exact"/>
    </w:pPr>
    <w:rPr>
      <w:b/>
      <w:bCs/>
      <w:kern w:val="0"/>
      <w:sz w:val="24"/>
    </w:rPr>
  </w:style>
  <w:style w:type="paragraph" w:styleId="19">
    <w:name w:val="Body Text"/>
    <w:basedOn w:val="1"/>
    <w:next w:val="20"/>
    <w:link w:val="86"/>
    <w:qFormat/>
    <w:uiPriority w:val="99"/>
    <w:pPr>
      <w:spacing w:line="380" w:lineRule="exact"/>
    </w:pPr>
    <w:rPr>
      <w:kern w:val="0"/>
      <w:sz w:val="24"/>
    </w:rPr>
  </w:style>
  <w:style w:type="paragraph" w:styleId="20">
    <w:name w:val="Body Text First Indent"/>
    <w:basedOn w:val="19"/>
    <w:next w:val="1"/>
    <w:qFormat/>
    <w:uiPriority w:val="0"/>
    <w:pPr>
      <w:spacing w:after="120" w:line="240" w:lineRule="auto"/>
      <w:ind w:firstLine="420" w:firstLineChars="100"/>
    </w:pPr>
    <w:rPr>
      <w:sz w:val="21"/>
    </w:rPr>
  </w:style>
  <w:style w:type="paragraph" w:styleId="21">
    <w:name w:val="Body Text Indent"/>
    <w:basedOn w:val="1"/>
    <w:link w:val="87"/>
    <w:qFormat/>
    <w:uiPriority w:val="0"/>
    <w:pPr>
      <w:ind w:firstLine="830" w:firstLineChars="352"/>
    </w:pPr>
    <w:rPr>
      <w:rFonts w:ascii="仿宋_GB2312" w:eastAsia="仿宋_GB2312"/>
      <w:kern w:val="0"/>
      <w:sz w:val="32"/>
      <w:szCs w:val="20"/>
    </w:rPr>
  </w:style>
  <w:style w:type="paragraph" w:styleId="22">
    <w:name w:val="List Number 3"/>
    <w:basedOn w:val="1"/>
    <w:qFormat/>
    <w:uiPriority w:val="0"/>
    <w:pPr>
      <w:numPr>
        <w:ilvl w:val="0"/>
        <w:numId w:val="2"/>
      </w:numPr>
    </w:pPr>
  </w:style>
  <w:style w:type="paragraph" w:styleId="23">
    <w:name w:val="List 2"/>
    <w:basedOn w:val="1"/>
    <w:qFormat/>
    <w:uiPriority w:val="0"/>
    <w:pPr>
      <w:ind w:left="100" w:leftChars="200" w:hanging="200" w:hangingChars="200"/>
    </w:pPr>
    <w:rPr>
      <w:sz w:val="28"/>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unhideWhenUsed/>
    <w:qFormat/>
    <w:uiPriority w:val="39"/>
    <w:pPr>
      <w:ind w:left="840" w:leftChars="400"/>
    </w:pPr>
    <w:rPr>
      <w:rFonts w:ascii="Calibri" w:hAnsi="Calibri"/>
      <w:szCs w:val="22"/>
    </w:rPr>
  </w:style>
  <w:style w:type="paragraph" w:styleId="26">
    <w:name w:val="Plain Text"/>
    <w:basedOn w:val="1"/>
    <w:link w:val="88"/>
    <w:qFormat/>
    <w:uiPriority w:val="0"/>
    <w:rPr>
      <w:rFonts w:ascii="宋体" w:hAnsi="Courier New"/>
      <w:kern w:val="0"/>
      <w:sz w:val="20"/>
      <w:szCs w:val="21"/>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89"/>
    <w:qFormat/>
    <w:uiPriority w:val="0"/>
    <w:pPr>
      <w:ind w:left="100" w:leftChars="2500"/>
    </w:pPr>
    <w:rPr>
      <w:rFonts w:ascii="宋体" w:hAnsi="Courier New"/>
      <w:kern w:val="0"/>
      <w:sz w:val="20"/>
      <w:szCs w:val="21"/>
    </w:rPr>
  </w:style>
  <w:style w:type="paragraph" w:styleId="29">
    <w:name w:val="Body Text Indent 2"/>
    <w:basedOn w:val="1"/>
    <w:link w:val="90"/>
    <w:qFormat/>
    <w:uiPriority w:val="0"/>
    <w:pPr>
      <w:ind w:firstLine="630"/>
    </w:pPr>
    <w:rPr>
      <w:kern w:val="0"/>
      <w:sz w:val="32"/>
      <w:szCs w:val="20"/>
    </w:rPr>
  </w:style>
  <w:style w:type="paragraph" w:styleId="30">
    <w:name w:val="endnote text"/>
    <w:basedOn w:val="1"/>
    <w:link w:val="91"/>
    <w:unhideWhenUsed/>
    <w:qFormat/>
    <w:uiPriority w:val="99"/>
    <w:pPr>
      <w:snapToGrid w:val="0"/>
      <w:jc w:val="left"/>
    </w:pPr>
  </w:style>
  <w:style w:type="paragraph" w:styleId="31">
    <w:name w:val="Balloon Text"/>
    <w:basedOn w:val="1"/>
    <w:link w:val="92"/>
    <w:semiHidden/>
    <w:qFormat/>
    <w:uiPriority w:val="0"/>
    <w:rPr>
      <w:kern w:val="0"/>
      <w:sz w:val="18"/>
      <w:szCs w:val="18"/>
    </w:rPr>
  </w:style>
  <w:style w:type="paragraph" w:styleId="32">
    <w:name w:val="footer"/>
    <w:basedOn w:val="1"/>
    <w:link w:val="93"/>
    <w:unhideWhenUsed/>
    <w:qFormat/>
    <w:uiPriority w:val="99"/>
    <w:pPr>
      <w:tabs>
        <w:tab w:val="center" w:pos="4153"/>
        <w:tab w:val="right" w:pos="8306"/>
      </w:tabs>
      <w:snapToGrid w:val="0"/>
      <w:jc w:val="left"/>
    </w:pPr>
    <w:rPr>
      <w:kern w:val="0"/>
      <w:sz w:val="18"/>
      <w:szCs w:val="18"/>
    </w:rPr>
  </w:style>
  <w:style w:type="paragraph" w:styleId="33">
    <w:name w:val="header"/>
    <w:basedOn w:val="1"/>
    <w:link w:val="94"/>
    <w:unhideWhenUsed/>
    <w:qFormat/>
    <w:uiPriority w:val="99"/>
    <w:pPr>
      <w:pBdr>
        <w:bottom w:val="single" w:color="auto" w:sz="6" w:space="1"/>
      </w:pBdr>
      <w:tabs>
        <w:tab w:val="center" w:pos="0"/>
        <w:tab w:val="left" w:pos="8306"/>
      </w:tabs>
      <w:snapToGrid w:val="0"/>
      <w:jc w:val="center"/>
    </w:pPr>
    <w:rPr>
      <w:sz w:val="18"/>
      <w:szCs w:val="18"/>
    </w:rPr>
  </w:style>
  <w:style w:type="paragraph" w:styleId="34">
    <w:name w:val="toc 1"/>
    <w:basedOn w:val="1"/>
    <w:next w:val="1"/>
    <w:qFormat/>
    <w:uiPriority w:val="39"/>
    <w:pPr>
      <w:tabs>
        <w:tab w:val="right" w:leader="dot" w:pos="8398"/>
      </w:tabs>
      <w:spacing w:before="120" w:after="120"/>
      <w:ind w:firstLine="240" w:firstLineChars="100"/>
      <w:jc w:val="left"/>
    </w:pPr>
    <w:rPr>
      <w:rFonts w:ascii="宋体" w:hAnsi="宋体"/>
      <w:b/>
      <w:bCs/>
      <w:caps/>
      <w:sz w:val="24"/>
    </w:rPr>
  </w:style>
  <w:style w:type="paragraph" w:styleId="35">
    <w:name w:val="toc 4"/>
    <w:basedOn w:val="1"/>
    <w:next w:val="1"/>
    <w:unhideWhenUsed/>
    <w:qFormat/>
    <w:uiPriority w:val="39"/>
    <w:pPr>
      <w:ind w:left="1260" w:leftChars="600"/>
    </w:pPr>
    <w:rPr>
      <w:rFonts w:ascii="Calibri" w:hAnsi="Calibri"/>
      <w:szCs w:val="22"/>
    </w:rPr>
  </w:style>
  <w:style w:type="paragraph" w:styleId="36">
    <w:name w:val="List"/>
    <w:basedOn w:val="1"/>
    <w:qFormat/>
    <w:uiPriority w:val="0"/>
    <w:pPr>
      <w:ind w:left="200" w:hanging="200" w:hangingChars="200"/>
    </w:pPr>
    <w:rPr>
      <w:sz w:val="28"/>
    </w:rPr>
  </w:style>
  <w:style w:type="paragraph" w:styleId="37">
    <w:name w:val="footnote text"/>
    <w:basedOn w:val="1"/>
    <w:link w:val="95"/>
    <w:unhideWhenUsed/>
    <w:qFormat/>
    <w:uiPriority w:val="99"/>
    <w:pPr>
      <w:snapToGrid w:val="0"/>
      <w:jc w:val="left"/>
    </w:pPr>
    <w:rPr>
      <w:sz w:val="18"/>
      <w:szCs w:val="18"/>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96"/>
    <w:qFormat/>
    <w:uiPriority w:val="0"/>
    <w:pPr>
      <w:spacing w:after="120"/>
      <w:ind w:left="420" w:leftChars="200"/>
    </w:pPr>
    <w:rPr>
      <w:kern w:val="0"/>
      <w:sz w:val="16"/>
      <w:szCs w:val="16"/>
    </w:rPr>
  </w:style>
  <w:style w:type="paragraph" w:styleId="40">
    <w:name w:val="toc 2"/>
    <w:basedOn w:val="1"/>
    <w:next w:val="1"/>
    <w:unhideWhenUsed/>
    <w:qFormat/>
    <w:uiPriority w:val="39"/>
    <w:pPr>
      <w:ind w:left="420" w:leftChars="200"/>
    </w:pPr>
  </w:style>
  <w:style w:type="paragraph" w:styleId="41">
    <w:name w:val="toc 9"/>
    <w:basedOn w:val="1"/>
    <w:next w:val="1"/>
    <w:unhideWhenUsed/>
    <w:qFormat/>
    <w:uiPriority w:val="39"/>
    <w:pPr>
      <w:ind w:left="3360" w:leftChars="1600"/>
    </w:pPr>
    <w:rPr>
      <w:rFonts w:ascii="Calibri" w:hAnsi="Calibri"/>
      <w:szCs w:val="22"/>
    </w:rPr>
  </w:style>
  <w:style w:type="paragraph" w:styleId="42">
    <w:name w:val="Body Text 2"/>
    <w:basedOn w:val="1"/>
    <w:link w:val="97"/>
    <w:qFormat/>
    <w:uiPriority w:val="0"/>
    <w:pPr>
      <w:spacing w:after="120" w:line="480" w:lineRule="auto"/>
    </w:pPr>
    <w:rPr>
      <w:kern w:val="0"/>
      <w:sz w:val="20"/>
    </w:rPr>
  </w:style>
  <w:style w:type="paragraph" w:styleId="43">
    <w:name w:val="Normal (Web)"/>
    <w:basedOn w:val="1"/>
    <w:qFormat/>
    <w:uiPriority w:val="99"/>
    <w:pPr>
      <w:widowControl/>
      <w:spacing w:before="100" w:beforeAutospacing="1" w:after="100" w:afterAutospacing="1"/>
      <w:jc w:val="left"/>
    </w:pPr>
    <w:rPr>
      <w:rFonts w:ascii="宋体" w:hAnsi="宋体"/>
      <w:kern w:val="0"/>
      <w:sz w:val="24"/>
    </w:rPr>
  </w:style>
  <w:style w:type="paragraph" w:styleId="44">
    <w:name w:val="index 1"/>
    <w:basedOn w:val="1"/>
    <w:next w:val="1"/>
    <w:semiHidden/>
    <w:qFormat/>
    <w:uiPriority w:val="0"/>
    <w:pPr>
      <w:spacing w:line="400" w:lineRule="exact"/>
      <w:ind w:firstLine="420" w:firstLineChars="200"/>
    </w:pPr>
    <w:rPr>
      <w:rFonts w:ascii="宋体" w:hAnsi="Courier New"/>
      <w:b/>
      <w:szCs w:val="20"/>
    </w:rPr>
  </w:style>
  <w:style w:type="paragraph" w:styleId="45">
    <w:name w:val="Title"/>
    <w:basedOn w:val="1"/>
    <w:next w:val="1"/>
    <w:link w:val="98"/>
    <w:qFormat/>
    <w:uiPriority w:val="10"/>
    <w:pPr>
      <w:spacing w:before="240" w:after="60"/>
      <w:jc w:val="center"/>
      <w:outlineLvl w:val="0"/>
    </w:pPr>
    <w:rPr>
      <w:rFonts w:ascii="Cambria" w:hAnsi="Cambria"/>
      <w:b/>
      <w:bCs/>
      <w:sz w:val="32"/>
      <w:szCs w:val="32"/>
    </w:rPr>
  </w:style>
  <w:style w:type="paragraph" w:styleId="46">
    <w:name w:val="annotation subject"/>
    <w:basedOn w:val="17"/>
    <w:next w:val="17"/>
    <w:link w:val="99"/>
    <w:unhideWhenUsed/>
    <w:qFormat/>
    <w:uiPriority w:val="99"/>
    <w:rPr>
      <w:b/>
      <w:bCs/>
    </w:rPr>
  </w:style>
  <w:style w:type="paragraph" w:styleId="47">
    <w:name w:val="Body Text First Indent 2"/>
    <w:basedOn w:val="21"/>
    <w:next w:val="1"/>
    <w:qFormat/>
    <w:uiPriority w:val="0"/>
    <w:pPr>
      <w:spacing w:after="120"/>
      <w:ind w:left="420" w:leftChars="200" w:firstLine="420" w:firstLineChars="200"/>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qFormat/>
    <w:uiPriority w:val="22"/>
    <w:rPr>
      <w:b/>
    </w:rPr>
  </w:style>
  <w:style w:type="character" w:styleId="52">
    <w:name w:val="endnote reference"/>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000000"/>
      <w:u w:val="none"/>
    </w:rPr>
  </w:style>
  <w:style w:type="character" w:styleId="55">
    <w:name w:val="Hyperlink"/>
    <w:qFormat/>
    <w:uiPriority w:val="99"/>
    <w:rPr>
      <w:color w:val="000000"/>
      <w:u w:val="none"/>
    </w:rPr>
  </w:style>
  <w:style w:type="character" w:styleId="56">
    <w:name w:val="annotation reference"/>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无间隔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59">
    <w:name w:val="Char1"/>
    <w:basedOn w:val="1"/>
    <w:qFormat/>
    <w:uiPriority w:val="0"/>
    <w:rPr>
      <w:szCs w:val="21"/>
    </w:rPr>
  </w:style>
  <w:style w:type="paragraph" w:customStyle="1" w:styleId="60">
    <w:name w:val="_Style 56"/>
    <w:basedOn w:val="1"/>
    <w:qFormat/>
    <w:uiPriority w:val="34"/>
    <w:pPr>
      <w:ind w:firstLine="420" w:firstLineChars="200"/>
    </w:pPr>
  </w:style>
  <w:style w:type="paragraph" w:customStyle="1" w:styleId="6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62">
    <w:name w:val="默认段落字体 Para Char Char Char Char Char Char Char Char Char1 Char Char Char Char"/>
    <w:basedOn w:val="1"/>
    <w:qFormat/>
    <w:uiPriority w:val="0"/>
    <w:rPr>
      <w:rFonts w:ascii="Tahoma" w:hAnsi="Tahoma"/>
      <w:sz w:val="24"/>
      <w:szCs w:val="20"/>
    </w:rPr>
  </w:style>
  <w:style w:type="paragraph" w:customStyle="1" w:styleId="63">
    <w:name w:val="样式"/>
    <w:qFormat/>
    <w:uiPriority w:val="0"/>
    <w:pPr>
      <w:widowControl w:val="0"/>
      <w:autoSpaceDE w:val="0"/>
      <w:autoSpaceDN w:val="0"/>
      <w:adjustRightInd w:val="0"/>
      <w:jc w:val="center"/>
    </w:pPr>
    <w:rPr>
      <w:rFonts w:ascii="宋体" w:hAnsi="宋体" w:eastAsia="宋体" w:cs="宋体"/>
      <w:sz w:val="24"/>
      <w:szCs w:val="24"/>
      <w:lang w:val="en-US" w:eastAsia="zh-CN" w:bidi="ar-SA"/>
    </w:rPr>
  </w:style>
  <w:style w:type="paragraph" w:customStyle="1" w:styleId="64">
    <w:name w:val="纯文本1"/>
    <w:basedOn w:val="1"/>
    <w:qFormat/>
    <w:uiPriority w:val="0"/>
    <w:rPr>
      <w:rFonts w:ascii="宋体" w:hAnsi="Courier New" w:cs="Century"/>
      <w:szCs w:val="21"/>
    </w:rPr>
  </w:style>
  <w:style w:type="paragraph" w:customStyle="1" w:styleId="65">
    <w:name w:val="Table Paragraph"/>
    <w:basedOn w:val="1"/>
    <w:qFormat/>
    <w:uiPriority w:val="1"/>
    <w:pPr>
      <w:jc w:val="left"/>
    </w:pPr>
    <w:rPr>
      <w:rFonts w:ascii="Calibri" w:hAnsi="Calibri"/>
      <w:kern w:val="0"/>
      <w:sz w:val="22"/>
      <w:szCs w:val="22"/>
      <w:lang w:eastAsia="en-US"/>
    </w:rPr>
  </w:style>
  <w:style w:type="paragraph" w:customStyle="1" w:styleId="66">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67">
    <w:name w:val="表格"/>
    <w:basedOn w:val="1"/>
    <w:qFormat/>
    <w:uiPriority w:val="0"/>
    <w:pPr>
      <w:spacing w:line="400" w:lineRule="exact"/>
    </w:pPr>
    <w:rPr>
      <w:sz w:val="24"/>
    </w:rPr>
  </w:style>
  <w:style w:type="paragraph" w:customStyle="1" w:styleId="68">
    <w:name w:val="样式 首行缩进:  2 字符"/>
    <w:basedOn w:val="1"/>
    <w:qFormat/>
    <w:uiPriority w:val="0"/>
    <w:pPr>
      <w:spacing w:line="400" w:lineRule="exact"/>
      <w:ind w:firstLine="200" w:firstLineChars="200"/>
    </w:pPr>
    <w:rPr>
      <w:rFonts w:cs="宋体"/>
      <w:sz w:val="24"/>
    </w:rPr>
  </w:style>
  <w:style w:type="paragraph" w:customStyle="1" w:styleId="69">
    <w:name w:val="xl22"/>
    <w:basedOn w:val="1"/>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7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71">
    <w:name w:val="正文首行缩进两字符"/>
    <w:basedOn w:val="1"/>
    <w:qFormat/>
    <w:uiPriority w:val="0"/>
    <w:pPr>
      <w:spacing w:line="360" w:lineRule="auto"/>
      <w:ind w:firstLine="200" w:firstLineChars="200"/>
    </w:pPr>
  </w:style>
  <w:style w:type="paragraph" w:customStyle="1" w:styleId="72">
    <w:name w:val="正文段"/>
    <w:basedOn w:val="1"/>
    <w:qFormat/>
    <w:uiPriority w:val="0"/>
    <w:pPr>
      <w:widowControl/>
      <w:snapToGrid w:val="0"/>
      <w:spacing w:after="50" w:afterLines="50"/>
      <w:ind w:firstLine="200" w:firstLineChars="200"/>
    </w:pPr>
    <w:rPr>
      <w:kern w:val="0"/>
      <w:sz w:val="24"/>
      <w:szCs w:val="20"/>
    </w:rPr>
  </w:style>
  <w:style w:type="paragraph" w:customStyle="1" w:styleId="73">
    <w:name w:val="列表段落1"/>
    <w:basedOn w:val="1"/>
    <w:qFormat/>
    <w:uiPriority w:val="34"/>
    <w:pPr>
      <w:ind w:firstLine="420" w:firstLineChars="200"/>
    </w:pPr>
  </w:style>
  <w:style w:type="paragraph" w:customStyle="1" w:styleId="7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75">
    <w:name w:val="标题 1 字符1"/>
    <w:link w:val="3"/>
    <w:qFormat/>
    <w:uiPriority w:val="0"/>
    <w:rPr>
      <w:rFonts w:ascii="Times New Roman" w:hAnsi="Times New Roman" w:eastAsia="宋体" w:cs="Times New Roman"/>
      <w:b/>
      <w:bCs/>
      <w:kern w:val="44"/>
      <w:sz w:val="44"/>
      <w:szCs w:val="44"/>
    </w:rPr>
  </w:style>
  <w:style w:type="character" w:customStyle="1" w:styleId="76">
    <w:name w:val="标题 2 字符"/>
    <w:link w:val="4"/>
    <w:qFormat/>
    <w:uiPriority w:val="0"/>
    <w:rPr>
      <w:rFonts w:ascii="Arial" w:hAnsi="Arial" w:eastAsia="黑体" w:cs="Times New Roman"/>
      <w:b/>
      <w:bCs/>
      <w:sz w:val="32"/>
      <w:szCs w:val="32"/>
    </w:rPr>
  </w:style>
  <w:style w:type="character" w:customStyle="1" w:styleId="77">
    <w:name w:val="标题 3 字符"/>
    <w:link w:val="5"/>
    <w:qFormat/>
    <w:uiPriority w:val="0"/>
    <w:rPr>
      <w:rFonts w:ascii="Times New Roman" w:hAnsi="Times New Roman" w:eastAsia="宋体" w:cs="Times New Roman"/>
      <w:b/>
      <w:bCs/>
      <w:sz w:val="32"/>
      <w:szCs w:val="32"/>
    </w:rPr>
  </w:style>
  <w:style w:type="character" w:customStyle="1" w:styleId="78">
    <w:name w:val="标题 5 字符"/>
    <w:link w:val="7"/>
    <w:qFormat/>
    <w:uiPriority w:val="0"/>
    <w:rPr>
      <w:b/>
      <w:kern w:val="2"/>
      <w:sz w:val="28"/>
      <w:szCs w:val="24"/>
    </w:rPr>
  </w:style>
  <w:style w:type="character" w:customStyle="1" w:styleId="79">
    <w:name w:val="标题 6 字符"/>
    <w:link w:val="9"/>
    <w:qFormat/>
    <w:uiPriority w:val="0"/>
    <w:rPr>
      <w:rFonts w:ascii="Arial" w:hAnsi="Arial" w:eastAsia="黑体"/>
      <w:b/>
      <w:kern w:val="2"/>
      <w:sz w:val="24"/>
      <w:szCs w:val="24"/>
    </w:rPr>
  </w:style>
  <w:style w:type="character" w:customStyle="1" w:styleId="80">
    <w:name w:val="标题 7 字符"/>
    <w:link w:val="10"/>
    <w:qFormat/>
    <w:uiPriority w:val="0"/>
    <w:rPr>
      <w:rFonts w:ascii="Times New Roman" w:hAnsi="Times New Roman"/>
      <w:b/>
      <w:kern w:val="2"/>
      <w:sz w:val="24"/>
      <w:szCs w:val="24"/>
    </w:rPr>
  </w:style>
  <w:style w:type="character" w:customStyle="1" w:styleId="81">
    <w:name w:val="标题 8 字符"/>
    <w:link w:val="11"/>
    <w:qFormat/>
    <w:uiPriority w:val="0"/>
    <w:rPr>
      <w:rFonts w:ascii="Arial" w:hAnsi="Arial" w:eastAsia="黑体"/>
      <w:kern w:val="2"/>
      <w:sz w:val="24"/>
      <w:szCs w:val="24"/>
    </w:rPr>
  </w:style>
  <w:style w:type="character" w:customStyle="1" w:styleId="82">
    <w:name w:val="标题 9 字符"/>
    <w:link w:val="12"/>
    <w:qFormat/>
    <w:uiPriority w:val="0"/>
    <w:rPr>
      <w:rFonts w:ascii="Arial" w:hAnsi="Arial" w:eastAsia="黑体"/>
      <w:kern w:val="2"/>
      <w:sz w:val="21"/>
      <w:szCs w:val="24"/>
    </w:rPr>
  </w:style>
  <w:style w:type="character" w:customStyle="1" w:styleId="83">
    <w:name w:val="文档结构图 字符"/>
    <w:link w:val="16"/>
    <w:qFormat/>
    <w:uiPriority w:val="0"/>
    <w:rPr>
      <w:rFonts w:hint="eastAsia" w:ascii="宋体" w:hAnsi="宋体" w:eastAsia="宋体" w:cs="宋体"/>
    </w:rPr>
  </w:style>
  <w:style w:type="character" w:customStyle="1" w:styleId="84">
    <w:name w:val="批注文字 字符2"/>
    <w:link w:val="17"/>
    <w:qFormat/>
    <w:uiPriority w:val="0"/>
    <w:rPr>
      <w:rFonts w:ascii="Times New Roman" w:hAnsi="Times New Roman"/>
      <w:kern w:val="2"/>
      <w:sz w:val="21"/>
      <w:szCs w:val="24"/>
    </w:rPr>
  </w:style>
  <w:style w:type="character" w:customStyle="1" w:styleId="85">
    <w:name w:val="正文文本 3 字符"/>
    <w:link w:val="18"/>
    <w:qFormat/>
    <w:uiPriority w:val="0"/>
    <w:rPr>
      <w:rFonts w:ascii="Times New Roman" w:hAnsi="Times New Roman" w:eastAsia="宋体" w:cs="Times New Roman"/>
      <w:b/>
      <w:bCs/>
      <w:sz w:val="24"/>
      <w:szCs w:val="24"/>
    </w:rPr>
  </w:style>
  <w:style w:type="character" w:customStyle="1" w:styleId="86">
    <w:name w:val="正文文本 字符"/>
    <w:link w:val="19"/>
    <w:qFormat/>
    <w:uiPriority w:val="99"/>
    <w:rPr>
      <w:rFonts w:ascii="Times New Roman" w:hAnsi="Times New Roman" w:eastAsia="宋体" w:cs="Times New Roman"/>
      <w:sz w:val="24"/>
      <w:szCs w:val="24"/>
    </w:rPr>
  </w:style>
  <w:style w:type="character" w:customStyle="1" w:styleId="87">
    <w:name w:val="正文文本缩进 字符1"/>
    <w:link w:val="21"/>
    <w:qFormat/>
    <w:uiPriority w:val="0"/>
    <w:rPr>
      <w:rFonts w:ascii="仿宋_GB2312" w:hAnsi="Times New Roman" w:eastAsia="仿宋_GB2312" w:cs="Times New Roman"/>
      <w:sz w:val="32"/>
      <w:szCs w:val="20"/>
    </w:rPr>
  </w:style>
  <w:style w:type="character" w:customStyle="1" w:styleId="88">
    <w:name w:val="纯文本 字符2"/>
    <w:link w:val="26"/>
    <w:qFormat/>
    <w:uiPriority w:val="0"/>
    <w:rPr>
      <w:rFonts w:ascii="宋体" w:hAnsi="Courier New" w:eastAsia="宋体" w:cs="Courier New"/>
      <w:szCs w:val="21"/>
    </w:rPr>
  </w:style>
  <w:style w:type="character" w:customStyle="1" w:styleId="89">
    <w:name w:val="日期 字符"/>
    <w:link w:val="28"/>
    <w:qFormat/>
    <w:uiPriority w:val="0"/>
    <w:rPr>
      <w:rFonts w:ascii="宋体" w:hAnsi="Courier New" w:eastAsia="宋体" w:cs="Courier New"/>
      <w:szCs w:val="21"/>
    </w:rPr>
  </w:style>
  <w:style w:type="character" w:customStyle="1" w:styleId="90">
    <w:name w:val="正文文本缩进 2 字符"/>
    <w:link w:val="29"/>
    <w:qFormat/>
    <w:uiPriority w:val="0"/>
    <w:rPr>
      <w:rFonts w:ascii="Times New Roman" w:hAnsi="Times New Roman" w:eastAsia="宋体" w:cs="Times New Roman"/>
      <w:sz w:val="32"/>
      <w:szCs w:val="20"/>
    </w:rPr>
  </w:style>
  <w:style w:type="character" w:customStyle="1" w:styleId="91">
    <w:name w:val="尾注文本 字符"/>
    <w:link w:val="30"/>
    <w:semiHidden/>
    <w:qFormat/>
    <w:uiPriority w:val="99"/>
    <w:rPr>
      <w:rFonts w:ascii="Times New Roman" w:hAnsi="Times New Roman"/>
      <w:kern w:val="2"/>
      <w:sz w:val="21"/>
      <w:szCs w:val="24"/>
    </w:rPr>
  </w:style>
  <w:style w:type="character" w:customStyle="1" w:styleId="92">
    <w:name w:val="批注框文本 字符"/>
    <w:link w:val="31"/>
    <w:semiHidden/>
    <w:qFormat/>
    <w:uiPriority w:val="0"/>
    <w:rPr>
      <w:rFonts w:ascii="Times New Roman" w:hAnsi="Times New Roman" w:eastAsia="宋体" w:cs="Times New Roman"/>
      <w:sz w:val="18"/>
      <w:szCs w:val="18"/>
    </w:rPr>
  </w:style>
  <w:style w:type="character" w:customStyle="1" w:styleId="93">
    <w:name w:val="页脚 字符1"/>
    <w:link w:val="32"/>
    <w:qFormat/>
    <w:uiPriority w:val="99"/>
    <w:rPr>
      <w:sz w:val="18"/>
      <w:szCs w:val="18"/>
    </w:rPr>
  </w:style>
  <w:style w:type="character" w:customStyle="1" w:styleId="94">
    <w:name w:val="页眉 字符"/>
    <w:link w:val="33"/>
    <w:qFormat/>
    <w:uiPriority w:val="99"/>
    <w:rPr>
      <w:rFonts w:ascii="Times New Roman" w:hAnsi="Times New Roman"/>
      <w:kern w:val="2"/>
      <w:sz w:val="18"/>
      <w:szCs w:val="18"/>
    </w:rPr>
  </w:style>
  <w:style w:type="character" w:customStyle="1" w:styleId="95">
    <w:name w:val="脚注文本 字符"/>
    <w:link w:val="37"/>
    <w:semiHidden/>
    <w:qFormat/>
    <w:uiPriority w:val="99"/>
    <w:rPr>
      <w:rFonts w:ascii="Times New Roman" w:hAnsi="Times New Roman"/>
      <w:kern w:val="2"/>
      <w:sz w:val="18"/>
      <w:szCs w:val="18"/>
    </w:rPr>
  </w:style>
  <w:style w:type="character" w:customStyle="1" w:styleId="96">
    <w:name w:val="正文文本缩进 3 字符"/>
    <w:link w:val="39"/>
    <w:qFormat/>
    <w:uiPriority w:val="0"/>
    <w:rPr>
      <w:rFonts w:ascii="Times New Roman" w:hAnsi="Times New Roman" w:eastAsia="宋体" w:cs="Times New Roman"/>
      <w:sz w:val="16"/>
      <w:szCs w:val="16"/>
    </w:rPr>
  </w:style>
  <w:style w:type="character" w:customStyle="1" w:styleId="97">
    <w:name w:val="正文文本 2 字符"/>
    <w:link w:val="42"/>
    <w:qFormat/>
    <w:uiPriority w:val="0"/>
    <w:rPr>
      <w:rFonts w:ascii="Times New Roman" w:hAnsi="Times New Roman" w:eastAsia="宋体" w:cs="Times New Roman"/>
      <w:szCs w:val="24"/>
    </w:rPr>
  </w:style>
  <w:style w:type="character" w:customStyle="1" w:styleId="98">
    <w:name w:val="标题 字符"/>
    <w:link w:val="45"/>
    <w:qFormat/>
    <w:uiPriority w:val="10"/>
    <w:rPr>
      <w:rFonts w:ascii="Cambria" w:hAnsi="Cambria" w:cs="Times New Roman"/>
      <w:b/>
      <w:bCs/>
      <w:kern w:val="2"/>
      <w:sz w:val="32"/>
      <w:szCs w:val="32"/>
    </w:rPr>
  </w:style>
  <w:style w:type="character" w:customStyle="1" w:styleId="99">
    <w:name w:val="批注主题 字符"/>
    <w:link w:val="46"/>
    <w:semiHidden/>
    <w:qFormat/>
    <w:uiPriority w:val="99"/>
    <w:rPr>
      <w:rFonts w:ascii="Times New Roman" w:hAnsi="Times New Roman"/>
      <w:b/>
      <w:bCs/>
      <w:kern w:val="2"/>
      <w:sz w:val="21"/>
      <w:szCs w:val="24"/>
    </w:rPr>
  </w:style>
  <w:style w:type="character" w:customStyle="1" w:styleId="100">
    <w:name w:val="批注文字 Char1"/>
    <w:qFormat/>
    <w:locked/>
    <w:uiPriority w:val="0"/>
    <w:rPr>
      <w:rFonts w:ascii="Times New Roman" w:hAnsi="Times New Roman"/>
      <w:kern w:val="2"/>
      <w:sz w:val="21"/>
      <w:szCs w:val="24"/>
    </w:rPr>
  </w:style>
  <w:style w:type="character" w:customStyle="1" w:styleId="101">
    <w:name w:val="case31"/>
    <w:qFormat/>
    <w:uiPriority w:val="0"/>
    <w:rPr>
      <w:rFonts w:hint="default" w:ascii="_x000B__x000C_" w:hAnsi="_x000B__x000C_"/>
      <w:sz w:val="21"/>
      <w:szCs w:val="21"/>
    </w:rPr>
  </w:style>
  <w:style w:type="character" w:customStyle="1" w:styleId="102">
    <w:name w:val="批注文字 Char"/>
    <w:qFormat/>
    <w:uiPriority w:val="0"/>
    <w:rPr>
      <w:rFonts w:ascii="Times New Roman" w:hAnsi="Times New Roman"/>
      <w:kern w:val="2"/>
      <w:sz w:val="21"/>
      <w:szCs w:val="24"/>
    </w:rPr>
  </w:style>
  <w:style w:type="character" w:customStyle="1" w:styleId="103">
    <w:name w:val="纯文本 Char"/>
    <w:qFormat/>
    <w:uiPriority w:val="0"/>
    <w:rPr>
      <w:rFonts w:ascii="宋体" w:hAnsi="Courier New" w:eastAsia="宋体"/>
      <w:kern w:val="2"/>
      <w:sz w:val="21"/>
      <w:lang w:val="en-US" w:eastAsia="zh-CN" w:bidi="ar-SA"/>
    </w:rPr>
  </w:style>
  <w:style w:type="character" w:customStyle="1" w:styleId="104">
    <w:name w:val="纯文本 字符1"/>
    <w:qFormat/>
    <w:uiPriority w:val="0"/>
    <w:rPr>
      <w:rFonts w:ascii="宋体" w:hAnsi="Courier New"/>
    </w:rPr>
  </w:style>
  <w:style w:type="character" w:customStyle="1" w:styleId="105">
    <w:name w:val="批注文字 字符1"/>
    <w:qFormat/>
    <w:uiPriority w:val="0"/>
    <w:rPr>
      <w:rFonts w:ascii="Times New Roman" w:hAnsi="Times New Roman"/>
      <w:kern w:val="2"/>
      <w:sz w:val="21"/>
      <w:szCs w:val="24"/>
    </w:rPr>
  </w:style>
  <w:style w:type="character" w:customStyle="1" w:styleId="106">
    <w:name w:val="正文文本 Char1"/>
    <w:semiHidden/>
    <w:qFormat/>
    <w:locked/>
    <w:uiPriority w:val="99"/>
    <w:rPr>
      <w:sz w:val="24"/>
      <w:szCs w:val="24"/>
    </w:rPr>
  </w:style>
  <w:style w:type="character" w:customStyle="1" w:styleId="107">
    <w:name w:val="apple-style-span"/>
    <w:qFormat/>
    <w:uiPriority w:val="0"/>
  </w:style>
  <w:style w:type="character" w:customStyle="1" w:styleId="108">
    <w:name w:val="textcontents"/>
    <w:qFormat/>
    <w:uiPriority w:val="0"/>
  </w:style>
  <w:style w:type="character" w:customStyle="1" w:styleId="109">
    <w:name w:val="普通文字 Char Char2"/>
    <w:qFormat/>
    <w:uiPriority w:val="0"/>
    <w:rPr>
      <w:rFonts w:ascii="宋体" w:hAnsi="Courier New" w:eastAsia="宋体"/>
      <w:kern w:val="2"/>
      <w:sz w:val="21"/>
      <w:lang w:val="en-US" w:eastAsia="zh-CN" w:bidi="ar-SA"/>
    </w:rPr>
  </w:style>
  <w:style w:type="character" w:customStyle="1" w:styleId="110">
    <w:name w:val="标题 5 Char"/>
    <w:qFormat/>
    <w:uiPriority w:val="9"/>
    <w:rPr>
      <w:b/>
      <w:kern w:val="2"/>
      <w:sz w:val="28"/>
      <w:szCs w:val="24"/>
    </w:rPr>
  </w:style>
  <w:style w:type="character" w:customStyle="1" w:styleId="111">
    <w:name w:val="批注文字 字符"/>
    <w:qFormat/>
    <w:uiPriority w:val="0"/>
    <w:rPr>
      <w:rFonts w:ascii="Times New Roman" w:hAnsi="Times New Roman"/>
      <w:kern w:val="2"/>
      <w:sz w:val="21"/>
      <w:szCs w:val="24"/>
    </w:rPr>
  </w:style>
  <w:style w:type="character" w:customStyle="1" w:styleId="112">
    <w:name w:val="标题 1 字符"/>
    <w:qFormat/>
    <w:uiPriority w:val="9"/>
    <w:rPr>
      <w:rFonts w:ascii="Times New Roman" w:hAnsi="Times New Roman" w:eastAsia="宋体" w:cs="Times New Roman"/>
      <w:b/>
      <w:bCs/>
      <w:kern w:val="44"/>
      <w:sz w:val="44"/>
      <w:szCs w:val="44"/>
    </w:rPr>
  </w:style>
  <w:style w:type="character" w:customStyle="1" w:styleId="113">
    <w:name w:val="纯文本 字符"/>
    <w:qFormat/>
    <w:uiPriority w:val="0"/>
    <w:rPr>
      <w:rFonts w:ascii="宋体" w:hAnsi="Courier New" w:eastAsia="宋体" w:cs="Courier New"/>
      <w:szCs w:val="21"/>
    </w:rPr>
  </w:style>
  <w:style w:type="character" w:customStyle="1" w:styleId="114">
    <w:name w:val="headline-content4"/>
    <w:qFormat/>
    <w:uiPriority w:val="0"/>
  </w:style>
  <w:style w:type="character" w:customStyle="1" w:styleId="115">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 w:type="character" w:customStyle="1" w:styleId="116">
    <w:name w:val="正文文本缩进 字符"/>
    <w:qFormat/>
    <w:uiPriority w:val="0"/>
    <w:rPr>
      <w:rFonts w:ascii="仿宋_GB2312" w:hAnsi="Times New Roman" w:eastAsia="仿宋_GB2312" w:cs="Times New Roman"/>
      <w:sz w:val="32"/>
      <w:szCs w:val="20"/>
    </w:rPr>
  </w:style>
  <w:style w:type="character" w:customStyle="1" w:styleId="117">
    <w:name w:val="页脚 字符"/>
    <w:qFormat/>
    <w:uiPriority w:val="99"/>
  </w:style>
  <w:style w:type="character" w:customStyle="1" w:styleId="118">
    <w:name w:val="标题 1 Char1"/>
    <w:qFormat/>
    <w:uiPriority w:val="0"/>
    <w:rPr>
      <w:rFonts w:eastAsia="宋体"/>
      <w:b/>
      <w:bCs/>
      <w:kern w:val="44"/>
      <w:sz w:val="44"/>
      <w:szCs w:val="44"/>
      <w:lang w:val="en-US" w:eastAsia="zh-CN" w:bidi="ar-SA"/>
    </w:rPr>
  </w:style>
  <w:style w:type="character" w:customStyle="1" w:styleId="119">
    <w:name w:val="font31"/>
    <w:qFormat/>
    <w:uiPriority w:val="0"/>
    <w:rPr>
      <w:rFonts w:ascii="方正书宋_GBK" w:hAnsi="方正书宋_GBK" w:eastAsia="方正书宋_GBK" w:cs="方正书宋_GBK"/>
      <w:color w:val="000000"/>
      <w:sz w:val="21"/>
      <w:szCs w:val="21"/>
      <w:u w:val="none"/>
    </w:rPr>
  </w:style>
  <w:style w:type="character" w:customStyle="1" w:styleId="120">
    <w:name w:val="font61"/>
    <w:qFormat/>
    <w:uiPriority w:val="0"/>
    <w:rPr>
      <w:rFonts w:hint="default" w:ascii="Times New Roman" w:hAnsi="Times New Roman" w:cs="Times New Roman"/>
      <w:color w:val="000000"/>
      <w:sz w:val="21"/>
      <w:szCs w:val="21"/>
      <w:u w:val="none"/>
    </w:rPr>
  </w:style>
  <w:style w:type="character" w:customStyle="1" w:styleId="121">
    <w:name w:val="font11"/>
    <w:qFormat/>
    <w:uiPriority w:val="0"/>
    <w:rPr>
      <w:rFonts w:hint="eastAsia" w:ascii="宋体" w:hAnsi="宋体" w:eastAsia="宋体" w:cs="宋体"/>
      <w:color w:val="000000"/>
      <w:sz w:val="21"/>
      <w:szCs w:val="21"/>
      <w:u w:val="none"/>
    </w:rPr>
  </w:style>
  <w:style w:type="table" w:customStyle="1" w:styleId="122">
    <w:name w:val="Table Normal"/>
    <w:semiHidden/>
    <w:qFormat/>
    <w:uiPriority w:val="2"/>
    <w:pPr>
      <w:widowControl w:val="0"/>
    </w:pPr>
    <w:rPr>
      <w:rFonts w:ascii="Calibri" w:hAnsi="Calibri" w:eastAsia="Times New Roman"/>
      <w:sz w:val="22"/>
      <w:szCs w:val="22"/>
      <w:lang w:eastAsia="en-US"/>
    </w:rPr>
    <w:tblPr>
      <w:tblCellMar>
        <w:top w:w="0" w:type="dxa"/>
        <w:left w:w="0" w:type="dxa"/>
        <w:bottom w:w="0" w:type="dxa"/>
        <w:right w:w="0" w:type="dxa"/>
      </w:tblCellMar>
    </w:tblPr>
  </w:style>
  <w:style w:type="paragraph" w:styleId="123">
    <w:name w:val="List Paragraph"/>
    <w:basedOn w:val="1"/>
    <w:qFormat/>
    <w:uiPriority w:val="34"/>
    <w:pPr>
      <w:ind w:firstLine="420" w:firstLineChars="200"/>
    </w:pPr>
    <w:rPr>
      <w:szCs w:val="22"/>
    </w:rPr>
  </w:style>
  <w:style w:type="character" w:customStyle="1" w:styleId="124">
    <w:name w:val="font51"/>
    <w:qFormat/>
    <w:uiPriority w:val="0"/>
    <w:rPr>
      <w:rFonts w:hint="default" w:ascii="Times New Roman" w:hAnsi="Times New Roman" w:cs="Times New Roman"/>
      <w:b/>
      <w:color w:val="000000"/>
      <w:sz w:val="18"/>
      <w:szCs w:val="18"/>
      <w:u w:val="none"/>
    </w:rPr>
  </w:style>
  <w:style w:type="paragraph" w:customStyle="1" w:styleId="125">
    <w:name w:val="列表段落2"/>
    <w:basedOn w:val="1"/>
    <w:qFormat/>
    <w:uiPriority w:val="0"/>
    <w:pPr>
      <w:ind w:firstLine="420" w:firstLineChars="200"/>
    </w:pPr>
    <w:rPr>
      <w:rFonts w:ascii="Calibri" w:hAnsi="Calibri"/>
      <w:szCs w:val="22"/>
    </w:rPr>
  </w:style>
  <w:style w:type="character" w:customStyle="1" w:styleId="126">
    <w:name w:val="font21"/>
    <w:qFormat/>
    <w:uiPriority w:val="0"/>
    <w:rPr>
      <w:rFonts w:hint="eastAsia" w:ascii="Courier New" w:hAnsi="Courier New" w:eastAsia="Courier New" w:cs="Courier New"/>
      <w:color w:val="000000"/>
      <w:sz w:val="28"/>
      <w:szCs w:val="28"/>
      <w:u w:val="none"/>
    </w:rPr>
  </w:style>
  <w:style w:type="character" w:customStyle="1" w:styleId="127">
    <w:name w:val="font41"/>
    <w:qFormat/>
    <w:uiPriority w:val="0"/>
    <w:rPr>
      <w:rFonts w:hint="eastAsia" w:ascii="黑体" w:hAnsi="宋体" w:eastAsia="黑体" w:cs="黑体"/>
      <w:color w:val="000000"/>
      <w:sz w:val="18"/>
      <w:szCs w:val="18"/>
      <w:u w:val="none"/>
    </w:rPr>
  </w:style>
  <w:style w:type="paragraph" w:customStyle="1" w:styleId="128">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2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30">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131">
    <w:name w:val="纯文本 Char2"/>
    <w:qFormat/>
    <w:uiPriority w:val="0"/>
    <w:rPr>
      <w:rFonts w:ascii="宋体" w:hAnsi="Courier New" w:eastAsia="宋体" w:cs="Courier New"/>
      <w:szCs w:val="21"/>
    </w:rPr>
  </w:style>
  <w:style w:type="character" w:customStyle="1" w:styleId="132">
    <w:name w:val="标题 1 Char"/>
    <w:qFormat/>
    <w:uiPriority w:val="0"/>
    <w:rPr>
      <w:rFonts w:ascii="Times New Roman" w:hAnsi="Times New Roman" w:eastAsia="宋体" w:cs="Times New Roman"/>
      <w:b/>
      <w:bCs/>
      <w:kern w:val="44"/>
      <w:sz w:val="44"/>
      <w:szCs w:val="44"/>
    </w:rPr>
  </w:style>
  <w:style w:type="character" w:customStyle="1" w:styleId="133">
    <w:name w:val="未处理的提及1"/>
    <w:basedOn w:val="50"/>
    <w:semiHidden/>
    <w:unhideWhenUsed/>
    <w:qFormat/>
    <w:uiPriority w:val="99"/>
    <w:rPr>
      <w:color w:val="605E5C"/>
      <w:shd w:val="clear" w:color="auto" w:fill="E1DFDD"/>
    </w:rPr>
  </w:style>
  <w:style w:type="character" w:customStyle="1" w:styleId="134">
    <w:name w:val="font71"/>
    <w:basedOn w:val="50"/>
    <w:qFormat/>
    <w:uiPriority w:val="0"/>
    <w:rPr>
      <w:rFonts w:hint="eastAsia" w:ascii="等线" w:hAnsi="等线" w:eastAsia="等线" w:cs="等线"/>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KWZB;</Company>
  <Pages>124</Pages>
  <Words>15134</Words>
  <Characters>18192</Characters>
  <Lines>574</Lines>
  <Paragraphs>161</Paragraphs>
  <TotalTime>118</TotalTime>
  <ScaleCrop>false</ScaleCrop>
  <LinksUpToDate>false</LinksUpToDate>
  <CharactersWithSpaces>18995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2026-07-27T01:49:00Z</dcterms:created>
  <dc:creator>KWZB</dc:creator>
  <cp:lastModifiedBy>苏秀露</cp:lastModifiedBy>
  <cp:lastPrinted>2022-09-05T02:15:00Z</cp:lastPrinted>
  <dcterms:modified xsi:type="dcterms:W3CDTF">2026-08-19T02:01:14Z</dcterms:modified>
  <dc:title>公开招标采购文件范本</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65C9CA393F1F4732AD01931782F21260_13</vt:lpwstr>
  </property>
  <property fmtid="{D5CDD505-2E9C-101B-9397-08002B2CF9AE}" pid="4" name="commondata">
    <vt:lpwstr>eyJoZGlkIjoiZDBiOGZhYWQ5NWI3MDgyYTM5NWU2ZGE3NmNjNDlmOGQifQ==</vt:lpwstr>
  </property>
  <property fmtid="{D5CDD505-2E9C-101B-9397-08002B2CF9AE}" pid="5" name="KSOTemplateDocerSaveRecord">
    <vt:lpwstr>eyJoZGlkIjoiNTY2M2ZjYjYwZmI3MjA1ZDc0NzhhNTI5NTc3YWFjNjEiLCJ1c2VySWQiOiIxOTk1Njc3NDkifQ==</vt:lpwstr>
  </property>
</Properties>
</file>