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E7EA1">
      <w:pPr>
        <w:spacing w:line="360" w:lineRule="auto"/>
        <w:jc w:val="center"/>
        <w:rPr>
          <w:rFonts w:hint="eastAsia" w:ascii="方正小标宋简体" w:hAnsi="方正小标宋简体" w:eastAsia="方正小标宋简体" w:cs="方正小标宋简体"/>
          <w:color w:val="auto"/>
          <w:sz w:val="52"/>
          <w:szCs w:val="52"/>
          <w:highlight w:val="none"/>
        </w:rPr>
      </w:pPr>
      <w:r>
        <w:rPr>
          <w:rFonts w:hint="eastAsia" w:ascii="方正小标宋简体" w:hAnsi="宋体" w:eastAsia="方正小标宋简体"/>
          <w:color w:val="auto"/>
          <w:sz w:val="52"/>
          <w:szCs w:val="52"/>
          <w:highlight w:val="none"/>
        </w:rPr>
        <w:t>云之龙咨询集团有限公司</w:t>
      </w:r>
    </w:p>
    <w:p w14:paraId="57DCBDA1">
      <w:pPr>
        <w:spacing w:line="360" w:lineRule="auto"/>
        <w:jc w:val="center"/>
        <w:rPr>
          <w:rFonts w:hint="eastAsia" w:ascii="方正小标宋简体" w:hAnsi="方正小标宋简体" w:eastAsia="方正小标宋简体" w:cs="方正小标宋简体"/>
          <w:b/>
          <w:color w:val="auto"/>
          <w:sz w:val="44"/>
          <w:szCs w:val="44"/>
          <w:highlight w:val="none"/>
        </w:rPr>
      </w:pPr>
      <w:bookmarkStart w:id="198" w:name="_GoBack"/>
      <w:bookmarkEnd w:id="198"/>
    </w:p>
    <w:p w14:paraId="4A63ACD8">
      <w:pPr>
        <w:spacing w:before="156" w:line="360" w:lineRule="auto"/>
        <w:jc w:val="center"/>
        <w:rPr>
          <w:rFonts w:hint="eastAsia" w:ascii="华文新魏" w:hAnsi="宋体" w:eastAsia="华文新魏"/>
          <w:color w:val="auto"/>
          <w:sz w:val="120"/>
          <w:szCs w:val="120"/>
          <w:highlight w:val="none"/>
        </w:rPr>
      </w:pPr>
      <w:r>
        <w:rPr>
          <w:rFonts w:hint="eastAsia" w:ascii="华文新魏" w:hAnsi="宋体" w:eastAsia="华文新魏"/>
          <w:color w:val="auto"/>
          <w:sz w:val="120"/>
          <w:szCs w:val="120"/>
          <w:highlight w:val="none"/>
        </w:rPr>
        <w:t>竞争性磋商文件</w:t>
      </w:r>
    </w:p>
    <w:p w14:paraId="6CEAAEC3">
      <w:pPr>
        <w:spacing w:before="156" w:line="360" w:lineRule="auto"/>
        <w:jc w:val="center"/>
        <w:rPr>
          <w:rFonts w:hint="eastAsia" w:ascii="宋体" w:hAnsi="宋体" w:cs="等线"/>
          <w:b/>
          <w:color w:val="auto"/>
          <w:sz w:val="30"/>
          <w:szCs w:val="72"/>
          <w:highlight w:val="none"/>
        </w:rPr>
      </w:pPr>
      <w:r>
        <w:rPr>
          <w:rFonts w:hint="eastAsia" w:ascii="仿宋_GB2312" w:hAnsi="宋体" w:eastAsia="仿宋_GB2312"/>
          <w:b/>
          <w:color w:val="auto"/>
          <w:sz w:val="48"/>
          <w:szCs w:val="48"/>
          <w:highlight w:val="none"/>
        </w:rPr>
        <w:t>（全流程电子化采购）</w:t>
      </w:r>
    </w:p>
    <w:p w14:paraId="023F55F2">
      <w:pPr>
        <w:spacing w:line="360" w:lineRule="auto"/>
        <w:rPr>
          <w:rFonts w:hint="eastAsia" w:ascii="宋体" w:hAnsi="宋体" w:cs="等线"/>
          <w:color w:val="auto"/>
          <w:sz w:val="30"/>
          <w:szCs w:val="72"/>
          <w:highlight w:val="none"/>
        </w:rPr>
      </w:pPr>
    </w:p>
    <w:p w14:paraId="52D0D5FE">
      <w:pPr>
        <w:spacing w:line="360" w:lineRule="auto"/>
        <w:ind w:left="630" w:leftChars="300" w:firstLine="904" w:firstLineChars="300"/>
        <w:rPr>
          <w:rFonts w:hint="eastAsia" w:ascii="宋体" w:hAnsi="宋体" w:cs="等线"/>
          <w:b/>
          <w:bCs/>
          <w:color w:val="auto"/>
          <w:sz w:val="30"/>
          <w:szCs w:val="30"/>
          <w:highlight w:val="none"/>
        </w:rPr>
      </w:pPr>
      <w:r>
        <w:rPr>
          <w:rFonts w:hint="eastAsia" w:ascii="宋体" w:hAnsi="宋体" w:cs="等线"/>
          <w:b/>
          <w:bCs/>
          <w:color w:val="auto"/>
          <w:sz w:val="30"/>
          <w:szCs w:val="30"/>
          <w:highlight w:val="none"/>
        </w:rPr>
        <w:t>项目名称：彩票终端机维保服务</w:t>
      </w:r>
    </w:p>
    <w:p w14:paraId="30AE4A24">
      <w:pPr>
        <w:spacing w:line="360" w:lineRule="auto"/>
        <w:ind w:left="630" w:leftChars="300" w:firstLine="881" w:firstLineChars="308"/>
        <w:rPr>
          <w:rFonts w:hint="eastAsia" w:ascii="宋体" w:hAnsi="宋体" w:cs="等线"/>
          <w:b/>
          <w:color w:val="auto"/>
          <w:sz w:val="30"/>
          <w:szCs w:val="48"/>
          <w:highlight w:val="none"/>
        </w:rPr>
      </w:pPr>
      <w:r>
        <w:rPr>
          <w:rFonts w:hint="eastAsia" w:ascii="宋体" w:hAnsi="宋体" w:cs="微软雅黑"/>
          <w:b/>
          <w:bCs/>
          <w:color w:val="auto"/>
          <w:w w:val="95"/>
          <w:sz w:val="30"/>
          <w:szCs w:val="30"/>
          <w:highlight w:val="none"/>
        </w:rPr>
        <w:t>项目</w:t>
      </w:r>
      <w:r>
        <w:rPr>
          <w:rFonts w:hint="eastAsia" w:ascii="宋体" w:hAnsi="宋体" w:cs="等线"/>
          <w:b/>
          <w:bCs/>
          <w:color w:val="auto"/>
          <w:sz w:val="30"/>
          <w:szCs w:val="30"/>
          <w:highlight w:val="none"/>
        </w:rPr>
        <w:t>编号</w:t>
      </w:r>
      <w:r>
        <w:rPr>
          <w:rFonts w:hint="eastAsia" w:ascii="宋体" w:hAnsi="宋体" w:cs="微软雅黑"/>
          <w:b/>
          <w:bCs/>
          <w:color w:val="auto"/>
          <w:w w:val="95"/>
          <w:sz w:val="30"/>
          <w:szCs w:val="30"/>
          <w:highlight w:val="none"/>
        </w:rPr>
        <w:t>：</w:t>
      </w:r>
      <w:r>
        <w:rPr>
          <w:rFonts w:ascii="宋体" w:hAnsi="宋体" w:cs="微软雅黑"/>
          <w:b/>
          <w:bCs/>
          <w:color w:val="auto"/>
          <w:w w:val="95"/>
          <w:sz w:val="30"/>
          <w:szCs w:val="30"/>
          <w:highlight w:val="none"/>
        </w:rPr>
        <w:t>GXZC2026-C3-003191-YZLZ</w:t>
      </w:r>
    </w:p>
    <w:p w14:paraId="295F21E5">
      <w:pPr>
        <w:spacing w:line="360" w:lineRule="auto"/>
        <w:ind w:left="630" w:leftChars="300" w:firstLine="881" w:firstLineChars="308"/>
        <w:rPr>
          <w:rFonts w:hint="eastAsia" w:ascii="宋体" w:hAnsi="宋体" w:cs="等线"/>
          <w:b/>
          <w:bCs/>
          <w:color w:val="auto"/>
          <w:w w:val="95"/>
          <w:sz w:val="30"/>
          <w:szCs w:val="30"/>
          <w:highlight w:val="none"/>
        </w:rPr>
      </w:pPr>
      <w:r>
        <w:rPr>
          <w:rFonts w:hint="eastAsia" w:ascii="宋体" w:hAnsi="宋体" w:cs="等线"/>
          <w:b/>
          <w:bCs/>
          <w:color w:val="auto"/>
          <w:w w:val="95"/>
          <w:sz w:val="30"/>
          <w:szCs w:val="30"/>
          <w:highlight w:val="none"/>
        </w:rPr>
        <w:t>采 购 人：广西福利彩票发行中心</w:t>
      </w:r>
    </w:p>
    <w:p w14:paraId="41A4075D">
      <w:pPr>
        <w:spacing w:line="360" w:lineRule="auto"/>
        <w:ind w:left="630" w:leftChars="300" w:firstLine="881" w:firstLineChars="308"/>
        <w:rPr>
          <w:rFonts w:hint="eastAsia" w:ascii="宋体" w:hAnsi="宋体" w:cs="等线"/>
          <w:b/>
          <w:bCs/>
          <w:color w:val="auto"/>
          <w:w w:val="95"/>
          <w:sz w:val="30"/>
          <w:szCs w:val="30"/>
          <w:highlight w:val="none"/>
        </w:rPr>
      </w:pPr>
      <w:r>
        <w:rPr>
          <w:rFonts w:hint="eastAsia" w:ascii="宋体" w:hAnsi="宋体" w:cs="等线"/>
          <w:b/>
          <w:bCs/>
          <w:color w:val="auto"/>
          <w:w w:val="95"/>
          <w:sz w:val="30"/>
          <w:szCs w:val="30"/>
          <w:highlight w:val="none"/>
        </w:rPr>
        <w:t>采购代理机构：云之龙咨询集团有限公司</w:t>
      </w:r>
    </w:p>
    <w:p w14:paraId="4CBB44F7">
      <w:pPr>
        <w:spacing w:line="360" w:lineRule="auto"/>
        <w:ind w:firstLine="1125" w:firstLineChars="393"/>
        <w:rPr>
          <w:rFonts w:hint="eastAsia" w:ascii="宋体" w:hAnsi="宋体"/>
          <w:b/>
          <w:bCs/>
          <w:color w:val="auto"/>
          <w:w w:val="95"/>
          <w:kern w:val="0"/>
          <w:sz w:val="30"/>
          <w:szCs w:val="30"/>
          <w:highlight w:val="none"/>
          <w:lang w:val="zh-CN"/>
        </w:rPr>
      </w:pPr>
    </w:p>
    <w:p w14:paraId="47518AD3">
      <w:pPr>
        <w:spacing w:line="360" w:lineRule="auto"/>
        <w:ind w:firstLine="1125" w:firstLineChars="393"/>
        <w:rPr>
          <w:rFonts w:hint="eastAsia" w:ascii="宋体" w:hAnsi="宋体"/>
          <w:b/>
          <w:bCs/>
          <w:color w:val="auto"/>
          <w:w w:val="95"/>
          <w:kern w:val="0"/>
          <w:sz w:val="30"/>
          <w:szCs w:val="30"/>
          <w:highlight w:val="none"/>
          <w:lang w:val="zh-CN"/>
        </w:rPr>
      </w:pPr>
    </w:p>
    <w:p w14:paraId="1E47AB5A">
      <w:pPr>
        <w:spacing w:line="360" w:lineRule="auto"/>
        <w:ind w:left="420" w:firstLine="841" w:firstLineChars="294"/>
        <w:rPr>
          <w:rFonts w:hint="eastAsia" w:ascii="宋体" w:hAnsi="宋体"/>
          <w:b/>
          <w:bCs/>
          <w:color w:val="auto"/>
          <w:w w:val="95"/>
          <w:kern w:val="0"/>
          <w:sz w:val="30"/>
          <w:szCs w:val="30"/>
          <w:highlight w:val="none"/>
          <w:lang w:val="zh-CN"/>
        </w:rPr>
      </w:pPr>
      <w:r>
        <w:rPr>
          <w:rFonts w:hint="eastAsia" w:ascii="宋体" w:hAnsi="宋体"/>
          <w:b/>
          <w:bCs/>
          <w:color w:val="auto"/>
          <w:w w:val="95"/>
          <w:kern w:val="0"/>
          <w:sz w:val="30"/>
          <w:szCs w:val="30"/>
          <w:highlight w:val="none"/>
          <w:lang w:val="zh-CN"/>
        </w:rPr>
        <w:t xml:space="preserve">               2026年10月22日</w:t>
      </w:r>
    </w:p>
    <w:p w14:paraId="3E856859">
      <w:pPr>
        <w:spacing w:line="360" w:lineRule="auto"/>
        <w:jc w:val="center"/>
        <w:rPr>
          <w:rFonts w:hint="eastAsia" w:ascii="宋体" w:hAnsi="宋体"/>
          <w:b/>
          <w:color w:val="auto"/>
          <w:sz w:val="44"/>
          <w:szCs w:val="44"/>
          <w:highlight w:val="none"/>
        </w:rPr>
      </w:pPr>
      <w:r>
        <w:rPr>
          <w:rFonts w:ascii="黑体" w:hAnsi="黑体" w:eastAsia="黑体" w:cs="宋体"/>
          <w:b/>
          <w:bCs/>
          <w:color w:val="auto"/>
          <w:kern w:val="0"/>
          <w:sz w:val="32"/>
          <w:szCs w:val="32"/>
          <w:highlight w:val="none"/>
        </w:rPr>
        <w:br w:type="page"/>
      </w:r>
    </w:p>
    <w:p w14:paraId="1F00F134">
      <w:pPr>
        <w:spacing w:line="360" w:lineRule="auto"/>
        <w:jc w:val="center"/>
        <w:rPr>
          <w:rFonts w:hint="eastAsia" w:ascii="宋体" w:hAnsi="宋体"/>
          <w:b/>
          <w:color w:val="auto"/>
          <w:sz w:val="44"/>
          <w:szCs w:val="44"/>
          <w:highlight w:val="none"/>
        </w:rPr>
      </w:pPr>
    </w:p>
    <w:p w14:paraId="02322DB0">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5A0F6B96">
      <w:pPr>
        <w:spacing w:line="400" w:lineRule="exact"/>
        <w:jc w:val="center"/>
        <w:rPr>
          <w:rFonts w:hint="eastAsia" w:ascii="宋体" w:hAnsi="宋体"/>
          <w:b/>
          <w:color w:val="auto"/>
          <w:sz w:val="44"/>
          <w:szCs w:val="44"/>
          <w:highlight w:val="none"/>
        </w:rPr>
      </w:pPr>
    </w:p>
    <w:p w14:paraId="1C9F519B">
      <w:pPr>
        <w:pStyle w:val="20"/>
        <w:tabs>
          <w:tab w:val="right" w:leader="dot" w:pos="8869"/>
        </w:tabs>
        <w:spacing w:line="500" w:lineRule="atLeast"/>
        <w:rPr>
          <w:rFonts w:hint="eastAsia" w:ascii="宋体" w:hAnsi="宋体"/>
          <w:b/>
          <w:color w:val="auto"/>
          <w:sz w:val="24"/>
          <w:highlight w:val="none"/>
        </w:rPr>
      </w:pPr>
      <w:r>
        <w:rPr>
          <w:rFonts w:ascii="宋体" w:hAnsi="宋体"/>
          <w:b/>
          <w:color w:val="auto"/>
          <w:sz w:val="24"/>
          <w:highlight w:val="none"/>
        </w:rPr>
        <w:fldChar w:fldCharType="begin"/>
      </w:r>
      <w:r>
        <w:rPr>
          <w:rFonts w:ascii="宋体" w:hAnsi="宋体"/>
          <w:b/>
          <w:color w:val="auto"/>
          <w:sz w:val="24"/>
          <w:highlight w:val="none"/>
        </w:rPr>
        <w:instrText xml:space="preserve"> </w:instrText>
      </w:r>
      <w:r>
        <w:rPr>
          <w:rFonts w:hint="eastAsia" w:ascii="宋体" w:hAnsi="宋体"/>
          <w:b/>
          <w:color w:val="auto"/>
          <w:sz w:val="24"/>
          <w:highlight w:val="none"/>
        </w:rPr>
        <w:instrText xml:space="preserve">TOC \o "1-3" \h \z \u</w:instrText>
      </w:r>
      <w:r>
        <w:rPr>
          <w:rFonts w:ascii="宋体" w:hAnsi="宋体"/>
          <w:b/>
          <w:color w:val="auto"/>
          <w:sz w:val="24"/>
          <w:highlight w:val="none"/>
        </w:rPr>
        <w:instrText xml:space="preserve"> </w:instrText>
      </w:r>
      <w:r>
        <w:rPr>
          <w:rFonts w:ascii="宋体" w:hAnsi="宋体"/>
          <w:b/>
          <w:color w:val="auto"/>
          <w:sz w:val="24"/>
          <w:highlight w:val="none"/>
        </w:rPr>
        <w:fldChar w:fldCharType="separate"/>
      </w:r>
      <w:r>
        <w:rPr>
          <w:color w:val="auto"/>
          <w:highlight w:val="none"/>
        </w:rPr>
        <w:fldChar w:fldCharType="begin"/>
      </w:r>
      <w:r>
        <w:rPr>
          <w:color w:val="auto"/>
          <w:highlight w:val="none"/>
        </w:rPr>
        <w:instrText xml:space="preserve"> HYPERLINK \l "_Toc74323456" </w:instrText>
      </w:r>
      <w:r>
        <w:rPr>
          <w:color w:val="auto"/>
          <w:highlight w:val="none"/>
        </w:rPr>
        <w:fldChar w:fldCharType="separate"/>
      </w:r>
      <w:r>
        <w:rPr>
          <w:rStyle w:val="31"/>
          <w:rFonts w:hint="eastAsia" w:ascii="宋体" w:hAnsi="宋体"/>
          <w:b/>
          <w:color w:val="auto"/>
          <w:sz w:val="24"/>
          <w:highlight w:val="none"/>
        </w:rPr>
        <w:t>第一章</w:t>
      </w:r>
      <w:r>
        <w:rPr>
          <w:rStyle w:val="31"/>
          <w:rFonts w:ascii="宋体" w:hAnsi="宋体"/>
          <w:b/>
          <w:color w:val="auto"/>
          <w:sz w:val="24"/>
          <w:highlight w:val="none"/>
        </w:rPr>
        <w:t xml:space="preserve"> </w:t>
      </w:r>
      <w:r>
        <w:rPr>
          <w:rStyle w:val="31"/>
          <w:rFonts w:hint="eastAsia" w:ascii="宋体" w:hAnsi="宋体"/>
          <w:b/>
          <w:color w:val="auto"/>
          <w:sz w:val="24"/>
          <w:highlight w:val="none"/>
        </w:rPr>
        <w:t>竞争性磋商公告</w:t>
      </w:r>
      <w:r>
        <w:rPr>
          <w:rFonts w:ascii="宋体" w:hAnsi="宋体"/>
          <w:b/>
          <w:color w:val="auto"/>
          <w:sz w:val="24"/>
          <w:highlight w:val="none"/>
        </w:rPr>
        <w:tab/>
      </w:r>
      <w:r>
        <w:rPr>
          <w:rFonts w:ascii="宋体" w:hAnsi="宋体"/>
          <w:b/>
          <w:color w:val="auto"/>
          <w:sz w:val="24"/>
          <w:highlight w:val="none"/>
        </w:rPr>
        <w:fldChar w:fldCharType="begin"/>
      </w:r>
      <w:r>
        <w:rPr>
          <w:rFonts w:ascii="宋体" w:hAnsi="宋体"/>
          <w:b/>
          <w:color w:val="auto"/>
          <w:sz w:val="24"/>
          <w:highlight w:val="none"/>
        </w:rPr>
        <w:instrText xml:space="preserve"> PAGEREF _Toc74323456 \h </w:instrText>
      </w:r>
      <w:r>
        <w:rPr>
          <w:rFonts w:ascii="宋体" w:hAnsi="宋体"/>
          <w:b/>
          <w:color w:val="auto"/>
          <w:sz w:val="24"/>
          <w:highlight w:val="none"/>
        </w:rPr>
        <w:fldChar w:fldCharType="separate"/>
      </w:r>
      <w:r>
        <w:rPr>
          <w:rFonts w:hint="eastAsia" w:ascii="宋体" w:hAnsi="宋体"/>
          <w:b/>
          <w:color w:val="auto"/>
          <w:sz w:val="24"/>
          <w:highlight w:val="none"/>
        </w:rPr>
        <w:t>3</w:t>
      </w:r>
      <w:r>
        <w:rPr>
          <w:rFonts w:ascii="宋体" w:hAnsi="宋体"/>
          <w:b/>
          <w:color w:val="auto"/>
          <w:sz w:val="24"/>
          <w:highlight w:val="none"/>
        </w:rPr>
        <w:fldChar w:fldCharType="end"/>
      </w:r>
      <w:r>
        <w:rPr>
          <w:rFonts w:ascii="宋体" w:hAnsi="宋体"/>
          <w:b/>
          <w:color w:val="auto"/>
          <w:sz w:val="24"/>
          <w:highlight w:val="none"/>
        </w:rPr>
        <w:fldChar w:fldCharType="end"/>
      </w:r>
    </w:p>
    <w:p w14:paraId="270A784F">
      <w:pPr>
        <w:pStyle w:val="20"/>
        <w:tabs>
          <w:tab w:val="right" w:leader="dot" w:pos="8869"/>
        </w:tabs>
        <w:spacing w:line="500" w:lineRule="atLeast"/>
        <w:rPr>
          <w:rFonts w:hint="eastAsia" w:ascii="宋体" w:hAnsi="宋体"/>
          <w:b/>
          <w:color w:val="auto"/>
          <w:sz w:val="24"/>
          <w:highlight w:val="none"/>
        </w:rPr>
      </w:pPr>
      <w:r>
        <w:rPr>
          <w:color w:val="auto"/>
          <w:highlight w:val="none"/>
        </w:rPr>
        <w:fldChar w:fldCharType="begin"/>
      </w:r>
      <w:r>
        <w:rPr>
          <w:color w:val="auto"/>
          <w:highlight w:val="none"/>
        </w:rPr>
        <w:instrText xml:space="preserve"> HYPERLINK \l "_Toc74323457" </w:instrText>
      </w:r>
      <w:r>
        <w:rPr>
          <w:color w:val="auto"/>
          <w:highlight w:val="none"/>
        </w:rPr>
        <w:fldChar w:fldCharType="separate"/>
      </w:r>
      <w:r>
        <w:rPr>
          <w:rStyle w:val="31"/>
          <w:rFonts w:hint="eastAsia" w:ascii="宋体" w:hAnsi="宋体"/>
          <w:b/>
          <w:color w:val="auto"/>
          <w:sz w:val="24"/>
          <w:highlight w:val="none"/>
        </w:rPr>
        <w:t>第二章</w:t>
      </w:r>
      <w:r>
        <w:rPr>
          <w:rStyle w:val="31"/>
          <w:rFonts w:ascii="宋体" w:hAnsi="宋体"/>
          <w:b/>
          <w:color w:val="auto"/>
          <w:sz w:val="24"/>
          <w:highlight w:val="none"/>
        </w:rPr>
        <w:t xml:space="preserve"> </w:t>
      </w:r>
      <w:r>
        <w:rPr>
          <w:rStyle w:val="31"/>
          <w:rFonts w:hint="eastAsia" w:ascii="宋体" w:hAnsi="宋体"/>
          <w:b/>
          <w:color w:val="auto"/>
          <w:sz w:val="24"/>
          <w:highlight w:val="none"/>
        </w:rPr>
        <w:t>供应</w:t>
      </w:r>
      <w:bookmarkStart w:id="0" w:name="_Hlt82161237"/>
      <w:r>
        <w:rPr>
          <w:rStyle w:val="31"/>
          <w:rFonts w:hint="eastAsia" w:ascii="宋体" w:hAnsi="宋体"/>
          <w:b/>
          <w:color w:val="auto"/>
          <w:sz w:val="24"/>
          <w:highlight w:val="none"/>
        </w:rPr>
        <w:t>商</w:t>
      </w:r>
      <w:bookmarkEnd w:id="0"/>
      <w:bookmarkStart w:id="1" w:name="_Hlt229067736"/>
      <w:bookmarkStart w:id="2" w:name="_Hlt229067735"/>
      <w:r>
        <w:rPr>
          <w:rStyle w:val="31"/>
          <w:rFonts w:hint="eastAsia" w:ascii="宋体" w:hAnsi="宋体"/>
          <w:b/>
          <w:color w:val="auto"/>
          <w:sz w:val="24"/>
          <w:highlight w:val="none"/>
        </w:rPr>
        <w:t>须</w:t>
      </w:r>
      <w:bookmarkEnd w:id="1"/>
      <w:bookmarkEnd w:id="2"/>
      <w:r>
        <w:rPr>
          <w:rStyle w:val="31"/>
          <w:rFonts w:hint="eastAsia" w:ascii="宋体" w:hAnsi="宋体"/>
          <w:b/>
          <w:color w:val="auto"/>
          <w:sz w:val="24"/>
          <w:highlight w:val="none"/>
        </w:rPr>
        <w:t>知</w:t>
      </w:r>
      <w:r>
        <w:rPr>
          <w:rFonts w:ascii="宋体" w:hAnsi="宋体"/>
          <w:b/>
          <w:color w:val="auto"/>
          <w:sz w:val="24"/>
          <w:highlight w:val="none"/>
        </w:rPr>
        <w:tab/>
      </w:r>
      <w:r>
        <w:rPr>
          <w:rFonts w:ascii="宋体" w:hAnsi="宋体"/>
          <w:b/>
          <w:color w:val="auto"/>
          <w:sz w:val="24"/>
          <w:highlight w:val="none"/>
        </w:rPr>
        <w:fldChar w:fldCharType="begin"/>
      </w:r>
      <w:r>
        <w:rPr>
          <w:rFonts w:ascii="宋体" w:hAnsi="宋体"/>
          <w:b/>
          <w:color w:val="auto"/>
          <w:sz w:val="24"/>
          <w:highlight w:val="none"/>
        </w:rPr>
        <w:instrText xml:space="preserve"> PAGEREF _Toc74323457 \h </w:instrText>
      </w:r>
      <w:r>
        <w:rPr>
          <w:rFonts w:ascii="宋体" w:hAnsi="宋体"/>
          <w:b/>
          <w:color w:val="auto"/>
          <w:sz w:val="24"/>
          <w:highlight w:val="none"/>
        </w:rPr>
        <w:fldChar w:fldCharType="separate"/>
      </w:r>
      <w:r>
        <w:rPr>
          <w:rFonts w:hint="eastAsia" w:ascii="宋体" w:hAnsi="宋体"/>
          <w:b/>
          <w:color w:val="auto"/>
          <w:sz w:val="24"/>
          <w:highlight w:val="none"/>
        </w:rPr>
        <w:t>6</w:t>
      </w:r>
      <w:r>
        <w:rPr>
          <w:rFonts w:ascii="宋体" w:hAnsi="宋体"/>
          <w:b/>
          <w:color w:val="auto"/>
          <w:sz w:val="24"/>
          <w:highlight w:val="none"/>
        </w:rPr>
        <w:fldChar w:fldCharType="end"/>
      </w:r>
      <w:r>
        <w:rPr>
          <w:rFonts w:ascii="宋体" w:hAnsi="宋体"/>
          <w:b/>
          <w:color w:val="auto"/>
          <w:sz w:val="24"/>
          <w:highlight w:val="none"/>
        </w:rPr>
        <w:fldChar w:fldCharType="end"/>
      </w:r>
    </w:p>
    <w:p w14:paraId="57B62FBC">
      <w:pPr>
        <w:pStyle w:val="20"/>
        <w:tabs>
          <w:tab w:val="right" w:leader="dot" w:pos="8869"/>
        </w:tabs>
        <w:spacing w:line="500" w:lineRule="atLeast"/>
        <w:rPr>
          <w:rFonts w:hint="eastAsia" w:ascii="宋体" w:hAnsi="宋体"/>
          <w:b/>
          <w:color w:val="auto"/>
          <w:sz w:val="24"/>
          <w:highlight w:val="none"/>
        </w:rPr>
      </w:pPr>
      <w:r>
        <w:rPr>
          <w:color w:val="auto"/>
          <w:highlight w:val="none"/>
        </w:rPr>
        <w:fldChar w:fldCharType="begin"/>
      </w:r>
      <w:r>
        <w:rPr>
          <w:color w:val="auto"/>
          <w:highlight w:val="none"/>
        </w:rPr>
        <w:instrText xml:space="preserve"> HYPERLINK \l "_Toc74323458" </w:instrText>
      </w:r>
      <w:r>
        <w:rPr>
          <w:color w:val="auto"/>
          <w:highlight w:val="none"/>
        </w:rPr>
        <w:fldChar w:fldCharType="separate"/>
      </w:r>
      <w:r>
        <w:rPr>
          <w:rStyle w:val="31"/>
          <w:rFonts w:hint="eastAsia" w:ascii="宋体" w:hAnsi="宋体"/>
          <w:b/>
          <w:color w:val="auto"/>
          <w:sz w:val="24"/>
          <w:highlight w:val="none"/>
        </w:rPr>
        <w:t>第三章</w:t>
      </w:r>
      <w:r>
        <w:rPr>
          <w:rStyle w:val="31"/>
          <w:rFonts w:ascii="宋体" w:hAnsi="宋体"/>
          <w:b/>
          <w:color w:val="auto"/>
          <w:sz w:val="24"/>
          <w:highlight w:val="none"/>
        </w:rPr>
        <w:t xml:space="preserve"> </w:t>
      </w:r>
      <w:r>
        <w:rPr>
          <w:rStyle w:val="31"/>
          <w:rFonts w:hint="eastAsia" w:ascii="宋体" w:hAnsi="宋体"/>
          <w:b/>
          <w:color w:val="auto"/>
          <w:sz w:val="24"/>
          <w:highlight w:val="none"/>
        </w:rPr>
        <w:t>采购</w:t>
      </w:r>
      <w:bookmarkStart w:id="3" w:name="_Hlt226532499"/>
      <w:bookmarkStart w:id="4" w:name="_Hlt226532500"/>
      <w:r>
        <w:rPr>
          <w:rStyle w:val="31"/>
          <w:rFonts w:hint="eastAsia" w:ascii="宋体" w:hAnsi="宋体"/>
          <w:b/>
          <w:color w:val="auto"/>
          <w:sz w:val="24"/>
          <w:highlight w:val="none"/>
        </w:rPr>
        <w:t>需</w:t>
      </w:r>
      <w:bookmarkEnd w:id="3"/>
      <w:bookmarkEnd w:id="4"/>
      <w:bookmarkStart w:id="5" w:name="_Hlt82166940"/>
      <w:r>
        <w:rPr>
          <w:rStyle w:val="31"/>
          <w:rFonts w:hint="eastAsia" w:ascii="宋体" w:hAnsi="宋体"/>
          <w:b/>
          <w:color w:val="auto"/>
          <w:sz w:val="24"/>
          <w:highlight w:val="none"/>
        </w:rPr>
        <w:t>求</w:t>
      </w:r>
      <w:bookmarkEnd w:id="5"/>
      <w:bookmarkStart w:id="6" w:name="_Hlt225518591"/>
      <w:bookmarkStart w:id="7" w:name="_Hlt225518592"/>
      <w:r>
        <w:rPr>
          <w:rFonts w:ascii="宋体" w:hAnsi="宋体"/>
          <w:b/>
          <w:color w:val="auto"/>
          <w:sz w:val="24"/>
          <w:highlight w:val="none"/>
        </w:rPr>
        <w:tab/>
      </w:r>
      <w:bookmarkEnd w:id="6"/>
      <w:bookmarkEnd w:id="7"/>
      <w:r>
        <w:rPr>
          <w:rFonts w:ascii="宋体" w:hAnsi="宋体"/>
          <w:b/>
          <w:color w:val="auto"/>
          <w:sz w:val="24"/>
          <w:highlight w:val="none"/>
        </w:rPr>
        <w:fldChar w:fldCharType="begin"/>
      </w:r>
      <w:r>
        <w:rPr>
          <w:rFonts w:ascii="宋体" w:hAnsi="宋体"/>
          <w:b/>
          <w:color w:val="auto"/>
          <w:sz w:val="24"/>
          <w:highlight w:val="none"/>
        </w:rPr>
        <w:instrText xml:space="preserve"> PAGEREF _Toc74323458 \h </w:instrText>
      </w:r>
      <w:r>
        <w:rPr>
          <w:rFonts w:ascii="宋体" w:hAnsi="宋体"/>
          <w:b/>
          <w:color w:val="auto"/>
          <w:sz w:val="24"/>
          <w:highlight w:val="none"/>
        </w:rPr>
        <w:fldChar w:fldCharType="separate"/>
      </w:r>
      <w:r>
        <w:rPr>
          <w:rFonts w:hint="eastAsia" w:ascii="宋体" w:hAnsi="宋体"/>
          <w:b/>
          <w:color w:val="auto"/>
          <w:sz w:val="24"/>
          <w:highlight w:val="none"/>
        </w:rPr>
        <w:t>26</w:t>
      </w:r>
      <w:r>
        <w:rPr>
          <w:rFonts w:ascii="宋体" w:hAnsi="宋体"/>
          <w:b/>
          <w:color w:val="auto"/>
          <w:sz w:val="24"/>
          <w:highlight w:val="none"/>
        </w:rPr>
        <w:fldChar w:fldCharType="end"/>
      </w:r>
      <w:r>
        <w:rPr>
          <w:rFonts w:ascii="宋体" w:hAnsi="宋体"/>
          <w:b/>
          <w:color w:val="auto"/>
          <w:sz w:val="24"/>
          <w:highlight w:val="none"/>
        </w:rPr>
        <w:fldChar w:fldCharType="end"/>
      </w:r>
    </w:p>
    <w:p w14:paraId="0352329E">
      <w:pPr>
        <w:pStyle w:val="20"/>
        <w:tabs>
          <w:tab w:val="right" w:leader="dot" w:pos="8869"/>
        </w:tabs>
        <w:spacing w:line="500" w:lineRule="atLeast"/>
        <w:rPr>
          <w:rFonts w:hint="eastAsia" w:ascii="宋体" w:hAnsi="宋体"/>
          <w:b/>
          <w:color w:val="auto"/>
          <w:sz w:val="24"/>
          <w:highlight w:val="none"/>
        </w:rPr>
      </w:pPr>
      <w:r>
        <w:rPr>
          <w:color w:val="auto"/>
          <w:highlight w:val="none"/>
        </w:rPr>
        <w:fldChar w:fldCharType="begin"/>
      </w:r>
      <w:r>
        <w:rPr>
          <w:color w:val="auto"/>
          <w:highlight w:val="none"/>
        </w:rPr>
        <w:instrText xml:space="preserve"> HYPERLINK \l "_Toc74323459" </w:instrText>
      </w:r>
      <w:r>
        <w:rPr>
          <w:color w:val="auto"/>
          <w:highlight w:val="none"/>
        </w:rPr>
        <w:fldChar w:fldCharType="separate"/>
      </w:r>
      <w:r>
        <w:rPr>
          <w:rStyle w:val="31"/>
          <w:rFonts w:hint="eastAsia" w:ascii="宋体" w:hAnsi="宋体"/>
          <w:b/>
          <w:color w:val="auto"/>
          <w:sz w:val="24"/>
          <w:highlight w:val="none"/>
        </w:rPr>
        <w:t>第四章</w:t>
      </w:r>
      <w:r>
        <w:rPr>
          <w:rStyle w:val="31"/>
          <w:rFonts w:ascii="宋体" w:hAnsi="宋体"/>
          <w:b/>
          <w:color w:val="auto"/>
          <w:sz w:val="24"/>
          <w:highlight w:val="none"/>
        </w:rPr>
        <w:t xml:space="preserve"> </w:t>
      </w:r>
      <w:r>
        <w:rPr>
          <w:rStyle w:val="31"/>
          <w:rFonts w:hint="eastAsia" w:ascii="宋体" w:hAnsi="宋体"/>
          <w:b/>
          <w:color w:val="auto"/>
          <w:sz w:val="24"/>
          <w:highlight w:val="none"/>
        </w:rPr>
        <w:t>评审程序</w:t>
      </w:r>
      <w:bookmarkStart w:id="8" w:name="_Hlt233792145"/>
      <w:r>
        <w:rPr>
          <w:rStyle w:val="31"/>
          <w:rFonts w:hint="eastAsia" w:ascii="宋体" w:hAnsi="宋体"/>
          <w:b/>
          <w:color w:val="auto"/>
          <w:sz w:val="24"/>
          <w:highlight w:val="none"/>
        </w:rPr>
        <w:t>、</w:t>
      </w:r>
      <w:bookmarkEnd w:id="8"/>
      <w:bookmarkStart w:id="9" w:name="_Hlt82166000"/>
      <w:r>
        <w:rPr>
          <w:rStyle w:val="31"/>
          <w:rFonts w:hint="eastAsia" w:ascii="宋体" w:hAnsi="宋体"/>
          <w:b/>
          <w:color w:val="auto"/>
          <w:sz w:val="24"/>
          <w:highlight w:val="none"/>
        </w:rPr>
        <w:t>评</w:t>
      </w:r>
      <w:bookmarkEnd w:id="9"/>
      <w:bookmarkStart w:id="10" w:name="_Hlt225518702"/>
      <w:r>
        <w:rPr>
          <w:rStyle w:val="31"/>
          <w:rFonts w:hint="eastAsia" w:ascii="宋体" w:hAnsi="宋体"/>
          <w:b/>
          <w:color w:val="auto"/>
          <w:sz w:val="24"/>
          <w:highlight w:val="none"/>
        </w:rPr>
        <w:t>审</w:t>
      </w:r>
      <w:bookmarkEnd w:id="10"/>
      <w:r>
        <w:rPr>
          <w:rStyle w:val="31"/>
          <w:rFonts w:hint="eastAsia" w:ascii="宋体" w:hAnsi="宋体"/>
          <w:b/>
          <w:color w:val="auto"/>
          <w:sz w:val="24"/>
          <w:highlight w:val="none"/>
        </w:rPr>
        <w:t>方法和评审标准</w:t>
      </w:r>
      <w:r>
        <w:rPr>
          <w:rFonts w:ascii="宋体" w:hAnsi="宋体"/>
          <w:b/>
          <w:color w:val="auto"/>
          <w:sz w:val="24"/>
          <w:highlight w:val="none"/>
        </w:rPr>
        <w:tab/>
      </w:r>
      <w:r>
        <w:rPr>
          <w:rFonts w:ascii="宋体" w:hAnsi="宋体"/>
          <w:b/>
          <w:color w:val="auto"/>
          <w:sz w:val="24"/>
          <w:highlight w:val="none"/>
        </w:rPr>
        <w:fldChar w:fldCharType="begin"/>
      </w:r>
      <w:r>
        <w:rPr>
          <w:rFonts w:ascii="宋体" w:hAnsi="宋体"/>
          <w:b/>
          <w:color w:val="auto"/>
          <w:sz w:val="24"/>
          <w:highlight w:val="none"/>
        </w:rPr>
        <w:instrText xml:space="preserve"> PAGEREF _Toc74323459 \h </w:instrText>
      </w:r>
      <w:r>
        <w:rPr>
          <w:rFonts w:ascii="宋体" w:hAnsi="宋体"/>
          <w:b/>
          <w:color w:val="auto"/>
          <w:sz w:val="24"/>
          <w:highlight w:val="none"/>
        </w:rPr>
        <w:fldChar w:fldCharType="separate"/>
      </w:r>
      <w:r>
        <w:rPr>
          <w:rFonts w:hint="eastAsia" w:ascii="宋体" w:hAnsi="宋体"/>
          <w:b/>
          <w:color w:val="auto"/>
          <w:sz w:val="24"/>
          <w:highlight w:val="none"/>
        </w:rPr>
        <w:t>35</w:t>
      </w:r>
      <w:r>
        <w:rPr>
          <w:rFonts w:ascii="宋体" w:hAnsi="宋体"/>
          <w:b/>
          <w:color w:val="auto"/>
          <w:sz w:val="24"/>
          <w:highlight w:val="none"/>
        </w:rPr>
        <w:fldChar w:fldCharType="end"/>
      </w:r>
      <w:r>
        <w:rPr>
          <w:rFonts w:ascii="宋体" w:hAnsi="宋体"/>
          <w:b/>
          <w:color w:val="auto"/>
          <w:sz w:val="24"/>
          <w:highlight w:val="none"/>
        </w:rPr>
        <w:fldChar w:fldCharType="end"/>
      </w:r>
    </w:p>
    <w:p w14:paraId="036C796B">
      <w:pPr>
        <w:pStyle w:val="20"/>
        <w:tabs>
          <w:tab w:val="right" w:leader="dot" w:pos="8869"/>
        </w:tabs>
        <w:spacing w:line="500" w:lineRule="atLeast"/>
        <w:rPr>
          <w:rFonts w:hint="eastAsia" w:ascii="宋体" w:hAnsi="宋体"/>
          <w:b/>
          <w:color w:val="auto"/>
          <w:sz w:val="24"/>
          <w:highlight w:val="none"/>
        </w:rPr>
      </w:pPr>
      <w:r>
        <w:rPr>
          <w:color w:val="auto"/>
          <w:highlight w:val="none"/>
        </w:rPr>
        <w:fldChar w:fldCharType="begin"/>
      </w:r>
      <w:r>
        <w:rPr>
          <w:color w:val="auto"/>
          <w:highlight w:val="none"/>
        </w:rPr>
        <w:instrText xml:space="preserve"> HYPERLINK \l "_Toc74323460" </w:instrText>
      </w:r>
      <w:r>
        <w:rPr>
          <w:color w:val="auto"/>
          <w:highlight w:val="none"/>
        </w:rPr>
        <w:fldChar w:fldCharType="separate"/>
      </w:r>
      <w:r>
        <w:rPr>
          <w:rStyle w:val="31"/>
          <w:rFonts w:hint="eastAsia" w:ascii="宋体" w:hAnsi="宋体"/>
          <w:b/>
          <w:color w:val="auto"/>
          <w:sz w:val="24"/>
          <w:highlight w:val="none"/>
        </w:rPr>
        <w:t>第五章</w:t>
      </w:r>
      <w:r>
        <w:rPr>
          <w:rStyle w:val="31"/>
          <w:rFonts w:ascii="宋体" w:hAnsi="宋体"/>
          <w:b/>
          <w:color w:val="auto"/>
          <w:sz w:val="24"/>
          <w:highlight w:val="none"/>
        </w:rPr>
        <w:t xml:space="preserve"> </w:t>
      </w:r>
      <w:r>
        <w:rPr>
          <w:rStyle w:val="31"/>
          <w:rFonts w:hint="eastAsia" w:ascii="宋体" w:hAnsi="宋体"/>
          <w:b/>
          <w:color w:val="auto"/>
          <w:sz w:val="24"/>
          <w:highlight w:val="none"/>
        </w:rPr>
        <w:t>响应文件格式</w:t>
      </w:r>
      <w:r>
        <w:rPr>
          <w:rFonts w:ascii="宋体" w:hAnsi="宋体"/>
          <w:b/>
          <w:color w:val="auto"/>
          <w:sz w:val="24"/>
          <w:highlight w:val="none"/>
        </w:rPr>
        <w:tab/>
      </w:r>
      <w:r>
        <w:rPr>
          <w:rFonts w:ascii="宋体" w:hAnsi="宋体"/>
          <w:b/>
          <w:color w:val="auto"/>
          <w:sz w:val="24"/>
          <w:highlight w:val="none"/>
        </w:rPr>
        <w:fldChar w:fldCharType="begin"/>
      </w:r>
      <w:r>
        <w:rPr>
          <w:rFonts w:ascii="宋体" w:hAnsi="宋体"/>
          <w:b/>
          <w:color w:val="auto"/>
          <w:sz w:val="24"/>
          <w:highlight w:val="none"/>
        </w:rPr>
        <w:instrText xml:space="preserve"> PAGEREF _Toc74323460 \h </w:instrText>
      </w:r>
      <w:r>
        <w:rPr>
          <w:rFonts w:ascii="宋体" w:hAnsi="宋体"/>
          <w:b/>
          <w:color w:val="auto"/>
          <w:sz w:val="24"/>
          <w:highlight w:val="none"/>
        </w:rPr>
        <w:fldChar w:fldCharType="separate"/>
      </w:r>
      <w:r>
        <w:rPr>
          <w:rFonts w:hint="eastAsia" w:ascii="宋体" w:hAnsi="宋体"/>
          <w:b/>
          <w:color w:val="auto"/>
          <w:sz w:val="24"/>
          <w:highlight w:val="none"/>
        </w:rPr>
        <w:t>46</w:t>
      </w:r>
      <w:r>
        <w:rPr>
          <w:rFonts w:ascii="宋体" w:hAnsi="宋体"/>
          <w:b/>
          <w:color w:val="auto"/>
          <w:sz w:val="24"/>
          <w:highlight w:val="none"/>
        </w:rPr>
        <w:fldChar w:fldCharType="end"/>
      </w:r>
      <w:r>
        <w:rPr>
          <w:rFonts w:ascii="宋体" w:hAnsi="宋体"/>
          <w:b/>
          <w:color w:val="auto"/>
          <w:sz w:val="24"/>
          <w:highlight w:val="none"/>
        </w:rPr>
        <w:fldChar w:fldCharType="end"/>
      </w:r>
    </w:p>
    <w:p w14:paraId="737AC32E">
      <w:pPr>
        <w:pStyle w:val="20"/>
        <w:tabs>
          <w:tab w:val="right" w:leader="dot" w:pos="8869"/>
        </w:tabs>
        <w:spacing w:line="500" w:lineRule="atLeast"/>
        <w:rPr>
          <w:rFonts w:hint="eastAsia" w:ascii="宋体" w:hAnsi="宋体"/>
          <w:color w:val="auto"/>
          <w:sz w:val="24"/>
          <w:highlight w:val="none"/>
        </w:rPr>
      </w:pPr>
      <w:r>
        <w:rPr>
          <w:color w:val="auto"/>
          <w:highlight w:val="none"/>
        </w:rPr>
        <w:fldChar w:fldCharType="begin"/>
      </w:r>
      <w:r>
        <w:rPr>
          <w:color w:val="auto"/>
          <w:highlight w:val="none"/>
        </w:rPr>
        <w:instrText xml:space="preserve"> HYPERLINK \l "_Toc74323461" </w:instrText>
      </w:r>
      <w:r>
        <w:rPr>
          <w:color w:val="auto"/>
          <w:highlight w:val="none"/>
        </w:rPr>
        <w:fldChar w:fldCharType="separate"/>
      </w:r>
      <w:r>
        <w:rPr>
          <w:rStyle w:val="31"/>
          <w:rFonts w:hint="eastAsia" w:ascii="宋体" w:hAnsi="宋体"/>
          <w:b/>
          <w:color w:val="auto"/>
          <w:sz w:val="24"/>
          <w:highlight w:val="none"/>
        </w:rPr>
        <w:t>第六章</w:t>
      </w:r>
      <w:r>
        <w:rPr>
          <w:rStyle w:val="31"/>
          <w:rFonts w:ascii="宋体" w:hAnsi="宋体"/>
          <w:b/>
          <w:color w:val="auto"/>
          <w:sz w:val="24"/>
          <w:highlight w:val="none"/>
        </w:rPr>
        <w:t xml:space="preserve"> </w:t>
      </w:r>
      <w:r>
        <w:rPr>
          <w:rStyle w:val="31"/>
          <w:rFonts w:hint="eastAsia" w:ascii="宋体" w:hAnsi="宋体"/>
          <w:b/>
          <w:color w:val="auto"/>
          <w:sz w:val="24"/>
          <w:highlight w:val="none"/>
        </w:rPr>
        <w:t>合同</w:t>
      </w:r>
      <w:bookmarkStart w:id="11" w:name="_Hlt234830306"/>
      <w:bookmarkStart w:id="12" w:name="_Hlt234830305"/>
      <w:bookmarkStart w:id="13" w:name="_Hlt234830304"/>
      <w:r>
        <w:rPr>
          <w:rStyle w:val="31"/>
          <w:rFonts w:hint="eastAsia" w:ascii="宋体" w:hAnsi="宋体"/>
          <w:b/>
          <w:color w:val="auto"/>
          <w:sz w:val="24"/>
          <w:highlight w:val="none"/>
        </w:rPr>
        <w:t>文</w:t>
      </w:r>
      <w:bookmarkEnd w:id="11"/>
      <w:bookmarkEnd w:id="12"/>
      <w:bookmarkEnd w:id="13"/>
      <w:bookmarkStart w:id="14" w:name="_Hlt230964520"/>
      <w:bookmarkStart w:id="15" w:name="_Hlt230964521"/>
      <w:r>
        <w:rPr>
          <w:rStyle w:val="31"/>
          <w:rFonts w:hint="eastAsia" w:ascii="宋体" w:hAnsi="宋体"/>
          <w:b/>
          <w:color w:val="auto"/>
          <w:sz w:val="24"/>
          <w:highlight w:val="none"/>
        </w:rPr>
        <w:t>本</w:t>
      </w:r>
      <w:bookmarkEnd w:id="14"/>
      <w:bookmarkEnd w:id="15"/>
      <w:r>
        <w:rPr>
          <w:rFonts w:ascii="宋体" w:hAnsi="宋体"/>
          <w:b/>
          <w:color w:val="auto"/>
          <w:sz w:val="24"/>
          <w:highlight w:val="none"/>
        </w:rPr>
        <w:tab/>
      </w:r>
      <w:r>
        <w:rPr>
          <w:rFonts w:ascii="宋体" w:hAnsi="宋体"/>
          <w:b/>
          <w:color w:val="auto"/>
          <w:sz w:val="24"/>
          <w:highlight w:val="none"/>
        </w:rPr>
        <w:fldChar w:fldCharType="begin"/>
      </w:r>
      <w:r>
        <w:rPr>
          <w:rFonts w:ascii="宋体" w:hAnsi="宋体"/>
          <w:b/>
          <w:color w:val="auto"/>
          <w:sz w:val="24"/>
          <w:highlight w:val="none"/>
        </w:rPr>
        <w:instrText xml:space="preserve"> PAGEREF _Toc74323461 \h </w:instrText>
      </w:r>
      <w:r>
        <w:rPr>
          <w:rFonts w:ascii="宋体" w:hAnsi="宋体"/>
          <w:b/>
          <w:color w:val="auto"/>
          <w:sz w:val="24"/>
          <w:highlight w:val="none"/>
        </w:rPr>
        <w:fldChar w:fldCharType="separate"/>
      </w:r>
      <w:r>
        <w:rPr>
          <w:rFonts w:hint="eastAsia" w:ascii="宋体" w:hAnsi="宋体"/>
          <w:b/>
          <w:color w:val="auto"/>
          <w:sz w:val="24"/>
          <w:highlight w:val="none"/>
        </w:rPr>
        <w:t>76</w:t>
      </w:r>
      <w:r>
        <w:rPr>
          <w:rFonts w:ascii="宋体" w:hAnsi="宋体"/>
          <w:b/>
          <w:color w:val="auto"/>
          <w:sz w:val="24"/>
          <w:highlight w:val="none"/>
        </w:rPr>
        <w:fldChar w:fldCharType="end"/>
      </w:r>
      <w:r>
        <w:rPr>
          <w:rFonts w:ascii="宋体" w:hAnsi="宋体"/>
          <w:b/>
          <w:color w:val="auto"/>
          <w:sz w:val="24"/>
          <w:highlight w:val="none"/>
        </w:rPr>
        <w:fldChar w:fldCharType="end"/>
      </w:r>
    </w:p>
    <w:p w14:paraId="479EAD38">
      <w:pPr>
        <w:pStyle w:val="21"/>
        <w:tabs>
          <w:tab w:val="right" w:leader="dot" w:pos="8931"/>
          <w:tab w:val="clear" w:pos="8296"/>
        </w:tabs>
        <w:spacing w:line="500" w:lineRule="atLeast"/>
        <w:ind w:left="0" w:leftChars="0"/>
        <w:rPr>
          <w:rFonts w:hint="eastAsia" w:ascii="宋体" w:hAnsi="宋体"/>
          <w:b/>
          <w:color w:val="auto"/>
          <w:sz w:val="24"/>
          <w:highlight w:val="none"/>
        </w:rPr>
      </w:pPr>
      <w:r>
        <w:rPr>
          <w:rFonts w:ascii="宋体" w:hAnsi="宋体"/>
          <w:b/>
          <w:color w:val="auto"/>
          <w:sz w:val="24"/>
          <w:highlight w:val="none"/>
        </w:rPr>
        <w:fldChar w:fldCharType="end"/>
      </w:r>
    </w:p>
    <w:p w14:paraId="2D680F18">
      <w:pPr>
        <w:spacing w:line="400" w:lineRule="exact"/>
        <w:jc w:val="left"/>
        <w:rPr>
          <w:rFonts w:hint="eastAsia" w:ascii="宋体" w:hAnsi="宋体"/>
          <w:b/>
          <w:color w:val="auto"/>
          <w:sz w:val="32"/>
          <w:szCs w:val="32"/>
          <w:highlight w:val="none"/>
        </w:rPr>
      </w:pPr>
    </w:p>
    <w:p w14:paraId="0C17C5B7">
      <w:pPr>
        <w:spacing w:line="400" w:lineRule="exact"/>
        <w:jc w:val="center"/>
        <w:rPr>
          <w:rFonts w:hint="eastAsia" w:ascii="宋体" w:hAnsi="宋体"/>
          <w:b/>
          <w:color w:val="auto"/>
          <w:sz w:val="32"/>
          <w:szCs w:val="32"/>
          <w:highlight w:val="none"/>
        </w:rPr>
      </w:pPr>
    </w:p>
    <w:p w14:paraId="0708C797">
      <w:pPr>
        <w:spacing w:line="400" w:lineRule="exact"/>
        <w:jc w:val="center"/>
        <w:rPr>
          <w:rFonts w:hint="eastAsia" w:ascii="宋体" w:hAnsi="宋体"/>
          <w:b/>
          <w:color w:val="auto"/>
          <w:sz w:val="32"/>
          <w:szCs w:val="32"/>
          <w:highlight w:val="none"/>
        </w:rPr>
      </w:pPr>
    </w:p>
    <w:p w14:paraId="76DD919E">
      <w:pPr>
        <w:spacing w:line="400" w:lineRule="exact"/>
        <w:jc w:val="center"/>
        <w:rPr>
          <w:rFonts w:hint="eastAsia" w:ascii="宋体" w:hAnsi="宋体"/>
          <w:b/>
          <w:color w:val="auto"/>
          <w:sz w:val="32"/>
          <w:szCs w:val="32"/>
          <w:highlight w:val="none"/>
        </w:rPr>
      </w:pPr>
    </w:p>
    <w:p w14:paraId="2D284938">
      <w:pPr>
        <w:spacing w:line="400" w:lineRule="exact"/>
        <w:jc w:val="center"/>
        <w:rPr>
          <w:rFonts w:hint="eastAsia" w:ascii="宋体" w:hAnsi="宋体"/>
          <w:b/>
          <w:color w:val="auto"/>
          <w:sz w:val="32"/>
          <w:szCs w:val="32"/>
          <w:highlight w:val="none"/>
        </w:rPr>
      </w:pPr>
    </w:p>
    <w:p w14:paraId="36FF063D">
      <w:pPr>
        <w:spacing w:line="400" w:lineRule="exact"/>
        <w:rPr>
          <w:rFonts w:hint="eastAsia" w:ascii="宋体" w:hAnsi="宋体"/>
          <w:b/>
          <w:color w:val="auto"/>
          <w:sz w:val="32"/>
          <w:szCs w:val="32"/>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cols w:space="720" w:num="1"/>
          <w:titlePg/>
          <w:docGrid w:type="lines" w:linePitch="312" w:charSpace="0"/>
        </w:sectPr>
      </w:pPr>
    </w:p>
    <w:p w14:paraId="709F23E7">
      <w:pPr>
        <w:pStyle w:val="2"/>
        <w:jc w:val="center"/>
        <w:rPr>
          <w:color w:val="auto"/>
          <w:highlight w:val="none"/>
        </w:rPr>
      </w:pPr>
      <w:bookmarkStart w:id="16" w:name="_Toc74323456"/>
      <w:r>
        <w:rPr>
          <w:rFonts w:hint="eastAsia"/>
          <w:color w:val="auto"/>
          <w:highlight w:val="none"/>
        </w:rPr>
        <w:t>第一章 竞争性磋商公告</w:t>
      </w:r>
      <w:bookmarkEnd w:id="16"/>
    </w:p>
    <w:p w14:paraId="24315BA4">
      <w:pPr>
        <w:spacing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竞争性磋商公告</w:t>
      </w:r>
    </w:p>
    <w:p w14:paraId="14956CD6">
      <w:pPr>
        <w:spacing w:line="360" w:lineRule="auto"/>
        <w:rPr>
          <w:rFonts w:hint="eastAsia" w:ascii="宋体" w:hAnsi="宋体"/>
          <w:color w:val="auto"/>
          <w:szCs w:val="21"/>
          <w:highlight w:val="none"/>
        </w:rPr>
      </w:pPr>
    </w:p>
    <w:p w14:paraId="437D0171">
      <w:pPr>
        <w:pBdr>
          <w:top w:val="single" w:color="000000" w:sz="4" w:space="1"/>
          <w:left w:val="single" w:color="000000" w:sz="4" w:space="4"/>
          <w:bottom w:val="single" w:color="000000" w:sz="4" w:space="1"/>
          <w:right w:val="single" w:color="000000" w:sz="4" w:space="4"/>
        </w:pBdr>
        <w:spacing w:line="360" w:lineRule="auto"/>
        <w:ind w:firstLine="420" w:firstLineChars="200"/>
        <w:rPr>
          <w:rFonts w:hint="eastAsia" w:ascii="宋体" w:hAnsi="宋体"/>
          <w:color w:val="auto"/>
          <w:szCs w:val="21"/>
          <w:highlight w:val="none"/>
        </w:rPr>
      </w:pPr>
      <w:bookmarkStart w:id="17" w:name="_Hlk37430271"/>
      <w:r>
        <w:rPr>
          <w:rFonts w:hint="eastAsia" w:ascii="宋体" w:hAnsi="宋体"/>
          <w:color w:val="auto"/>
          <w:szCs w:val="21"/>
          <w:highlight w:val="none"/>
        </w:rPr>
        <w:t>项目概况</w:t>
      </w:r>
    </w:p>
    <w:p w14:paraId="2DAD32A1">
      <w:pPr>
        <w:pBdr>
          <w:top w:val="single" w:color="000000" w:sz="4" w:space="1"/>
          <w:left w:val="single" w:color="000000" w:sz="4" w:space="4"/>
          <w:bottom w:val="single" w:color="000000" w:sz="4" w:space="1"/>
          <w:right w:val="single" w:color="000000" w:sz="4" w:space="4"/>
        </w:pBd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u w:val="single"/>
        </w:rPr>
        <w:t>彩票终端机维保服务的潜在供应商应在广西政府采购云平台（https://www.gcy.zfcg.gxzf.gov.cn/）获取（下载）竞争性磋商文件，并于</w:t>
      </w:r>
      <w:bookmarkStart w:id="18" w:name="OLE_LINK1"/>
      <w:r>
        <w:rPr>
          <w:rFonts w:hint="eastAsia" w:ascii="宋体" w:hAnsi="宋体"/>
          <w:color w:val="auto"/>
          <w:szCs w:val="21"/>
          <w:highlight w:val="none"/>
          <w:u w:val="single"/>
        </w:rPr>
        <w:t>2026年11月2日9时30分</w:t>
      </w:r>
      <w:bookmarkEnd w:id="18"/>
      <w:r>
        <w:rPr>
          <w:rFonts w:hint="eastAsia" w:ascii="宋体" w:hAnsi="宋体"/>
          <w:color w:val="auto"/>
          <w:szCs w:val="21"/>
          <w:highlight w:val="none"/>
          <w:u w:val="single"/>
        </w:rPr>
        <w:t>（北京时间）前提交（上传）响应文件。</w:t>
      </w:r>
    </w:p>
    <w:p w14:paraId="687C1783">
      <w:pPr>
        <w:spacing w:line="360" w:lineRule="auto"/>
        <w:rPr>
          <w:rFonts w:hint="eastAsia" w:ascii="宋体" w:hAnsi="宋体"/>
          <w:color w:val="auto"/>
          <w:szCs w:val="21"/>
          <w:highlight w:val="none"/>
        </w:rPr>
      </w:pPr>
    </w:p>
    <w:p w14:paraId="7B9EF24D">
      <w:pPr>
        <w:ind w:firstLine="354" w:firstLineChars="147"/>
        <w:rPr>
          <w:rFonts w:hint="eastAsia" w:ascii="黑体" w:hAnsi="黑体" w:eastAsia="黑体"/>
          <w:b/>
          <w:color w:val="auto"/>
          <w:sz w:val="24"/>
          <w:highlight w:val="none"/>
        </w:rPr>
      </w:pPr>
      <w:bookmarkStart w:id="19" w:name="_Toc28359089"/>
      <w:bookmarkStart w:id="20" w:name="_Toc35393629"/>
      <w:bookmarkStart w:id="21" w:name="_Toc35393798"/>
      <w:bookmarkStart w:id="22" w:name="_Toc28359012"/>
      <w:bookmarkStart w:id="23" w:name="_Toc44229878"/>
      <w:bookmarkStart w:id="24" w:name="_Toc71365905"/>
      <w:r>
        <w:rPr>
          <w:rFonts w:hint="eastAsia" w:ascii="黑体" w:hAnsi="黑体" w:eastAsia="黑体"/>
          <w:b/>
          <w:color w:val="auto"/>
          <w:sz w:val="24"/>
          <w:highlight w:val="none"/>
        </w:rPr>
        <w:t>一、项目基本情况</w:t>
      </w:r>
      <w:bookmarkEnd w:id="19"/>
      <w:bookmarkEnd w:id="20"/>
      <w:bookmarkEnd w:id="21"/>
      <w:bookmarkEnd w:id="22"/>
      <w:bookmarkEnd w:id="23"/>
      <w:bookmarkEnd w:id="24"/>
    </w:p>
    <w:p w14:paraId="1BC25B8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项目编号：</w:t>
      </w:r>
      <w:r>
        <w:rPr>
          <w:rFonts w:ascii="宋体" w:hAnsi="宋体"/>
          <w:color w:val="auto"/>
          <w:szCs w:val="21"/>
          <w:highlight w:val="none"/>
        </w:rPr>
        <w:t>GXZC2026-C3-003191-YZLZ</w:t>
      </w:r>
      <w:r>
        <w:rPr>
          <w:rFonts w:hint="eastAsia" w:ascii="宋体" w:hAnsi="宋体"/>
          <w:color w:val="auto"/>
          <w:szCs w:val="21"/>
          <w:highlight w:val="none"/>
        </w:rPr>
        <w:t>（政府采购计划编号：广西政采[2026]19461号）</w:t>
      </w:r>
    </w:p>
    <w:p w14:paraId="0A3DFEB9">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rPr>
        <w:t>项目名称：彩票终端机维保服务</w:t>
      </w:r>
    </w:p>
    <w:p w14:paraId="0761A6E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采购方式：竞争性磋商</w:t>
      </w:r>
    </w:p>
    <w:p w14:paraId="484D698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预算金额：299万元</w:t>
      </w:r>
    </w:p>
    <w:p w14:paraId="5CD71A7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最高限价：299万元</w:t>
      </w:r>
    </w:p>
    <w:p w14:paraId="431E412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p>
    <w:tbl>
      <w:tblPr>
        <w:tblStyle w:val="24"/>
        <w:tblW w:w="852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83"/>
        <w:gridCol w:w="1547"/>
        <w:gridCol w:w="754"/>
        <w:gridCol w:w="5644"/>
      </w:tblGrid>
      <w:tr w14:paraId="2C53A3D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7AB783A2">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序号</w:t>
            </w:r>
          </w:p>
        </w:tc>
        <w:tc>
          <w:tcPr>
            <w:tcW w:w="1547" w:type="dxa"/>
            <w:tcBorders>
              <w:top w:val="single" w:color="000000" w:sz="4" w:space="0"/>
              <w:left w:val="single" w:color="000000" w:sz="4" w:space="0"/>
              <w:bottom w:val="single" w:color="000000" w:sz="4" w:space="0"/>
              <w:right w:val="single" w:color="000000" w:sz="4" w:space="0"/>
            </w:tcBorders>
            <w:vAlign w:val="center"/>
          </w:tcPr>
          <w:p w14:paraId="6D41DCB4">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标的的名称</w:t>
            </w:r>
          </w:p>
        </w:tc>
        <w:tc>
          <w:tcPr>
            <w:tcW w:w="754" w:type="dxa"/>
            <w:tcBorders>
              <w:top w:val="single" w:color="000000" w:sz="4" w:space="0"/>
              <w:left w:val="single" w:color="000000" w:sz="4" w:space="0"/>
              <w:bottom w:val="single" w:color="000000" w:sz="4" w:space="0"/>
              <w:right w:val="single" w:color="000000" w:sz="4" w:space="0"/>
            </w:tcBorders>
            <w:vAlign w:val="center"/>
          </w:tcPr>
          <w:p w14:paraId="12BCD32A">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数量及</w:t>
            </w:r>
          </w:p>
          <w:p w14:paraId="70FDA9C7">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单位</w:t>
            </w:r>
          </w:p>
        </w:tc>
        <w:tc>
          <w:tcPr>
            <w:tcW w:w="5644" w:type="dxa"/>
            <w:tcBorders>
              <w:top w:val="single" w:color="000000" w:sz="4" w:space="0"/>
              <w:left w:val="single" w:color="000000" w:sz="4" w:space="0"/>
              <w:bottom w:val="single" w:color="000000" w:sz="4" w:space="0"/>
              <w:right w:val="single" w:color="000000" w:sz="4" w:space="0"/>
            </w:tcBorders>
            <w:vAlign w:val="center"/>
          </w:tcPr>
          <w:p w14:paraId="4E6727FC">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简要技术需求或者服务要求</w:t>
            </w:r>
          </w:p>
        </w:tc>
      </w:tr>
      <w:tr w14:paraId="1FC0ACF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50A94339">
            <w:pPr>
              <w:widowControl/>
              <w:spacing w:line="360"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1</w:t>
            </w:r>
          </w:p>
        </w:tc>
        <w:tc>
          <w:tcPr>
            <w:tcW w:w="1547" w:type="dxa"/>
            <w:tcBorders>
              <w:top w:val="single" w:color="000000" w:sz="4" w:space="0"/>
              <w:left w:val="single" w:color="000000" w:sz="4" w:space="0"/>
              <w:bottom w:val="single" w:color="000000" w:sz="4" w:space="0"/>
              <w:right w:val="single" w:color="000000" w:sz="4" w:space="0"/>
            </w:tcBorders>
            <w:vAlign w:val="center"/>
          </w:tcPr>
          <w:p w14:paraId="0884AF1D">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彩票终端机维保服务</w:t>
            </w:r>
          </w:p>
        </w:tc>
        <w:tc>
          <w:tcPr>
            <w:tcW w:w="754" w:type="dxa"/>
            <w:tcBorders>
              <w:top w:val="single" w:color="000000" w:sz="4" w:space="0"/>
              <w:left w:val="single" w:color="000000" w:sz="4" w:space="0"/>
              <w:bottom w:val="single" w:color="000000" w:sz="4" w:space="0"/>
              <w:right w:val="single" w:color="000000" w:sz="4" w:space="0"/>
            </w:tcBorders>
            <w:vAlign w:val="center"/>
          </w:tcPr>
          <w:p w14:paraId="653E90FF">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1项</w:t>
            </w:r>
          </w:p>
        </w:tc>
        <w:tc>
          <w:tcPr>
            <w:tcW w:w="5644" w:type="dxa"/>
            <w:tcBorders>
              <w:top w:val="single" w:color="000000" w:sz="4" w:space="0"/>
              <w:left w:val="single" w:color="000000" w:sz="4" w:space="0"/>
              <w:bottom w:val="single" w:color="000000" w:sz="4" w:space="0"/>
              <w:right w:val="single" w:color="000000" w:sz="4" w:space="0"/>
            </w:tcBorders>
            <w:vAlign w:val="center"/>
          </w:tcPr>
          <w:p w14:paraId="2C4D7FF2">
            <w:pPr>
              <w:spacing w:line="360" w:lineRule="auto"/>
              <w:ind w:firstLine="420" w:firstLineChars="200"/>
              <w:rPr>
                <w:rFonts w:hint="eastAsia" w:ascii="宋体" w:hAnsi="宋体" w:cs="等线"/>
                <w:color w:val="auto"/>
                <w:szCs w:val="21"/>
                <w:highlight w:val="none"/>
              </w:rPr>
            </w:pPr>
            <w:r>
              <w:rPr>
                <w:rFonts w:hint="eastAsia" w:ascii="宋体" w:hAnsi="宋体" w:cs="等线"/>
                <w:color w:val="auto"/>
                <w:szCs w:val="21"/>
                <w:highlight w:val="none"/>
              </w:rPr>
              <w:t>广西福利彩票发行中心现有一批LT-F01型、LT-F06型和LT-MS06型电脑彩票销售终端设备（以下简称投注机），分布在全区各地市（含县及乡镇），需要供应商为投注机提供技术服务，包括但不限于故障处理、软硬件日常维护和保养、软件更新升级和巡检等服务。具体详见竞争性磋商文件。</w:t>
            </w:r>
          </w:p>
        </w:tc>
      </w:tr>
    </w:tbl>
    <w:p w14:paraId="075B18BF">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rPr>
        <w:t>合同履行期限：服务期为1年，2027年1月1日至2027年12月31日。</w:t>
      </w:r>
    </w:p>
    <w:p w14:paraId="4CD1032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本项目不接受联合体。</w:t>
      </w:r>
    </w:p>
    <w:p w14:paraId="09727F48">
      <w:pPr>
        <w:ind w:firstLine="354" w:firstLineChars="147"/>
        <w:rPr>
          <w:rFonts w:hint="eastAsia" w:ascii="黑体" w:hAnsi="黑体" w:eastAsia="黑体"/>
          <w:b/>
          <w:color w:val="auto"/>
          <w:sz w:val="24"/>
          <w:highlight w:val="none"/>
        </w:rPr>
      </w:pPr>
      <w:bookmarkStart w:id="25" w:name="_Toc28359090"/>
      <w:bookmarkStart w:id="26" w:name="_Toc71365906"/>
      <w:bookmarkStart w:id="27" w:name="_Toc35393799"/>
      <w:bookmarkStart w:id="28" w:name="_Toc44229879"/>
      <w:bookmarkStart w:id="29" w:name="_Toc35393630"/>
      <w:bookmarkStart w:id="30" w:name="_Toc28359013"/>
      <w:r>
        <w:rPr>
          <w:rFonts w:hint="eastAsia" w:ascii="黑体" w:hAnsi="黑体" w:eastAsia="黑体"/>
          <w:b/>
          <w:color w:val="auto"/>
          <w:sz w:val="24"/>
          <w:highlight w:val="none"/>
        </w:rPr>
        <w:t>二、申请人的资格条件：</w:t>
      </w:r>
      <w:bookmarkEnd w:id="25"/>
      <w:bookmarkEnd w:id="26"/>
      <w:bookmarkEnd w:id="27"/>
      <w:bookmarkEnd w:id="28"/>
      <w:bookmarkEnd w:id="29"/>
      <w:bookmarkEnd w:id="30"/>
    </w:p>
    <w:p w14:paraId="0889A2A9">
      <w:pPr>
        <w:spacing w:line="360" w:lineRule="auto"/>
        <w:ind w:firstLine="420" w:firstLineChars="200"/>
        <w:rPr>
          <w:rFonts w:hint="eastAsia" w:ascii="宋体" w:hAnsi="宋体"/>
          <w:color w:val="auto"/>
          <w:szCs w:val="21"/>
          <w:highlight w:val="none"/>
        </w:rPr>
      </w:pPr>
      <w:bookmarkStart w:id="31" w:name="_Toc35393631"/>
      <w:bookmarkStart w:id="32" w:name="_Toc44229880"/>
      <w:bookmarkStart w:id="33" w:name="_Toc28359014"/>
      <w:bookmarkStart w:id="34" w:name="_Toc35393800"/>
      <w:bookmarkStart w:id="35" w:name="_Toc28359091"/>
      <w:r>
        <w:rPr>
          <w:rFonts w:hint="eastAsia" w:ascii="宋体" w:hAnsi="宋体"/>
          <w:color w:val="auto"/>
          <w:szCs w:val="21"/>
          <w:highlight w:val="none"/>
        </w:rPr>
        <w:t>1.满足《中华人民共和国政府采购法》第二十二条规定；</w:t>
      </w:r>
    </w:p>
    <w:p w14:paraId="2331D509">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.落实政府采购政策需满足的资格要求：本项目为专门面向中小企业预留项目，参加本项目的供应商必须为中型或小型或微型企业或监狱企业或残疾人福利性单位。</w:t>
      </w:r>
    </w:p>
    <w:p w14:paraId="49C6711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3.本项目的特定资格要求：无。</w:t>
      </w:r>
    </w:p>
    <w:p w14:paraId="5CEE643D">
      <w:pPr>
        <w:ind w:firstLine="354" w:firstLineChars="147"/>
        <w:rPr>
          <w:rFonts w:hint="eastAsia" w:ascii="黑体" w:hAnsi="黑体" w:eastAsia="黑体"/>
          <w:b/>
          <w:color w:val="auto"/>
          <w:sz w:val="24"/>
          <w:highlight w:val="none"/>
        </w:rPr>
      </w:pPr>
      <w:bookmarkStart w:id="36" w:name="_Toc71365907"/>
      <w:r>
        <w:rPr>
          <w:rFonts w:hint="eastAsia" w:ascii="黑体" w:hAnsi="黑体" w:eastAsia="黑体"/>
          <w:b/>
          <w:color w:val="auto"/>
          <w:sz w:val="24"/>
          <w:highlight w:val="none"/>
        </w:rPr>
        <w:t>三、获取竞争性磋商文件</w:t>
      </w:r>
      <w:bookmarkEnd w:id="31"/>
      <w:bookmarkEnd w:id="32"/>
      <w:bookmarkEnd w:id="33"/>
      <w:bookmarkEnd w:id="34"/>
      <w:bookmarkEnd w:id="35"/>
      <w:bookmarkEnd w:id="36"/>
    </w:p>
    <w:p w14:paraId="408857EB">
      <w:pPr>
        <w:spacing w:line="360" w:lineRule="auto"/>
        <w:ind w:firstLine="420" w:firstLineChars="200"/>
        <w:rPr>
          <w:rFonts w:hint="eastAsia" w:ascii="宋体" w:hAnsi="宋体" w:cs="宋体"/>
          <w:bCs/>
          <w:color w:val="auto"/>
          <w:kern w:val="0"/>
          <w:szCs w:val="21"/>
          <w:highlight w:val="none"/>
        </w:rPr>
      </w:pPr>
      <w:bookmarkStart w:id="37" w:name="_Toc28359092"/>
      <w:bookmarkStart w:id="38" w:name="_Toc28359015"/>
      <w:bookmarkStart w:id="39" w:name="_Toc35393801"/>
      <w:bookmarkStart w:id="40" w:name="_Toc35393632"/>
      <w:bookmarkStart w:id="41" w:name="_Toc44229881"/>
      <w:r>
        <w:rPr>
          <w:rFonts w:hint="eastAsia" w:ascii="宋体" w:hAnsi="宋体" w:cs="宋体"/>
          <w:bCs/>
          <w:color w:val="auto"/>
          <w:kern w:val="0"/>
          <w:szCs w:val="21"/>
          <w:highlight w:val="none"/>
        </w:rPr>
        <w:t>时间：</w:t>
      </w:r>
      <w:r>
        <w:rPr>
          <w:rFonts w:hint="eastAsia" w:ascii="宋体" w:hAnsi="宋体"/>
          <w:bCs/>
          <w:color w:val="auto"/>
          <w:szCs w:val="21"/>
          <w:highlight w:val="none"/>
          <w:u w:val="single"/>
        </w:rPr>
        <w:t>2026年10月22日</w:t>
      </w:r>
      <w:r>
        <w:rPr>
          <w:rFonts w:hint="eastAsia" w:ascii="宋体" w:hAnsi="宋体" w:cs="宋体"/>
          <w:bCs/>
          <w:color w:val="auto"/>
          <w:kern w:val="0"/>
          <w:szCs w:val="21"/>
          <w:highlight w:val="none"/>
        </w:rPr>
        <w:t>至</w:t>
      </w:r>
      <w:r>
        <w:rPr>
          <w:rFonts w:hint="eastAsia" w:ascii="宋体" w:hAnsi="宋体"/>
          <w:bCs/>
          <w:color w:val="auto"/>
          <w:szCs w:val="21"/>
          <w:highlight w:val="none"/>
          <w:u w:val="single"/>
        </w:rPr>
        <w:t>2026年10月29日</w:t>
      </w:r>
      <w:r>
        <w:rPr>
          <w:rFonts w:hint="eastAsia" w:ascii="宋体" w:hAnsi="宋体" w:cs="宋体"/>
          <w:bCs/>
          <w:color w:val="auto"/>
          <w:kern w:val="0"/>
          <w:szCs w:val="21"/>
          <w:highlight w:val="none"/>
        </w:rPr>
        <w:t>，</w:t>
      </w:r>
      <w:r>
        <w:rPr>
          <w:rFonts w:hint="eastAsia" w:ascii="宋体" w:hAnsi="宋体" w:cs="Tahoma"/>
          <w:bCs/>
          <w:color w:val="auto"/>
          <w:kern w:val="0"/>
          <w:szCs w:val="21"/>
          <w:highlight w:val="none"/>
        </w:rPr>
        <w:t>每天上午</w:t>
      </w:r>
      <w:r>
        <w:rPr>
          <w:rFonts w:ascii="宋体" w:hAnsi="宋体" w:cs="Tahoma"/>
          <w:bCs/>
          <w:color w:val="auto"/>
          <w:kern w:val="0"/>
          <w:szCs w:val="21"/>
          <w:highlight w:val="none"/>
        </w:rPr>
        <w:t>00</w:t>
      </w:r>
      <w:r>
        <w:rPr>
          <w:rFonts w:hint="eastAsia" w:ascii="宋体" w:hAnsi="宋体" w:cs="Tahoma"/>
          <w:bCs/>
          <w:color w:val="auto"/>
          <w:kern w:val="0"/>
          <w:szCs w:val="21"/>
          <w:highlight w:val="none"/>
        </w:rPr>
        <w:t>：</w:t>
      </w:r>
      <w:r>
        <w:rPr>
          <w:rFonts w:ascii="宋体" w:hAnsi="宋体" w:cs="Tahoma"/>
          <w:bCs/>
          <w:color w:val="auto"/>
          <w:kern w:val="0"/>
          <w:szCs w:val="21"/>
          <w:highlight w:val="none"/>
        </w:rPr>
        <w:t>00</w:t>
      </w:r>
      <w:r>
        <w:rPr>
          <w:rFonts w:hint="eastAsia" w:ascii="宋体" w:hAnsi="宋体" w:cs="Tahoma"/>
          <w:bCs/>
          <w:color w:val="auto"/>
          <w:kern w:val="0"/>
          <w:szCs w:val="21"/>
          <w:highlight w:val="none"/>
        </w:rPr>
        <w:t>至1</w:t>
      </w:r>
      <w:r>
        <w:rPr>
          <w:rFonts w:ascii="宋体" w:hAnsi="宋体" w:cs="Tahoma"/>
          <w:bCs/>
          <w:color w:val="auto"/>
          <w:kern w:val="0"/>
          <w:szCs w:val="21"/>
          <w:highlight w:val="none"/>
        </w:rPr>
        <w:t>2</w:t>
      </w:r>
      <w:r>
        <w:rPr>
          <w:rFonts w:hint="eastAsia" w:ascii="宋体" w:hAnsi="宋体" w:cs="Tahoma"/>
          <w:bCs/>
          <w:color w:val="auto"/>
          <w:kern w:val="0"/>
          <w:szCs w:val="21"/>
          <w:highlight w:val="none"/>
        </w:rPr>
        <w:t>:0</w:t>
      </w:r>
      <w:r>
        <w:rPr>
          <w:rFonts w:ascii="宋体" w:hAnsi="宋体" w:cs="Tahoma"/>
          <w:bCs/>
          <w:color w:val="auto"/>
          <w:kern w:val="0"/>
          <w:szCs w:val="21"/>
          <w:highlight w:val="none"/>
        </w:rPr>
        <w:t>0</w:t>
      </w:r>
      <w:r>
        <w:rPr>
          <w:rFonts w:hint="eastAsia" w:ascii="宋体" w:hAnsi="宋体" w:cs="Tahoma"/>
          <w:bCs/>
          <w:color w:val="auto"/>
          <w:kern w:val="0"/>
          <w:szCs w:val="21"/>
          <w:highlight w:val="none"/>
        </w:rPr>
        <w:t>，下午</w:t>
      </w:r>
      <w:r>
        <w:rPr>
          <w:rFonts w:ascii="宋体" w:hAnsi="宋体" w:cs="Tahoma"/>
          <w:bCs/>
          <w:color w:val="auto"/>
          <w:kern w:val="0"/>
          <w:szCs w:val="21"/>
          <w:highlight w:val="none"/>
        </w:rPr>
        <w:t>12</w:t>
      </w:r>
      <w:r>
        <w:rPr>
          <w:rFonts w:hint="eastAsia" w:ascii="宋体" w:hAnsi="宋体" w:cs="Tahoma"/>
          <w:bCs/>
          <w:color w:val="auto"/>
          <w:kern w:val="0"/>
          <w:szCs w:val="21"/>
          <w:highlight w:val="none"/>
        </w:rPr>
        <w:t>:0</w:t>
      </w:r>
      <w:r>
        <w:rPr>
          <w:rFonts w:ascii="宋体" w:hAnsi="宋体" w:cs="Tahoma"/>
          <w:bCs/>
          <w:color w:val="auto"/>
          <w:kern w:val="0"/>
          <w:szCs w:val="21"/>
          <w:highlight w:val="none"/>
        </w:rPr>
        <w:t>0</w:t>
      </w:r>
      <w:r>
        <w:rPr>
          <w:rFonts w:hint="eastAsia" w:ascii="宋体" w:hAnsi="宋体" w:cs="Tahoma"/>
          <w:bCs/>
          <w:color w:val="auto"/>
          <w:kern w:val="0"/>
          <w:szCs w:val="21"/>
          <w:highlight w:val="none"/>
        </w:rPr>
        <w:t>至23:59（北京时间，法定节假日除外）</w:t>
      </w:r>
    </w:p>
    <w:p w14:paraId="49A1B174">
      <w:pPr>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地点：广西政府采购云平台（https://www.gcy.zfcg.gxzf.gov.cn/）</w:t>
      </w:r>
    </w:p>
    <w:p w14:paraId="5B219C3C">
      <w:pPr>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olor w:val="auto"/>
          <w:szCs w:val="21"/>
          <w:highlight w:val="none"/>
        </w:rPr>
        <w:t>电子</w:t>
      </w:r>
      <w:r>
        <w:rPr>
          <w:rFonts w:hint="eastAsia"/>
          <w:color w:val="auto"/>
          <w:highlight w:val="none"/>
        </w:rPr>
        <w:t>响应文件</w:t>
      </w:r>
      <w:r>
        <w:rPr>
          <w:rFonts w:hint="eastAsia" w:ascii="宋体" w:hAnsi="宋体"/>
          <w:color w:val="auto"/>
          <w:szCs w:val="21"/>
          <w:highlight w:val="none"/>
        </w:rPr>
        <w:t>制作需要基于广西政府采购云平台获取的磋商文件编制，</w:t>
      </w:r>
      <w:r>
        <w:rPr>
          <w:rFonts w:hint="eastAsia" w:ascii="宋体" w:hAnsi="宋体" w:cs="宋体"/>
          <w:bCs/>
          <w:color w:val="auto"/>
          <w:kern w:val="0"/>
          <w:szCs w:val="21"/>
          <w:highlight w:val="none"/>
        </w:rPr>
        <w:t>通过其他方式获取磋商文件的，将有可能导致供应商无法在广西政府采购云平台编制及上传响应文件。</w:t>
      </w:r>
    </w:p>
    <w:p w14:paraId="3373959F">
      <w:pPr>
        <w:spacing w:line="360" w:lineRule="auto"/>
        <w:ind w:firstLine="420" w:firstLineChars="200"/>
        <w:rPr>
          <w:rFonts w:hint="eastAsia" w:ascii="宋体" w:hAnsi="宋体" w:cs="宋体"/>
          <w:color w:val="auto"/>
          <w:szCs w:val="21"/>
          <w:highlight w:val="none"/>
        </w:rPr>
      </w:pPr>
      <w:r>
        <w:rPr>
          <w:rFonts w:hint="eastAsia" w:ascii="宋体" w:hAnsi="宋体" w:cs="宋体"/>
          <w:bCs/>
          <w:color w:val="auto"/>
          <w:kern w:val="0"/>
          <w:szCs w:val="21"/>
          <w:highlight w:val="none"/>
        </w:rPr>
        <w:t>售价：</w:t>
      </w:r>
      <w:r>
        <w:rPr>
          <w:rFonts w:hint="eastAsia" w:ascii="宋体" w:hAnsi="宋体" w:cs="宋体"/>
          <w:i/>
          <w:color w:val="auto"/>
          <w:szCs w:val="21"/>
          <w:highlight w:val="none"/>
          <w:u w:val="single"/>
        </w:rPr>
        <w:t>0</w:t>
      </w:r>
      <w:r>
        <w:rPr>
          <w:rFonts w:hint="eastAsia" w:ascii="宋体" w:hAnsi="宋体" w:cs="宋体"/>
          <w:color w:val="auto"/>
          <w:szCs w:val="21"/>
          <w:highlight w:val="none"/>
        </w:rPr>
        <w:t>元</w:t>
      </w:r>
    </w:p>
    <w:p w14:paraId="743FB6D8">
      <w:pPr>
        <w:ind w:firstLine="354" w:firstLineChars="147"/>
        <w:rPr>
          <w:rFonts w:hint="eastAsia" w:ascii="黑体" w:hAnsi="黑体" w:eastAsia="黑体"/>
          <w:b/>
          <w:color w:val="auto"/>
          <w:sz w:val="24"/>
          <w:highlight w:val="none"/>
        </w:rPr>
      </w:pPr>
      <w:bookmarkStart w:id="42" w:name="_Toc71365908"/>
      <w:r>
        <w:rPr>
          <w:rFonts w:hint="eastAsia" w:ascii="黑体" w:hAnsi="黑体" w:eastAsia="黑体"/>
          <w:b/>
          <w:color w:val="auto"/>
          <w:sz w:val="24"/>
          <w:highlight w:val="none"/>
        </w:rPr>
        <w:t>四、响应文件提交</w:t>
      </w:r>
      <w:bookmarkEnd w:id="37"/>
      <w:bookmarkEnd w:id="38"/>
      <w:bookmarkEnd w:id="39"/>
      <w:bookmarkEnd w:id="40"/>
      <w:bookmarkEnd w:id="41"/>
      <w:bookmarkEnd w:id="42"/>
    </w:p>
    <w:p w14:paraId="4B56849D">
      <w:pPr>
        <w:spacing w:line="360" w:lineRule="auto"/>
        <w:ind w:firstLine="420" w:firstLineChars="200"/>
        <w:rPr>
          <w:rFonts w:hint="eastAsia" w:ascii="宋体" w:hAnsi="宋体" w:cs="宋体"/>
          <w:color w:val="auto"/>
          <w:szCs w:val="21"/>
          <w:highlight w:val="none"/>
          <w:u w:val="single"/>
        </w:rPr>
      </w:pPr>
      <w:bookmarkStart w:id="43" w:name="_Toc35393633"/>
      <w:bookmarkStart w:id="44" w:name="_Toc44229882"/>
      <w:bookmarkStart w:id="45" w:name="_Toc28359093"/>
      <w:bookmarkStart w:id="46" w:name="_Toc35393802"/>
      <w:bookmarkStart w:id="47" w:name="_Toc28359016"/>
      <w:r>
        <w:rPr>
          <w:rFonts w:hint="eastAsia" w:ascii="宋体" w:hAnsi="宋体"/>
          <w:color w:val="auto"/>
          <w:szCs w:val="21"/>
          <w:highlight w:val="none"/>
        </w:rPr>
        <w:t>截止时间：</w:t>
      </w:r>
      <w:r>
        <w:rPr>
          <w:rFonts w:hint="eastAsia" w:ascii="宋体" w:hAnsi="宋体"/>
          <w:bCs/>
          <w:color w:val="auto"/>
          <w:szCs w:val="21"/>
          <w:highlight w:val="none"/>
          <w:u w:val="single"/>
        </w:rPr>
        <w:t>2026年11月2日9时30分</w:t>
      </w:r>
      <w:r>
        <w:rPr>
          <w:rFonts w:hint="eastAsia" w:ascii="宋体" w:hAnsi="宋体"/>
          <w:bCs/>
          <w:color w:val="auto"/>
          <w:szCs w:val="21"/>
          <w:highlight w:val="none"/>
        </w:rPr>
        <w:t>（北京时间）</w:t>
      </w:r>
    </w:p>
    <w:p w14:paraId="512A568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60462433">
      <w:pPr>
        <w:ind w:firstLine="354" w:firstLineChars="147"/>
        <w:rPr>
          <w:rFonts w:hint="eastAsia" w:ascii="黑体" w:hAnsi="黑体" w:eastAsia="黑体"/>
          <w:b/>
          <w:color w:val="auto"/>
          <w:sz w:val="24"/>
          <w:highlight w:val="none"/>
        </w:rPr>
      </w:pPr>
      <w:bookmarkStart w:id="48" w:name="_Toc71365909"/>
      <w:r>
        <w:rPr>
          <w:rFonts w:hint="eastAsia" w:ascii="黑体" w:hAnsi="黑体" w:eastAsia="黑体"/>
          <w:b/>
          <w:color w:val="auto"/>
          <w:sz w:val="24"/>
          <w:highlight w:val="none"/>
        </w:rPr>
        <w:t>五、开启</w:t>
      </w:r>
      <w:bookmarkEnd w:id="43"/>
      <w:bookmarkEnd w:id="44"/>
      <w:bookmarkEnd w:id="45"/>
      <w:bookmarkEnd w:id="46"/>
      <w:bookmarkEnd w:id="47"/>
      <w:bookmarkEnd w:id="48"/>
    </w:p>
    <w:p w14:paraId="7DE7AA57">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w:t>
      </w:r>
      <w:r>
        <w:rPr>
          <w:rFonts w:hint="eastAsia" w:ascii="宋体" w:hAnsi="宋体"/>
          <w:color w:val="auto"/>
          <w:szCs w:val="21"/>
          <w:highlight w:val="none"/>
          <w:u w:val="single"/>
        </w:rPr>
        <w:t>2026年11月2日9时30分</w:t>
      </w:r>
      <w:r>
        <w:rPr>
          <w:rFonts w:hint="eastAsia" w:ascii="宋体" w:hAnsi="宋体"/>
          <w:bCs/>
          <w:color w:val="auto"/>
          <w:szCs w:val="21"/>
          <w:highlight w:val="none"/>
        </w:rPr>
        <w:t>（北京时间）</w:t>
      </w:r>
    </w:p>
    <w:p w14:paraId="3B7EC870">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09DC3BD8">
      <w:pPr>
        <w:ind w:firstLine="354" w:firstLineChars="147"/>
        <w:rPr>
          <w:rFonts w:hint="eastAsia" w:ascii="黑体" w:hAnsi="黑体" w:eastAsia="黑体"/>
          <w:b/>
          <w:color w:val="auto"/>
          <w:sz w:val="24"/>
          <w:highlight w:val="none"/>
        </w:rPr>
      </w:pPr>
      <w:bookmarkStart w:id="49" w:name="_Toc35393634"/>
      <w:bookmarkStart w:id="50" w:name="_Toc28359094"/>
      <w:bookmarkStart w:id="51" w:name="_Toc44229883"/>
      <w:bookmarkStart w:id="52" w:name="_Toc35393803"/>
      <w:bookmarkStart w:id="53" w:name="_Toc71365910"/>
      <w:bookmarkStart w:id="54" w:name="_Toc28359017"/>
      <w:r>
        <w:rPr>
          <w:rFonts w:hint="eastAsia" w:ascii="黑体" w:hAnsi="黑体" w:eastAsia="黑体"/>
          <w:b/>
          <w:color w:val="auto"/>
          <w:sz w:val="24"/>
          <w:highlight w:val="none"/>
        </w:rPr>
        <w:t>六、公告期限</w:t>
      </w:r>
      <w:bookmarkEnd w:id="49"/>
      <w:bookmarkEnd w:id="50"/>
      <w:bookmarkEnd w:id="51"/>
      <w:bookmarkEnd w:id="52"/>
      <w:bookmarkEnd w:id="53"/>
      <w:bookmarkEnd w:id="54"/>
    </w:p>
    <w:p w14:paraId="60F08810">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06A0A94E">
      <w:pPr>
        <w:ind w:firstLine="354" w:firstLineChars="147"/>
        <w:rPr>
          <w:rFonts w:hint="eastAsia" w:ascii="黑体" w:hAnsi="黑体" w:eastAsia="黑体"/>
          <w:b/>
          <w:color w:val="auto"/>
          <w:sz w:val="24"/>
          <w:highlight w:val="none"/>
        </w:rPr>
      </w:pPr>
      <w:bookmarkStart w:id="55" w:name="_Toc71365911"/>
      <w:bookmarkStart w:id="56" w:name="_Toc35393635"/>
      <w:bookmarkStart w:id="57" w:name="_Toc44229884"/>
      <w:bookmarkStart w:id="58" w:name="_Toc35393804"/>
      <w:r>
        <w:rPr>
          <w:rFonts w:hint="eastAsia" w:ascii="黑体" w:hAnsi="黑体" w:eastAsia="黑体"/>
          <w:b/>
          <w:color w:val="auto"/>
          <w:sz w:val="24"/>
          <w:highlight w:val="none"/>
        </w:rPr>
        <w:t>七、其他补充事宜</w:t>
      </w:r>
      <w:bookmarkEnd w:id="55"/>
      <w:bookmarkEnd w:id="56"/>
      <w:bookmarkEnd w:id="57"/>
      <w:bookmarkEnd w:id="58"/>
    </w:p>
    <w:p w14:paraId="5C8BC07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1.网上查询地址</w:t>
      </w:r>
    </w:p>
    <w:p w14:paraId="78649396">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中国政府采购网（http://www.ccgp.gov.cn）、广西壮族自治区政府采购网（http://zfcg.gxzf.gov.cn）</w:t>
      </w:r>
    </w:p>
    <w:p w14:paraId="457EDE53">
      <w:pPr>
        <w:spacing w:line="360" w:lineRule="auto"/>
        <w:ind w:firstLine="424" w:firstLineChars="202"/>
        <w:rPr>
          <w:rFonts w:hint="eastAsia" w:ascii="宋体" w:hAnsi="宋体" w:cs="宋体"/>
          <w:color w:val="auto"/>
          <w:kern w:val="0"/>
          <w:szCs w:val="21"/>
          <w:highlight w:val="none"/>
        </w:rPr>
      </w:pPr>
      <w:bookmarkStart w:id="59" w:name="_Hlk37429674"/>
      <w:bookmarkStart w:id="60" w:name="_Toc35393636"/>
      <w:bookmarkStart w:id="61" w:name="_Toc35393805"/>
      <w:bookmarkStart w:id="62" w:name="_Toc28359095"/>
      <w:bookmarkStart w:id="63" w:name="_Toc44229885"/>
      <w:bookmarkStart w:id="64" w:name="_Toc28359018"/>
      <w:r>
        <w:rPr>
          <w:rFonts w:hint="eastAsia" w:ascii="宋体" w:hAnsi="宋体" w:cs="宋体"/>
          <w:color w:val="auto"/>
          <w:kern w:val="0"/>
          <w:szCs w:val="21"/>
          <w:highlight w:val="none"/>
        </w:rPr>
        <w:t>2</w:t>
      </w:r>
      <w:r>
        <w:rPr>
          <w:rFonts w:ascii="宋体" w:hAnsi="宋体" w:cs="宋体"/>
          <w:color w:val="auto"/>
          <w:kern w:val="0"/>
          <w:szCs w:val="21"/>
          <w:highlight w:val="none"/>
        </w:rPr>
        <w:t>.</w:t>
      </w:r>
      <w:r>
        <w:rPr>
          <w:rFonts w:hint="eastAsia" w:ascii="宋体" w:hAnsi="宋体" w:cs="宋体"/>
          <w:color w:val="auto"/>
          <w:kern w:val="0"/>
          <w:szCs w:val="21"/>
          <w:highlight w:val="none"/>
        </w:rPr>
        <w:t>本项目需要落实的政府采购政策</w:t>
      </w:r>
    </w:p>
    <w:p w14:paraId="2F23E14F">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0E874E4C">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77D36EBB">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054BF3D3">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4DD58ABE">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bookmarkEnd w:id="59"/>
    <w:p w14:paraId="1438717E">
      <w:pPr>
        <w:widowControl/>
        <w:spacing w:line="360" w:lineRule="auto"/>
        <w:ind w:firstLine="420" w:firstLineChars="200"/>
        <w:jc w:val="left"/>
        <w:rPr>
          <w:rFonts w:hint="eastAsia" w:ascii="宋体" w:hAnsi="宋体"/>
          <w:color w:val="auto"/>
          <w:szCs w:val="21"/>
          <w:highlight w:val="none"/>
        </w:rPr>
      </w:pPr>
      <w:r>
        <w:rPr>
          <w:rFonts w:hint="eastAsia" w:ascii="宋体" w:hAnsi="宋体" w:cs="宋体"/>
          <w:color w:val="auto"/>
          <w:kern w:val="0"/>
          <w:szCs w:val="21"/>
          <w:highlight w:val="none"/>
        </w:rPr>
        <w:t>3.供应商</w:t>
      </w:r>
      <w:r>
        <w:rPr>
          <w:rFonts w:hint="eastAsia" w:ascii="宋体" w:hAnsi="宋体"/>
          <w:color w:val="auto"/>
          <w:szCs w:val="21"/>
          <w:highlight w:val="none"/>
        </w:rPr>
        <w:t>竞标注意事项</w:t>
      </w:r>
    </w:p>
    <w:p w14:paraId="5466B9C7">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 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供应商在广西政府采购云平台提交电子响应文件时，请填写参加远程采购活动经办人联系方式。</w:t>
      </w:r>
      <w:r>
        <w:rPr>
          <w:rFonts w:hint="eastAsia" w:ascii="宋体" w:hAnsi="宋体"/>
          <w:color w:val="auto"/>
          <w:szCs w:val="21"/>
          <w:highlight w:val="none"/>
        </w:rPr>
        <w:t>供应商登录广西政府采购云平台，依次进入“服务中心－项目采购－操作流程－电子招投标－</w:t>
      </w:r>
      <w:r>
        <w:rPr>
          <w:rFonts w:hint="eastAsia"/>
          <w:color w:val="auto"/>
          <w:highlight w:val="none"/>
        </w:rPr>
        <w:t>政府采购项目电子交易管理操作指南－供应商</w:t>
      </w:r>
      <w:r>
        <w:rPr>
          <w:rFonts w:hint="eastAsia" w:ascii="宋体" w:hAnsi="宋体"/>
          <w:color w:val="auto"/>
          <w:szCs w:val="21"/>
          <w:highlight w:val="none"/>
        </w:rPr>
        <w:t>”查看电子竞标具体操作流程。</w:t>
      </w:r>
    </w:p>
    <w:p w14:paraId="03F1DA51">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kern w:val="0"/>
          <w:szCs w:val="21"/>
          <w:highlight w:val="none"/>
        </w:rPr>
        <w:t>如在操作过程中遇到问题或者需要技术支持，请致电客服热线：95763或者0771-3381253</w:t>
      </w:r>
      <w:r>
        <w:rPr>
          <w:rFonts w:hint="eastAsia" w:ascii="宋体" w:hAnsi="宋体"/>
          <w:color w:val="auto"/>
          <w:szCs w:val="21"/>
          <w:highlight w:val="none"/>
        </w:rPr>
        <w:t>）。</w:t>
      </w:r>
    </w:p>
    <w:p w14:paraId="705112C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714AC684">
      <w:pPr>
        <w:widowControl/>
        <w:spacing w:line="360" w:lineRule="auto"/>
        <w:ind w:firstLine="420" w:firstLineChars="200"/>
        <w:jc w:val="left"/>
        <w:rPr>
          <w:rFonts w:hint="eastAsia" w:ascii="宋体" w:hAnsi="宋体"/>
          <w:bCs/>
          <w:color w:val="auto"/>
          <w:szCs w:val="21"/>
          <w:highlight w:val="none"/>
        </w:rPr>
      </w:pPr>
      <w:r>
        <w:rPr>
          <w:rFonts w:hint="eastAsia" w:ascii="宋体" w:hAnsi="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5CAEAEF6">
      <w:pPr>
        <w:spacing w:line="360" w:lineRule="auto"/>
        <w:ind w:firstLine="420" w:firstLineChars="200"/>
        <w:rPr>
          <w:rFonts w:hint="eastAsia" w:ascii="宋体" w:hAnsi="宋体"/>
          <w:color w:val="auto"/>
          <w:szCs w:val="21"/>
          <w:highlight w:val="none"/>
          <w:u w:val="single"/>
        </w:rPr>
      </w:pPr>
      <w:r>
        <w:rPr>
          <w:rFonts w:hint="eastAsia" w:ascii="宋体" w:hAnsi="宋体" w:cs="宋体"/>
          <w:color w:val="auto"/>
          <w:kern w:val="0"/>
          <w:szCs w:val="21"/>
          <w:highlight w:val="none"/>
        </w:rPr>
        <w:t>（4）供应商需要在具备有摄像头及语音功能且互联网网络状况良好的电脑登录广西政府采购云平台远程开标大厅参与本次磋商，否则后果自负。</w:t>
      </w:r>
    </w:p>
    <w:p w14:paraId="347AFAB2">
      <w:pPr>
        <w:ind w:firstLine="354" w:firstLineChars="147"/>
        <w:rPr>
          <w:rFonts w:hint="eastAsia" w:ascii="黑体" w:hAnsi="黑体" w:eastAsia="黑体"/>
          <w:b/>
          <w:color w:val="auto"/>
          <w:sz w:val="24"/>
          <w:highlight w:val="none"/>
        </w:rPr>
      </w:pPr>
      <w:r>
        <w:rPr>
          <w:rFonts w:hint="eastAsia" w:ascii="黑体" w:hAnsi="黑体" w:eastAsia="黑体"/>
          <w:b/>
          <w:color w:val="auto"/>
          <w:sz w:val="24"/>
          <w:highlight w:val="none"/>
        </w:rPr>
        <w:t>八、凡对本次采购提出询问，请按以下方式联系。</w:t>
      </w:r>
      <w:bookmarkEnd w:id="60"/>
      <w:bookmarkEnd w:id="61"/>
      <w:bookmarkEnd w:id="62"/>
      <w:bookmarkEnd w:id="63"/>
      <w:bookmarkEnd w:id="64"/>
    </w:p>
    <w:p w14:paraId="6CF044A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1.采购人信息</w:t>
      </w:r>
    </w:p>
    <w:p w14:paraId="588660C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名    称：广西福利彩票发行中心</w:t>
      </w:r>
    </w:p>
    <w:p w14:paraId="363CAA36">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地    址：南宁市葛村路23号</w:t>
      </w:r>
    </w:p>
    <w:p w14:paraId="505A984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联系人：何晓峰</w:t>
      </w:r>
    </w:p>
    <w:p w14:paraId="3E8FF01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联系方式：</w:t>
      </w:r>
      <w:r>
        <w:rPr>
          <w:rFonts w:ascii="宋体" w:hAnsi="宋体" w:cs="宋体"/>
          <w:color w:val="auto"/>
          <w:kern w:val="0"/>
          <w:szCs w:val="21"/>
          <w:highlight w:val="none"/>
        </w:rPr>
        <w:t>0771-2448821</w:t>
      </w:r>
    </w:p>
    <w:p w14:paraId="32FBAE6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2.采购代理机构信息</w:t>
      </w:r>
    </w:p>
    <w:p w14:paraId="7C5F6B4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名称：云之龙咨询集团有限公司　　</w:t>
      </w:r>
    </w:p>
    <w:p w14:paraId="73A3814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地　　址：广西南宁市良庆区云英路15号3号楼云之龙咨询集团大厦6楼/530201　　</w:t>
      </w:r>
    </w:p>
    <w:p w14:paraId="62A32548">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联系电话：0771-2618118、2611889、2611898</w:t>
      </w:r>
    </w:p>
    <w:p w14:paraId="27DA26A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3.项目联系方式</w:t>
      </w:r>
    </w:p>
    <w:p w14:paraId="770AADC9">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项目联系人：李鸿海、梁俏英</w:t>
      </w:r>
    </w:p>
    <w:p w14:paraId="6FB9EA48">
      <w:pPr>
        <w:spacing w:line="360" w:lineRule="auto"/>
        <w:ind w:firstLine="420" w:firstLineChars="200"/>
        <w:rPr>
          <w:rFonts w:hint="eastAsia" w:ascii="宋体" w:hAnsi="宋体"/>
          <w:color w:val="auto"/>
          <w:szCs w:val="21"/>
          <w:highlight w:val="none"/>
          <w:u w:val="single"/>
        </w:rPr>
      </w:pPr>
      <w:r>
        <w:rPr>
          <w:rFonts w:hint="eastAsia" w:ascii="宋体" w:hAnsi="宋体" w:cs="宋体"/>
          <w:color w:val="auto"/>
          <w:kern w:val="0"/>
          <w:szCs w:val="21"/>
          <w:highlight w:val="none"/>
        </w:rPr>
        <w:t>电　　话：0771-2618118、2611889、2611898</w:t>
      </w:r>
    </w:p>
    <w:bookmarkEnd w:id="17"/>
    <w:p w14:paraId="4A5DCC82">
      <w:pPr>
        <w:spacing w:line="400" w:lineRule="exact"/>
        <w:rPr>
          <w:color w:val="auto"/>
          <w:highlight w:val="none"/>
        </w:rPr>
      </w:pPr>
      <w:bookmarkStart w:id="65" w:name="_Toc74323457"/>
      <w:r>
        <w:rPr>
          <w:color w:val="auto"/>
          <w:highlight w:val="none"/>
        </w:rPr>
        <w:br w:type="page"/>
      </w:r>
    </w:p>
    <w:p w14:paraId="0B7B76EA">
      <w:pPr>
        <w:pStyle w:val="2"/>
        <w:jc w:val="center"/>
        <w:rPr>
          <w:color w:val="auto"/>
          <w:highlight w:val="none"/>
        </w:rPr>
      </w:pPr>
      <w:r>
        <w:rPr>
          <w:rFonts w:hint="eastAsia"/>
          <w:color w:val="auto"/>
          <w:highlight w:val="none"/>
        </w:rPr>
        <w:t>第二章 供应商须知</w:t>
      </w:r>
      <w:bookmarkEnd w:id="65"/>
    </w:p>
    <w:p w14:paraId="1A8DA0C3">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供应商须知前附表</w:t>
      </w:r>
    </w:p>
    <w:p w14:paraId="465D23B1">
      <w:pPr>
        <w:spacing w:line="400" w:lineRule="exact"/>
        <w:jc w:val="center"/>
        <w:rPr>
          <w:rFonts w:hint="eastAsia" w:ascii="宋体" w:hAnsi="宋体"/>
          <w:b/>
          <w:color w:val="auto"/>
          <w:sz w:val="32"/>
          <w:szCs w:val="32"/>
          <w:highlight w:val="none"/>
        </w:rPr>
      </w:pPr>
    </w:p>
    <w:tbl>
      <w:tblPr>
        <w:tblStyle w:val="24"/>
        <w:tblW w:w="89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7912"/>
      </w:tblGrid>
      <w:tr w14:paraId="3DB7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tcPr>
          <w:p w14:paraId="7E2F28B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7912" w:type="dxa"/>
          </w:tcPr>
          <w:p w14:paraId="723B135B">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r>
      <w:tr w14:paraId="4556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60E94E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7912" w:type="dxa"/>
            <w:vAlign w:val="center"/>
          </w:tcPr>
          <w:p w14:paraId="7184AC90">
            <w:pPr>
              <w:spacing w:line="360" w:lineRule="auto"/>
              <w:rPr>
                <w:rFonts w:hint="eastAsia" w:ascii="宋体" w:hAnsi="宋体"/>
                <w:color w:val="auto"/>
                <w:szCs w:val="21"/>
                <w:highlight w:val="none"/>
              </w:rPr>
            </w:pPr>
            <w:r>
              <w:rPr>
                <w:rFonts w:hint="eastAsia" w:ascii="宋体" w:hAnsi="宋体" w:cs="宋体"/>
                <w:bCs/>
                <w:color w:val="auto"/>
                <w:szCs w:val="21"/>
                <w:highlight w:val="none"/>
              </w:rPr>
              <w:t>1.供应商的资格条件</w:t>
            </w:r>
            <w:r>
              <w:rPr>
                <w:rFonts w:hint="eastAsia" w:ascii="宋体" w:hAnsi="宋体" w:cs="宋体"/>
                <w:color w:val="auto"/>
                <w:szCs w:val="21"/>
                <w:highlight w:val="none"/>
              </w:rPr>
              <w:t>：详见竞争性磋商公告</w:t>
            </w:r>
          </w:p>
          <w:p w14:paraId="09DCF67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7CE716B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85EE66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1AC2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52A131F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7912" w:type="dxa"/>
            <w:vAlign w:val="center"/>
          </w:tcPr>
          <w:p w14:paraId="0D07E71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是否接受联合体竞标： 详见竞争性磋商公告</w:t>
            </w:r>
          </w:p>
        </w:tc>
      </w:tr>
      <w:tr w14:paraId="30A2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22BF75A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p>
        </w:tc>
        <w:tc>
          <w:tcPr>
            <w:tcW w:w="7912" w:type="dxa"/>
            <w:vAlign w:val="center"/>
          </w:tcPr>
          <w:p w14:paraId="2611F8F1">
            <w:pPr>
              <w:spacing w:line="360" w:lineRule="auto"/>
              <w:rPr>
                <w:rFonts w:hint="eastAsia" w:ascii="宋体" w:hAnsi="宋体" w:cs="宋体"/>
                <w:color w:val="auto"/>
                <w:szCs w:val="21"/>
                <w:highlight w:val="none"/>
              </w:rPr>
            </w:pPr>
            <w:r>
              <w:rPr>
                <w:rFonts w:hint="eastAsia" w:ascii="宋体" w:hAnsi="宋体"/>
                <w:color w:val="auto"/>
                <w:szCs w:val="21"/>
                <w:highlight w:val="none"/>
              </w:rPr>
              <w:t>如接受联合体竞标，联合体竞标要求如下：</w:t>
            </w:r>
          </w:p>
          <w:p w14:paraId="1A87FB8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两个以上供应商可以组成一个竞标联合体，以一个供应商的身份共同参加竞标。联合体竞标的，须提供《联合体竞标协议书》（格式后附）。</w:t>
            </w:r>
          </w:p>
          <w:p w14:paraId="6DC9834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66BDD95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联合体各方之间必须签订联合竞标协议，协议书必须明确主体方（或者牵头方）并明确约定联合体各方承担的工作和相应的责任（</w:t>
            </w:r>
            <w:r>
              <w:rPr>
                <w:rFonts w:hint="eastAsia" w:ascii="宋体" w:hAnsi="宋体" w:cs="宋体"/>
                <w:b/>
                <w:color w:val="auto"/>
                <w:szCs w:val="21"/>
                <w:highlight w:val="none"/>
              </w:rPr>
              <w:t>各方承担责任与义务的分工必须符合采购需求，否则，联合体竞标无效</w:t>
            </w:r>
            <w:r>
              <w:rPr>
                <w:rFonts w:hint="eastAsia" w:ascii="宋体" w:hAnsi="宋体" w:cs="宋体"/>
                <w:color w:val="auto"/>
                <w:szCs w:val="21"/>
                <w:highlight w:val="none"/>
              </w:rPr>
              <w:t>），并将联合竞标协议放入响应文件。联合体各方必须共同与采购人签订采购合同，就采购合同约定的事项对采购人承担连带责任。</w:t>
            </w:r>
          </w:p>
          <w:p w14:paraId="1C48A2D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以联合体形式参加政府采购活动的，联合体各方不得再单独参加或者与其他供应商另外组成联合体参加同一合同项下的政府采购活动。</w:t>
            </w:r>
          </w:p>
          <w:p w14:paraId="299B2A8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color w:val="auto"/>
                <w:szCs w:val="21"/>
                <w:highlight w:val="none"/>
              </w:rPr>
              <w:t>联合体中有同类资质的供应商按照联合体分工承担相同工作的，应当按照资质等级较低的供应商确定资质等级。</w:t>
            </w:r>
          </w:p>
          <w:p w14:paraId="40BC626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联合体竞标业绩、履约能力按照联合体各方中较高的一方认定并计算（磋商文件另有规定的除外）。</w:t>
            </w:r>
          </w:p>
          <w:p w14:paraId="1616E01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w:t>
            </w:r>
            <w:r>
              <w:rPr>
                <w:rFonts w:hint="eastAsia" w:ascii="宋体" w:hAnsi="宋体" w:cs="宋体"/>
                <w:color w:val="auto"/>
                <w:szCs w:val="21"/>
                <w:highlight w:val="none"/>
              </w:rPr>
              <w:t>供应商为联合体的，可以由联合体中的一方或者多方共同交纳磋商保证金，其交纳的保证金对联合体各方均具有约束力。</w:t>
            </w:r>
          </w:p>
          <w:p w14:paraId="069F4BF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联合体各方均应按照磋商文件的规定提交资格证明文件。</w:t>
            </w:r>
          </w:p>
        </w:tc>
      </w:tr>
      <w:tr w14:paraId="6BAE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45768E85">
            <w:pPr>
              <w:spacing w:line="360" w:lineRule="auto"/>
              <w:jc w:val="center"/>
              <w:rPr>
                <w:rFonts w:hint="eastAsia" w:ascii="宋体" w:hAnsi="宋体" w:cs="宋体"/>
                <w:color w:val="auto"/>
                <w:szCs w:val="21"/>
                <w:highlight w:val="none"/>
              </w:rPr>
            </w:pPr>
            <w:r>
              <w:rPr>
                <w:rFonts w:hint="eastAsia" w:ascii="宋体" w:hAnsi="宋体" w:cs="Calibri"/>
                <w:color w:val="auto"/>
                <w:szCs w:val="21"/>
                <w:highlight w:val="none"/>
              </w:rPr>
              <w:t>6.2</w:t>
            </w:r>
          </w:p>
        </w:tc>
        <w:tc>
          <w:tcPr>
            <w:tcW w:w="7912" w:type="dxa"/>
            <w:vAlign w:val="center"/>
          </w:tcPr>
          <w:p w14:paraId="70466439">
            <w:pPr>
              <w:spacing w:line="360" w:lineRule="auto"/>
              <w:rPr>
                <w:rFonts w:hint="eastAsia" w:ascii="宋体" w:hAnsi="宋体" w:cs="Calibri"/>
                <w:color w:val="auto"/>
                <w:szCs w:val="21"/>
                <w:highlight w:val="none"/>
              </w:rPr>
            </w:pPr>
            <w:r>
              <w:rPr>
                <w:rFonts w:hint="eastAsia" w:ascii="宋体" w:hAnsi="宋体" w:cs="Calibri"/>
                <w:color w:val="auto"/>
                <w:szCs w:val="21"/>
                <w:highlight w:val="none"/>
              </w:rPr>
              <w:t>√不允许分包</w:t>
            </w:r>
          </w:p>
          <w:p w14:paraId="577FCBBA">
            <w:pPr>
              <w:spacing w:line="360" w:lineRule="auto"/>
              <w:rPr>
                <w:rFonts w:hint="eastAsia" w:ascii="宋体" w:hAnsi="宋体" w:cs="Calibri"/>
                <w:color w:val="auto"/>
                <w:szCs w:val="21"/>
                <w:highlight w:val="none"/>
              </w:rPr>
            </w:pPr>
            <w:r>
              <w:rPr>
                <w:rFonts w:hint="eastAsia" w:ascii="宋体" w:hAnsi="宋体" w:cs="Calibri"/>
                <w:color w:val="auto"/>
                <w:szCs w:val="21"/>
                <w:highlight w:val="none"/>
              </w:rPr>
              <w:t>□允许分包</w:t>
            </w:r>
          </w:p>
          <w:p w14:paraId="5CB7837F">
            <w:pPr>
              <w:spacing w:line="360" w:lineRule="auto"/>
              <w:rPr>
                <w:rFonts w:hint="eastAsia" w:ascii="宋体" w:hAnsi="宋体" w:cs="Calibri"/>
                <w:color w:val="auto"/>
                <w:szCs w:val="21"/>
                <w:highlight w:val="none"/>
              </w:rPr>
            </w:pPr>
            <w:r>
              <w:rPr>
                <w:rFonts w:hint="eastAsia" w:ascii="宋体" w:hAnsi="宋体" w:cs="Calibri"/>
                <w:color w:val="auto"/>
                <w:szCs w:val="21"/>
                <w:highlight w:val="none"/>
              </w:rPr>
              <w:t>分包内容：                                     。</w:t>
            </w:r>
          </w:p>
          <w:p w14:paraId="073C92AE">
            <w:pPr>
              <w:pStyle w:val="10"/>
              <w:spacing w:line="360" w:lineRule="auto"/>
              <w:rPr>
                <w:rFonts w:hint="eastAsia" w:ascii="宋体" w:hAnsi="宋体" w:cs="宋体"/>
                <w:color w:val="auto"/>
                <w:szCs w:val="21"/>
                <w:highlight w:val="none"/>
              </w:rPr>
            </w:pPr>
            <w:r>
              <w:rPr>
                <w:rFonts w:hint="eastAsia" w:ascii="宋体" w:hAnsi="宋体" w:cs="Calibri"/>
                <w:color w:val="auto"/>
                <w:szCs w:val="21"/>
                <w:highlight w:val="none"/>
              </w:rPr>
              <w:t>分包金额或者比例：                                     。</w:t>
            </w:r>
          </w:p>
        </w:tc>
      </w:tr>
      <w:tr w14:paraId="5FD1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0E7DFBA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7912" w:type="dxa"/>
            <w:vAlign w:val="center"/>
          </w:tcPr>
          <w:p w14:paraId="122C5E09">
            <w:pPr>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资格证明文件</w:t>
            </w:r>
          </w:p>
          <w:p w14:paraId="4B20385D">
            <w:pPr>
              <w:pStyle w:val="10"/>
              <w:spacing w:line="360" w:lineRule="auto"/>
              <w:rPr>
                <w:rFonts w:hint="eastAsia" w:ascii="宋体" w:hAnsi="宋体"/>
                <w:color w:val="auto"/>
                <w:szCs w:val="21"/>
                <w:highlight w:val="none"/>
              </w:rPr>
            </w:pPr>
            <w:r>
              <w:rPr>
                <w:rFonts w:hint="eastAsia" w:ascii="宋体" w:hAnsi="宋体" w:cs="宋体"/>
                <w:color w:val="auto"/>
                <w:szCs w:val="21"/>
                <w:highlight w:val="none"/>
              </w:rPr>
              <w:t>1.供应商为法人或者其他组织的，提供营业执照等证明文件（如营业执照或者事业单位法人证书或者执业许可证或者登记证书等），供应商为自然人的提供其身份证复印件；（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E1F315C">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2. 供应商依法缴纳税收的相关材料（2026年4月至2026年10月内连续 3 个月的依法缴纳税收的凭据复印件；依法免税的，必须提供相应文件证明其依法免税。从成立之日起到响应文件提交截止时间止不足要求月数的，只需提供从成立之日起的依法缴纳税收相应证明文件）；（必须提供，否则响应文件按无效响应处理）</w:t>
            </w:r>
          </w:p>
          <w:p w14:paraId="7DB56DA3">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3. 供应商依法缴纳社会保障资金的相关材料[2026年4月至2026年10月内连续 3 个月的依法缴纳社会保障资金的缴费凭证（如：专用收据、社会保险缴纳清单或者社保部门的证明）复印件；依法不需要缴纳社会保障资金的，必须提供相应文件证明不需要缴纳社会保障资金。从成立之日起到响应文件提交截止时间止不足要求月数的只需提供从成立之日起的依法缴纳社会保障资金的相应证明文件]；（必须提供，否则响应文件按无效响应处理）</w:t>
            </w:r>
          </w:p>
          <w:p w14:paraId="343BF08A">
            <w:pPr>
              <w:spacing w:line="360" w:lineRule="auto"/>
              <w:contextualSpacing/>
              <w:jc w:val="left"/>
              <w:rPr>
                <w:rFonts w:hint="eastAsia" w:ascii="宋体" w:hAnsi="宋体" w:cs="宋体"/>
                <w:b/>
                <w:color w:val="auto"/>
                <w:szCs w:val="21"/>
                <w:highlight w:val="none"/>
              </w:rPr>
            </w:pPr>
            <w:r>
              <w:rPr>
                <w:rFonts w:hint="eastAsia" w:ascii="宋体" w:hAnsi="宋体" w:cs="宋体"/>
                <w:color w:val="auto"/>
                <w:szCs w:val="21"/>
                <w:highlight w:val="none"/>
              </w:rPr>
              <w:t>4. 供应商</w:t>
            </w:r>
            <w:r>
              <w:rPr>
                <w:rFonts w:hint="eastAsia"/>
                <w:color w:val="auto"/>
                <w:szCs w:val="21"/>
                <w:highlight w:val="none"/>
              </w:rPr>
              <w:t>财务状况报告</w:t>
            </w:r>
            <w:r>
              <w:rPr>
                <w:rFonts w:hint="eastAsia" w:ascii="宋体" w:hAnsi="宋体" w:cs="宋体"/>
                <w:color w:val="auto"/>
                <w:szCs w:val="21"/>
                <w:highlight w:val="none"/>
              </w:rPr>
              <w:t>[</w:t>
            </w:r>
            <w:r>
              <w:rPr>
                <w:rFonts w:hint="eastAsia"/>
                <w:color w:val="auto"/>
                <w:szCs w:val="21"/>
                <w:highlight w:val="none"/>
                <w:u w:val="single"/>
              </w:rPr>
              <w:t>2025</w:t>
            </w:r>
            <w:r>
              <w:rPr>
                <w:rFonts w:hint="eastAsia"/>
                <w:color w:val="auto"/>
                <w:szCs w:val="21"/>
                <w:highlight w:val="none"/>
              </w:rPr>
              <w:t>年度财务报表复印件，或者银行出具的资信证明，或者中国人民银行征信中心出具的信用报告（企业竞标的提供企业信用报告，自然人竞标的提供个人信用报告，供应商属于</w:t>
            </w:r>
            <w:r>
              <w:rPr>
                <w:rFonts w:hint="eastAsia"/>
                <w:color w:val="auto"/>
                <w:highlight w:val="none"/>
              </w:rPr>
              <w:t>成立时间</w:t>
            </w:r>
            <w:r>
              <w:rPr>
                <w:rFonts w:hint="eastAsia"/>
                <w:color w:val="auto"/>
                <w:kern w:val="0"/>
                <w:highlight w:val="none"/>
              </w:rPr>
              <w:t>在规定年度之后</w:t>
            </w:r>
            <w:r>
              <w:rPr>
                <w:rFonts w:hint="eastAsia"/>
                <w:color w:val="auto"/>
                <w:highlight w:val="none"/>
              </w:rPr>
              <w:t>的</w:t>
            </w:r>
            <w:r>
              <w:rPr>
                <w:rFonts w:hint="eastAsia"/>
                <w:color w:val="auto"/>
                <w:szCs w:val="21"/>
                <w:highlight w:val="none"/>
              </w:rPr>
              <w:t>法人或其他组织</w:t>
            </w:r>
            <w:r>
              <w:rPr>
                <w:rFonts w:hint="eastAsia"/>
                <w:color w:val="auto"/>
                <w:highlight w:val="none"/>
              </w:rPr>
              <w:t>，需提供成立之日起至响应文件提交截止时间前的月报表</w:t>
            </w:r>
            <w:r>
              <w:rPr>
                <w:rFonts w:hint="eastAsia"/>
                <w:color w:val="auto"/>
                <w:szCs w:val="21"/>
                <w:highlight w:val="none"/>
              </w:rPr>
              <w:t>或银行出具的资信证明或者中国人民银行征信中心出具的企业信用报告；资信证明应在有效期内，未注明有效期的，银行出具时间至响应文件提交截止时间不超过一年）</w:t>
            </w:r>
            <w:r>
              <w:rPr>
                <w:rFonts w:hint="eastAsia" w:ascii="宋体" w:hAnsi="宋体" w:cs="宋体"/>
                <w:color w:val="auto"/>
                <w:szCs w:val="21"/>
                <w:highlight w:val="none"/>
              </w:rPr>
              <w:t>]；</w:t>
            </w:r>
            <w:r>
              <w:rPr>
                <w:rFonts w:hint="eastAsia" w:ascii="宋体" w:hAnsi="宋体" w:cs="宋体"/>
                <w:bCs/>
                <w:color w:val="auto"/>
                <w:szCs w:val="21"/>
                <w:highlight w:val="none"/>
              </w:rPr>
              <w:t>（</w:t>
            </w:r>
            <w:r>
              <w:rPr>
                <w:rFonts w:hint="eastAsia" w:ascii="宋体" w:hAnsi="宋体"/>
                <w:b/>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bCs/>
                <w:color w:val="auto"/>
                <w:szCs w:val="21"/>
                <w:highlight w:val="none"/>
              </w:rPr>
              <w:t>）</w:t>
            </w:r>
          </w:p>
          <w:p w14:paraId="7A87AE61">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5.供应商直接控股股东信息表（格式后附）；（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239ADAF">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 供应商直接管理关系信息表（格式后附）；（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9C8E286">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7.竞标声明（格式后附）；（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AA70140">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8.联合体竞标协议书（格式后附）；（</w:t>
            </w:r>
            <w:r>
              <w:rPr>
                <w:rFonts w:hint="eastAsia" w:ascii="宋体" w:hAnsi="宋体" w:cs="宋体"/>
                <w:b/>
                <w:color w:val="auto"/>
                <w:szCs w:val="21"/>
                <w:highlight w:val="none"/>
              </w:rPr>
              <w:t>联合体竞标时必须提供，否则响应文件按无效响应处理</w:t>
            </w:r>
            <w:r>
              <w:rPr>
                <w:rFonts w:hint="eastAsia" w:ascii="宋体" w:hAnsi="宋体" w:cs="宋体"/>
                <w:color w:val="auto"/>
                <w:szCs w:val="21"/>
                <w:highlight w:val="none"/>
              </w:rPr>
              <w:t>）</w:t>
            </w:r>
          </w:p>
          <w:p w14:paraId="23E7D489">
            <w:pPr>
              <w:spacing w:line="360" w:lineRule="auto"/>
              <w:jc w:val="left"/>
              <w:rPr>
                <w:rFonts w:hint="eastAsia" w:ascii="宋体" w:hAnsi="宋体" w:cs="宋体"/>
                <w:color w:val="auto"/>
                <w:szCs w:val="21"/>
                <w:highlight w:val="none"/>
              </w:rPr>
            </w:pPr>
            <w:r>
              <w:rPr>
                <w:rFonts w:hint="eastAsia" w:ascii="宋体" w:hAnsi="宋体" w:cs="Calibri"/>
                <w:color w:val="auto"/>
                <w:szCs w:val="21"/>
                <w:highlight w:val="none"/>
              </w:rPr>
              <w:t>9.</w:t>
            </w:r>
            <w:r>
              <w:rPr>
                <w:rFonts w:hint="eastAsia" w:ascii="宋体" w:hAnsi="宋体" w:cs="宋体"/>
                <w:color w:val="auto"/>
                <w:szCs w:val="21"/>
                <w:highlight w:val="none"/>
              </w:rPr>
              <w:t>供应商应当提供《中小企业声明函》或《残疾人福利性单位声明函》或省级以上监狱管理局、戒毒管理局(含新疆生产建设兵团)出具的属于监狱企业的证明文件；</w:t>
            </w:r>
            <w:r>
              <w:rPr>
                <w:rFonts w:hint="eastAsia" w:ascii="宋体" w:hAnsi="宋体" w:cs="Calibri"/>
                <w:b/>
                <w:color w:val="auto"/>
                <w:szCs w:val="21"/>
                <w:highlight w:val="none"/>
              </w:rPr>
              <w:t>（必须提供，否则响应文件按无效处理）</w:t>
            </w:r>
          </w:p>
          <w:p w14:paraId="0FD14EE9">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10.除磋商文件规定必须提供以外，供应商认为需要提供的其他证明材料；</w:t>
            </w:r>
          </w:p>
          <w:p w14:paraId="6BCCEA87">
            <w:pPr>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2F4E2B7D">
            <w:pPr>
              <w:spacing w:line="360" w:lineRule="auto"/>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1.以上标明“必须提供”的材料属于复印件的，必须加盖供应商</w:t>
            </w:r>
            <w:r>
              <w:rPr>
                <w:rFonts w:hint="eastAsia"/>
                <w:b/>
                <w:color w:val="auto"/>
                <w:highlight w:val="none"/>
              </w:rPr>
              <w:t>电子签章</w:t>
            </w:r>
            <w:r>
              <w:rPr>
                <w:rFonts w:hint="eastAsia" w:ascii="宋体" w:hAnsi="宋体" w:cs="宋体"/>
                <w:b/>
                <w:color w:val="auto"/>
                <w:szCs w:val="21"/>
                <w:highlight w:val="none"/>
              </w:rPr>
              <w:t>，否则响应文件按无效处理。</w:t>
            </w:r>
          </w:p>
          <w:p w14:paraId="64E72A5B">
            <w:pPr>
              <w:pStyle w:val="10"/>
              <w:spacing w:line="360" w:lineRule="auto"/>
              <w:ind w:firstLine="420" w:firstLineChars="200"/>
              <w:rPr>
                <w:rFonts w:hint="eastAsia" w:ascii="宋体" w:hAnsi="宋体" w:cs="宋体"/>
                <w:b/>
                <w:color w:val="auto"/>
                <w:szCs w:val="21"/>
                <w:highlight w:val="none"/>
              </w:rPr>
            </w:pPr>
            <w:r>
              <w:rPr>
                <w:rStyle w:val="32"/>
                <w:rFonts w:hint="eastAsia"/>
                <w:color w:val="auto"/>
                <w:highlight w:val="none"/>
              </w:rPr>
              <w:t>2.联合体竞标时，第1-6</w:t>
            </w:r>
            <w:r>
              <w:rPr>
                <w:rFonts w:hint="eastAsia" w:ascii="宋体" w:hAnsi="宋体" w:cs="宋体"/>
                <w:b/>
                <w:color w:val="auto"/>
                <w:szCs w:val="21"/>
                <w:highlight w:val="none"/>
              </w:rPr>
              <w:t>项资格证明文件联合体各方均必须分别提供，</w:t>
            </w:r>
            <w:r>
              <w:rPr>
                <w:rFonts w:hint="eastAsia"/>
                <w:b/>
                <w:color w:val="auto"/>
                <w:highlight w:val="none"/>
              </w:rPr>
              <w:t>并由</w:t>
            </w:r>
            <w:r>
              <w:rPr>
                <w:rFonts w:hint="eastAsia" w:ascii="宋体" w:hAnsi="宋体" w:cs="宋体"/>
                <w:b/>
                <w:color w:val="auto"/>
                <w:szCs w:val="21"/>
                <w:highlight w:val="none"/>
              </w:rPr>
              <w:t>联合体</w:t>
            </w:r>
            <w:r>
              <w:rPr>
                <w:rFonts w:hint="eastAsia"/>
                <w:b/>
                <w:color w:val="auto"/>
                <w:highlight w:val="none"/>
              </w:rPr>
              <w:t>牵头人加盖电子签章</w:t>
            </w:r>
            <w:r>
              <w:rPr>
                <w:rFonts w:hint="eastAsia" w:ascii="宋体" w:hAnsi="宋体" w:cs="宋体"/>
                <w:b/>
                <w:color w:val="auto"/>
                <w:szCs w:val="21"/>
                <w:highlight w:val="none"/>
              </w:rPr>
              <w:t>，规定签字处签字（或者电子签名），否则响应文件按无效处理；第9项《中小企业声明函》或《残疾人福利性单位声明函》或监狱企业证明文件由联合体主体方（牵头人）出具。</w:t>
            </w:r>
          </w:p>
        </w:tc>
      </w:tr>
      <w:tr w14:paraId="02C5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2061398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7912" w:type="dxa"/>
            <w:vAlign w:val="center"/>
          </w:tcPr>
          <w:p w14:paraId="4CE9E61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报价文件</w:t>
            </w:r>
          </w:p>
          <w:p w14:paraId="442CAA3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1.竞标报价表（格式后附）；（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008BD49C">
            <w:pPr>
              <w:spacing w:line="360" w:lineRule="auto"/>
              <w:rPr>
                <w:rFonts w:hint="eastAsia" w:ascii="宋体" w:hAnsi="宋体"/>
                <w:color w:val="auto"/>
                <w:szCs w:val="21"/>
                <w:highlight w:val="none"/>
              </w:rPr>
            </w:pPr>
            <w:bookmarkStart w:id="66" w:name="OLE_LINK8"/>
            <w:r>
              <w:rPr>
                <w:rFonts w:hint="eastAsia" w:ascii="宋体" w:hAnsi="宋体" w:cs="宋体"/>
                <w:color w:val="auto"/>
                <w:szCs w:val="21"/>
                <w:highlight w:val="none"/>
              </w:rPr>
              <w:t>2</w:t>
            </w:r>
            <w:r>
              <w:rPr>
                <w:rFonts w:ascii="宋体" w:hAnsi="宋体" w:cs="宋体"/>
                <w:color w:val="auto"/>
                <w:szCs w:val="21"/>
                <w:highlight w:val="none"/>
              </w:rPr>
              <w:t>.</w:t>
            </w:r>
            <w:bookmarkStart w:id="67" w:name="OLE_LINK7"/>
            <w:r>
              <w:rPr>
                <w:rFonts w:hint="eastAsia" w:ascii="宋体" w:hAnsi="宋体"/>
                <w:color w:val="auto"/>
                <w:szCs w:val="21"/>
                <w:highlight w:val="none"/>
              </w:rPr>
              <w:t>《关于符合本国产品标准的声明函》或者财政部会同有关部门规定的有关证明文件；（供应商根据自身响应情况出具）</w:t>
            </w:r>
            <w:bookmarkEnd w:id="67"/>
          </w:p>
          <w:p w14:paraId="0F680E1C">
            <w:pPr>
              <w:spacing w:line="360" w:lineRule="auto"/>
              <w:rPr>
                <w:rFonts w:hint="eastAsia" w:ascii="宋体" w:hAnsi="宋体" w:cs="宋体"/>
                <w:color w:val="auto"/>
                <w:szCs w:val="21"/>
                <w:highlight w:val="none"/>
              </w:rPr>
            </w:pPr>
            <w:r>
              <w:rPr>
                <w:rFonts w:hint="eastAsia" w:ascii="宋体" w:hAnsi="宋体"/>
                <w:color w:val="auto"/>
                <w:szCs w:val="21"/>
                <w:highlight w:val="none"/>
              </w:rPr>
              <w:t>3.供应商认为需要提供的其他有关资料。</w:t>
            </w:r>
            <w:bookmarkEnd w:id="66"/>
          </w:p>
        </w:tc>
      </w:tr>
      <w:tr w14:paraId="7966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51E22ED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7912" w:type="dxa"/>
            <w:vAlign w:val="center"/>
          </w:tcPr>
          <w:p w14:paraId="6D2CA551">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64CF1274">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1.无串通竞标行为的承诺函（格式后附）；（必须提供，否则响应文件按无效响应处理）</w:t>
            </w:r>
          </w:p>
          <w:p w14:paraId="7703DA0F">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2.法定代表人身份证明书及法定代表人有效身份证正反面复印件（格式后附）；（除自然人竞标外必须提供，否则响应文件按无效响应处理）</w:t>
            </w:r>
          </w:p>
          <w:p w14:paraId="69D15D32">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3.授权委托书及委托代理人有效身份证正反面复印件（格式后附）；（委托时必须提供，否则响应文件按无效响应处理）</w:t>
            </w:r>
          </w:p>
          <w:p w14:paraId="1FF128CC">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4.磋商保证金提交凭证；（必须提供，否则响应文件按无效响应处理）</w:t>
            </w:r>
          </w:p>
          <w:p w14:paraId="01B6E797">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5.商务要求偏离表（格式后附）；（必须提供，否则响应文件按无效响应处理）</w:t>
            </w:r>
          </w:p>
          <w:p w14:paraId="60DF3849">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 xml:space="preserve">6.维保服务方案（格式自拟）； </w:t>
            </w:r>
          </w:p>
          <w:p w14:paraId="6E7F3DB5">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7.技术要求偏离表（格式后附）；（必须提供，否则响应文件按无效响应处理）</w:t>
            </w:r>
          </w:p>
          <w:p w14:paraId="226F3CE5">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 xml:space="preserve">8.项目实施人员一览表（格式自拟）； </w:t>
            </w:r>
          </w:p>
          <w:p w14:paraId="207FE5A6">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9.代理服务费承诺书（格式后附）；</w:t>
            </w:r>
          </w:p>
          <w:p w14:paraId="6599DD94">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10.对应采购需求的技术要求、商务要求提供的其他文件资料（格式自拟）；</w:t>
            </w:r>
          </w:p>
          <w:p w14:paraId="5AD67385">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11.供应商认为需要提供的其他有关资料。</w:t>
            </w:r>
          </w:p>
          <w:p w14:paraId="701A9FB6">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注：以上标明“必须提供”的材料属于复印件的，必须加盖供应商电子签章，否则响应文件按无效响应处理。</w:t>
            </w:r>
          </w:p>
        </w:tc>
      </w:tr>
      <w:tr w14:paraId="5C8A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4000E531">
            <w:pPr>
              <w:spacing w:line="360" w:lineRule="auto"/>
              <w:jc w:val="center"/>
              <w:rPr>
                <w:rFonts w:hint="eastAsia" w:ascii="宋体" w:hAnsi="宋体" w:cs="宋体"/>
                <w:color w:val="auto"/>
                <w:szCs w:val="21"/>
                <w:highlight w:val="none"/>
              </w:rPr>
            </w:pPr>
            <w:r>
              <w:rPr>
                <w:rFonts w:hint="eastAsia" w:ascii="宋体" w:hAnsi="宋体" w:cs="Calibri"/>
                <w:color w:val="auto"/>
                <w:szCs w:val="21"/>
                <w:highlight w:val="none"/>
              </w:rPr>
              <w:t>15.2</w:t>
            </w:r>
          </w:p>
        </w:tc>
        <w:tc>
          <w:tcPr>
            <w:tcW w:w="7912" w:type="dxa"/>
            <w:vAlign w:val="center"/>
          </w:tcPr>
          <w:p w14:paraId="7D65640F">
            <w:pPr>
              <w:spacing w:line="360" w:lineRule="auto"/>
              <w:jc w:val="left"/>
              <w:rPr>
                <w:rFonts w:hint="eastAsia" w:ascii="宋体" w:hAnsi="宋体" w:cs="宋体"/>
                <w:color w:val="auto"/>
                <w:szCs w:val="21"/>
                <w:highlight w:val="none"/>
              </w:rPr>
            </w:pPr>
            <w:r>
              <w:rPr>
                <w:rFonts w:hint="eastAsia" w:ascii="宋体" w:hAnsi="宋体"/>
                <w:color w:val="auto"/>
                <w:szCs w:val="21"/>
                <w:highlight w:val="none"/>
              </w:rPr>
              <w:t>竞标报价</w:t>
            </w:r>
            <w:r>
              <w:rPr>
                <w:rFonts w:hint="eastAsia" w:ascii="宋体" w:hAnsi="宋体" w:cs="Calibri"/>
                <w:color w:val="auto"/>
                <w:szCs w:val="21"/>
                <w:highlight w:val="none"/>
              </w:rPr>
              <w:t>具体详见第三章《采购需求》。</w:t>
            </w:r>
          </w:p>
        </w:tc>
      </w:tr>
      <w:tr w14:paraId="4332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1FD7EFA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7912" w:type="dxa"/>
            <w:vAlign w:val="center"/>
          </w:tcPr>
          <w:p w14:paraId="3A111C87">
            <w:pPr>
              <w:pStyle w:val="9"/>
              <w:widowControl w:val="0"/>
              <w:tabs>
                <w:tab w:val="clear" w:pos="454"/>
              </w:tabs>
              <w:spacing w:line="360" w:lineRule="auto"/>
              <w:ind w:left="283" w:hanging="283" w:hangingChars="135"/>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竞标有效期：自首次响应文件提交截止之日起</w:t>
            </w:r>
            <w:r>
              <w:rPr>
                <w:rFonts w:ascii="宋体" w:hAnsi="宋体" w:cs="宋体"/>
                <w:color w:val="auto"/>
                <w:kern w:val="2"/>
                <w:sz w:val="21"/>
                <w:szCs w:val="21"/>
                <w:highlight w:val="none"/>
                <w:u w:val="single"/>
              </w:rPr>
              <w:t xml:space="preserve"> </w:t>
            </w:r>
            <w:r>
              <w:rPr>
                <w:rFonts w:hint="eastAsia" w:ascii="宋体" w:hAnsi="宋体" w:cs="宋体"/>
                <w:color w:val="auto"/>
                <w:kern w:val="2"/>
                <w:sz w:val="21"/>
                <w:szCs w:val="21"/>
                <w:highlight w:val="none"/>
                <w:u w:val="single"/>
              </w:rPr>
              <w:t>90</w:t>
            </w:r>
            <w:r>
              <w:rPr>
                <w:rFonts w:ascii="宋体" w:hAnsi="宋体" w:cs="宋体"/>
                <w:color w:val="auto"/>
                <w:kern w:val="2"/>
                <w:sz w:val="21"/>
                <w:szCs w:val="21"/>
                <w:highlight w:val="none"/>
                <w:u w:val="single"/>
              </w:rPr>
              <w:t xml:space="preserve"> </w:t>
            </w:r>
            <w:r>
              <w:rPr>
                <w:rFonts w:hint="eastAsia" w:ascii="宋体" w:hAnsi="宋体" w:cs="宋体"/>
                <w:color w:val="auto"/>
                <w:kern w:val="2"/>
                <w:sz w:val="21"/>
                <w:szCs w:val="21"/>
                <w:highlight w:val="none"/>
              </w:rPr>
              <w:t>日。</w:t>
            </w:r>
          </w:p>
        </w:tc>
      </w:tr>
      <w:tr w14:paraId="7BA2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7B03FE41">
            <w:pPr>
              <w:spacing w:line="360" w:lineRule="auto"/>
              <w:jc w:val="center"/>
              <w:rPr>
                <w:rFonts w:hint="eastAsia" w:ascii="宋体" w:hAnsi="宋体" w:cs="宋体"/>
                <w:color w:val="auto"/>
                <w:szCs w:val="21"/>
                <w:highlight w:val="none"/>
              </w:rPr>
            </w:pPr>
            <w:r>
              <w:rPr>
                <w:rFonts w:hint="eastAsia" w:ascii="宋体" w:hAnsi="宋体" w:cs="Calibri"/>
                <w:color w:val="auto"/>
                <w:szCs w:val="21"/>
                <w:highlight w:val="none"/>
              </w:rPr>
              <w:t>17.1</w:t>
            </w:r>
          </w:p>
        </w:tc>
        <w:tc>
          <w:tcPr>
            <w:tcW w:w="7912" w:type="dxa"/>
            <w:vAlign w:val="center"/>
          </w:tcPr>
          <w:p w14:paraId="633E0490">
            <w:pPr>
              <w:autoSpaceDE w:val="0"/>
              <w:autoSpaceDN w:val="0"/>
              <w:spacing w:line="360" w:lineRule="auto"/>
              <w:rPr>
                <w:rFonts w:hint="eastAsia" w:ascii="宋体" w:hAnsi="宋体"/>
                <w:color w:val="auto"/>
                <w:szCs w:val="21"/>
                <w:highlight w:val="none"/>
              </w:rPr>
            </w:pPr>
            <w:r>
              <w:rPr>
                <w:rFonts w:hint="eastAsia" w:ascii="宋体" w:hAnsi="宋体"/>
                <w:color w:val="auto"/>
                <w:szCs w:val="21"/>
                <w:highlight w:val="none"/>
              </w:rPr>
              <w:t>□本项目不收取磋商保证金。</w:t>
            </w:r>
          </w:p>
          <w:p w14:paraId="5D41F961">
            <w:pPr>
              <w:spacing w:line="360" w:lineRule="auto"/>
              <w:rPr>
                <w:rFonts w:hint="eastAsia" w:ascii="宋体" w:hAnsi="宋体"/>
                <w:color w:val="auto"/>
                <w:szCs w:val="21"/>
                <w:highlight w:val="none"/>
              </w:rPr>
            </w:pPr>
            <w:r>
              <w:rPr>
                <w:rFonts w:hint="eastAsia" w:ascii="宋体" w:hAnsi="宋体"/>
                <w:color w:val="auto"/>
                <w:szCs w:val="21"/>
                <w:highlight w:val="none"/>
              </w:rPr>
              <w:sym w:font="Wingdings 2" w:char="F052"/>
            </w:r>
            <w:r>
              <w:rPr>
                <w:rFonts w:hint="eastAsia" w:ascii="宋体" w:hAnsi="宋体"/>
                <w:color w:val="auto"/>
                <w:szCs w:val="21"/>
                <w:highlight w:val="none"/>
              </w:rPr>
              <w:t>本项目收取磋商保证金，具体规定如下：</w:t>
            </w:r>
          </w:p>
          <w:p w14:paraId="4708DBC0">
            <w:pPr>
              <w:spacing w:line="360" w:lineRule="auto"/>
              <w:rPr>
                <w:rFonts w:hint="eastAsia" w:ascii="宋体" w:hAnsi="宋体" w:cs="Calibri"/>
                <w:color w:val="auto"/>
                <w:kern w:val="0"/>
                <w:szCs w:val="21"/>
                <w:highlight w:val="none"/>
              </w:rPr>
            </w:pPr>
            <w:r>
              <w:rPr>
                <w:rFonts w:hint="eastAsia" w:ascii="宋体" w:hAnsi="宋体" w:cs="Calibri"/>
                <w:color w:val="auto"/>
                <w:kern w:val="0"/>
                <w:szCs w:val="21"/>
                <w:highlight w:val="none"/>
              </w:rPr>
              <w:t>按固定金额：29000.00元收取。</w:t>
            </w:r>
          </w:p>
          <w:p w14:paraId="39E3229A">
            <w:pPr>
              <w:spacing w:line="360" w:lineRule="auto"/>
              <w:rPr>
                <w:rFonts w:hint="eastAsia" w:ascii="宋体" w:hAnsi="宋体" w:cs="Calibri"/>
                <w:color w:val="auto"/>
                <w:kern w:val="0"/>
                <w:szCs w:val="21"/>
                <w:highlight w:val="none"/>
              </w:rPr>
            </w:pPr>
            <w:r>
              <w:rPr>
                <w:rFonts w:hint="eastAsia" w:ascii="宋体" w:hAnsi="宋体" w:cs="Calibri"/>
                <w:color w:val="auto"/>
                <w:kern w:val="0"/>
                <w:szCs w:val="21"/>
                <w:highlight w:val="none"/>
              </w:rPr>
              <w:t>磋商保证金的交纳方式：银行转账、支票、汇票、本票或者银行、保险机构出具的保函（包含电子保函），禁止采用现钞方式。采用银行转账方式的，在响应文件提交截止时间前交至指定账户并且到账【开户名称：云之龙咨询集团有限公司；开户银行：中信银行南宁园湖支行；银行账号：8113001013400293071】；采用支票、汇票、本票或者保函等方式的，在响应文件提交截止时间前，供应商必须提交单独密封的支票、汇票、本票或者保函原件。否则视为无效磋商保证金。</w:t>
            </w:r>
          </w:p>
          <w:p w14:paraId="59B33D38">
            <w:pPr>
              <w:spacing w:line="360" w:lineRule="auto"/>
              <w:rPr>
                <w:rFonts w:hint="eastAsia" w:ascii="宋体" w:hAnsi="宋体" w:cs="Calibri"/>
                <w:color w:val="auto"/>
                <w:szCs w:val="21"/>
                <w:highlight w:val="none"/>
              </w:rPr>
            </w:pPr>
            <w:r>
              <w:rPr>
                <w:rFonts w:hint="eastAsia" w:ascii="宋体" w:hAnsi="宋体" w:cs="Calibri"/>
                <w:color w:val="auto"/>
                <w:szCs w:val="21"/>
                <w:highlight w:val="none"/>
              </w:rPr>
              <w:t>相关要求：</w:t>
            </w:r>
          </w:p>
          <w:p w14:paraId="4C406DED">
            <w:pPr>
              <w:spacing w:line="360" w:lineRule="auto"/>
              <w:rPr>
                <w:rFonts w:hint="eastAsia" w:ascii="宋体" w:hAnsi="宋体" w:cs="Calibri"/>
                <w:color w:val="auto"/>
                <w:szCs w:val="21"/>
                <w:highlight w:val="none"/>
              </w:rPr>
            </w:pPr>
            <w:r>
              <w:rPr>
                <w:rFonts w:hint="eastAsia" w:ascii="宋体" w:hAnsi="宋体" w:cs="Calibri"/>
                <w:color w:val="auto"/>
                <w:szCs w:val="21"/>
                <w:highlight w:val="none"/>
              </w:rPr>
              <w:t>1.磋商保证金采用银行转账交纳方式的，在响应文件提交截止时间前交至指定账户并且到账，供应商应将银行转账底单的复印件作为磋商保证金提交凭证，放置于商务技术文件中，</w:t>
            </w:r>
            <w:r>
              <w:rPr>
                <w:rFonts w:hint="eastAsia" w:ascii="宋体" w:hAnsi="宋体" w:cs="Calibri"/>
                <w:b/>
                <w:color w:val="auto"/>
                <w:szCs w:val="21"/>
                <w:highlight w:val="none"/>
              </w:rPr>
              <w:t>否则响应文件按无效响应处理</w:t>
            </w:r>
            <w:r>
              <w:rPr>
                <w:rFonts w:hint="eastAsia" w:ascii="宋体" w:hAnsi="宋体" w:cs="Calibri"/>
                <w:color w:val="auto"/>
                <w:szCs w:val="21"/>
                <w:highlight w:val="none"/>
              </w:rPr>
              <w:t>。</w:t>
            </w:r>
          </w:p>
          <w:p w14:paraId="5EC5FC1B">
            <w:pPr>
              <w:spacing w:line="360" w:lineRule="auto"/>
              <w:rPr>
                <w:rFonts w:hint="eastAsia" w:ascii="宋体" w:hAnsi="宋体"/>
                <w:color w:val="auto"/>
                <w:szCs w:val="21"/>
                <w:highlight w:val="none"/>
              </w:rPr>
            </w:pPr>
            <w:r>
              <w:rPr>
                <w:rFonts w:hint="eastAsia" w:ascii="宋体" w:hAnsi="宋体"/>
                <w:color w:val="auto"/>
                <w:szCs w:val="21"/>
                <w:highlight w:val="none"/>
              </w:rPr>
              <w:t>2.磋商保证金采用支票、汇票、本票或者银行、保险机构出具的保函（包含电子保函）交纳方式的，供应商应将支票、汇票、本票或者银行、保险机构出具的保函（包含电子保函）的复印件作为磋商保证金提交凭证，放置于</w:t>
            </w:r>
            <w:r>
              <w:rPr>
                <w:rFonts w:hint="eastAsia" w:ascii="宋体" w:hAnsi="宋体" w:cs="Calibri"/>
                <w:color w:val="auto"/>
                <w:szCs w:val="21"/>
                <w:highlight w:val="none"/>
              </w:rPr>
              <w:t>商务技术文件</w:t>
            </w:r>
            <w:r>
              <w:rPr>
                <w:rFonts w:hint="eastAsia" w:ascii="宋体" w:hAnsi="宋体"/>
                <w:color w:val="auto"/>
                <w:szCs w:val="21"/>
                <w:highlight w:val="none"/>
              </w:rPr>
              <w:t>中，</w:t>
            </w:r>
            <w:r>
              <w:rPr>
                <w:rFonts w:hint="eastAsia" w:ascii="宋体" w:hAnsi="宋体" w:cs="Calibri"/>
                <w:b/>
                <w:color w:val="auto"/>
                <w:szCs w:val="21"/>
                <w:highlight w:val="none"/>
              </w:rPr>
              <w:t>否则响应文件按无效处理</w:t>
            </w:r>
            <w:r>
              <w:rPr>
                <w:rFonts w:hint="eastAsia" w:ascii="宋体" w:hAnsi="宋体"/>
                <w:color w:val="auto"/>
                <w:szCs w:val="21"/>
                <w:highlight w:val="none"/>
              </w:rPr>
              <w:t>。供应商必须</w:t>
            </w:r>
            <w:r>
              <w:rPr>
                <w:rFonts w:hint="eastAsia" w:ascii="宋体" w:hAnsi="宋体"/>
                <w:color w:val="auto"/>
                <w:highlight w:val="none"/>
              </w:rPr>
              <w:t>在响应文件提交截止时间前采用现场或邮寄方式（现场提交地址：</w:t>
            </w:r>
            <w:r>
              <w:rPr>
                <w:rFonts w:hint="eastAsia" w:ascii="宋体" w:hAnsi="宋体" w:cs="Tahoma"/>
                <w:color w:val="auto"/>
                <w:szCs w:val="21"/>
                <w:highlight w:val="none"/>
                <w:u w:val="single"/>
              </w:rPr>
              <w:t>云之龙咨询集团有限公司(广西南宁市良庆区云英路15号3号楼云之龙咨询集团大厦5楼)</w:t>
            </w:r>
            <w:r>
              <w:rPr>
                <w:rFonts w:ascii="宋体" w:hAnsi="宋体"/>
                <w:color w:val="auto"/>
                <w:highlight w:val="none"/>
                <w:u w:val="single"/>
              </w:rPr>
              <w:t xml:space="preserve">  </w:t>
            </w:r>
            <w:r>
              <w:rPr>
                <w:rFonts w:hint="eastAsia" w:ascii="宋体" w:hAnsi="宋体"/>
                <w:color w:val="auto"/>
                <w:highlight w:val="none"/>
              </w:rPr>
              <w:t>；邮寄地址：</w:t>
            </w:r>
            <w:r>
              <w:rPr>
                <w:rFonts w:ascii="宋体" w:hAnsi="宋体"/>
                <w:color w:val="auto"/>
                <w:highlight w:val="none"/>
                <w:u w:val="single"/>
              </w:rPr>
              <w:t xml:space="preserve"> </w:t>
            </w:r>
            <w:r>
              <w:rPr>
                <w:rFonts w:hint="eastAsia" w:ascii="宋体" w:hAnsi="宋体" w:cs="Tahoma"/>
                <w:color w:val="auto"/>
                <w:szCs w:val="21"/>
                <w:highlight w:val="none"/>
                <w:u w:val="single"/>
              </w:rPr>
              <w:t>广西南宁市良庆区云英路15号3号楼云之龙咨询集团大厦6楼</w:t>
            </w:r>
            <w:r>
              <w:rPr>
                <w:rFonts w:ascii="宋体" w:hAnsi="宋体"/>
                <w:color w:val="auto"/>
                <w:highlight w:val="none"/>
                <w:u w:val="single"/>
              </w:rPr>
              <w:t xml:space="preserve">   </w:t>
            </w:r>
            <w:r>
              <w:rPr>
                <w:rFonts w:hint="eastAsia" w:ascii="宋体" w:hAnsi="宋体"/>
                <w:color w:val="auto"/>
                <w:highlight w:val="none"/>
              </w:rPr>
              <w:t>，收件人：</w:t>
            </w:r>
            <w:r>
              <w:rPr>
                <w:rFonts w:hint="eastAsia" w:ascii="宋体" w:hAnsi="宋体" w:cs="Tahoma"/>
                <w:color w:val="auto"/>
                <w:kern w:val="0"/>
                <w:szCs w:val="21"/>
                <w:highlight w:val="none"/>
                <w:u w:val="single"/>
              </w:rPr>
              <w:t>李鸿海、梁俏英</w:t>
            </w:r>
            <w:r>
              <w:rPr>
                <w:rFonts w:hint="eastAsia" w:ascii="宋体" w:hAnsi="宋体"/>
                <w:color w:val="auto"/>
                <w:highlight w:val="none"/>
              </w:rPr>
              <w:t>，联系方式：</w:t>
            </w:r>
            <w:r>
              <w:rPr>
                <w:rFonts w:hint="eastAsia" w:ascii="宋体" w:hAnsi="宋体" w:cs="Tahoma"/>
                <w:color w:val="auto"/>
                <w:kern w:val="0"/>
                <w:szCs w:val="21"/>
                <w:highlight w:val="none"/>
                <w:u w:val="single"/>
              </w:rPr>
              <w:t>0771-2618118、2611889、2611898</w:t>
            </w:r>
            <w:r>
              <w:rPr>
                <w:rFonts w:ascii="宋体" w:hAnsi="宋体"/>
                <w:color w:val="auto"/>
                <w:highlight w:val="none"/>
                <w:u w:val="single"/>
              </w:rPr>
              <w:t xml:space="preserve">  </w:t>
            </w:r>
            <w:r>
              <w:rPr>
                <w:rFonts w:hint="eastAsia" w:ascii="宋体" w:hAnsi="宋体"/>
                <w:color w:val="auto"/>
                <w:highlight w:val="none"/>
              </w:rPr>
              <w:t>）</w:t>
            </w:r>
            <w:r>
              <w:rPr>
                <w:rFonts w:hint="eastAsia" w:ascii="宋体" w:hAnsi="宋体"/>
                <w:color w:val="auto"/>
                <w:szCs w:val="21"/>
                <w:highlight w:val="none"/>
              </w:rPr>
              <w:t>将</w:t>
            </w:r>
            <w:r>
              <w:rPr>
                <w:rFonts w:hint="eastAsia" w:ascii="宋体" w:hAnsi="宋体" w:cs="Calibri"/>
                <w:color w:val="auto"/>
                <w:kern w:val="0"/>
                <w:szCs w:val="21"/>
                <w:highlight w:val="none"/>
              </w:rPr>
              <w:t>单独密封的</w:t>
            </w:r>
            <w:r>
              <w:rPr>
                <w:rFonts w:hint="eastAsia" w:ascii="宋体" w:hAnsi="宋体"/>
                <w:color w:val="auto"/>
                <w:szCs w:val="21"/>
                <w:highlight w:val="none"/>
              </w:rPr>
              <w:t>支票、汇票、本票或者银行、保险机构出具的保函原件提交给采购人或者采购代理机构，由采购人或者采购代理机构向供应商出具回执（邮寄方式的除外），并妥善保管。</w:t>
            </w:r>
          </w:p>
          <w:p w14:paraId="6C657DEF">
            <w:pPr>
              <w:spacing w:line="360" w:lineRule="auto"/>
              <w:rPr>
                <w:rFonts w:hint="eastAsia" w:ascii="宋体" w:hAnsi="宋体" w:cs="Calibri"/>
                <w:b/>
                <w:color w:val="auto"/>
                <w:szCs w:val="21"/>
                <w:highlight w:val="none"/>
              </w:rPr>
            </w:pPr>
            <w:r>
              <w:rPr>
                <w:rFonts w:hint="eastAsia" w:ascii="宋体" w:hAnsi="宋体" w:cs="Calibri"/>
                <w:color w:val="auto"/>
                <w:szCs w:val="21"/>
                <w:highlight w:val="none"/>
              </w:rPr>
              <w:t>3.供应商为联合体的，可以由联合体中的一方或者多方共同交纳磋商保证金，其交纳的保证金对联合体各方均具有约束力。</w:t>
            </w:r>
          </w:p>
          <w:p w14:paraId="0C9D29C5">
            <w:pPr>
              <w:spacing w:line="360" w:lineRule="auto"/>
              <w:rPr>
                <w:rFonts w:hint="eastAsia" w:ascii="宋体" w:hAnsi="宋体" w:cs="Calibri"/>
                <w:b/>
                <w:color w:val="auto"/>
                <w:szCs w:val="21"/>
                <w:highlight w:val="none"/>
              </w:rPr>
            </w:pPr>
            <w:r>
              <w:rPr>
                <w:rFonts w:hint="eastAsia" w:ascii="宋体" w:hAnsi="宋体" w:cs="Calibri"/>
                <w:b/>
                <w:color w:val="auto"/>
                <w:szCs w:val="21"/>
                <w:highlight w:val="none"/>
              </w:rPr>
              <w:t xml:space="preserve">备注： </w:t>
            </w:r>
          </w:p>
          <w:p w14:paraId="04582C6F">
            <w:pPr>
              <w:spacing w:line="360" w:lineRule="auto"/>
              <w:rPr>
                <w:rFonts w:hint="eastAsia" w:ascii="宋体" w:hAnsi="宋体" w:cs="Calibri"/>
                <w:b/>
                <w:color w:val="auto"/>
                <w:szCs w:val="21"/>
                <w:highlight w:val="none"/>
              </w:rPr>
            </w:pPr>
            <w:r>
              <w:rPr>
                <w:rFonts w:hint="eastAsia" w:ascii="宋体" w:hAnsi="宋体" w:cs="Calibri"/>
                <w:b/>
                <w:color w:val="auto"/>
                <w:szCs w:val="21"/>
                <w:highlight w:val="none"/>
              </w:rPr>
              <w:t>1.磋商保证金在响应文件提交截止时间后提交的，或者不按规定交纳方式交纳的，或者未足额交纳的（包含保函额度不足的），视为无效磋商保证金。</w:t>
            </w:r>
          </w:p>
          <w:p w14:paraId="45AD44D6">
            <w:pPr>
              <w:spacing w:line="360" w:lineRule="auto"/>
              <w:rPr>
                <w:rFonts w:hint="eastAsia" w:ascii="宋体" w:hAnsi="宋体" w:cs="Calibri"/>
                <w:b/>
                <w:color w:val="auto"/>
                <w:szCs w:val="21"/>
                <w:highlight w:val="none"/>
              </w:rPr>
            </w:pPr>
            <w:r>
              <w:rPr>
                <w:rFonts w:hint="eastAsia" w:ascii="宋体" w:hAnsi="宋体" w:cs="Calibri"/>
                <w:b/>
                <w:color w:val="auto"/>
                <w:szCs w:val="21"/>
                <w:highlight w:val="none"/>
              </w:rPr>
              <w:t>2.供应商采用现钞方式或者从个人账户（自然人竞标除外）转出的磋商保证金，视为无效磋商保证金。</w:t>
            </w:r>
          </w:p>
          <w:p w14:paraId="2336AD85">
            <w:pPr>
              <w:spacing w:line="360" w:lineRule="auto"/>
              <w:rPr>
                <w:rFonts w:hint="eastAsia" w:ascii="宋体" w:hAnsi="宋体" w:cs="Calibri"/>
                <w:b/>
                <w:color w:val="auto"/>
                <w:szCs w:val="21"/>
                <w:highlight w:val="none"/>
              </w:rPr>
            </w:pPr>
            <w:r>
              <w:rPr>
                <w:rFonts w:hint="eastAsia" w:ascii="宋体" w:hAnsi="宋体" w:cs="Calibri"/>
                <w:b/>
                <w:color w:val="auto"/>
                <w:szCs w:val="21"/>
                <w:highlight w:val="none"/>
              </w:rPr>
              <w:t>3.支票、汇票或者本票出现无效或者背书情形的，视为无效磋商保证金。</w:t>
            </w:r>
          </w:p>
          <w:p w14:paraId="03AB90C0">
            <w:pPr>
              <w:spacing w:line="360" w:lineRule="auto"/>
              <w:rPr>
                <w:rFonts w:hint="eastAsia" w:ascii="宋体" w:hAnsi="宋体" w:cs="Calibri"/>
                <w:b/>
                <w:color w:val="auto"/>
                <w:szCs w:val="21"/>
                <w:highlight w:val="none"/>
              </w:rPr>
            </w:pPr>
            <w:r>
              <w:rPr>
                <w:rFonts w:hint="eastAsia" w:ascii="宋体" w:hAnsi="宋体" w:cs="Calibri"/>
                <w:b/>
                <w:color w:val="auto"/>
                <w:szCs w:val="21"/>
                <w:highlight w:val="none"/>
              </w:rPr>
              <w:t>4.保函有效期低于竞标有效期的，视为无效磋商保证金。</w:t>
            </w:r>
          </w:p>
          <w:p w14:paraId="67DCC986">
            <w:pPr>
              <w:spacing w:line="360" w:lineRule="auto"/>
              <w:rPr>
                <w:rFonts w:hint="eastAsia" w:ascii="宋体" w:hAnsi="宋体" w:cs="宋体"/>
                <w:color w:val="auto"/>
                <w:szCs w:val="21"/>
                <w:highlight w:val="none"/>
              </w:rPr>
            </w:pPr>
            <w:r>
              <w:rPr>
                <w:rFonts w:hint="eastAsia" w:ascii="宋体" w:hAnsi="宋体" w:cs="Calibri"/>
                <w:b/>
                <w:color w:val="auto"/>
                <w:szCs w:val="21"/>
                <w:highlight w:val="none"/>
              </w:rPr>
              <w:t>5.采用银行、保险机构出具保函的，必须为无条件保函，否则视为无效磋商保证金。</w:t>
            </w:r>
          </w:p>
        </w:tc>
      </w:tr>
      <w:tr w14:paraId="357E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601E04F9">
            <w:pPr>
              <w:spacing w:line="360" w:lineRule="auto"/>
              <w:jc w:val="center"/>
              <w:rPr>
                <w:rFonts w:hint="eastAsia" w:ascii="宋体" w:hAnsi="宋体" w:cs="宋体"/>
                <w:color w:val="auto"/>
                <w:szCs w:val="21"/>
                <w:highlight w:val="none"/>
              </w:rPr>
            </w:pPr>
            <w:r>
              <w:rPr>
                <w:rFonts w:ascii="宋体" w:hAnsi="宋体" w:cs="Calibri"/>
                <w:color w:val="auto"/>
                <w:szCs w:val="21"/>
                <w:highlight w:val="none"/>
              </w:rPr>
              <w:t>19</w:t>
            </w:r>
          </w:p>
        </w:tc>
        <w:tc>
          <w:tcPr>
            <w:tcW w:w="7912" w:type="dxa"/>
            <w:vAlign w:val="center"/>
          </w:tcPr>
          <w:p w14:paraId="7AB1BA8A">
            <w:pPr>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本项目不接受</w:t>
            </w:r>
            <w:r>
              <w:rPr>
                <w:rFonts w:hint="eastAsia" w:ascii="宋体" w:hAnsi="宋体"/>
                <w:color w:val="auto"/>
                <w:highlight w:val="none"/>
              </w:rPr>
              <w:t>电子</w:t>
            </w:r>
            <w:r>
              <w:rPr>
                <w:rFonts w:hint="eastAsia" w:ascii="宋体" w:hAnsi="宋体"/>
                <w:color w:val="auto"/>
                <w:szCs w:val="21"/>
                <w:highlight w:val="none"/>
              </w:rPr>
              <w:t>备份响应文件</w:t>
            </w:r>
          </w:p>
        </w:tc>
      </w:tr>
      <w:tr w14:paraId="5149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498DE36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7912" w:type="dxa"/>
            <w:vAlign w:val="center"/>
          </w:tcPr>
          <w:p w14:paraId="6359AF65">
            <w:pPr>
              <w:spacing w:line="360" w:lineRule="auto"/>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w:t>
            </w:r>
          </w:p>
          <w:p w14:paraId="02AAB2C0">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响应文件提交地点：详见竞争性磋商公告。</w:t>
            </w:r>
          </w:p>
        </w:tc>
      </w:tr>
      <w:tr w14:paraId="7C00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0D750F4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7912" w:type="dxa"/>
            <w:vAlign w:val="center"/>
          </w:tcPr>
          <w:p w14:paraId="5ED79F8F">
            <w:pPr>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 xml:space="preserve"> 3</w:t>
            </w:r>
            <w:r>
              <w:rPr>
                <w:rFonts w:hint="eastAsia" w:ascii="宋体" w:hAnsi="宋体" w:cs="宋体"/>
                <w:color w:val="auto"/>
                <w:szCs w:val="21"/>
                <w:highlight w:val="none"/>
              </w:rPr>
              <w:t>人或以上单数。</w:t>
            </w:r>
          </w:p>
        </w:tc>
      </w:tr>
      <w:tr w14:paraId="45BB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574A885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7912" w:type="dxa"/>
            <w:vAlign w:val="center"/>
          </w:tcPr>
          <w:p w14:paraId="615E835F">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14:paraId="01E2ABB5">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首次响应文件解密时间：</w:t>
            </w:r>
            <w:r>
              <w:rPr>
                <w:rFonts w:hAnsi="宋体"/>
                <w:color w:val="auto"/>
                <w:highlight w:val="none"/>
                <w:u w:val="single"/>
              </w:rPr>
              <w:t xml:space="preserve"> </w:t>
            </w:r>
            <w:r>
              <w:rPr>
                <w:rFonts w:hint="eastAsia" w:hAnsi="宋体"/>
                <w:color w:val="auto"/>
                <w:highlight w:val="none"/>
                <w:u w:val="single"/>
              </w:rPr>
              <w:t>30</w:t>
            </w:r>
            <w:r>
              <w:rPr>
                <w:rFonts w:hAnsi="宋体"/>
                <w:color w:val="auto"/>
                <w:highlight w:val="none"/>
                <w:u w:val="single"/>
              </w:rPr>
              <w:t xml:space="preserve"> </w:t>
            </w:r>
            <w:r>
              <w:rPr>
                <w:rFonts w:hint="eastAsia" w:hAnsi="宋体"/>
                <w:color w:val="auto"/>
                <w:highlight w:val="none"/>
              </w:rPr>
              <w:t>分钟</w:t>
            </w:r>
          </w:p>
        </w:tc>
      </w:tr>
      <w:tr w14:paraId="4C35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92" w:type="dxa"/>
            <w:vAlign w:val="center"/>
          </w:tcPr>
          <w:p w14:paraId="48E300F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6.3</w:t>
            </w:r>
          </w:p>
        </w:tc>
        <w:tc>
          <w:tcPr>
            <w:tcW w:w="7912" w:type="dxa"/>
            <w:vAlign w:val="center"/>
          </w:tcPr>
          <w:p w14:paraId="47A820E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除采购需求中带“▲”号的实质性条款外，技术、商务要求条款均允许负偏离。</w:t>
            </w:r>
          </w:p>
        </w:tc>
      </w:tr>
      <w:tr w14:paraId="3A2F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4657C5D1">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28.1</w:t>
            </w:r>
          </w:p>
        </w:tc>
        <w:tc>
          <w:tcPr>
            <w:tcW w:w="7912" w:type="dxa"/>
            <w:vAlign w:val="center"/>
          </w:tcPr>
          <w:p w14:paraId="304CC0E3">
            <w:pPr>
              <w:autoSpaceDE w:val="0"/>
              <w:autoSpaceDN w:val="0"/>
              <w:spacing w:line="360" w:lineRule="auto"/>
              <w:rPr>
                <w:rFonts w:hint="eastAsia" w:ascii="宋体" w:hAnsi="宋体"/>
                <w:color w:val="auto"/>
                <w:szCs w:val="21"/>
                <w:highlight w:val="none"/>
              </w:rPr>
            </w:pPr>
            <w:r>
              <w:rPr>
                <w:rFonts w:hint="eastAsia" w:ascii="宋体" w:hAnsi="宋体"/>
                <w:color w:val="auto"/>
                <w:szCs w:val="21"/>
                <w:highlight w:val="none"/>
              </w:rPr>
              <w:t>☑本项目不收取履约保证金。</w:t>
            </w:r>
          </w:p>
          <w:p w14:paraId="0B9095C4">
            <w:pPr>
              <w:autoSpaceDE w:val="0"/>
              <w:autoSpaceDN w:val="0"/>
              <w:spacing w:line="360" w:lineRule="auto"/>
              <w:rPr>
                <w:rFonts w:hint="eastAsia" w:ascii="宋体" w:hAnsi="宋体"/>
                <w:color w:val="auto"/>
                <w:szCs w:val="21"/>
                <w:highlight w:val="none"/>
              </w:rPr>
            </w:pPr>
            <w:r>
              <w:rPr>
                <w:rFonts w:hint="eastAsia" w:ascii="宋体" w:hAnsi="宋体"/>
                <w:color w:val="auto"/>
                <w:szCs w:val="21"/>
                <w:highlight w:val="none"/>
              </w:rPr>
              <w:t>□本项目收取履约保证金，具体规定如下：</w:t>
            </w:r>
          </w:p>
          <w:p w14:paraId="44CE36C0">
            <w:pPr>
              <w:autoSpaceDE w:val="0"/>
              <w:autoSpaceDN w:val="0"/>
              <w:spacing w:line="360" w:lineRule="auto"/>
              <w:rPr>
                <w:rFonts w:hint="eastAsia" w:ascii="宋体" w:hAnsi="宋体"/>
                <w:color w:val="auto"/>
                <w:szCs w:val="21"/>
                <w:highlight w:val="none"/>
              </w:rPr>
            </w:pPr>
            <w:r>
              <w:rPr>
                <w:rFonts w:hint="eastAsia" w:ascii="宋体" w:hAnsi="宋体" w:cs="宋体"/>
                <w:color w:val="auto"/>
                <w:szCs w:val="21"/>
                <w:highlight w:val="none"/>
              </w:rPr>
              <w:t>履约保证金金额：按成交金额的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olor w:val="auto"/>
                <w:szCs w:val="21"/>
                <w:highlight w:val="none"/>
              </w:rPr>
              <w:t>。</w:t>
            </w:r>
          </w:p>
          <w:p w14:paraId="36174695">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履约保证金提交方式：银行转账、支票、汇票、本票或者银行、保险机构出具的保函等非现金方式。</w:t>
            </w:r>
          </w:p>
          <w:p w14:paraId="35FB8C02">
            <w:pPr>
              <w:autoSpaceDE w:val="0"/>
              <w:autoSpaceDN w:val="0"/>
              <w:spacing w:line="360" w:lineRule="auto"/>
              <w:rPr>
                <w:rFonts w:hint="eastAsia" w:ascii="宋体" w:hAnsi="宋体"/>
                <w:color w:val="auto"/>
                <w:szCs w:val="21"/>
                <w:highlight w:val="none"/>
              </w:rPr>
            </w:pPr>
            <w:r>
              <w:rPr>
                <w:rFonts w:hint="eastAsia" w:ascii="宋体" w:hAnsi="宋体"/>
                <w:color w:val="auto"/>
                <w:szCs w:val="21"/>
                <w:highlight w:val="none"/>
              </w:rPr>
              <w:t>履约保证金缴纳期限：自成交通知书发出之日起 10日内。</w:t>
            </w:r>
          </w:p>
          <w:p w14:paraId="0E370651">
            <w:pPr>
              <w:spacing w:line="360" w:lineRule="auto"/>
              <w:contextualSpacing/>
              <w:rPr>
                <w:rFonts w:hint="eastAsia" w:ascii="宋体" w:hAnsi="宋体" w:cs="宋体"/>
                <w:color w:val="auto"/>
                <w:szCs w:val="21"/>
                <w:highlight w:val="none"/>
                <w:u w:val="single"/>
              </w:rPr>
            </w:pPr>
            <w:r>
              <w:rPr>
                <w:rFonts w:hint="eastAsia" w:ascii="宋体" w:hAnsi="宋体" w:cs="宋体"/>
                <w:color w:val="auto"/>
                <w:szCs w:val="21"/>
                <w:highlight w:val="none"/>
              </w:rPr>
              <w:t>履约保证金退付方式、时间及条件：</w:t>
            </w:r>
            <w:r>
              <w:rPr>
                <w:rFonts w:hint="eastAsia" w:ascii="宋体" w:hAnsi="宋体" w:cs="宋体"/>
                <w:color w:val="auto"/>
                <w:szCs w:val="21"/>
                <w:highlight w:val="none"/>
                <w:u w:val="single"/>
              </w:rPr>
              <w:t>合同期满，成交供应商按照合同要求执行合同服务且经采购人验收合格后，采购人将履约保证金无息退还至成交供应商账户，如成交供应商没有及时响应采购人服务要求，造成采购人损失的，采购人可从成交供应商履约保证金中扣除。</w:t>
            </w:r>
          </w:p>
          <w:p w14:paraId="6FF9FFE1">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履约保证金指定账户：</w:t>
            </w:r>
          </w:p>
          <w:p w14:paraId="64DA4C41">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开户名称：</w:t>
            </w:r>
            <w:r>
              <w:rPr>
                <w:rFonts w:hint="eastAsia" w:ascii="宋体" w:hAnsi="宋体" w:cs="宋体"/>
                <w:color w:val="auto"/>
                <w:szCs w:val="21"/>
                <w:highlight w:val="none"/>
                <w:u w:val="single"/>
              </w:rPr>
              <w:t xml:space="preserve">                </w:t>
            </w:r>
          </w:p>
          <w:p w14:paraId="25AC3AA6">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p>
          <w:p w14:paraId="5B52AE65">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银行账号：</w:t>
            </w:r>
            <w:r>
              <w:rPr>
                <w:rFonts w:hint="eastAsia" w:ascii="宋体" w:hAnsi="宋体" w:cs="宋体"/>
                <w:color w:val="auto"/>
                <w:szCs w:val="21"/>
                <w:highlight w:val="none"/>
                <w:u w:val="single"/>
              </w:rPr>
              <w:t xml:space="preserve">                </w:t>
            </w:r>
          </w:p>
          <w:p w14:paraId="0DF94C76">
            <w:pPr>
              <w:spacing w:line="360" w:lineRule="auto"/>
              <w:contextualSpacing/>
              <w:rPr>
                <w:rFonts w:hint="eastAsia" w:ascii="宋体" w:hAnsi="宋体" w:cs="宋体"/>
                <w:b/>
                <w:color w:val="auto"/>
                <w:kern w:val="0"/>
                <w:sz w:val="24"/>
                <w:highlight w:val="none"/>
              </w:rPr>
            </w:pPr>
            <w:r>
              <w:rPr>
                <w:rFonts w:hint="eastAsia" w:ascii="宋体" w:hAnsi="宋体" w:cs="宋体"/>
                <w:color w:val="auto"/>
                <w:szCs w:val="21"/>
                <w:highlight w:val="none"/>
              </w:rPr>
              <w:t>备注：</w:t>
            </w:r>
            <w:r>
              <w:rPr>
                <w:rFonts w:hint="eastAsia" w:ascii="宋体" w:hAnsi="宋体" w:cs="宋体"/>
                <w:color w:val="auto"/>
                <w:szCs w:val="21"/>
                <w:highlight w:val="none"/>
              </w:rPr>
              <w:br w:type="textWrapping" w:clear="all"/>
            </w:r>
            <w:r>
              <w:rPr>
                <w:rFonts w:hint="eastAsia" w:ascii="宋体" w:hAnsi="宋体" w:cs="宋体"/>
                <w:b/>
                <w:color w:val="auto"/>
                <w:szCs w:val="21"/>
                <w:highlight w:val="none"/>
              </w:rPr>
              <w:t>1</w:t>
            </w:r>
            <w:r>
              <w:rPr>
                <w:rFonts w:ascii="宋体" w:hAnsi="宋体" w:cs="宋体"/>
                <w:b/>
                <w:color w:val="auto"/>
                <w:szCs w:val="21"/>
                <w:highlight w:val="none"/>
              </w:rPr>
              <w:t>.</w:t>
            </w:r>
            <w:r>
              <w:rPr>
                <w:rFonts w:hint="eastAsia" w:ascii="宋体" w:hAnsi="宋体"/>
                <w:b/>
                <w:color w:val="auto"/>
                <w:szCs w:val="21"/>
                <w:highlight w:val="none"/>
              </w:rPr>
              <w:t xml:space="preserve"> </w:t>
            </w:r>
            <w:bookmarkStart w:id="68" w:name="_Hlk54170335"/>
            <w:r>
              <w:rPr>
                <w:rFonts w:hint="eastAsia" w:ascii="宋体" w:hAnsi="宋体"/>
                <w:b/>
                <w:color w:val="auto"/>
                <w:szCs w:val="21"/>
                <w:highlight w:val="none"/>
              </w:rPr>
              <w:t>根据《广西壮族自治区财政厅关于持续优化政府采购营商环境推动高质量发展的通知》（桂财采〔2024〕55号）的规定，履约保证金数额不得超过政府采购合同金额的5%；对中小企业收取的履约保证金数额不得超过政府采购合同金额的2%</w:t>
            </w:r>
            <w:r>
              <w:rPr>
                <w:rFonts w:hint="eastAsia" w:ascii="宋体" w:hAnsi="宋体" w:cs="宋体"/>
                <w:b/>
                <w:color w:val="auto"/>
                <w:kern w:val="0"/>
                <w:sz w:val="24"/>
                <w:highlight w:val="none"/>
              </w:rPr>
              <w:t>。</w:t>
            </w:r>
            <w:bookmarkEnd w:id="68"/>
          </w:p>
          <w:p w14:paraId="2FF6F055">
            <w:pPr>
              <w:spacing w:line="360" w:lineRule="auto"/>
              <w:contextualSpacing/>
              <w:rPr>
                <w:rFonts w:hint="eastAsia" w:ascii="宋体" w:hAnsi="宋体" w:cs="宋体"/>
                <w:b/>
                <w:color w:val="auto"/>
                <w:szCs w:val="21"/>
                <w:highlight w:val="none"/>
              </w:rPr>
            </w:pPr>
            <w:r>
              <w:rPr>
                <w:rFonts w:hint="eastAsia" w:ascii="宋体" w:hAnsi="宋体" w:cs="宋体"/>
                <w:b/>
                <w:color w:val="auto"/>
                <w:szCs w:val="21"/>
                <w:highlight w:val="none"/>
              </w:rPr>
              <w:t>2</w:t>
            </w:r>
            <w:r>
              <w:rPr>
                <w:rFonts w:ascii="宋体" w:hAnsi="宋体" w:cs="宋体"/>
                <w:b/>
                <w:color w:val="auto"/>
                <w:szCs w:val="21"/>
                <w:highlight w:val="none"/>
              </w:rPr>
              <w:t>.</w:t>
            </w:r>
            <w:r>
              <w:rPr>
                <w:rFonts w:hint="eastAsia" w:ascii="宋体" w:hAnsi="宋体"/>
                <w:b/>
                <w:color w:val="auto"/>
                <w:szCs w:val="21"/>
                <w:highlight w:val="none"/>
              </w:rPr>
              <w:t xml:space="preserve"> 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r>
              <w:rPr>
                <w:rFonts w:hint="eastAsia" w:ascii="宋体" w:hAnsi="宋体" w:cs="宋体"/>
                <w:b/>
                <w:color w:val="auto"/>
                <w:szCs w:val="21"/>
                <w:highlight w:val="none"/>
              </w:rPr>
              <w:br w:type="textWrapping" w:clear="all"/>
            </w:r>
            <w:r>
              <w:rPr>
                <w:rFonts w:ascii="宋体" w:hAnsi="宋体" w:cs="宋体"/>
                <w:b/>
                <w:color w:val="auto"/>
                <w:szCs w:val="21"/>
                <w:highlight w:val="none"/>
              </w:rPr>
              <w:t>3.</w:t>
            </w:r>
            <w:r>
              <w:rPr>
                <w:rFonts w:hint="eastAsia" w:ascii="宋体" w:hAnsi="宋体" w:cs="宋体"/>
                <w:b/>
                <w:color w:val="auto"/>
                <w:szCs w:val="21"/>
                <w:highlight w:val="none"/>
              </w:rPr>
              <w:t>采用银行、保险机构出具的保函的，必须为无条件保函，否则不予签订合同。</w:t>
            </w:r>
          </w:p>
          <w:p w14:paraId="2F6EBFD3">
            <w:pPr>
              <w:spacing w:line="360" w:lineRule="auto"/>
              <w:rPr>
                <w:rFonts w:hint="eastAsia" w:ascii="宋体" w:hAnsi="宋体" w:cs="宋体"/>
                <w:color w:val="auto"/>
                <w:szCs w:val="21"/>
                <w:highlight w:val="none"/>
              </w:rPr>
            </w:pPr>
            <w:r>
              <w:rPr>
                <w:rFonts w:ascii="宋体" w:hAnsi="宋体" w:cs="宋体"/>
                <w:b/>
                <w:color w:val="auto"/>
                <w:szCs w:val="21"/>
                <w:highlight w:val="none"/>
              </w:rPr>
              <w:t>4.</w:t>
            </w:r>
            <w:r>
              <w:rPr>
                <w:rFonts w:hint="eastAsia" w:ascii="宋体" w:hAnsi="宋体" w:cs="宋体"/>
                <w:b/>
                <w:color w:val="auto"/>
                <w:szCs w:val="21"/>
                <w:highlight w:val="none"/>
              </w:rPr>
              <w:t>供应商为联合体的，由联合体任意一方按规定提交的履约保证金，视为有效履约保证金。</w:t>
            </w:r>
          </w:p>
        </w:tc>
      </w:tr>
      <w:tr w14:paraId="530C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167E5D68">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29.1</w:t>
            </w:r>
          </w:p>
        </w:tc>
        <w:tc>
          <w:tcPr>
            <w:tcW w:w="7912" w:type="dxa"/>
            <w:vAlign w:val="center"/>
          </w:tcPr>
          <w:p w14:paraId="08D20A8B">
            <w:pPr>
              <w:autoSpaceDE w:val="0"/>
              <w:autoSpaceDN w:val="0"/>
              <w:spacing w:line="360" w:lineRule="auto"/>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7CEB2CF7">
            <w:pPr>
              <w:autoSpaceDE w:val="0"/>
              <w:autoSpaceDN w:val="0"/>
              <w:spacing w:line="360" w:lineRule="auto"/>
              <w:rPr>
                <w:rFonts w:hint="eastAsia"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652901F4">
            <w:pPr>
              <w:spacing w:line="360" w:lineRule="auto"/>
              <w:rPr>
                <w:rFonts w:hint="eastAsia" w:ascii="宋体" w:hAnsi="宋体" w:cs="宋体"/>
                <w:color w:val="auto"/>
                <w:szCs w:val="21"/>
                <w:highlight w:val="none"/>
              </w:rPr>
            </w:pPr>
            <w:r>
              <w:rPr>
                <w:rFonts w:hint="eastAsia" w:ascii="宋体" w:hAnsi="宋体"/>
                <w:color w:val="auto"/>
                <w:szCs w:val="21"/>
                <w:highlight w:val="none"/>
              </w:rPr>
              <w:t>法定代表人负责签订合同的，须携带法定代表人身份证明原件及身份证原件等其他证明材料。</w:t>
            </w:r>
          </w:p>
        </w:tc>
      </w:tr>
      <w:tr w14:paraId="2731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47BCDD51">
            <w:pPr>
              <w:spacing w:line="360" w:lineRule="auto"/>
              <w:jc w:val="center"/>
              <w:rPr>
                <w:rFonts w:hint="eastAsia" w:ascii="宋体" w:hAnsi="宋体" w:cs="宋体"/>
                <w:color w:val="auto"/>
                <w:szCs w:val="21"/>
                <w:highlight w:val="none"/>
              </w:rPr>
            </w:pPr>
            <w:r>
              <w:rPr>
                <w:rFonts w:hint="eastAsia" w:ascii="宋体" w:hAnsi="宋体" w:cs="Calibri"/>
                <w:color w:val="auto"/>
                <w:szCs w:val="21"/>
                <w:highlight w:val="none"/>
              </w:rPr>
              <w:t>3</w:t>
            </w:r>
            <w:r>
              <w:rPr>
                <w:rFonts w:ascii="宋体" w:hAnsi="宋体" w:cs="Calibri"/>
                <w:color w:val="auto"/>
                <w:szCs w:val="21"/>
                <w:highlight w:val="none"/>
              </w:rPr>
              <w:t>1.2</w:t>
            </w:r>
          </w:p>
        </w:tc>
        <w:tc>
          <w:tcPr>
            <w:tcW w:w="7912" w:type="dxa"/>
            <w:vAlign w:val="center"/>
          </w:tcPr>
          <w:p w14:paraId="33833CAD">
            <w:pPr>
              <w:spacing w:line="360" w:lineRule="auto"/>
              <w:rPr>
                <w:rFonts w:hint="eastAsia" w:ascii="宋体" w:hAnsi="宋体"/>
                <w:color w:val="auto"/>
                <w:szCs w:val="21"/>
                <w:highlight w:val="none"/>
              </w:rPr>
            </w:pPr>
            <w:r>
              <w:rPr>
                <w:rFonts w:hint="eastAsia" w:ascii="宋体" w:hAnsi="宋体"/>
                <w:color w:val="auto"/>
                <w:szCs w:val="21"/>
                <w:highlight w:val="none"/>
              </w:rPr>
              <w:t>接收质疑函方式：以书面形式。</w:t>
            </w:r>
          </w:p>
          <w:p w14:paraId="4CBB80EE">
            <w:pPr>
              <w:spacing w:line="360" w:lineRule="auto"/>
              <w:rPr>
                <w:rFonts w:hint="eastAsia" w:ascii="宋体" w:hAnsi="宋体"/>
                <w:color w:val="auto"/>
                <w:szCs w:val="21"/>
                <w:highlight w:val="none"/>
              </w:rPr>
            </w:pPr>
            <w:r>
              <w:rPr>
                <w:rFonts w:hint="eastAsia" w:ascii="宋体" w:hAnsi="宋体"/>
                <w:color w:val="auto"/>
                <w:szCs w:val="21"/>
                <w:highlight w:val="none"/>
              </w:rPr>
              <w:t>质疑联系部门及联系方式：云之龙咨询集团有限公司政府采购咨询部</w:t>
            </w:r>
          </w:p>
          <w:p w14:paraId="504DFA42">
            <w:pPr>
              <w:spacing w:line="360" w:lineRule="auto"/>
              <w:rPr>
                <w:rFonts w:hint="eastAsia" w:ascii="宋体" w:hAnsi="宋体"/>
                <w:color w:val="auto"/>
                <w:szCs w:val="21"/>
                <w:highlight w:val="none"/>
              </w:rPr>
            </w:pPr>
            <w:r>
              <w:rPr>
                <w:rFonts w:hint="eastAsia" w:ascii="宋体" w:hAnsi="宋体"/>
                <w:color w:val="auto"/>
                <w:szCs w:val="21"/>
                <w:highlight w:val="none"/>
              </w:rPr>
              <w:t>联系电话：0771-2618118.2611889.2611898</w:t>
            </w:r>
          </w:p>
          <w:p w14:paraId="5A86A0F9">
            <w:pPr>
              <w:spacing w:line="360" w:lineRule="auto"/>
              <w:rPr>
                <w:rFonts w:hint="eastAsia" w:ascii="宋体" w:hAnsi="宋体"/>
                <w:color w:val="auto"/>
                <w:szCs w:val="21"/>
                <w:highlight w:val="none"/>
              </w:rPr>
            </w:pPr>
            <w:r>
              <w:rPr>
                <w:rFonts w:hint="eastAsia" w:ascii="宋体" w:hAnsi="宋体"/>
                <w:color w:val="auto"/>
                <w:szCs w:val="21"/>
                <w:highlight w:val="none"/>
              </w:rPr>
              <w:t>通讯地址：南宁市良庆区云英路15号3号楼云之龙咨询集团大厦6楼</w:t>
            </w:r>
          </w:p>
          <w:p w14:paraId="79DA58FB">
            <w:pPr>
              <w:pStyle w:val="15"/>
              <w:spacing w:line="360" w:lineRule="auto"/>
              <w:rPr>
                <w:rFonts w:hint="eastAsia" w:hAnsi="宋体"/>
                <w:color w:val="auto"/>
                <w:highlight w:val="none"/>
              </w:rPr>
            </w:pPr>
            <w:r>
              <w:rPr>
                <w:rFonts w:hint="eastAsia" w:hAnsi="宋体" w:cs="等线"/>
                <w:color w:val="auto"/>
                <w:kern w:val="2"/>
                <w:sz w:val="21"/>
                <w:highlight w:val="none"/>
              </w:rPr>
              <w:t>业务时间：每天上午8时00分到12时00分，下午3时00分到6时 00分，双休日和法定节假日不办理业务。</w:t>
            </w:r>
          </w:p>
        </w:tc>
      </w:tr>
      <w:tr w14:paraId="2512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03B01145">
            <w:pPr>
              <w:spacing w:line="360" w:lineRule="auto"/>
              <w:jc w:val="center"/>
              <w:rPr>
                <w:rFonts w:hint="eastAsia" w:ascii="宋体" w:hAnsi="宋体" w:cs="宋体"/>
                <w:color w:val="auto"/>
                <w:szCs w:val="21"/>
                <w:highlight w:val="none"/>
              </w:rPr>
            </w:pPr>
            <w:r>
              <w:rPr>
                <w:rFonts w:ascii="宋体" w:hAnsi="宋体" w:cs="Calibri"/>
                <w:color w:val="auto"/>
                <w:szCs w:val="21"/>
                <w:highlight w:val="none"/>
              </w:rPr>
              <w:t>32.1</w:t>
            </w:r>
          </w:p>
        </w:tc>
        <w:tc>
          <w:tcPr>
            <w:tcW w:w="7912" w:type="dxa"/>
            <w:vAlign w:val="center"/>
          </w:tcPr>
          <w:p w14:paraId="14933692">
            <w:pPr>
              <w:pStyle w:val="15"/>
              <w:spacing w:line="360" w:lineRule="auto"/>
              <w:rPr>
                <w:rFonts w:hint="eastAsia" w:hAnsi="宋体" w:cs="Calibri"/>
                <w:color w:val="auto"/>
                <w:sz w:val="21"/>
                <w:highlight w:val="none"/>
              </w:rPr>
            </w:pPr>
            <w:r>
              <w:rPr>
                <w:rFonts w:hint="eastAsia" w:hAnsi="宋体" w:cs="Calibri"/>
                <w:color w:val="auto"/>
                <w:sz w:val="21"/>
                <w:highlight w:val="none"/>
              </w:rPr>
              <w:t>1.采购代理费支付方式：</w:t>
            </w:r>
          </w:p>
          <w:p w14:paraId="6EA142D9">
            <w:pPr>
              <w:pStyle w:val="15"/>
              <w:spacing w:line="360" w:lineRule="auto"/>
              <w:rPr>
                <w:rFonts w:hint="eastAsia" w:hAnsi="宋体" w:cs="Calibri"/>
                <w:color w:val="auto"/>
                <w:sz w:val="21"/>
                <w:highlight w:val="none"/>
              </w:rPr>
            </w:pPr>
            <w:r>
              <w:rPr>
                <w:rFonts w:hint="eastAsia" w:hAnsi="宋体" w:cs="等线"/>
                <w:color w:val="auto"/>
                <w:highlight w:val="none"/>
              </w:rPr>
              <w:t>√</w:t>
            </w:r>
            <w:r>
              <w:rPr>
                <w:rFonts w:hint="eastAsia" w:hAnsi="宋体" w:cs="Calibri"/>
                <w:color w:val="auto"/>
                <w:sz w:val="21"/>
                <w:highlight w:val="none"/>
              </w:rPr>
              <w:t>本项目代理服务费按如下规定由</w:t>
            </w:r>
            <w:r>
              <w:rPr>
                <w:rFonts w:hint="eastAsia" w:hAnsi="宋体" w:cs="Calibri"/>
                <w:color w:val="auto"/>
                <w:sz w:val="21"/>
                <w:highlight w:val="none"/>
                <w:u w:val="single"/>
              </w:rPr>
              <w:t>成交供应商</w:t>
            </w:r>
            <w:r>
              <w:rPr>
                <w:rFonts w:hint="eastAsia" w:hAnsi="宋体" w:cs="Calibri"/>
                <w:color w:val="auto"/>
                <w:sz w:val="21"/>
                <w:highlight w:val="none"/>
              </w:rPr>
              <w:t>一次性向采购代理机构支付。</w:t>
            </w:r>
          </w:p>
          <w:p w14:paraId="3B8E676F">
            <w:pPr>
              <w:pStyle w:val="15"/>
              <w:spacing w:line="360" w:lineRule="auto"/>
              <w:rPr>
                <w:rFonts w:hint="eastAsia" w:hAnsi="宋体" w:cs="Calibri"/>
                <w:color w:val="auto"/>
                <w:sz w:val="21"/>
                <w:highlight w:val="none"/>
              </w:rPr>
            </w:pPr>
            <w:r>
              <w:rPr>
                <w:rFonts w:hint="eastAsia" w:hAnsi="宋体" w:cs="Calibri"/>
                <w:color w:val="auto"/>
                <w:sz w:val="21"/>
                <w:highlight w:val="none"/>
              </w:rPr>
              <w:t>□采购人支付。</w:t>
            </w:r>
          </w:p>
          <w:p w14:paraId="6122D6AD">
            <w:pPr>
              <w:pStyle w:val="15"/>
              <w:spacing w:line="360" w:lineRule="auto"/>
              <w:rPr>
                <w:rFonts w:hint="eastAsia" w:hAnsi="宋体" w:cs="Calibri"/>
                <w:color w:val="auto"/>
                <w:sz w:val="21"/>
                <w:highlight w:val="none"/>
              </w:rPr>
            </w:pPr>
            <w:r>
              <w:rPr>
                <w:rFonts w:hint="eastAsia" w:hAnsi="宋体" w:cs="Calibri"/>
                <w:color w:val="auto"/>
                <w:sz w:val="21"/>
                <w:highlight w:val="none"/>
              </w:rPr>
              <w:t>2.采购代理费收取标准：</w:t>
            </w:r>
          </w:p>
          <w:p w14:paraId="1092A462">
            <w:pPr>
              <w:pStyle w:val="15"/>
              <w:spacing w:line="360" w:lineRule="auto"/>
              <w:rPr>
                <w:rFonts w:hint="eastAsia" w:hAnsi="宋体" w:cs="Calibri"/>
                <w:color w:val="auto"/>
                <w:sz w:val="21"/>
                <w:highlight w:val="none"/>
              </w:rPr>
            </w:pPr>
            <w:r>
              <w:rPr>
                <w:rFonts w:ascii="Segoe UI Emoji" w:hAnsi="Segoe UI Emoji" w:cs="Segoe UI Emoji"/>
                <w:color w:val="auto"/>
                <w:highlight w:val="none"/>
              </w:rPr>
              <w:t>☑</w:t>
            </w:r>
            <w:r>
              <w:rPr>
                <w:rFonts w:hint="eastAsia" w:hAnsi="宋体" w:cs="Calibri"/>
                <w:color w:val="auto"/>
                <w:sz w:val="21"/>
                <w:highlight w:val="none"/>
              </w:rPr>
              <w:t>以分标（</w:t>
            </w:r>
            <w:r>
              <w:rPr>
                <w:rFonts w:ascii="Segoe UI Symbol" w:hAnsi="Segoe UI Symbol" w:cs="Segoe UI Symbol"/>
                <w:color w:val="auto"/>
                <w:highlight w:val="none"/>
              </w:rPr>
              <w:t>☑</w:t>
            </w:r>
            <w:r>
              <w:rPr>
                <w:rFonts w:hint="eastAsia" w:hAnsi="宋体" w:cs="Calibri"/>
                <w:color w:val="auto"/>
                <w:sz w:val="21"/>
                <w:highlight w:val="none"/>
              </w:rPr>
              <w:t>成交金额/</w:t>
            </w:r>
            <w:r>
              <w:rPr>
                <w:rFonts w:hint="eastAsia" w:ascii="Segoe UI Emoji" w:hAnsi="Segoe UI Emoji" w:cs="Segoe UI Emoji"/>
                <w:color w:val="auto"/>
                <w:highlight w:val="none"/>
              </w:rPr>
              <w:t>□</w:t>
            </w:r>
            <w:r>
              <w:rPr>
                <w:rFonts w:hint="eastAsia" w:hAnsi="宋体" w:cs="Calibri"/>
                <w:color w:val="auto"/>
                <w:sz w:val="21"/>
                <w:highlight w:val="none"/>
              </w:rPr>
              <w:t>采购预算/□暂定成交金额/□其他</w:t>
            </w:r>
            <w:r>
              <w:rPr>
                <w:rFonts w:hint="eastAsia" w:hAnsi="宋体" w:cs="Calibri"/>
                <w:color w:val="auto"/>
                <w:sz w:val="21"/>
                <w:highlight w:val="none"/>
                <w:u w:val="single"/>
              </w:rPr>
              <w:t xml:space="preserve">   </w:t>
            </w:r>
            <w:r>
              <w:rPr>
                <w:rFonts w:hint="eastAsia" w:hAnsi="宋体" w:cs="Calibri"/>
                <w:color w:val="auto"/>
                <w:sz w:val="21"/>
                <w:highlight w:val="none"/>
              </w:rPr>
              <w:t>）为计费额，按本须知正文第32.2条规定的（□货物类/</w:t>
            </w:r>
            <w:r>
              <w:rPr>
                <w:rFonts w:ascii="Segoe UI Emoji" w:hAnsi="Segoe UI Emoji" w:cs="Segoe UI Emoji"/>
                <w:color w:val="auto"/>
                <w:highlight w:val="none"/>
              </w:rPr>
              <w:t>☑</w:t>
            </w:r>
            <w:r>
              <w:rPr>
                <w:rFonts w:hint="eastAsia" w:hAnsi="宋体" w:cs="Calibri"/>
                <w:color w:val="auto"/>
                <w:sz w:val="21"/>
                <w:highlight w:val="none"/>
              </w:rPr>
              <w:t>服务类/□工程类）标准采用差额定率累进法计算出收费基准价格，采购代理收费以（</w:t>
            </w:r>
            <w:r>
              <w:rPr>
                <w:rFonts w:ascii="Segoe UI Emoji" w:hAnsi="Segoe UI Emoji" w:cs="Segoe UI Emoji"/>
                <w:color w:val="auto"/>
                <w:highlight w:val="none"/>
              </w:rPr>
              <w:t>☑</w:t>
            </w:r>
            <w:r>
              <w:rPr>
                <w:rFonts w:hint="eastAsia" w:hAnsi="宋体" w:cs="Calibri"/>
                <w:color w:val="auto"/>
                <w:sz w:val="21"/>
                <w:highlight w:val="none"/>
              </w:rPr>
              <w:t xml:space="preserve">收费基准价格/□收费基准价格下浮 </w:t>
            </w:r>
            <w:r>
              <w:rPr>
                <w:rFonts w:hint="eastAsia" w:hAnsi="宋体" w:cs="Calibri"/>
                <w:color w:val="auto"/>
                <w:sz w:val="21"/>
                <w:highlight w:val="none"/>
                <w:u w:val="single"/>
              </w:rPr>
              <w:t>%</w:t>
            </w:r>
            <w:r>
              <w:rPr>
                <w:rFonts w:hint="eastAsia" w:hAnsi="宋体" w:cs="Calibri"/>
                <w:color w:val="auto"/>
                <w:sz w:val="21"/>
                <w:highlight w:val="none"/>
              </w:rPr>
              <w:t>/□收费基准价格上浮</w:t>
            </w:r>
            <w:r>
              <w:rPr>
                <w:rFonts w:hint="eastAsia" w:hAnsi="宋体" w:cs="Calibri"/>
                <w:color w:val="auto"/>
                <w:sz w:val="21"/>
                <w:highlight w:val="none"/>
                <w:u w:val="single"/>
              </w:rPr>
              <w:t xml:space="preserve">   %</w:t>
            </w:r>
            <w:r>
              <w:rPr>
                <w:rFonts w:hint="eastAsia" w:hAnsi="宋体" w:cs="Calibri"/>
                <w:color w:val="auto"/>
                <w:sz w:val="21"/>
                <w:highlight w:val="none"/>
              </w:rPr>
              <w:t>）收取。不足壹万元按照壹万元收取。</w:t>
            </w:r>
          </w:p>
          <w:p w14:paraId="64B90EE7">
            <w:pPr>
              <w:pStyle w:val="15"/>
              <w:spacing w:line="360" w:lineRule="auto"/>
              <w:rPr>
                <w:rFonts w:hint="eastAsia" w:hAnsi="宋体" w:cs="Calibri"/>
                <w:color w:val="auto"/>
                <w:sz w:val="21"/>
                <w:highlight w:val="none"/>
                <w:u w:val="single"/>
              </w:rPr>
            </w:pPr>
            <w:r>
              <w:rPr>
                <w:rFonts w:hint="eastAsia" w:hAnsi="宋体" w:cs="Calibri"/>
                <w:color w:val="auto"/>
                <w:sz w:val="21"/>
                <w:highlight w:val="none"/>
              </w:rPr>
              <w:t>□固定采购代理收费</w:t>
            </w:r>
            <w:r>
              <w:rPr>
                <w:rFonts w:hint="eastAsia" w:hAnsi="宋体" w:cs="Calibri"/>
                <w:color w:val="auto"/>
                <w:sz w:val="21"/>
                <w:highlight w:val="none"/>
                <w:u w:val="single"/>
              </w:rPr>
              <w:t xml:space="preserve">              。</w:t>
            </w:r>
          </w:p>
          <w:p w14:paraId="2A7DA2D0">
            <w:pPr>
              <w:pStyle w:val="15"/>
              <w:spacing w:line="360" w:lineRule="auto"/>
              <w:rPr>
                <w:rFonts w:hint="eastAsia" w:hAnsi="宋体" w:cs="Calibri"/>
                <w:color w:val="auto"/>
                <w:sz w:val="21"/>
                <w:highlight w:val="none"/>
              </w:rPr>
            </w:pPr>
            <w:r>
              <w:rPr>
                <w:rFonts w:hint="eastAsia" w:hAnsi="宋体" w:cs="Calibri"/>
                <w:color w:val="auto"/>
                <w:sz w:val="21"/>
                <w:highlight w:val="none"/>
              </w:rPr>
              <w:t>3. 采购代理费收取银行账户</w:t>
            </w:r>
          </w:p>
          <w:p w14:paraId="30DBD8CF">
            <w:pPr>
              <w:pStyle w:val="15"/>
              <w:spacing w:line="360" w:lineRule="auto"/>
              <w:rPr>
                <w:rFonts w:hint="eastAsia" w:hAnsi="宋体" w:cs="Calibri"/>
                <w:color w:val="auto"/>
                <w:sz w:val="21"/>
                <w:highlight w:val="none"/>
              </w:rPr>
            </w:pPr>
            <w:r>
              <w:rPr>
                <w:rFonts w:hint="eastAsia" w:hAnsi="宋体" w:cs="Calibri"/>
                <w:color w:val="auto"/>
                <w:sz w:val="21"/>
                <w:highlight w:val="none"/>
              </w:rPr>
              <w:t>开户名称：云之龙咨询集团有限公司</w:t>
            </w:r>
          </w:p>
          <w:p w14:paraId="7D194F78">
            <w:pPr>
              <w:pStyle w:val="15"/>
              <w:spacing w:line="360" w:lineRule="auto"/>
              <w:rPr>
                <w:rFonts w:hint="eastAsia" w:hAnsi="宋体" w:cs="Calibri"/>
                <w:color w:val="auto"/>
                <w:sz w:val="21"/>
                <w:highlight w:val="none"/>
              </w:rPr>
            </w:pPr>
            <w:r>
              <w:rPr>
                <w:rFonts w:hint="eastAsia" w:hAnsi="宋体" w:cs="Calibri"/>
                <w:color w:val="auto"/>
                <w:sz w:val="21"/>
                <w:highlight w:val="none"/>
              </w:rPr>
              <w:t xml:space="preserve">开户银行：中信银行南宁园湖支行  </w:t>
            </w:r>
          </w:p>
          <w:p w14:paraId="4F0A995E">
            <w:pPr>
              <w:pStyle w:val="15"/>
              <w:spacing w:line="360" w:lineRule="auto"/>
              <w:rPr>
                <w:rFonts w:hint="eastAsia" w:hAnsi="宋体" w:cs="宋体"/>
                <w:color w:val="auto"/>
                <w:sz w:val="21"/>
                <w:highlight w:val="none"/>
              </w:rPr>
            </w:pPr>
            <w:r>
              <w:rPr>
                <w:rFonts w:hint="eastAsia" w:hAnsi="宋体" w:cs="Calibri"/>
                <w:color w:val="auto"/>
                <w:sz w:val="21"/>
                <w:highlight w:val="none"/>
              </w:rPr>
              <w:t>银行账号：8113001013400293071</w:t>
            </w:r>
          </w:p>
        </w:tc>
      </w:tr>
      <w:tr w14:paraId="3485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7BD0FA2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7912" w:type="dxa"/>
            <w:vAlign w:val="center"/>
          </w:tcPr>
          <w:p w14:paraId="1B1AD57D">
            <w:pPr>
              <w:pStyle w:val="15"/>
              <w:spacing w:line="360" w:lineRule="auto"/>
              <w:rPr>
                <w:rFonts w:hint="eastAsia" w:hAnsi="宋体" w:cs="宋体"/>
                <w:color w:val="auto"/>
                <w:kern w:val="2"/>
                <w:sz w:val="21"/>
                <w:highlight w:val="none"/>
              </w:rPr>
            </w:pPr>
            <w:r>
              <w:rPr>
                <w:rFonts w:hint="eastAsia" w:hAnsi="宋体"/>
                <w:color w:val="auto"/>
                <w:highlight w:val="none"/>
              </w:rPr>
              <w:t>解释：构成本磋商文件的各个组成文件应互为解释，互为说明；除磋商文件中有特别规定外，仅适用于竞标阶段的规定，按更正公告（澄清公告）、竞争性磋商公告、供应商须知、采购需求、</w:t>
            </w:r>
            <w:r>
              <w:rPr>
                <w:rFonts w:hint="eastAsia" w:hAnsi="宋体" w:cs="宋体"/>
                <w:color w:val="auto"/>
                <w:highlight w:val="none"/>
              </w:rPr>
              <w:t>评审程序、评审方法和评审标准</w:t>
            </w:r>
            <w:r>
              <w:rPr>
                <w:rFonts w:hint="eastAsia" w:hAnsi="宋体"/>
                <w:color w:val="auto"/>
                <w:highlight w:val="none"/>
              </w:rPr>
              <w:t>、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7DFB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vAlign w:val="center"/>
          </w:tcPr>
          <w:p w14:paraId="21AA8FD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3.2</w:t>
            </w:r>
          </w:p>
        </w:tc>
        <w:tc>
          <w:tcPr>
            <w:tcW w:w="7912" w:type="dxa"/>
            <w:vAlign w:val="center"/>
          </w:tcPr>
          <w:p w14:paraId="275DDAF1">
            <w:pPr>
              <w:pStyle w:val="15"/>
              <w:spacing w:line="360" w:lineRule="auto"/>
              <w:rPr>
                <w:rFonts w:hint="eastAsia"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56A5183B">
            <w:pPr>
              <w:pStyle w:val="15"/>
              <w:spacing w:line="360" w:lineRule="auto"/>
              <w:rPr>
                <w:rFonts w:hint="eastAsia" w:hAnsi="宋体" w:cs="宋体"/>
                <w:color w:val="auto"/>
                <w:sz w:val="21"/>
                <w:highlight w:val="none"/>
              </w:rPr>
            </w:pPr>
            <w:r>
              <w:rPr>
                <w:rFonts w:hint="eastAsia" w:hAnsi="宋体" w:cs="宋体"/>
                <w:bCs/>
                <w:color w:val="auto"/>
                <w:sz w:val="21"/>
                <w:highlight w:val="none"/>
              </w:rPr>
              <w:t>2.本磋商文件所称的“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169F709E">
            <w:pPr>
              <w:pStyle w:val="15"/>
              <w:spacing w:line="360" w:lineRule="auto"/>
              <w:rPr>
                <w:rFonts w:hint="eastAsia" w:hAnsi="宋体" w:cs="宋体"/>
                <w:bCs/>
                <w:color w:val="auto"/>
                <w:sz w:val="21"/>
                <w:highlight w:val="none"/>
              </w:rPr>
            </w:pPr>
            <w:r>
              <w:rPr>
                <w:rFonts w:hAnsi="宋体" w:cs="宋体"/>
                <w:color w:val="auto"/>
                <w:sz w:val="21"/>
                <w:highlight w:val="none"/>
              </w:rPr>
              <w:t>3</w:t>
            </w:r>
            <w:r>
              <w:rPr>
                <w:rFonts w:hint="eastAsia" w:hAnsi="宋体" w:cs="宋体"/>
                <w:color w:val="auto"/>
                <w:sz w:val="21"/>
                <w:highlight w:val="none"/>
              </w:rPr>
              <w:t>.供应商为其他组织或者自然人时，本磋商文件规定的法定代表人指负责人或者自然人。本磋商文件所称负责人是指参加竞标的其他组织</w:t>
            </w:r>
            <w:r>
              <w:rPr>
                <w:rFonts w:hint="eastAsia" w:hAnsi="宋体" w:cs="宋体"/>
                <w:bCs/>
                <w:color w:val="auto"/>
                <w:sz w:val="21"/>
                <w:highlight w:val="none"/>
              </w:rPr>
              <w:t>营业执照或者执业许可证等证照上的</w:t>
            </w:r>
            <w:r>
              <w:rPr>
                <w:rFonts w:hint="eastAsia" w:hAnsi="宋体" w:cs="宋体"/>
                <w:color w:val="auto"/>
                <w:sz w:val="21"/>
                <w:highlight w:val="none"/>
              </w:rPr>
              <w:t>负责人，本磋商文件所称自然人指参与竞标的自然人本人，</w:t>
            </w:r>
            <w:r>
              <w:rPr>
                <w:rFonts w:hint="eastAsia" w:hAnsi="宋体" w:cs="宋体"/>
                <w:bCs/>
                <w:color w:val="auto"/>
                <w:sz w:val="21"/>
                <w:highlight w:val="none"/>
              </w:rPr>
              <w:t>且应具备独立承担民事责任能力，自然人应当为年满18岁以上成年人（十六周岁以上的未成年人，以自己的劳动收入为主要生活来源的，视为完全民事行为能力人）。</w:t>
            </w:r>
          </w:p>
          <w:p w14:paraId="7DB0276D">
            <w:pPr>
              <w:pStyle w:val="15"/>
              <w:spacing w:line="360" w:lineRule="auto"/>
              <w:rPr>
                <w:rFonts w:hint="eastAsia" w:hAnsi="宋体" w:cs="宋体"/>
                <w:color w:val="auto"/>
                <w:sz w:val="21"/>
                <w:highlight w:val="none"/>
              </w:rPr>
            </w:pPr>
            <w:r>
              <w:rPr>
                <w:rFonts w:hAnsi="宋体" w:cs="宋体"/>
                <w:color w:val="auto"/>
                <w:sz w:val="21"/>
                <w:highlight w:val="none"/>
              </w:rPr>
              <w:t>4.</w:t>
            </w:r>
            <w:r>
              <w:rPr>
                <w:rFonts w:hint="eastAsia" w:hAnsi="宋体" w:cs="宋体"/>
                <w:color w:val="auto"/>
                <w:sz w:val="21"/>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69E56C1E">
            <w:pPr>
              <w:pStyle w:val="15"/>
              <w:spacing w:line="360" w:lineRule="auto"/>
              <w:rPr>
                <w:rFonts w:hint="eastAsia" w:hAnsi="宋体" w:cs="宋体"/>
                <w:color w:val="auto"/>
                <w:sz w:val="21"/>
                <w:highlight w:val="none"/>
              </w:rPr>
            </w:pPr>
            <w:r>
              <w:rPr>
                <w:rFonts w:hint="eastAsia" w:hAnsi="宋体" w:cs="宋体"/>
                <w:color w:val="auto"/>
                <w:sz w:val="21"/>
                <w:highlight w:val="none"/>
              </w:rPr>
              <w:t>5</w:t>
            </w:r>
            <w:r>
              <w:rPr>
                <w:rFonts w:hAnsi="宋体" w:cs="宋体"/>
                <w:color w:val="auto"/>
                <w:sz w:val="21"/>
                <w:highlight w:val="none"/>
              </w:rPr>
              <w:t>.</w:t>
            </w:r>
            <w:r>
              <w:rPr>
                <w:rFonts w:hint="eastAsia" w:hAnsi="宋体" w:cs="宋体"/>
                <w:color w:val="auto"/>
                <w:sz w:val="21"/>
                <w:highlight w:val="none"/>
              </w:rPr>
              <w:t>本磋商文件所称的“以上”“以下”“以内”“届满”，包括本数；所称的“不满”“超过”“以外”，不包括本数。</w:t>
            </w:r>
          </w:p>
        </w:tc>
      </w:tr>
    </w:tbl>
    <w:p w14:paraId="2129BCE1">
      <w:pPr>
        <w:spacing w:line="400" w:lineRule="exact"/>
        <w:jc w:val="center"/>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供应商须知正文</w:t>
      </w:r>
    </w:p>
    <w:p w14:paraId="593FD988">
      <w:pPr>
        <w:spacing w:line="400" w:lineRule="exact"/>
        <w:jc w:val="center"/>
        <w:rPr>
          <w:rFonts w:hint="eastAsia" w:ascii="宋体" w:hAnsi="宋体"/>
          <w:b/>
          <w:color w:val="auto"/>
          <w:sz w:val="32"/>
          <w:szCs w:val="32"/>
          <w:highlight w:val="none"/>
        </w:rPr>
      </w:pPr>
    </w:p>
    <w:p w14:paraId="01890F6D">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一、总则</w:t>
      </w:r>
    </w:p>
    <w:p w14:paraId="022173FC">
      <w:pPr>
        <w:spacing w:line="400" w:lineRule="exact"/>
        <w:rPr>
          <w:rFonts w:hint="eastAsia" w:ascii="宋体" w:hAnsi="宋体"/>
          <w:color w:val="auto"/>
          <w:szCs w:val="21"/>
          <w:highlight w:val="none"/>
        </w:rPr>
      </w:pPr>
    </w:p>
    <w:p w14:paraId="586B448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26315E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4EF3CF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7A62D93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3D33DC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0998A27E">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3F9E67A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3AFC68FC">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2.4“服务”是指除货物和工程以外的其他政府采购对象。</w:t>
      </w:r>
    </w:p>
    <w:p w14:paraId="00545F2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“竞标”是指供应商按照本项目竞争性磋商公告或者邀请函规定的方式获取磋商文件、提交响应文件并希望获得成交资格的行为。</w:t>
      </w:r>
    </w:p>
    <w:p w14:paraId="3FD3C35F">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39FAE9AE">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2.7“响应文件”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69E39C17">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2.8“实质性要求”是指磋商文件中已经指明不满足则响应文件按无效响应处理的条款，或者采购需求中带“▲”的条款。</w:t>
      </w:r>
    </w:p>
    <w:p w14:paraId="5BE7FD10">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14:paraId="6DE43F6D">
      <w:pPr>
        <w:spacing w:line="360" w:lineRule="auto"/>
        <w:ind w:firstLine="420" w:firstLineChars="200"/>
        <w:contextualSpacing/>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68623906">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1B3281E9">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7BAE7C3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6FE143F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2FFA4FA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4.竞标费用</w:t>
      </w:r>
    </w:p>
    <w:p w14:paraId="30CE6E3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7A66344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3DF15A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6F25A83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12B3F3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w:t>
      </w:r>
      <w:bookmarkStart w:id="69" w:name="_Hlk66782192"/>
      <w:r>
        <w:rPr>
          <w:rFonts w:hint="eastAsia" w:ascii="宋体" w:hAnsi="宋体"/>
          <w:bCs/>
          <w:color w:val="auto"/>
          <w:szCs w:val="21"/>
          <w:highlight w:val="none"/>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69"/>
    </w:p>
    <w:p w14:paraId="1CA23EF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175752F8">
      <w:pPr>
        <w:pStyle w:val="6"/>
        <w:keepNext w:val="0"/>
        <w:keepLines w:val="0"/>
        <w:spacing w:before="0" w:after="0" w:line="360" w:lineRule="auto"/>
        <w:ind w:left="420" w:leftChars="200"/>
        <w:rPr>
          <w:rFonts w:hint="eastAsia" w:ascii="宋体" w:hAnsi="宋体"/>
          <w:b w:val="0"/>
          <w:color w:val="auto"/>
          <w:sz w:val="21"/>
          <w:szCs w:val="21"/>
          <w:highlight w:val="none"/>
        </w:rPr>
      </w:pPr>
      <w:bookmarkStart w:id="70" w:name="_Toc254970532"/>
      <w:bookmarkStart w:id="71" w:name="_Toc254970673"/>
      <w:r>
        <w:rPr>
          <w:rFonts w:hint="eastAsia" w:ascii="宋体" w:hAnsi="宋体"/>
          <w:b w:val="0"/>
          <w:color w:val="auto"/>
          <w:sz w:val="21"/>
          <w:szCs w:val="21"/>
          <w:highlight w:val="none"/>
        </w:rPr>
        <w:t>6.1本项目不允许转包。</w:t>
      </w:r>
    </w:p>
    <w:p w14:paraId="0C16AC85">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5CE5152D">
      <w:pPr>
        <w:pStyle w:val="6"/>
        <w:keepNext w:val="0"/>
        <w:keepLines w:val="0"/>
        <w:spacing w:before="0" w:after="0" w:line="360" w:lineRule="auto"/>
        <w:ind w:firstLine="315" w:firstLineChars="15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5B6A354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70"/>
      <w:bookmarkEnd w:id="71"/>
    </w:p>
    <w:p w14:paraId="148B3ED6">
      <w:pPr>
        <w:spacing w:line="360" w:lineRule="auto"/>
        <w:ind w:firstLine="420" w:firstLineChars="200"/>
        <w:rPr>
          <w:rFonts w:hint="eastAsia" w:ascii="宋体" w:hAnsi="宋体" w:cs="宋体"/>
          <w:color w:val="auto"/>
          <w:szCs w:val="21"/>
          <w:highlight w:val="none"/>
        </w:rPr>
      </w:pPr>
      <w:bookmarkStart w:id="72" w:name="_8.1提供相同品牌产品且通过资格审查、符合性审查的不同投标人参加同一合"/>
      <w:bookmarkEnd w:id="72"/>
      <w:r>
        <w:rPr>
          <w:rFonts w:hint="eastAsia" w:ascii="宋体" w:hAnsi="宋体" w:cs="宋体"/>
          <w:color w:val="auto"/>
          <w:szCs w:val="21"/>
          <w:highlight w:val="none"/>
        </w:rPr>
        <w:t>7.</w:t>
      </w:r>
      <w:r>
        <w:rPr>
          <w:rFonts w:ascii="宋体" w:hAnsi="宋体" w:cs="宋体"/>
          <w:color w:val="auto"/>
          <w:szCs w:val="21"/>
          <w:highlight w:val="none"/>
        </w:rPr>
        <w:t>1</w:t>
      </w:r>
      <w:bookmarkStart w:id="73"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73"/>
    <w:p w14:paraId="3CF6613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52FD8EF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64638FB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5A8C8F4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5D6295E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2A1D8E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4AEA8E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235B38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7D8F3B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ADF22C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有下列情形之一的视为供应商相互串通竞标，响应文件将被视为无效：</w:t>
      </w:r>
    </w:p>
    <w:p w14:paraId="5D46849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（1）不同供应商的响应文件由同一单位或者个人编制；或不同供应商报名的IP地址一致的；</w:t>
      </w:r>
    </w:p>
    <w:p w14:paraId="755A3DC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22018E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30D32A9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3015254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36436FB4">
      <w:pPr>
        <w:tabs>
          <w:tab w:val="left" w:pos="6931"/>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ascii="宋体" w:hAnsi="宋体" w:cs="宋体"/>
          <w:color w:val="auto"/>
          <w:szCs w:val="21"/>
          <w:highlight w:val="none"/>
        </w:rPr>
        <w:tab/>
      </w:r>
    </w:p>
    <w:p w14:paraId="542129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1745D14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6C7ABD4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3BBC2BE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CEC1D8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493650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43B2E4D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41023AF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0D9DD3CE">
      <w:pPr>
        <w:pStyle w:val="7"/>
        <w:spacing w:line="360" w:lineRule="auto"/>
        <w:rPr>
          <w:rFonts w:hint="eastAsia" w:ascii="宋体" w:hAnsi="宋体"/>
          <w:color w:val="auto"/>
          <w:highlight w:val="none"/>
        </w:rPr>
      </w:pPr>
      <w:r>
        <w:rPr>
          <w:rFonts w:ascii="宋体" w:hAnsi="宋体"/>
          <w:color w:val="auto"/>
          <w:highlight w:val="none"/>
        </w:rPr>
        <w:t>7.7</w:t>
      </w:r>
      <w:r>
        <w:rPr>
          <w:rFonts w:hint="eastAsia" w:ascii="宋体" w:hAnsi="宋体"/>
          <w:color w:val="auto"/>
          <w:highlight w:val="non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AD33BC8">
      <w:pPr>
        <w:pStyle w:val="7"/>
        <w:spacing w:line="360" w:lineRule="auto"/>
        <w:rPr>
          <w:rFonts w:hint="eastAsia" w:ascii="宋体" w:hAnsi="宋体"/>
          <w:color w:val="auto"/>
          <w:highlight w:val="none"/>
        </w:rPr>
      </w:pPr>
      <w:r>
        <w:rPr>
          <w:rFonts w:hint="eastAsia" w:ascii="宋体" w:hAnsi="宋体"/>
          <w:color w:val="auto"/>
          <w:highlight w:val="none"/>
        </w:rPr>
        <w:t>产品在中国境内生产的组件成本占比应当达到规定比例，计算公式为：</w:t>
      </w:r>
    </w:p>
    <w:p w14:paraId="14A95F78">
      <w:pPr>
        <w:widowControl/>
        <w:shd w:val="clear" w:color="auto" w:fill="FFFFFF"/>
        <w:spacing w:before="30" w:after="30" w:line="360" w:lineRule="auto"/>
        <w:jc w:val="center"/>
        <w:rPr>
          <w:rFonts w:hint="eastAsia" w:ascii="宋体" w:hAnsi="宋体" w:cs="宋体"/>
          <w:color w:val="auto"/>
          <w:kern w:val="0"/>
          <w:sz w:val="24"/>
          <w:highlight w:val="none"/>
        </w:rPr>
      </w:pPr>
      <w:r>
        <w:rPr>
          <w:rFonts w:ascii="宋体" w:hAnsi="宋体" w:cs="宋体"/>
          <w:color w:val="auto"/>
          <w:kern w:val="0"/>
          <w:sz w:val="24"/>
          <w:highlight w:val="none"/>
        </w:rPr>
        <w:drawing>
          <wp:inline distT="0" distB="0" distL="0" distR="0">
            <wp:extent cx="4822190" cy="764540"/>
            <wp:effectExtent l="0" t="0" r="0" b="0"/>
            <wp:docPr id="5" name="图片 1" descr="W020250930645245947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W0202509306452459476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22190" cy="764540"/>
                    </a:xfrm>
                    <a:prstGeom prst="rect">
                      <a:avLst/>
                    </a:prstGeom>
                    <a:noFill/>
                    <a:ln>
                      <a:noFill/>
                    </a:ln>
                  </pic:spPr>
                </pic:pic>
              </a:graphicData>
            </a:graphic>
          </wp:inline>
        </w:drawing>
      </w:r>
    </w:p>
    <w:p w14:paraId="1A281BA7">
      <w:pPr>
        <w:pStyle w:val="7"/>
        <w:spacing w:line="360" w:lineRule="auto"/>
        <w:rPr>
          <w:rFonts w:hint="eastAsia" w:ascii="宋体" w:hAnsi="宋体"/>
          <w:color w:val="auto"/>
          <w:highlight w:val="none"/>
        </w:rPr>
      </w:pPr>
      <w:r>
        <w:rPr>
          <w:rFonts w:hint="eastAsia" w:ascii="宋体" w:hAnsi="宋体"/>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0FB993DD">
      <w:pPr>
        <w:pStyle w:val="7"/>
        <w:spacing w:line="360" w:lineRule="auto"/>
        <w:rPr>
          <w:rFonts w:hint="eastAsia" w:ascii="宋体" w:hAnsi="宋体"/>
          <w:color w:val="auto"/>
          <w:highlight w:val="none"/>
        </w:rPr>
      </w:pPr>
      <w:r>
        <w:rPr>
          <w:rFonts w:hint="eastAsia" w:ascii="宋体" w:hAnsi="宋体"/>
          <w:color w:val="auto"/>
          <w:highlight w:val="none"/>
        </w:rPr>
        <w:t>政府采购活动中既有本国产品又有非本国产品参与竞争的，依法对本国产品给予价格评审优惠，对本国产品的报价给予20%的价格扣除，用扣除后的价格参与评审。</w:t>
      </w:r>
    </w:p>
    <w:p w14:paraId="5D6A2F9E">
      <w:pPr>
        <w:pStyle w:val="7"/>
        <w:spacing w:line="360" w:lineRule="auto"/>
        <w:rPr>
          <w:rFonts w:hint="eastAsia" w:ascii="宋体" w:hAnsi="宋体"/>
          <w:color w:val="auto"/>
          <w:highlight w:val="none"/>
        </w:rPr>
      </w:pPr>
      <w:r>
        <w:rPr>
          <w:rFonts w:hint="eastAsia" w:ascii="宋体" w:hAnsi="宋体"/>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DB1B24A">
      <w:pPr>
        <w:spacing w:line="360" w:lineRule="auto"/>
        <w:ind w:left="1" w:firstLine="417" w:firstLineChars="199"/>
        <w:jc w:val="center"/>
        <w:rPr>
          <w:rFonts w:hint="eastAsia" w:ascii="宋体" w:hAnsi="宋体"/>
          <w:color w:val="auto"/>
          <w:highlight w:val="none"/>
        </w:rPr>
      </w:pPr>
      <w:bookmarkStart w:id="74" w:name="_Toc254970675"/>
      <w:bookmarkStart w:id="75" w:name="_Toc254970534"/>
    </w:p>
    <w:p w14:paraId="35119E52">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二、磋商文件</w:t>
      </w:r>
      <w:bookmarkEnd w:id="74"/>
      <w:bookmarkEnd w:id="75"/>
    </w:p>
    <w:p w14:paraId="7FF376AB">
      <w:pPr>
        <w:spacing w:line="360" w:lineRule="auto"/>
        <w:rPr>
          <w:rFonts w:hint="eastAsia" w:ascii="宋体" w:hAnsi="宋体"/>
          <w:color w:val="auto"/>
          <w:szCs w:val="21"/>
          <w:highlight w:val="none"/>
        </w:rPr>
      </w:pPr>
    </w:p>
    <w:p w14:paraId="3A1C77E1">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712FD305">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（1）竞争性磋商公告；</w:t>
      </w:r>
    </w:p>
    <w:p w14:paraId="52BF5051">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（2）供应商须知； </w:t>
      </w:r>
    </w:p>
    <w:p w14:paraId="107903AD">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（3）采购需求；</w:t>
      </w:r>
    </w:p>
    <w:p w14:paraId="0D8ECBEF">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（4）评审程序、评审方法和评审标准；</w:t>
      </w:r>
    </w:p>
    <w:p w14:paraId="3A323943">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（5）响应文件格式；</w:t>
      </w:r>
    </w:p>
    <w:p w14:paraId="33CB83FA">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（6）合同文本。</w:t>
      </w:r>
    </w:p>
    <w:p w14:paraId="2192CFF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1841B8F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2C60801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0D1FC9D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获取磋商文件的供应商，不足3个工作日的，应当顺延提交首次响应文件截止之日。</w:t>
      </w:r>
    </w:p>
    <w:p w14:paraId="178E9612">
      <w:pPr>
        <w:spacing w:line="360" w:lineRule="auto"/>
        <w:rPr>
          <w:rFonts w:hint="eastAsia" w:ascii="宋体" w:hAnsi="宋体"/>
          <w:color w:val="auto"/>
          <w:szCs w:val="21"/>
          <w:highlight w:val="none"/>
        </w:rPr>
      </w:pPr>
    </w:p>
    <w:p w14:paraId="541FF207">
      <w:pPr>
        <w:spacing w:line="360" w:lineRule="auto"/>
        <w:jc w:val="center"/>
        <w:rPr>
          <w:rFonts w:hint="eastAsia" w:ascii="宋体" w:hAnsi="宋体"/>
          <w:b/>
          <w:bCs/>
          <w:color w:val="auto"/>
          <w:szCs w:val="21"/>
          <w:highlight w:val="none"/>
        </w:rPr>
      </w:pPr>
      <w:r>
        <w:rPr>
          <w:rFonts w:hint="eastAsia" w:ascii="宋体" w:hAnsi="宋体"/>
          <w:b/>
          <w:bCs/>
          <w:color w:val="auto"/>
          <w:sz w:val="32"/>
          <w:szCs w:val="32"/>
          <w:highlight w:val="none"/>
        </w:rPr>
        <w:t>三、响应文件的编制</w:t>
      </w:r>
    </w:p>
    <w:p w14:paraId="6894C6F0">
      <w:pPr>
        <w:spacing w:line="360" w:lineRule="auto"/>
        <w:rPr>
          <w:rFonts w:hint="eastAsia" w:ascii="宋体" w:hAnsi="宋体"/>
          <w:color w:val="auto"/>
          <w:szCs w:val="21"/>
          <w:highlight w:val="none"/>
        </w:rPr>
      </w:pPr>
    </w:p>
    <w:p w14:paraId="2EA0E192">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6CFA659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w:t>
      </w:r>
      <w:r>
        <w:rPr>
          <w:rFonts w:hint="eastAsia" w:ascii="宋体" w:hAnsi="宋体"/>
          <w:color w:val="auto"/>
          <w:szCs w:val="21"/>
          <w:highlight w:val="none"/>
        </w:rPr>
        <w:t>提出的要求和条件作出明确响应</w:t>
      </w:r>
      <w:r>
        <w:rPr>
          <w:rFonts w:hint="eastAsia" w:ascii="宋体" w:hAnsi="宋体" w:cs="宋体"/>
          <w:color w:val="auto"/>
          <w:szCs w:val="21"/>
          <w:highlight w:val="none"/>
        </w:rPr>
        <w:t>。</w:t>
      </w:r>
    </w:p>
    <w:p w14:paraId="5D1863F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0BBFDC5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5A75A942">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6EEB4222">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5255078A">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230F1645">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14D6267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768D7A90">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2CA3EB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2789FF3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7410E168">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15.1竞标报价应按磋商文件中“竞标报价表”格式填写。</w:t>
      </w:r>
    </w:p>
    <w:p w14:paraId="46A4395C">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25394B86">
      <w:pPr>
        <w:spacing w:line="360" w:lineRule="auto"/>
        <w:ind w:left="426" w:leftChars="203"/>
        <w:rPr>
          <w:rFonts w:hint="eastAsia" w:ascii="宋体" w:hAnsi="宋体" w:cs="宋体"/>
          <w:color w:val="auto"/>
          <w:szCs w:val="21"/>
          <w:highlight w:val="none"/>
        </w:rPr>
      </w:pPr>
      <w:r>
        <w:rPr>
          <w:rFonts w:hint="eastAsia" w:ascii="宋体" w:hAnsi="宋体" w:cs="宋体"/>
          <w:color w:val="auto"/>
          <w:szCs w:val="21"/>
          <w:highlight w:val="none"/>
        </w:rPr>
        <w:t>15.3竞标报价要求</w:t>
      </w:r>
    </w:p>
    <w:p w14:paraId="22132A0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5.3.1</w:t>
      </w:r>
      <w:r>
        <w:rPr>
          <w:rFonts w:hint="eastAsia" w:ascii="宋体" w:hAnsi="宋体" w:cs="宋体"/>
          <w:color w:val="auto"/>
          <w:szCs w:val="21"/>
          <w:highlight w:val="none"/>
        </w:rPr>
        <w:t>供应商的竞标报价应符合以下要求，否则响应文件按无效响应处理：</w:t>
      </w:r>
    </w:p>
    <w:p w14:paraId="543EFF11">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w:t>
      </w:r>
    </w:p>
    <w:p w14:paraId="0FCC0A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不得存在漏项报价；</w:t>
      </w:r>
    </w:p>
    <w:p w14:paraId="21B94D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）供应商必须就所竞标的分标的单项内容作唯一报价。</w:t>
      </w:r>
    </w:p>
    <w:p w14:paraId="5CE570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2</w:t>
      </w:r>
      <w:r>
        <w:rPr>
          <w:rFonts w:hint="eastAsia" w:ascii="宋体" w:hAnsi="宋体" w:cs="宋体"/>
          <w:color w:val="auto"/>
          <w:szCs w:val="21"/>
          <w:highlight w:val="none"/>
        </w:rPr>
        <w:t>竞标报价（包含首次报价、最后报价）超过所竞标分标规定的采购预算金额或者最高限价的，其响应文件将按无效处理。</w:t>
      </w:r>
    </w:p>
    <w:p w14:paraId="692A7C8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3</w:t>
      </w:r>
      <w:bookmarkStart w:id="76" w:name="_Hlk42592874"/>
      <w:r>
        <w:rPr>
          <w:rFonts w:hint="eastAsia" w:ascii="宋体" w:hAnsi="宋体" w:cs="宋体"/>
          <w:color w:val="auto"/>
          <w:szCs w:val="21"/>
          <w:highlight w:val="none"/>
        </w:rPr>
        <w:t>竞标报价（包含首次报价、最后报价）超过分项采购预算金额或者最高限价的，其响应文件将按无效处理。</w:t>
      </w:r>
    </w:p>
    <w:bookmarkEnd w:id="76"/>
    <w:p w14:paraId="1DF842F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582E34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7FB16C9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r>
        <w:rPr>
          <w:rFonts w:hint="eastAsia" w:ascii="宋体" w:hAnsi="宋体"/>
          <w:color w:val="auto"/>
          <w:szCs w:val="21"/>
          <w:highlight w:val="none"/>
        </w:rPr>
        <w:t>承诺的竞标有效期低于采购文件规定期限的，供应商的响应文件作无效处理。</w:t>
      </w:r>
    </w:p>
    <w:p w14:paraId="549EFC4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7240DE2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3D982888">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14:paraId="1157CEA3">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17.2磋商保证金的退还</w:t>
      </w:r>
    </w:p>
    <w:p w14:paraId="709F05E6">
      <w:pPr>
        <w:spacing w:line="360" w:lineRule="auto"/>
        <w:ind w:firstLine="420" w:firstLineChars="200"/>
        <w:rPr>
          <w:rFonts w:hint="eastAsia" w:ascii="宋体" w:hAnsi="宋体" w:cs="宋体"/>
          <w:color w:val="auto"/>
          <w:szCs w:val="21"/>
          <w:highlight w:val="none"/>
        </w:rPr>
      </w:pPr>
      <w:bookmarkStart w:id="77" w:name="_Hlk66782243"/>
      <w:r>
        <w:rPr>
          <w:rFonts w:hint="eastAsia" w:ascii="宋体" w:hAnsi="宋体" w:cs="宋体"/>
          <w:color w:val="auto"/>
          <w:szCs w:val="21"/>
          <w:highlight w:val="none"/>
        </w:rPr>
        <w:t>未</w:t>
      </w:r>
      <w:r>
        <w:rPr>
          <w:rFonts w:hint="eastAsia" w:ascii="宋体" w:hAnsi="宋体" w:cs="宋体"/>
          <w:color w:val="auto"/>
          <w:spacing w:val="-6"/>
          <w:szCs w:val="21"/>
          <w:highlight w:val="none"/>
        </w:rPr>
        <w:t>成交供应商的竞标保证金自成交通知书发出之日起5个工作日内退还；</w:t>
      </w:r>
      <w:r>
        <w:rPr>
          <w:rFonts w:hint="eastAsia" w:ascii="宋体" w:hAnsi="宋体" w:cs="宋体"/>
          <w:color w:val="auto"/>
          <w:szCs w:val="21"/>
          <w:highlight w:val="none"/>
        </w:rPr>
        <w:t>成交供应商的磋商保证金自签订合同之日起5个工作日内退还。</w:t>
      </w:r>
      <w:bookmarkEnd w:id="77"/>
      <w:r>
        <w:rPr>
          <w:rFonts w:hint="eastAsia" w:ascii="宋体" w:hAnsi="宋体" w:cs="宋体"/>
          <w:color w:val="auto"/>
          <w:szCs w:val="21"/>
          <w:highlight w:val="none"/>
        </w:rPr>
        <w:t xml:space="preserve"> </w:t>
      </w:r>
    </w:p>
    <w:p w14:paraId="1FB23BB9">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17.3除逾期退还磋商保证金和终止采购的情形以外，磋商保证金不计息。</w:t>
      </w:r>
    </w:p>
    <w:p w14:paraId="13A9E2BB">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17.4供应商有下列情形之一的，磋商保证金将不予退还： </w:t>
      </w:r>
    </w:p>
    <w:p w14:paraId="776BCE16">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7DCE1DFF">
      <w:pPr>
        <w:spacing w:line="360" w:lineRule="auto"/>
        <w:ind w:left="420" w:leftChars="200"/>
        <w:rPr>
          <w:rFonts w:hint="eastAsia" w:ascii="宋体" w:hAnsi="宋体" w:cs="宋体"/>
          <w:color w:val="auto"/>
          <w:szCs w:val="21"/>
          <w:highlight w:val="none"/>
        </w:rPr>
      </w:pPr>
      <w:r>
        <w:rPr>
          <w:rFonts w:hint="eastAsia" w:ascii="宋体" w:hAnsi="宋体"/>
          <w:color w:val="auto"/>
          <w:szCs w:val="21"/>
          <w:highlight w:val="none"/>
        </w:rPr>
        <w:t>（2）未按规定提交履约保证金的；</w:t>
      </w:r>
    </w:p>
    <w:p w14:paraId="6761B127">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29D606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14:paraId="12B8B4FC">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5303F4F2">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59D8DA1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6F3410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供应商应按照本项目磋商文件规定的格式和顺序和广西政府采购云平台的要求编制响应文件并加密。响应文件内容不完整、编排混乱导致响应文件被误读、漏读或者查找不到相关内容的，由此引发的后果由供应商承担。</w:t>
      </w:r>
    </w:p>
    <w:p w14:paraId="3B7398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5CBC9E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4B164E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w:t>
      </w:r>
      <w:r>
        <w:rPr>
          <w:rFonts w:hint="eastAsia" w:ascii="宋体" w:hAnsi="宋体"/>
          <w:b/>
          <w:color w:val="auto"/>
          <w:szCs w:val="21"/>
          <w:highlight w:val="none"/>
        </w:rPr>
        <w:t>并与广西政府采购云平台中获取采购文件的供应商名称一致，</w:t>
      </w:r>
      <w:r>
        <w:rPr>
          <w:rFonts w:hint="eastAsia" w:ascii="宋体" w:hAnsi="宋体" w:cs="宋体"/>
          <w:color w:val="auto"/>
          <w:szCs w:val="21"/>
          <w:highlight w:val="none"/>
        </w:rPr>
        <w:t>供应商为自然人的，标注的供应商名称应与身份证姓名及签名一致，否则其响应文件按无效响应处理。</w:t>
      </w:r>
    </w:p>
    <w:p w14:paraId="31DED50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4CA056B2">
      <w:pPr>
        <w:spacing w:line="360" w:lineRule="auto"/>
        <w:ind w:firstLine="482" w:firstLineChars="200"/>
        <w:rPr>
          <w:rFonts w:hint="eastAsia"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3E2AD7FC">
      <w:pPr>
        <w:spacing w:line="360" w:lineRule="auto"/>
        <w:ind w:firstLine="420" w:firstLineChars="200"/>
        <w:rPr>
          <w:rFonts w:hint="eastAsia" w:ascii="宋体" w:hAnsi="宋体" w:cs="宋体"/>
          <w:color w:val="auto"/>
          <w:szCs w:val="21"/>
          <w:highlight w:val="none"/>
        </w:rPr>
      </w:pPr>
      <w:r>
        <w:rPr>
          <w:rFonts w:hint="eastAsia"/>
          <w:color w:val="auto"/>
          <w:highlight w:val="none"/>
        </w:rPr>
        <w:t>电子备份响应文件是指通过在线编制生成且后缀名为“</w:t>
      </w:r>
      <w:r>
        <w:rPr>
          <w:color w:val="auto"/>
          <w:highlight w:val="none"/>
        </w:rPr>
        <w:t>bfbs</w:t>
      </w:r>
      <w:r>
        <w:rPr>
          <w:rFonts w:hint="eastAsia"/>
          <w:color w:val="auto"/>
          <w:highlight w:val="none"/>
        </w:rPr>
        <w:t>”的文件，是否接受电子备份响应文件</w:t>
      </w:r>
      <w:r>
        <w:rPr>
          <w:rFonts w:hint="eastAsia" w:hAnsi="宋体"/>
          <w:bCs/>
          <w:color w:val="auto"/>
          <w:szCs w:val="21"/>
          <w:highlight w:val="none"/>
        </w:rPr>
        <w:t>详见“供应商须知前附表”。</w:t>
      </w:r>
    </w:p>
    <w:p w14:paraId="0CACB8E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593E9EBB">
      <w:pPr>
        <w:spacing w:line="360" w:lineRule="auto"/>
        <w:ind w:firstLine="420" w:firstLineChars="200"/>
        <w:rPr>
          <w:rFonts w:hint="eastAsia"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 xml:space="preserve">。 </w:t>
      </w:r>
      <w:r>
        <w:rPr>
          <w:rFonts w:hint="eastAsia" w:hAnsi="宋体"/>
          <w:b/>
          <w:color w:val="auto"/>
          <w:highlight w:val="none"/>
        </w:rPr>
        <w:t xml:space="preserve"> </w:t>
      </w:r>
    </w:p>
    <w:p w14:paraId="525C4ED7">
      <w:pPr>
        <w:spacing w:line="360" w:lineRule="auto"/>
        <w:ind w:firstLine="422" w:firstLineChars="200"/>
        <w:rPr>
          <w:rFonts w:hint="eastAsia" w:ascii="宋体" w:hAnsi="宋体" w:cs="宋体"/>
          <w:color w:val="auto"/>
          <w:szCs w:val="21"/>
          <w:highlight w:val="none"/>
        </w:rPr>
      </w:pPr>
      <w:r>
        <w:rPr>
          <w:rFonts w:hint="eastAsia" w:ascii="宋体" w:hAnsi="宋体"/>
          <w:b/>
          <w:color w:val="auto"/>
          <w:szCs w:val="21"/>
          <w:highlight w:val="none"/>
        </w:rPr>
        <w:t>20.</w:t>
      </w:r>
      <w:r>
        <w:rPr>
          <w:rFonts w:ascii="宋体" w:hAnsi="宋体"/>
          <w:b/>
          <w:color w:val="auto"/>
          <w:szCs w:val="21"/>
          <w:highlight w:val="none"/>
        </w:rPr>
        <w:t>2</w:t>
      </w:r>
      <w:r>
        <w:rPr>
          <w:rFonts w:hint="eastAsia" w:ascii="宋体" w:hAnsi="宋体"/>
          <w:b/>
          <w:color w:val="auto"/>
          <w:szCs w:val="21"/>
          <w:highlight w:val="none"/>
        </w:rPr>
        <w:t>未在规定时间内提交或者未按照磋商文件要求加密的电子响应文件，广西政府采购云平台将拒收。</w:t>
      </w:r>
    </w:p>
    <w:p w14:paraId="3A495EF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2BCC901B">
      <w:pPr>
        <w:spacing w:line="360" w:lineRule="auto"/>
        <w:ind w:firstLine="420"/>
        <w:jc w:val="left"/>
        <w:rPr>
          <w:rFonts w:hint="eastAsia" w:ascii="宋体" w:hAnsi="宋体"/>
          <w:color w:val="auto"/>
          <w:szCs w:val="21"/>
          <w:highlight w:val="none"/>
        </w:rPr>
      </w:pPr>
      <w:bookmarkStart w:id="78" w:name="_Toc254970684"/>
      <w:bookmarkStart w:id="79" w:name="_Toc254970543"/>
      <w:r>
        <w:rPr>
          <w:rFonts w:ascii="宋体" w:hAnsi="宋体" w:cs="宋体"/>
          <w:color w:val="auto"/>
          <w:szCs w:val="21"/>
          <w:highlight w:val="none"/>
        </w:rPr>
        <w:t>2</w:t>
      </w:r>
      <w:r>
        <w:rPr>
          <w:rFonts w:hint="eastAsia" w:ascii="宋体" w:hAnsi="宋体" w:cs="宋体"/>
          <w:color w:val="auto"/>
          <w:szCs w:val="21"/>
          <w:highlight w:val="none"/>
        </w:rPr>
        <w:t>1.1</w:t>
      </w:r>
      <w:r>
        <w:rPr>
          <w:rFonts w:hint="eastAsia" w:ascii="宋体" w:hAnsi="宋体"/>
          <w:bCs/>
          <w:color w:val="auto"/>
          <w:szCs w:val="21"/>
          <w:highlight w:val="none"/>
        </w:rPr>
        <w:t>供应商应当在</w:t>
      </w:r>
      <w:r>
        <w:rPr>
          <w:rFonts w:hint="eastAsia" w:hAnsi="宋体"/>
          <w:bCs/>
          <w:color w:val="auto"/>
          <w:szCs w:val="21"/>
          <w:highlight w:val="none"/>
        </w:rPr>
        <w:t>提交响应文件截止时间</w:t>
      </w:r>
      <w:r>
        <w:rPr>
          <w:rFonts w:hint="eastAsia" w:ascii="宋体" w:hAnsi="宋体"/>
          <w:bCs/>
          <w:color w:val="auto"/>
          <w:szCs w:val="21"/>
          <w:highlight w:val="none"/>
        </w:rPr>
        <w:t>前完成电子响应文件的提交（上传），</w:t>
      </w:r>
      <w:r>
        <w:rPr>
          <w:rFonts w:hint="eastAsia" w:hAnsi="宋体"/>
          <w:bCs/>
          <w:color w:val="auto"/>
          <w:szCs w:val="21"/>
          <w:highlight w:val="none"/>
        </w:rPr>
        <w:t>提交响应文件截止时间前</w:t>
      </w:r>
      <w:r>
        <w:rPr>
          <w:rFonts w:hint="eastAsia" w:ascii="宋体" w:hAnsi="宋体"/>
          <w:bCs/>
          <w:color w:val="auto"/>
          <w:szCs w:val="21"/>
          <w:highlight w:val="none"/>
        </w:rPr>
        <w:t>可以补充、修改或者撤回响应文件。补充或者修改响应文件的，应当先行撤回原响应文件，补充、修改后重新提交（上传），</w:t>
      </w:r>
      <w:r>
        <w:rPr>
          <w:rFonts w:hint="eastAsia" w:hAnsi="宋体"/>
          <w:bCs/>
          <w:color w:val="auto"/>
          <w:szCs w:val="21"/>
          <w:highlight w:val="none"/>
        </w:rPr>
        <w:t>提交响应文件截止时间前</w:t>
      </w:r>
      <w:r>
        <w:rPr>
          <w:rFonts w:hint="eastAsia" w:ascii="宋体" w:hAnsi="宋体"/>
          <w:bCs/>
          <w:color w:val="auto"/>
          <w:szCs w:val="21"/>
          <w:highlight w:val="none"/>
        </w:rPr>
        <w:t>未完成提交（上传）的，视为撤回响应文件。</w:t>
      </w:r>
      <w:r>
        <w:rPr>
          <w:rFonts w:hint="eastAsia" w:hAnsi="宋体"/>
          <w:bCs/>
          <w:color w:val="auto"/>
          <w:szCs w:val="21"/>
          <w:highlight w:val="none"/>
        </w:rPr>
        <w:t>提交响应文件截止时间</w:t>
      </w:r>
      <w:r>
        <w:rPr>
          <w:rFonts w:hint="eastAsia" w:ascii="宋体" w:hAnsi="宋体"/>
          <w:bCs/>
          <w:color w:val="auto"/>
          <w:szCs w:val="21"/>
          <w:highlight w:val="none"/>
        </w:rPr>
        <w:t>以后提交（上传）的响应文件，广西政府采购云平台将予以拒收。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rPr>
        <w:t>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进入“服务中心”中查看</w:t>
      </w:r>
      <w:r>
        <w:rPr>
          <w:rFonts w:hint="eastAsia" w:ascii="宋体" w:hAnsi="宋体" w:cs="宋体"/>
          <w:color w:val="auto"/>
          <w:szCs w:val="21"/>
          <w:highlight w:val="none"/>
        </w:rPr>
        <w:t xml:space="preserve"> “电子投标文件制作与投送教程”）</w:t>
      </w:r>
    </w:p>
    <w:bookmarkEnd w:id="78"/>
    <w:bookmarkEnd w:id="79"/>
    <w:p w14:paraId="61C13100">
      <w:pPr>
        <w:pStyle w:val="63"/>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4B81BAFF">
      <w:pPr>
        <w:spacing w:line="360" w:lineRule="auto"/>
        <w:ind w:firstLine="482" w:firstLineChars="200"/>
        <w:rPr>
          <w:rFonts w:hint="eastAsia" w:ascii="黑体" w:hAnsi="黑体" w:eastAsia="黑体" w:cs="宋体"/>
          <w:b/>
          <w:bCs/>
          <w:color w:val="auto"/>
          <w:sz w:val="24"/>
          <w:highlight w:val="none"/>
        </w:rPr>
      </w:pPr>
      <w:bookmarkStart w:id="80" w:name="_Hlk45702405"/>
      <w:r>
        <w:rPr>
          <w:rFonts w:hint="eastAsia" w:ascii="黑体" w:hAnsi="黑体" w:eastAsia="黑体" w:cs="宋体"/>
          <w:b/>
          <w:bCs/>
          <w:color w:val="auto"/>
          <w:sz w:val="24"/>
          <w:highlight w:val="none"/>
        </w:rPr>
        <w:t>22.响应文件的退回</w:t>
      </w:r>
    </w:p>
    <w:p w14:paraId="4AEF94F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64338B45">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2872BC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供应商在响应文件提交截止时间后向采购人、采购代理机构书面申请撤回响应文件的，将根据本须知正文17.4的规定不予退还其磋商保证金。</w:t>
      </w:r>
    </w:p>
    <w:bookmarkEnd w:id="80"/>
    <w:p w14:paraId="54B0537C">
      <w:pPr>
        <w:spacing w:line="360" w:lineRule="auto"/>
        <w:rPr>
          <w:rFonts w:hint="eastAsia" w:ascii="宋体" w:hAnsi="宋体"/>
          <w:color w:val="auto"/>
          <w:szCs w:val="21"/>
          <w:highlight w:val="none"/>
        </w:rPr>
      </w:pPr>
    </w:p>
    <w:p w14:paraId="0B7F9BE2">
      <w:pPr>
        <w:spacing w:line="360" w:lineRule="auto"/>
        <w:ind w:left="420" w:firstLine="420"/>
        <w:jc w:val="center"/>
        <w:rPr>
          <w:rFonts w:hint="eastAsia" w:ascii="宋体" w:hAnsi="宋体"/>
          <w:b/>
          <w:bCs/>
          <w:color w:val="auto"/>
          <w:sz w:val="32"/>
          <w:szCs w:val="32"/>
          <w:highlight w:val="none"/>
        </w:rPr>
      </w:pPr>
      <w:r>
        <w:rPr>
          <w:rFonts w:hint="eastAsia" w:ascii="宋体" w:hAnsi="宋体"/>
          <w:b/>
          <w:bCs/>
          <w:color w:val="auto"/>
          <w:sz w:val="32"/>
          <w:szCs w:val="32"/>
          <w:highlight w:val="none"/>
        </w:rPr>
        <w:t>四、评审及磋商</w:t>
      </w:r>
    </w:p>
    <w:p w14:paraId="398BECCB">
      <w:pPr>
        <w:spacing w:line="360" w:lineRule="auto"/>
        <w:ind w:left="420" w:firstLine="420"/>
        <w:rPr>
          <w:rFonts w:hint="eastAsia" w:ascii="宋体" w:hAnsi="宋体"/>
          <w:color w:val="auto"/>
          <w:szCs w:val="21"/>
          <w:highlight w:val="none"/>
        </w:rPr>
      </w:pPr>
    </w:p>
    <w:p w14:paraId="4807EA5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72B691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及以上单数组成。</w:t>
      </w:r>
    </w:p>
    <w:p w14:paraId="60EF4F8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7CB54BF">
      <w:pPr>
        <w:spacing w:line="360" w:lineRule="auto"/>
        <w:ind w:firstLine="420" w:firstLineChars="200"/>
        <w:rPr>
          <w:rFonts w:hint="eastAsia"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2E7F07A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24.4参加过采购项目前期咨询论证的专家，不得参加该采购项目的评审活动。</w:t>
      </w:r>
    </w:p>
    <w:p w14:paraId="5A54F9C4">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08FEB038">
      <w:pPr>
        <w:spacing w:line="360" w:lineRule="auto"/>
        <w:ind w:firstLine="420" w:firstLineChars="200"/>
        <w:rPr>
          <w:rFonts w:hint="eastAsia"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供应商未在规定的时间内解密响应文件或者解密失败的，供应商</w:t>
      </w:r>
      <w:r>
        <w:rPr>
          <w:rFonts w:hint="eastAsia" w:ascii="宋体" w:hAnsi="宋体"/>
          <w:b/>
          <w:color w:val="auto"/>
          <w:szCs w:val="21"/>
          <w:highlight w:val="none"/>
        </w:rPr>
        <w:t>的响应文件作无效处理</w:t>
      </w:r>
      <w:r>
        <w:rPr>
          <w:rFonts w:hint="eastAsia"/>
          <w:b/>
          <w:color w:val="auto"/>
          <w:highlight w:val="none"/>
        </w:rPr>
        <w:t>。</w:t>
      </w:r>
    </w:p>
    <w:p w14:paraId="2DBB09EB">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7B7851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.1本项目的评审方法为综合评分法。</w:t>
      </w:r>
    </w:p>
    <w:p w14:paraId="51D54FB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磋商小组按照“第四章 评审程序、评审方法和评审标准”规定的方法、评审因素、标准和程序对响应文件进行评审。</w:t>
      </w:r>
    </w:p>
    <w:p w14:paraId="7F5F387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26.3 除采购需求中带“▲”号的实质性条款外，商务、技术要求条款均允许负偏离。</w:t>
      </w:r>
    </w:p>
    <w:p w14:paraId="03059D5A">
      <w:pPr>
        <w:spacing w:line="360" w:lineRule="auto"/>
        <w:ind w:firstLine="420" w:firstLineChars="200"/>
        <w:rPr>
          <w:rFonts w:hint="eastAsia" w:ascii="宋体" w:hAnsi="宋体"/>
          <w:color w:val="auto"/>
          <w:szCs w:val="21"/>
          <w:highlight w:val="none"/>
        </w:rPr>
      </w:pPr>
      <w:r>
        <w:rPr>
          <w:rFonts w:hint="eastAsia" w:ascii="宋体" w:hAnsi="宋体" w:cs="宋体"/>
          <w:color w:val="auto"/>
          <w:highlight w:val="none"/>
        </w:rPr>
        <w:t>26.</w:t>
      </w:r>
      <w:r>
        <w:rPr>
          <w:rFonts w:ascii="宋体" w:hAnsi="宋体" w:cs="宋体"/>
          <w:color w:val="auto"/>
          <w:highlight w:val="none"/>
        </w:rPr>
        <w:t>4</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14:paraId="097225B1">
      <w:pPr>
        <w:spacing w:line="360" w:lineRule="auto"/>
        <w:ind w:firstLine="420" w:firstLineChars="200"/>
        <w:rPr>
          <w:rFonts w:hint="eastAsia" w:hAnsi="宋体"/>
          <w:color w:val="auto"/>
          <w:highlight w:val="none"/>
        </w:rPr>
      </w:pPr>
      <w:r>
        <w:rPr>
          <w:rFonts w:hint="eastAsia" w:ascii="宋体" w:hAnsi="宋体" w:cs="宋体"/>
          <w:color w:val="auto"/>
          <w:highlight w:val="none"/>
        </w:rPr>
        <w:t>2</w:t>
      </w:r>
      <w:r>
        <w:rPr>
          <w:rFonts w:ascii="宋体" w:hAnsi="宋体" w:cs="宋体"/>
          <w:color w:val="auto"/>
          <w:highlight w:val="none"/>
        </w:rPr>
        <w:t>6.5</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7B1CC048">
      <w:pP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190977D8">
      <w:pP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1B47612D">
      <w:pP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1C67CEAC">
      <w:pPr>
        <w:spacing w:line="360" w:lineRule="auto"/>
        <w:ind w:firstLine="420" w:firstLineChars="200"/>
        <w:rPr>
          <w:rFonts w:hint="eastAsia" w:hAnsi="宋体"/>
          <w:color w:val="auto"/>
          <w:highlight w:val="none"/>
        </w:rPr>
      </w:pPr>
      <w:r>
        <w:rPr>
          <w:rFonts w:hint="eastAsia" w:hAnsi="宋体"/>
          <w:color w:val="auto"/>
          <w:highlight w:val="none"/>
        </w:rPr>
        <w:t xml:space="preserve">（4）病毒发作导致不能进行正常操作的； </w:t>
      </w:r>
    </w:p>
    <w:p w14:paraId="55704F5C">
      <w:pPr>
        <w:spacing w:line="360" w:lineRule="auto"/>
        <w:ind w:firstLine="420" w:firstLineChars="200"/>
        <w:rPr>
          <w:rFonts w:hint="eastAsia" w:hAnsi="宋体"/>
          <w:color w:val="auto"/>
          <w:highlight w:val="none"/>
        </w:rPr>
      </w:pPr>
      <w:r>
        <w:rPr>
          <w:rFonts w:hint="eastAsia" w:hAnsi="宋体"/>
          <w:color w:val="auto"/>
          <w:highlight w:val="none"/>
        </w:rPr>
        <w:t>（5）其他无法保证电子交易的公平、公正和安全的情况。</w:t>
      </w:r>
    </w:p>
    <w:p w14:paraId="50A16313">
      <w:pPr>
        <w:spacing w:line="360" w:lineRule="auto"/>
        <w:ind w:firstLine="420" w:firstLineChars="200"/>
        <w:rPr>
          <w:rFonts w:hint="eastAsia" w:ascii="宋体" w:hAnsi="宋体" w:cs="宋体"/>
          <w:color w:val="auto"/>
          <w:szCs w:val="21"/>
          <w:highlight w:val="none"/>
        </w:rPr>
      </w:pPr>
      <w:r>
        <w:rPr>
          <w:rFonts w:hint="eastAsia" w:ascii="宋体" w:hAnsi="宋体"/>
          <w:color w:val="auto"/>
          <w:highlight w:val="none"/>
        </w:rPr>
        <w:t>26.</w:t>
      </w:r>
      <w:r>
        <w:rPr>
          <w:rFonts w:ascii="宋体" w:hAnsi="宋体"/>
          <w:color w:val="auto"/>
          <w:highlight w:val="none"/>
        </w:rPr>
        <w:t>6</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做出妥善保密处理，并报财政部门备案。</w:t>
      </w:r>
    </w:p>
    <w:p w14:paraId="5A62A3E5">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153679C9">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5EAD594">
      <w:pPr>
        <w:spacing w:line="360" w:lineRule="auto"/>
        <w:ind w:firstLine="420" w:firstLineChars="200"/>
        <w:rPr>
          <w:rFonts w:hint="eastAsia"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81"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81"/>
    </w:p>
    <w:p w14:paraId="7D108C7E">
      <w:pPr>
        <w:spacing w:line="360" w:lineRule="auto"/>
        <w:ind w:firstLine="420" w:firstLineChars="200"/>
        <w:contextualSpacing/>
        <w:rPr>
          <w:rFonts w:hint="eastAsia" w:ascii="宋体" w:hAnsi="宋体" w:cs="Courier New"/>
          <w:color w:val="auto"/>
          <w:szCs w:val="21"/>
          <w:highlight w:val="none"/>
        </w:rPr>
      </w:pPr>
      <w:r>
        <w:rPr>
          <w:rFonts w:ascii="宋体" w:hAnsi="宋体" w:cs="Courier New"/>
          <w:color w:val="auto"/>
          <w:szCs w:val="21"/>
          <w:highlight w:val="none"/>
        </w:rPr>
        <w:t>27</w:t>
      </w:r>
      <w:r>
        <w:rPr>
          <w:rFonts w:hint="eastAsia" w:ascii="宋体" w:hAnsi="宋体" w:cs="Courier New"/>
          <w:color w:val="auto"/>
          <w:szCs w:val="21"/>
          <w:highlight w:val="none"/>
        </w:rPr>
        <w:t>.3 采购人、采购代理机构应当随成交结果公开成交供应商的《关于符合本国产品标准的声明函》或有关证明文件。</w:t>
      </w:r>
    </w:p>
    <w:p w14:paraId="7EEAB608">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27.</w:t>
      </w:r>
      <w:r>
        <w:rPr>
          <w:rFonts w:ascii="宋体" w:hAnsi="宋体" w:cs="Courier New"/>
          <w:color w:val="auto"/>
          <w:szCs w:val="21"/>
          <w:highlight w:val="none"/>
        </w:rPr>
        <w:t>4</w:t>
      </w:r>
      <w:r>
        <w:rPr>
          <w:rFonts w:hint="eastAsia" w:ascii="宋体" w:hAnsi="宋体" w:cs="Courier New"/>
          <w:color w:val="auto"/>
          <w:szCs w:val="21"/>
          <w:highlight w:val="none"/>
        </w:rPr>
        <w:t>出现下列情形之一的，采购人或者采购代理机构应当终止竞争性磋商采购活动，发布项目终止公告并说明原因，重新开展采购活动：</w:t>
      </w:r>
    </w:p>
    <w:p w14:paraId="0D563F47">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40C64FB3">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12EC55C1">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评审程序、评审方法和评审标准”第4.3条规定的情形外，在采购过程中符合要求的供应商或者报价未超过采购预算的供应商不足3家的。</w:t>
      </w:r>
    </w:p>
    <w:p w14:paraId="0FA28AC8">
      <w:pPr>
        <w:spacing w:line="360" w:lineRule="auto"/>
        <w:ind w:firstLine="420" w:firstLineChars="200"/>
        <w:rPr>
          <w:rFonts w:hint="eastAsia" w:ascii="宋体" w:hAnsi="宋体" w:cs="宋体"/>
          <w:color w:val="auto"/>
          <w:szCs w:val="21"/>
          <w:highlight w:val="none"/>
        </w:rPr>
      </w:pPr>
      <w:r>
        <w:rPr>
          <w:rFonts w:hint="eastAsia" w:ascii="宋体" w:hAnsi="宋体" w:cs="Courier New"/>
          <w:color w:val="auto"/>
          <w:szCs w:val="21"/>
          <w:highlight w:val="none"/>
        </w:rPr>
        <w:t>27.</w:t>
      </w:r>
      <w:r>
        <w:rPr>
          <w:rFonts w:ascii="宋体" w:hAnsi="宋体" w:cs="Courier New"/>
          <w:color w:val="auto"/>
          <w:szCs w:val="21"/>
          <w:highlight w:val="none"/>
        </w:rPr>
        <w:t>5</w:t>
      </w:r>
      <w:r>
        <w:rPr>
          <w:rFonts w:hint="eastAsia" w:ascii="宋体" w:hAnsi="宋体" w:cs="Courier New"/>
          <w:color w:val="auto"/>
          <w:szCs w:val="21"/>
          <w:highlight w:val="none"/>
        </w:rPr>
        <w:t xml:space="preserve"> 在采购活动中因重大变故，采购任务取消的，采购人或者采购代理机构应当终止采购活动，通知所有参加采购活动的供应商，并将项目实施情况和采购任务取消原因报送本级财政部门。</w:t>
      </w:r>
    </w:p>
    <w:p w14:paraId="69B2E0F0">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0E6C3F91">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履约保证金的金额、提交方式、缴纳期限、退付的时间和条件详见 “供应商须知前附表”。成交供应商未按规定提交履约保证金的，视为拒绝</w:t>
      </w:r>
      <w:r>
        <w:rPr>
          <w:rFonts w:hint="eastAsia" w:ascii="宋体" w:hAnsi="宋体"/>
          <w:color w:val="auto"/>
          <w:highlight w:val="none"/>
        </w:rPr>
        <w:t>与采购人</w:t>
      </w:r>
      <w:r>
        <w:rPr>
          <w:rFonts w:hint="eastAsia" w:ascii="宋体" w:hAnsi="宋体" w:cs="宋体"/>
          <w:color w:val="auto"/>
          <w:szCs w:val="21"/>
          <w:highlight w:val="none"/>
        </w:rPr>
        <w:t>签订合同。</w:t>
      </w:r>
    </w:p>
    <w:p w14:paraId="69CF5220">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.2在履约保证金退还日期前，若成交供应商的开户名称、开户银行、账号有变动的，请以书面形式通知履约保证金收取单位，否则由此产生的后果由成交供应商自行承担。</w:t>
      </w:r>
    </w:p>
    <w:p w14:paraId="518E7528">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61317012">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40A55C00">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22C73056">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4E961FE5">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7052670F">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2448A69B">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122C6167">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4BA15EC5">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08BD87CF">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6A0FB4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77855007">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505C1D1F">
      <w:pPr>
        <w:pStyle w:val="7"/>
        <w:spacing w:line="360" w:lineRule="auto"/>
        <w:rPr>
          <w:rFonts w:hint="eastAsia"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78D5FC6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Arial"/>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4441334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（1）对可以质疑的磋商文件提出质疑的，为收到磋商文件之日或者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1459947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4BA2943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371CF82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6D68681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596D896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5A3E036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1816247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2482E2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4C492A5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2DEA2FF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0C3DC5F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38E1061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2BB2E33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08C3866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5008EE7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01B06602">
      <w:pPr>
        <w:spacing w:line="360" w:lineRule="auto"/>
        <w:ind w:firstLine="420" w:firstLineChars="200"/>
        <w:rPr>
          <w:rFonts w:hint="eastAsia" w:ascii="宋体" w:hAnsi="宋体" w:cs="宋体"/>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745FEFD">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rPr>
        <w:t>.其他内容</w:t>
      </w:r>
    </w:p>
    <w:p w14:paraId="03542CD2">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.1代理服务费收取标准及缴费账户详见“供应商须知前附表”，供应商为联合体的，可以由联合体中的一方或者多方共同交纳代理服务费。</w:t>
      </w:r>
    </w:p>
    <w:p w14:paraId="4F4836E6">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32.2</w:t>
      </w:r>
      <w:r>
        <w:rPr>
          <w:rFonts w:hint="eastAsia" w:ascii="宋体" w:hAnsi="宋体" w:cs="宋体"/>
          <w:color w:val="auto"/>
          <w:szCs w:val="21"/>
          <w:highlight w:val="none"/>
        </w:rPr>
        <w:t>代理服务费收费计算标准：</w:t>
      </w:r>
    </w:p>
    <w:tbl>
      <w:tblPr>
        <w:tblStyle w:val="24"/>
        <w:tblW w:w="820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472"/>
        <w:gridCol w:w="1659"/>
        <w:gridCol w:w="1532"/>
        <w:gridCol w:w="1546"/>
      </w:tblGrid>
      <w:tr w14:paraId="64EEA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206F01C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费率</w:t>
            </w:r>
          </w:p>
          <w:p w14:paraId="5DA31EA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金额</w:t>
            </w:r>
          </w:p>
        </w:tc>
        <w:tc>
          <w:tcPr>
            <w:tcW w:w="1659" w:type="dxa"/>
            <w:vAlign w:val="center"/>
          </w:tcPr>
          <w:p w14:paraId="55DCE3AF">
            <w:pPr>
              <w:spacing w:line="360" w:lineRule="auto"/>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货物类</w:t>
            </w:r>
          </w:p>
        </w:tc>
        <w:tc>
          <w:tcPr>
            <w:tcW w:w="1532" w:type="dxa"/>
            <w:vAlign w:val="center"/>
          </w:tcPr>
          <w:p w14:paraId="16178EB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服务类</w:t>
            </w:r>
          </w:p>
        </w:tc>
        <w:tc>
          <w:tcPr>
            <w:tcW w:w="1546" w:type="dxa"/>
            <w:vAlign w:val="center"/>
          </w:tcPr>
          <w:p w14:paraId="20C9AEC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工程类</w:t>
            </w:r>
          </w:p>
        </w:tc>
      </w:tr>
      <w:tr w14:paraId="3315D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72219B3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659" w:type="dxa"/>
          </w:tcPr>
          <w:p w14:paraId="0E4CE959">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1.5%                </w:t>
            </w:r>
          </w:p>
        </w:tc>
        <w:tc>
          <w:tcPr>
            <w:tcW w:w="1532" w:type="dxa"/>
          </w:tcPr>
          <w:p w14:paraId="37A0B6C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546" w:type="dxa"/>
          </w:tcPr>
          <w:p w14:paraId="2B8FBF2A">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1.0% </w:t>
            </w:r>
          </w:p>
        </w:tc>
      </w:tr>
      <w:tr w14:paraId="67127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1B18932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100万～500万元</w:t>
            </w:r>
          </w:p>
        </w:tc>
        <w:tc>
          <w:tcPr>
            <w:tcW w:w="1659" w:type="dxa"/>
          </w:tcPr>
          <w:p w14:paraId="18D17BCF">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1.1%                 </w:t>
            </w:r>
          </w:p>
        </w:tc>
        <w:tc>
          <w:tcPr>
            <w:tcW w:w="1532" w:type="dxa"/>
          </w:tcPr>
          <w:p w14:paraId="378782BA">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546" w:type="dxa"/>
          </w:tcPr>
          <w:p w14:paraId="64AEDAD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0.7% </w:t>
            </w:r>
          </w:p>
        </w:tc>
      </w:tr>
      <w:tr w14:paraId="4A3E7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6B05832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500万～1000万元</w:t>
            </w:r>
          </w:p>
        </w:tc>
        <w:tc>
          <w:tcPr>
            <w:tcW w:w="1659" w:type="dxa"/>
          </w:tcPr>
          <w:p w14:paraId="4D864225">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0.8%                </w:t>
            </w:r>
          </w:p>
        </w:tc>
        <w:tc>
          <w:tcPr>
            <w:tcW w:w="1532" w:type="dxa"/>
          </w:tcPr>
          <w:p w14:paraId="32A45564">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0.45%</w:t>
            </w:r>
          </w:p>
        </w:tc>
        <w:tc>
          <w:tcPr>
            <w:tcW w:w="1546" w:type="dxa"/>
          </w:tcPr>
          <w:p w14:paraId="656CAFE6">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0.55%</w:t>
            </w:r>
          </w:p>
        </w:tc>
      </w:tr>
      <w:tr w14:paraId="599D6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72D1FD3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1000万～5000万元</w:t>
            </w:r>
          </w:p>
        </w:tc>
        <w:tc>
          <w:tcPr>
            <w:tcW w:w="1659" w:type="dxa"/>
          </w:tcPr>
          <w:p w14:paraId="7CED03C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0.5%                </w:t>
            </w:r>
          </w:p>
        </w:tc>
        <w:tc>
          <w:tcPr>
            <w:tcW w:w="1532" w:type="dxa"/>
          </w:tcPr>
          <w:p w14:paraId="2BB68B16">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546" w:type="dxa"/>
          </w:tcPr>
          <w:p w14:paraId="1502A1D6">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0.35% </w:t>
            </w:r>
          </w:p>
        </w:tc>
      </w:tr>
      <w:tr w14:paraId="068FC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3183AD7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tcPr>
          <w:p w14:paraId="23A353A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0.25%                 </w:t>
            </w:r>
          </w:p>
        </w:tc>
        <w:tc>
          <w:tcPr>
            <w:tcW w:w="1532" w:type="dxa"/>
          </w:tcPr>
          <w:p w14:paraId="4BCCECD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0.1%</w:t>
            </w:r>
          </w:p>
        </w:tc>
        <w:tc>
          <w:tcPr>
            <w:tcW w:w="1546" w:type="dxa"/>
          </w:tcPr>
          <w:p w14:paraId="0FA685F1">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w:t>
            </w:r>
          </w:p>
        </w:tc>
      </w:tr>
      <w:tr w14:paraId="548CB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311268F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1亿～5亿元</w:t>
            </w:r>
          </w:p>
        </w:tc>
        <w:tc>
          <w:tcPr>
            <w:tcW w:w="1659" w:type="dxa"/>
          </w:tcPr>
          <w:p w14:paraId="2A513E79">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0.05%</w:t>
            </w:r>
          </w:p>
        </w:tc>
        <w:tc>
          <w:tcPr>
            <w:tcW w:w="1532" w:type="dxa"/>
          </w:tcPr>
          <w:p w14:paraId="09D66CA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c>
          <w:tcPr>
            <w:tcW w:w="1546" w:type="dxa"/>
          </w:tcPr>
          <w:p w14:paraId="0213A54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r>
      <w:tr w14:paraId="36562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05D8CB6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5亿～10亿元</w:t>
            </w:r>
          </w:p>
        </w:tc>
        <w:tc>
          <w:tcPr>
            <w:tcW w:w="1659" w:type="dxa"/>
          </w:tcPr>
          <w:p w14:paraId="69003330">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532" w:type="dxa"/>
          </w:tcPr>
          <w:p w14:paraId="47B8B38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0.035%</w:t>
            </w:r>
          </w:p>
        </w:tc>
        <w:tc>
          <w:tcPr>
            <w:tcW w:w="1546" w:type="dxa"/>
          </w:tcPr>
          <w:p w14:paraId="13CCC60C">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0.035%</w:t>
            </w:r>
          </w:p>
        </w:tc>
      </w:tr>
      <w:tr w14:paraId="22412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0BEFA90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10亿～50亿元</w:t>
            </w:r>
          </w:p>
        </w:tc>
        <w:tc>
          <w:tcPr>
            <w:tcW w:w="1659" w:type="dxa"/>
          </w:tcPr>
          <w:p w14:paraId="0433D380">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32" w:type="dxa"/>
          </w:tcPr>
          <w:p w14:paraId="53458F3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46" w:type="dxa"/>
          </w:tcPr>
          <w:p w14:paraId="2E9345C2">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0.008%</w:t>
            </w:r>
          </w:p>
        </w:tc>
      </w:tr>
      <w:tr w14:paraId="387C7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7958394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50亿～100亿元</w:t>
            </w:r>
          </w:p>
        </w:tc>
        <w:tc>
          <w:tcPr>
            <w:tcW w:w="1659" w:type="dxa"/>
          </w:tcPr>
          <w:p w14:paraId="489B8C6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0.006%</w:t>
            </w:r>
          </w:p>
        </w:tc>
        <w:tc>
          <w:tcPr>
            <w:tcW w:w="1532" w:type="dxa"/>
          </w:tcPr>
          <w:p w14:paraId="12670DD6">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0.006%</w:t>
            </w:r>
          </w:p>
        </w:tc>
        <w:tc>
          <w:tcPr>
            <w:tcW w:w="1546" w:type="dxa"/>
          </w:tcPr>
          <w:p w14:paraId="168A9539">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0.006%</w:t>
            </w:r>
          </w:p>
        </w:tc>
      </w:tr>
      <w:tr w14:paraId="1A97A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72" w:type="dxa"/>
          </w:tcPr>
          <w:p w14:paraId="49F9FB4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100亿元以上</w:t>
            </w:r>
          </w:p>
        </w:tc>
        <w:tc>
          <w:tcPr>
            <w:tcW w:w="1659" w:type="dxa"/>
          </w:tcPr>
          <w:p w14:paraId="1629A0F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0.004%</w:t>
            </w:r>
          </w:p>
        </w:tc>
        <w:tc>
          <w:tcPr>
            <w:tcW w:w="1532" w:type="dxa"/>
          </w:tcPr>
          <w:p w14:paraId="561028B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546" w:type="dxa"/>
          </w:tcPr>
          <w:p w14:paraId="44F62B20">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0.004%</w:t>
            </w:r>
          </w:p>
        </w:tc>
      </w:tr>
    </w:tbl>
    <w:p w14:paraId="080C2F6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注：</w:t>
      </w:r>
    </w:p>
    <w:p w14:paraId="5682F99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（1）按本表费率计算的收费为采购代理的收费基准价格；</w:t>
      </w:r>
    </w:p>
    <w:p w14:paraId="79AD6B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（2）采购代理收费按差额定率累进法计算。</w:t>
      </w:r>
    </w:p>
    <w:p w14:paraId="0D13F4B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例如：某服务采购代理业务成交金额或者暂定价为150万元，计算采购代理收费额如下：</w:t>
      </w:r>
    </w:p>
    <w:p w14:paraId="519EFDD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100 万元 ×l.5 %＝ 1.5 万元</w:t>
      </w:r>
    </w:p>
    <w:p w14:paraId="5B7D359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150 － 100 ）万元 ×0.8%＝ 0.4万元</w:t>
      </w:r>
    </w:p>
    <w:p w14:paraId="6D7EA25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合计收费＝ 1.5 ＋ 0.4＝ 1.9 万元</w:t>
      </w:r>
    </w:p>
    <w:p w14:paraId="2E261F4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33.需要补充的其他内容</w:t>
      </w:r>
    </w:p>
    <w:p w14:paraId="078A8119">
      <w:pPr>
        <w:pStyle w:val="15"/>
        <w:spacing w:line="360" w:lineRule="auto"/>
        <w:ind w:firstLine="420" w:firstLineChars="200"/>
        <w:rPr>
          <w:rFonts w:hint="eastAsia"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3.1</w:t>
      </w:r>
      <w:r>
        <w:rPr>
          <w:rFonts w:hint="eastAsia" w:hAnsi="宋体" w:cs="宋体"/>
          <w:color w:val="auto"/>
          <w:kern w:val="2"/>
          <w:sz w:val="21"/>
          <w:highlight w:val="none"/>
        </w:rPr>
        <w:t>本磋商文件解释规则详见“供应商须知前附表”。</w:t>
      </w:r>
    </w:p>
    <w:p w14:paraId="67874631">
      <w:pPr>
        <w:pStyle w:val="15"/>
        <w:spacing w:line="360" w:lineRule="auto"/>
        <w:ind w:firstLine="420" w:firstLineChars="200"/>
        <w:rPr>
          <w:rFonts w:hint="eastAsia" w:hAnsi="宋体" w:cs="宋体"/>
          <w:color w:val="auto"/>
          <w:kern w:val="2"/>
          <w:sz w:val="21"/>
          <w:highlight w:val="none"/>
        </w:rPr>
      </w:pPr>
      <w:r>
        <w:rPr>
          <w:rFonts w:hAnsi="宋体" w:cs="宋体"/>
          <w:color w:val="auto"/>
          <w:kern w:val="2"/>
          <w:sz w:val="21"/>
          <w:highlight w:val="none"/>
        </w:rPr>
        <w:t>33.2</w:t>
      </w:r>
      <w:r>
        <w:rPr>
          <w:rFonts w:hint="eastAsia" w:hAnsi="宋体" w:cs="宋体"/>
          <w:color w:val="auto"/>
          <w:kern w:val="2"/>
          <w:sz w:val="21"/>
          <w:highlight w:val="none"/>
        </w:rPr>
        <w:t xml:space="preserve"> 其他事项详见“供应商须知前附表”。</w:t>
      </w:r>
    </w:p>
    <w:p w14:paraId="4B9CA2C9">
      <w:pPr>
        <w:pStyle w:val="15"/>
        <w:spacing w:line="360" w:lineRule="auto"/>
        <w:ind w:firstLine="420" w:firstLineChars="200"/>
        <w:rPr>
          <w:rFonts w:hint="eastAsia"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3.3</w:t>
      </w:r>
      <w:r>
        <w:rPr>
          <w:rFonts w:hint="eastAsia" w:hAnsi="宋体" w:cs="宋体"/>
          <w:color w:val="auto"/>
          <w:kern w:val="2"/>
          <w:sz w:val="21"/>
          <w:highlight w:val="none"/>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531DE2D1">
      <w:pPr>
        <w:pStyle w:val="15"/>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3C93580C">
      <w:pPr>
        <w:pStyle w:val="15"/>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7BA5A251">
      <w:pPr>
        <w:pStyle w:val="15"/>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1C50F517">
      <w:pPr>
        <w:pStyle w:val="15"/>
        <w:spacing w:line="360" w:lineRule="auto"/>
        <w:ind w:firstLine="420" w:firstLineChars="200"/>
        <w:rPr>
          <w:rFonts w:hint="eastAsia" w:hAnsi="宋体" w:cs="宋体"/>
          <w:color w:val="auto"/>
          <w:kern w:val="2"/>
          <w:sz w:val="21"/>
          <w:highlight w:val="none"/>
        </w:rPr>
      </w:pPr>
      <w:r>
        <w:rPr>
          <w:rFonts w:hint="eastAsia" w:hAnsi="宋体" w:cs="宋体"/>
          <w:color w:val="auto"/>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68D729FA">
      <w:pPr>
        <w:pStyle w:val="15"/>
        <w:spacing w:line="360" w:lineRule="auto"/>
        <w:ind w:firstLine="420" w:firstLineChars="200"/>
        <w:rPr>
          <w:rFonts w:hint="eastAsia" w:hAnsi="宋体"/>
          <w:b/>
          <w:color w:val="auto"/>
          <w:sz w:val="32"/>
          <w:szCs w:val="32"/>
          <w:highlight w:val="none"/>
        </w:rPr>
      </w:pPr>
      <w:r>
        <w:rPr>
          <w:rFonts w:hint="eastAsia" w:hAnsi="宋体" w:cs="宋体"/>
          <w:color w:val="auto"/>
          <w:kern w:val="2"/>
          <w:sz w:val="21"/>
          <w:highlight w:val="none"/>
        </w:rPr>
        <w:t>依据本磋商文件规定享受扶持政策获得政府采购合同的，小微企业不得将合同分包给大中型企业，中型企业不得将合同分包给大型企业。</w:t>
      </w:r>
      <w:r>
        <w:rPr>
          <w:rFonts w:hAnsi="宋体"/>
          <w:b/>
          <w:color w:val="auto"/>
          <w:highlight w:val="none"/>
        </w:rPr>
        <w:br w:type="page"/>
      </w:r>
    </w:p>
    <w:p w14:paraId="2172459F">
      <w:pPr>
        <w:pStyle w:val="2"/>
        <w:jc w:val="center"/>
        <w:rPr>
          <w:color w:val="auto"/>
          <w:highlight w:val="none"/>
        </w:rPr>
      </w:pPr>
      <w:bookmarkStart w:id="82" w:name="_Toc74323458"/>
      <w:r>
        <w:rPr>
          <w:rFonts w:hint="eastAsia"/>
          <w:color w:val="auto"/>
          <w:highlight w:val="none"/>
        </w:rPr>
        <w:t>第三章 采购需求</w:t>
      </w:r>
      <w:bookmarkEnd w:id="82"/>
    </w:p>
    <w:p w14:paraId="37E5AA85">
      <w:pPr>
        <w:spacing w:line="44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采购项目技术规格、参数及要求</w:t>
      </w:r>
    </w:p>
    <w:p w14:paraId="00CB8E48">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1C1E0B18">
      <w:pPr>
        <w:spacing w:line="360" w:lineRule="auto"/>
        <w:ind w:firstLine="420" w:firstLineChars="200"/>
        <w:jc w:val="left"/>
        <w:rPr>
          <w:rFonts w:hint="eastAsia" w:ascii="宋体" w:hAnsi="宋体" w:cs="宋体"/>
          <w:color w:val="auto"/>
          <w:szCs w:val="21"/>
          <w:highlight w:val="none"/>
        </w:rPr>
      </w:pPr>
      <w:r>
        <w:rPr>
          <w:rFonts w:hint="eastAsia" w:ascii="宋体" w:hAnsi="宋体"/>
          <w:color w:val="auto"/>
          <w:highlight w:val="none"/>
        </w:rPr>
        <w:t>1</w:t>
      </w:r>
      <w:r>
        <w:rPr>
          <w:rFonts w:hint="eastAsia"/>
          <w:color w:val="auto"/>
          <w:highlight w:val="none"/>
        </w:rPr>
        <w:t>. 为落实政府采购政策需满足的要求</w:t>
      </w:r>
    </w:p>
    <w:p w14:paraId="479C4E45">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52737509">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25DB2D6">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2.“实质性要求”是指采购需求中带“▲”的条款或者已经指明不满足响应文件按无效处理的条款。</w:t>
      </w:r>
    </w:p>
    <w:p w14:paraId="4FA28A0B">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3.供应商应根据自身实际情况如实响应磋商文件，对磋商文件提出的要求和条件作出明确响应，否则将作无效响应处理。对于重要技术条款或技术参数应当在响应文件中提供技术支持资料，技术支持资料以磋商文件中规定的形式为准，否则将视为无效技术支持资料。</w:t>
      </w:r>
    </w:p>
    <w:p w14:paraId="29969AB8">
      <w:pPr>
        <w:spacing w:line="360" w:lineRule="auto"/>
        <w:ind w:firstLine="424" w:firstLineChars="202"/>
        <w:jc w:val="left"/>
        <w:rPr>
          <w:rFonts w:hint="eastAsia" w:ascii="宋体" w:hAnsi="宋体"/>
          <w:color w:val="auto"/>
          <w:szCs w:val="21"/>
          <w:highlight w:val="none"/>
        </w:rPr>
      </w:pPr>
      <w:r>
        <w:rPr>
          <w:rFonts w:hint="eastAsia" w:ascii="宋体" w:hAnsi="宋体" w:cs="宋体"/>
          <w:color w:val="auto"/>
          <w:szCs w:val="21"/>
          <w:highlight w:val="none"/>
        </w:rPr>
        <w:t>4.</w:t>
      </w:r>
      <w:r>
        <w:rPr>
          <w:rFonts w:hint="eastAsia"/>
          <w:color w:val="auto"/>
          <w:highlight w:val="none"/>
        </w:rPr>
        <w:t>供应商必须自行为其竞标产品侵犯他人的知识产权或者专利成果的行为承担相应法律责任。</w:t>
      </w:r>
    </w:p>
    <w:p w14:paraId="11BA4CB4">
      <w:pPr>
        <w:spacing w:line="360" w:lineRule="auto"/>
        <w:jc w:val="left"/>
        <w:rPr>
          <w:rFonts w:hint="eastAsia" w:ascii="宋体" w:hAnsi="宋体" w:cs="Arial"/>
          <w:bCs/>
          <w:color w:val="auto"/>
          <w:szCs w:val="21"/>
          <w:highlight w:val="none"/>
          <w:u w:val="single"/>
        </w:rPr>
      </w:pPr>
    </w:p>
    <w:tbl>
      <w:tblPr>
        <w:tblStyle w:val="24"/>
        <w:tblW w:w="852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427"/>
        <w:gridCol w:w="674"/>
        <w:gridCol w:w="426"/>
        <w:gridCol w:w="428"/>
        <w:gridCol w:w="6573"/>
      </w:tblGrid>
      <w:tr w14:paraId="5F91C01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427" w:type="dxa"/>
            <w:tcBorders>
              <w:top w:val="single" w:color="000000" w:sz="4" w:space="0"/>
              <w:left w:val="single" w:color="000000" w:sz="4" w:space="0"/>
              <w:bottom w:val="single" w:color="000000" w:sz="4" w:space="0"/>
              <w:right w:val="single" w:color="000000" w:sz="4" w:space="0"/>
            </w:tcBorders>
            <w:vAlign w:val="center"/>
          </w:tcPr>
          <w:p w14:paraId="331D5049">
            <w:pPr>
              <w:spacing w:line="360" w:lineRule="auto"/>
              <w:jc w:val="center"/>
              <w:rPr>
                <w:rFonts w:hint="eastAsia" w:ascii="宋体" w:hAnsi="宋体" w:cs="Calibri"/>
                <w:b/>
                <w:color w:val="auto"/>
                <w:szCs w:val="21"/>
                <w:highlight w:val="none"/>
              </w:rPr>
            </w:pPr>
            <w:r>
              <w:rPr>
                <w:rFonts w:hint="eastAsia" w:ascii="宋体" w:hAnsi="宋体" w:cs="Calibri"/>
                <w:b/>
                <w:color w:val="auto"/>
                <w:szCs w:val="21"/>
                <w:highlight w:val="none"/>
              </w:rPr>
              <w:t>序号</w:t>
            </w:r>
          </w:p>
        </w:tc>
        <w:tc>
          <w:tcPr>
            <w:tcW w:w="674" w:type="dxa"/>
            <w:tcBorders>
              <w:top w:val="single" w:color="000000" w:sz="4" w:space="0"/>
              <w:left w:val="single" w:color="000000" w:sz="4" w:space="0"/>
              <w:bottom w:val="single" w:color="000000" w:sz="4" w:space="0"/>
              <w:right w:val="single" w:color="000000" w:sz="4" w:space="0"/>
            </w:tcBorders>
            <w:vAlign w:val="center"/>
          </w:tcPr>
          <w:p w14:paraId="069DD185">
            <w:pPr>
              <w:spacing w:line="360" w:lineRule="auto"/>
              <w:jc w:val="center"/>
              <w:rPr>
                <w:rFonts w:hint="eastAsia" w:ascii="宋体" w:hAnsi="宋体" w:cs="Calibri"/>
                <w:b/>
                <w:color w:val="auto"/>
                <w:szCs w:val="21"/>
                <w:highlight w:val="none"/>
              </w:rPr>
            </w:pPr>
            <w:r>
              <w:rPr>
                <w:rFonts w:hint="eastAsia" w:ascii="宋体" w:hAnsi="宋体" w:cs="Calibri"/>
                <w:b/>
                <w:color w:val="auto"/>
                <w:szCs w:val="21"/>
                <w:highlight w:val="none"/>
              </w:rPr>
              <w:t>标的（服务）名称</w:t>
            </w:r>
          </w:p>
        </w:tc>
        <w:tc>
          <w:tcPr>
            <w:tcW w:w="426" w:type="dxa"/>
            <w:tcBorders>
              <w:top w:val="single" w:color="000000" w:sz="4" w:space="0"/>
              <w:left w:val="single" w:color="000000" w:sz="4" w:space="0"/>
              <w:bottom w:val="single" w:color="000000" w:sz="4" w:space="0"/>
              <w:right w:val="single" w:color="000000" w:sz="4" w:space="0"/>
            </w:tcBorders>
            <w:vAlign w:val="center"/>
          </w:tcPr>
          <w:p w14:paraId="6F7B9C5A">
            <w:pPr>
              <w:spacing w:line="360" w:lineRule="auto"/>
              <w:jc w:val="center"/>
              <w:rPr>
                <w:rFonts w:hint="eastAsia" w:ascii="宋体" w:hAnsi="宋体" w:eastAsia="等线" w:cs="等线"/>
                <w:b/>
                <w:color w:val="auto"/>
                <w:szCs w:val="21"/>
                <w:highlight w:val="none"/>
              </w:rPr>
            </w:pPr>
            <w:r>
              <w:rPr>
                <w:rFonts w:hint="eastAsia" w:ascii="宋体" w:hAnsi="宋体" w:eastAsia="等线" w:cs="等线"/>
                <w:b/>
                <w:color w:val="auto"/>
                <w:szCs w:val="21"/>
                <w:highlight w:val="none"/>
              </w:rPr>
              <w:t>数量</w:t>
            </w:r>
          </w:p>
        </w:tc>
        <w:tc>
          <w:tcPr>
            <w:tcW w:w="428" w:type="dxa"/>
            <w:tcBorders>
              <w:top w:val="single" w:color="000000" w:sz="4" w:space="0"/>
              <w:left w:val="single" w:color="000000" w:sz="4" w:space="0"/>
              <w:bottom w:val="single" w:color="000000" w:sz="4" w:space="0"/>
              <w:right w:val="single" w:color="000000" w:sz="4" w:space="0"/>
            </w:tcBorders>
            <w:vAlign w:val="center"/>
          </w:tcPr>
          <w:p w14:paraId="742A1C02">
            <w:pPr>
              <w:spacing w:line="360" w:lineRule="auto"/>
              <w:jc w:val="center"/>
              <w:rPr>
                <w:rFonts w:hint="eastAsia" w:ascii="宋体" w:hAnsi="宋体" w:cs="Calibri"/>
                <w:b/>
                <w:bCs/>
                <w:color w:val="auto"/>
                <w:szCs w:val="21"/>
                <w:highlight w:val="none"/>
              </w:rPr>
            </w:pPr>
            <w:r>
              <w:rPr>
                <w:rFonts w:hint="eastAsia" w:ascii="宋体" w:hAnsi="宋体" w:cs="Calibri"/>
                <w:b/>
                <w:bCs/>
                <w:color w:val="auto"/>
                <w:szCs w:val="21"/>
                <w:highlight w:val="none"/>
              </w:rPr>
              <w:t>所属行业</w:t>
            </w:r>
          </w:p>
        </w:tc>
        <w:tc>
          <w:tcPr>
            <w:tcW w:w="6573" w:type="dxa"/>
            <w:tcBorders>
              <w:top w:val="single" w:color="000000" w:sz="4" w:space="0"/>
              <w:left w:val="single" w:color="000000" w:sz="4" w:space="0"/>
              <w:bottom w:val="single" w:color="000000" w:sz="4" w:space="0"/>
              <w:right w:val="single" w:color="000000" w:sz="4" w:space="0"/>
            </w:tcBorders>
            <w:vAlign w:val="center"/>
          </w:tcPr>
          <w:p w14:paraId="0E81678D">
            <w:pPr>
              <w:spacing w:line="360" w:lineRule="auto"/>
              <w:jc w:val="center"/>
              <w:rPr>
                <w:rFonts w:hint="eastAsia" w:ascii="宋体" w:hAnsi="宋体" w:cs="Calibri"/>
                <w:b/>
                <w:bCs/>
                <w:color w:val="auto"/>
                <w:szCs w:val="21"/>
                <w:highlight w:val="none"/>
              </w:rPr>
            </w:pPr>
            <w:r>
              <w:rPr>
                <w:rFonts w:hint="eastAsia" w:ascii="宋体" w:hAnsi="宋体" w:cs="等线"/>
                <w:b/>
                <w:color w:val="auto"/>
                <w:szCs w:val="21"/>
                <w:highlight w:val="none"/>
              </w:rPr>
              <w:t>服务内容及要求</w:t>
            </w:r>
          </w:p>
        </w:tc>
      </w:tr>
      <w:tr w14:paraId="2CE4401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427" w:type="dxa"/>
            <w:tcBorders>
              <w:top w:val="single" w:color="000000" w:sz="4" w:space="0"/>
              <w:left w:val="single" w:color="000000" w:sz="4" w:space="0"/>
              <w:bottom w:val="single" w:color="000000" w:sz="4" w:space="0"/>
              <w:right w:val="single" w:color="000000" w:sz="4" w:space="0"/>
            </w:tcBorders>
            <w:vAlign w:val="center"/>
          </w:tcPr>
          <w:p w14:paraId="75F8ED98">
            <w:pPr>
              <w:spacing w:line="360" w:lineRule="auto"/>
              <w:jc w:val="center"/>
              <w:rPr>
                <w:rFonts w:hint="eastAsia" w:ascii="宋体" w:hAnsi="宋体" w:cs="Calibri"/>
                <w:b/>
                <w:color w:val="auto"/>
                <w:szCs w:val="21"/>
                <w:highlight w:val="none"/>
              </w:rPr>
            </w:pPr>
            <w:r>
              <w:rPr>
                <w:rFonts w:hint="eastAsia" w:ascii="宋体" w:hAnsi="宋体" w:cs="Calibri"/>
                <w:b/>
                <w:color w:val="auto"/>
                <w:szCs w:val="21"/>
                <w:highlight w:val="none"/>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69BFE66A">
            <w:pPr>
              <w:spacing w:line="360" w:lineRule="auto"/>
              <w:jc w:val="center"/>
              <w:rPr>
                <w:rFonts w:hint="eastAsia" w:ascii="宋体" w:hAnsi="宋体" w:cs="宋体"/>
                <w:color w:val="auto"/>
                <w:szCs w:val="21"/>
                <w:highlight w:val="none"/>
              </w:rPr>
            </w:pPr>
            <w:r>
              <w:rPr>
                <w:rFonts w:hint="eastAsia" w:ascii="宋体" w:hAnsi="宋体" w:cs="等线"/>
                <w:color w:val="auto"/>
                <w:szCs w:val="21"/>
                <w:highlight w:val="none"/>
              </w:rPr>
              <w:t>彩票终端机维保服务</w:t>
            </w:r>
          </w:p>
        </w:tc>
        <w:tc>
          <w:tcPr>
            <w:tcW w:w="426" w:type="dxa"/>
            <w:tcBorders>
              <w:top w:val="single" w:color="000000" w:sz="4" w:space="0"/>
              <w:left w:val="single" w:color="000000" w:sz="4" w:space="0"/>
              <w:bottom w:val="single" w:color="000000" w:sz="4" w:space="0"/>
              <w:right w:val="single" w:color="000000" w:sz="4" w:space="0"/>
            </w:tcBorders>
            <w:vAlign w:val="center"/>
          </w:tcPr>
          <w:p w14:paraId="01F756A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1项</w:t>
            </w:r>
          </w:p>
        </w:tc>
        <w:tc>
          <w:tcPr>
            <w:tcW w:w="428" w:type="dxa"/>
            <w:tcBorders>
              <w:top w:val="single" w:color="000000" w:sz="4" w:space="0"/>
              <w:left w:val="single" w:color="000000" w:sz="4" w:space="0"/>
              <w:bottom w:val="single" w:color="000000" w:sz="4" w:space="0"/>
              <w:right w:val="single" w:color="000000" w:sz="4" w:space="0"/>
            </w:tcBorders>
            <w:vAlign w:val="center"/>
          </w:tcPr>
          <w:p w14:paraId="08C374CC">
            <w:pPr>
              <w:spacing w:line="360" w:lineRule="auto"/>
              <w:rPr>
                <w:rFonts w:hint="eastAsia" w:ascii="宋体" w:hAnsi="宋体" w:cs="等线"/>
                <w:color w:val="auto"/>
                <w:szCs w:val="21"/>
                <w:highlight w:val="none"/>
              </w:rPr>
            </w:pPr>
            <w:r>
              <w:rPr>
                <w:rFonts w:hint="eastAsia" w:ascii="宋体" w:hAnsi="宋体" w:cs="等线"/>
                <w:color w:val="auto"/>
                <w:szCs w:val="21"/>
                <w:highlight w:val="none"/>
              </w:rPr>
              <w:t>软件和信息技术服务业</w:t>
            </w:r>
          </w:p>
        </w:tc>
        <w:tc>
          <w:tcPr>
            <w:tcW w:w="6573" w:type="dxa"/>
            <w:tcBorders>
              <w:top w:val="single" w:color="000000" w:sz="4" w:space="0"/>
              <w:left w:val="single" w:color="000000" w:sz="4" w:space="0"/>
              <w:bottom w:val="single" w:color="000000" w:sz="4" w:space="0"/>
              <w:right w:val="single" w:color="000000" w:sz="4" w:space="0"/>
            </w:tcBorders>
            <w:vAlign w:val="center"/>
          </w:tcPr>
          <w:p w14:paraId="4D6477D3">
            <w:pPr>
              <w:spacing w:line="360" w:lineRule="auto"/>
              <w:ind w:firstLine="420" w:firstLineChars="200"/>
              <w:rPr>
                <w:rFonts w:hint="eastAsia" w:ascii="宋体" w:hAnsi="宋体"/>
                <w:color w:val="auto"/>
                <w:szCs w:val="21"/>
                <w:highlight w:val="none"/>
              </w:rPr>
            </w:pPr>
            <w:bookmarkStart w:id="83" w:name="_Toc502765432"/>
            <w:bookmarkStart w:id="84" w:name="_Toc30161488"/>
            <w:r>
              <w:rPr>
                <w:rFonts w:hint="eastAsia" w:ascii="宋体" w:hAnsi="宋体"/>
                <w:color w:val="auto"/>
                <w:szCs w:val="21"/>
                <w:highlight w:val="none"/>
              </w:rPr>
              <w:t>投注机维保机型及数量：本项目维保机型为LT-F01型、LT-F06型和LT-MS06型电脑彩票销售终端设备（各机型主要配件参数详见附件1），维保服务数量为1项。</w:t>
            </w:r>
          </w:p>
          <w:tbl>
            <w:tblPr>
              <w:tblStyle w:val="24"/>
              <w:tblW w:w="64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46"/>
              <w:gridCol w:w="850"/>
              <w:gridCol w:w="1560"/>
              <w:gridCol w:w="850"/>
              <w:gridCol w:w="2129"/>
            </w:tblGrid>
            <w:tr w14:paraId="1DDC4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2255AF96">
                  <w:pPr>
                    <w:jc w:val="center"/>
                    <w:rPr>
                      <w:color w:val="auto"/>
                      <w:highlight w:val="none"/>
                    </w:rPr>
                  </w:pPr>
                  <w:r>
                    <w:rPr>
                      <w:rFonts w:hint="eastAsia"/>
                      <w:color w:val="auto"/>
                      <w:highlight w:val="none"/>
                    </w:rPr>
                    <w:t>投注机型号</w:t>
                  </w:r>
                </w:p>
              </w:tc>
              <w:tc>
                <w:tcPr>
                  <w:tcW w:w="850" w:type="dxa"/>
                </w:tcPr>
                <w:p w14:paraId="4C3DE528">
                  <w:pPr>
                    <w:jc w:val="center"/>
                    <w:rPr>
                      <w:color w:val="auto"/>
                      <w:highlight w:val="none"/>
                    </w:rPr>
                  </w:pPr>
                  <w:r>
                    <w:rPr>
                      <w:rFonts w:hint="eastAsia"/>
                      <w:color w:val="auto"/>
                      <w:highlight w:val="none"/>
                    </w:rPr>
                    <w:t>数量（台）</w:t>
                  </w:r>
                </w:p>
              </w:tc>
              <w:tc>
                <w:tcPr>
                  <w:tcW w:w="1560" w:type="dxa"/>
                </w:tcPr>
                <w:p w14:paraId="7D8D1D4C">
                  <w:pPr>
                    <w:jc w:val="center"/>
                    <w:rPr>
                      <w:color w:val="auto"/>
                      <w:highlight w:val="none"/>
                    </w:rPr>
                  </w:pPr>
                  <w:r>
                    <w:rPr>
                      <w:rFonts w:hint="eastAsia"/>
                      <w:color w:val="auto"/>
                      <w:highlight w:val="none"/>
                    </w:rPr>
                    <w:t>投入使用日期</w:t>
                  </w:r>
                </w:p>
              </w:tc>
              <w:tc>
                <w:tcPr>
                  <w:tcW w:w="850" w:type="dxa"/>
                </w:tcPr>
                <w:p w14:paraId="29A9F0C9">
                  <w:pPr>
                    <w:jc w:val="center"/>
                    <w:rPr>
                      <w:color w:val="auto"/>
                      <w:highlight w:val="none"/>
                    </w:rPr>
                  </w:pPr>
                  <w:r>
                    <w:rPr>
                      <w:rFonts w:hint="eastAsia"/>
                      <w:color w:val="auto"/>
                      <w:highlight w:val="none"/>
                    </w:rPr>
                    <w:t>维保期（月）</w:t>
                  </w:r>
                </w:p>
              </w:tc>
              <w:tc>
                <w:tcPr>
                  <w:tcW w:w="2129" w:type="dxa"/>
                </w:tcPr>
                <w:p w14:paraId="77871261">
                  <w:pPr>
                    <w:jc w:val="center"/>
                    <w:rPr>
                      <w:color w:val="auto"/>
                      <w:highlight w:val="none"/>
                    </w:rPr>
                  </w:pPr>
                  <w:r>
                    <w:rPr>
                      <w:rFonts w:hint="eastAsia"/>
                      <w:color w:val="auto"/>
                      <w:highlight w:val="none"/>
                    </w:rPr>
                    <w:t>服务期限</w:t>
                  </w:r>
                </w:p>
              </w:tc>
            </w:tr>
            <w:tr w14:paraId="5946B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05BDF690">
                  <w:pPr>
                    <w:jc w:val="center"/>
                    <w:rPr>
                      <w:color w:val="auto"/>
                      <w:highlight w:val="none"/>
                    </w:rPr>
                  </w:pPr>
                  <w:r>
                    <w:rPr>
                      <w:color w:val="auto"/>
                      <w:highlight w:val="none"/>
                    </w:rPr>
                    <w:t>LT-F01</w:t>
                  </w:r>
                </w:p>
              </w:tc>
              <w:tc>
                <w:tcPr>
                  <w:tcW w:w="850" w:type="dxa"/>
                </w:tcPr>
                <w:p w14:paraId="63A8AACE">
                  <w:pPr>
                    <w:jc w:val="center"/>
                    <w:rPr>
                      <w:color w:val="auto"/>
                      <w:highlight w:val="none"/>
                    </w:rPr>
                  </w:pPr>
                  <w:r>
                    <w:rPr>
                      <w:color w:val="auto"/>
                      <w:highlight w:val="none"/>
                    </w:rPr>
                    <w:t>600</w:t>
                  </w:r>
                </w:p>
              </w:tc>
              <w:tc>
                <w:tcPr>
                  <w:tcW w:w="1560" w:type="dxa"/>
                </w:tcPr>
                <w:p w14:paraId="58AD9F63">
                  <w:pPr>
                    <w:jc w:val="center"/>
                    <w:rPr>
                      <w:color w:val="auto"/>
                      <w:highlight w:val="none"/>
                    </w:rPr>
                  </w:pPr>
                  <w:r>
                    <w:rPr>
                      <w:rFonts w:hint="eastAsia"/>
                      <w:color w:val="auto"/>
                      <w:highlight w:val="none"/>
                    </w:rPr>
                    <w:t>2017年1月</w:t>
                  </w:r>
                </w:p>
              </w:tc>
              <w:tc>
                <w:tcPr>
                  <w:tcW w:w="850" w:type="dxa"/>
                </w:tcPr>
                <w:p w14:paraId="17C89127">
                  <w:pPr>
                    <w:jc w:val="center"/>
                    <w:rPr>
                      <w:color w:val="auto"/>
                      <w:highlight w:val="none"/>
                    </w:rPr>
                  </w:pPr>
                  <w:r>
                    <w:rPr>
                      <w:color w:val="auto"/>
                      <w:highlight w:val="none"/>
                    </w:rPr>
                    <w:t>9</w:t>
                  </w:r>
                </w:p>
              </w:tc>
              <w:tc>
                <w:tcPr>
                  <w:tcW w:w="2129" w:type="dxa"/>
                </w:tcPr>
                <w:p w14:paraId="04754622">
                  <w:pPr>
                    <w:jc w:val="center"/>
                    <w:rPr>
                      <w:color w:val="auto"/>
                      <w:highlight w:val="none"/>
                    </w:rPr>
                  </w:pPr>
                  <w:r>
                    <w:rPr>
                      <w:color w:val="auto"/>
                      <w:highlight w:val="none"/>
                    </w:rPr>
                    <w:t>2027/1/1-202</w:t>
                  </w:r>
                  <w:r>
                    <w:rPr>
                      <w:rFonts w:hint="eastAsia"/>
                      <w:color w:val="auto"/>
                      <w:highlight w:val="none"/>
                    </w:rPr>
                    <w:t>7</w:t>
                  </w:r>
                  <w:r>
                    <w:rPr>
                      <w:color w:val="auto"/>
                      <w:highlight w:val="none"/>
                    </w:rPr>
                    <w:t>/9/30</w:t>
                  </w:r>
                </w:p>
              </w:tc>
            </w:tr>
            <w:tr w14:paraId="0949D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3E5FA352">
                  <w:pPr>
                    <w:jc w:val="center"/>
                    <w:rPr>
                      <w:color w:val="auto"/>
                      <w:highlight w:val="none"/>
                    </w:rPr>
                  </w:pPr>
                  <w:r>
                    <w:rPr>
                      <w:color w:val="auto"/>
                      <w:highlight w:val="none"/>
                    </w:rPr>
                    <w:t>LT-F01</w:t>
                  </w:r>
                </w:p>
              </w:tc>
              <w:tc>
                <w:tcPr>
                  <w:tcW w:w="850" w:type="dxa"/>
                </w:tcPr>
                <w:p w14:paraId="76095ED2">
                  <w:pPr>
                    <w:jc w:val="center"/>
                    <w:rPr>
                      <w:color w:val="auto"/>
                      <w:highlight w:val="none"/>
                    </w:rPr>
                  </w:pPr>
                  <w:r>
                    <w:rPr>
                      <w:color w:val="auto"/>
                      <w:highlight w:val="none"/>
                    </w:rPr>
                    <w:t>200</w:t>
                  </w:r>
                </w:p>
              </w:tc>
              <w:tc>
                <w:tcPr>
                  <w:tcW w:w="1560" w:type="dxa"/>
                </w:tcPr>
                <w:p w14:paraId="60879CEB">
                  <w:pPr>
                    <w:jc w:val="center"/>
                    <w:rPr>
                      <w:color w:val="auto"/>
                      <w:highlight w:val="none"/>
                    </w:rPr>
                  </w:pPr>
                  <w:r>
                    <w:rPr>
                      <w:rFonts w:hint="eastAsia"/>
                      <w:color w:val="auto"/>
                      <w:highlight w:val="none"/>
                    </w:rPr>
                    <w:t>2017年1月</w:t>
                  </w:r>
                </w:p>
              </w:tc>
              <w:tc>
                <w:tcPr>
                  <w:tcW w:w="850" w:type="dxa"/>
                </w:tcPr>
                <w:p w14:paraId="4D9BBC4F">
                  <w:pPr>
                    <w:jc w:val="center"/>
                    <w:rPr>
                      <w:color w:val="auto"/>
                      <w:highlight w:val="none"/>
                    </w:rPr>
                  </w:pPr>
                  <w:r>
                    <w:rPr>
                      <w:color w:val="auto"/>
                      <w:highlight w:val="none"/>
                    </w:rPr>
                    <w:t>12</w:t>
                  </w:r>
                </w:p>
              </w:tc>
              <w:tc>
                <w:tcPr>
                  <w:tcW w:w="2129" w:type="dxa"/>
                </w:tcPr>
                <w:p w14:paraId="6A9413D7">
                  <w:pPr>
                    <w:jc w:val="center"/>
                    <w:rPr>
                      <w:color w:val="auto"/>
                      <w:highlight w:val="none"/>
                    </w:rPr>
                  </w:pPr>
                  <w:r>
                    <w:rPr>
                      <w:color w:val="auto"/>
                      <w:highlight w:val="none"/>
                    </w:rPr>
                    <w:t>2027/1/1-2027/12/31</w:t>
                  </w:r>
                </w:p>
              </w:tc>
            </w:tr>
            <w:tr w14:paraId="70570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59F85B38">
                  <w:pPr>
                    <w:jc w:val="center"/>
                    <w:rPr>
                      <w:color w:val="auto"/>
                      <w:highlight w:val="none"/>
                    </w:rPr>
                  </w:pPr>
                  <w:r>
                    <w:rPr>
                      <w:color w:val="auto"/>
                      <w:highlight w:val="none"/>
                    </w:rPr>
                    <w:t>LT-F06</w:t>
                  </w:r>
                </w:p>
              </w:tc>
              <w:tc>
                <w:tcPr>
                  <w:tcW w:w="850" w:type="dxa"/>
                </w:tcPr>
                <w:p w14:paraId="27D0695C">
                  <w:pPr>
                    <w:jc w:val="center"/>
                    <w:rPr>
                      <w:color w:val="auto"/>
                      <w:highlight w:val="none"/>
                    </w:rPr>
                  </w:pPr>
                  <w:r>
                    <w:rPr>
                      <w:color w:val="auto"/>
                      <w:highlight w:val="none"/>
                    </w:rPr>
                    <w:t>106</w:t>
                  </w:r>
                </w:p>
              </w:tc>
              <w:tc>
                <w:tcPr>
                  <w:tcW w:w="1560" w:type="dxa"/>
                </w:tcPr>
                <w:p w14:paraId="0166A520">
                  <w:pPr>
                    <w:jc w:val="center"/>
                    <w:rPr>
                      <w:color w:val="auto"/>
                      <w:highlight w:val="none"/>
                    </w:rPr>
                  </w:pPr>
                  <w:r>
                    <w:rPr>
                      <w:rFonts w:hint="eastAsia"/>
                      <w:color w:val="auto"/>
                      <w:highlight w:val="none"/>
                    </w:rPr>
                    <w:t>2021年6月</w:t>
                  </w:r>
                </w:p>
              </w:tc>
              <w:tc>
                <w:tcPr>
                  <w:tcW w:w="850" w:type="dxa"/>
                </w:tcPr>
                <w:p w14:paraId="59D960AA">
                  <w:pPr>
                    <w:jc w:val="center"/>
                    <w:rPr>
                      <w:color w:val="auto"/>
                      <w:highlight w:val="none"/>
                    </w:rPr>
                  </w:pPr>
                  <w:r>
                    <w:rPr>
                      <w:color w:val="auto"/>
                      <w:highlight w:val="none"/>
                    </w:rPr>
                    <w:t>12</w:t>
                  </w:r>
                </w:p>
              </w:tc>
              <w:tc>
                <w:tcPr>
                  <w:tcW w:w="2129" w:type="dxa"/>
                </w:tcPr>
                <w:p w14:paraId="035E41C3">
                  <w:pPr>
                    <w:jc w:val="center"/>
                    <w:rPr>
                      <w:color w:val="auto"/>
                      <w:highlight w:val="none"/>
                    </w:rPr>
                  </w:pPr>
                  <w:r>
                    <w:rPr>
                      <w:color w:val="auto"/>
                      <w:highlight w:val="none"/>
                    </w:rPr>
                    <w:t>2027/1/1-2027/12/31</w:t>
                  </w:r>
                </w:p>
              </w:tc>
            </w:tr>
            <w:tr w14:paraId="56882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6EBDFE8C">
                  <w:pPr>
                    <w:jc w:val="center"/>
                    <w:rPr>
                      <w:color w:val="auto"/>
                      <w:highlight w:val="none"/>
                    </w:rPr>
                  </w:pPr>
                  <w:r>
                    <w:rPr>
                      <w:color w:val="auto"/>
                      <w:highlight w:val="none"/>
                    </w:rPr>
                    <w:t>LT-F06</w:t>
                  </w:r>
                </w:p>
              </w:tc>
              <w:tc>
                <w:tcPr>
                  <w:tcW w:w="850" w:type="dxa"/>
                </w:tcPr>
                <w:p w14:paraId="09DB4530">
                  <w:pPr>
                    <w:jc w:val="center"/>
                    <w:rPr>
                      <w:color w:val="auto"/>
                      <w:highlight w:val="none"/>
                    </w:rPr>
                  </w:pPr>
                  <w:r>
                    <w:rPr>
                      <w:color w:val="auto"/>
                      <w:highlight w:val="none"/>
                    </w:rPr>
                    <w:t>800</w:t>
                  </w:r>
                </w:p>
              </w:tc>
              <w:tc>
                <w:tcPr>
                  <w:tcW w:w="1560" w:type="dxa"/>
                </w:tcPr>
                <w:p w14:paraId="3BF9ED86">
                  <w:pPr>
                    <w:jc w:val="center"/>
                    <w:rPr>
                      <w:color w:val="auto"/>
                      <w:highlight w:val="none"/>
                    </w:rPr>
                  </w:pPr>
                  <w:r>
                    <w:rPr>
                      <w:rFonts w:hint="eastAsia"/>
                      <w:color w:val="auto"/>
                      <w:highlight w:val="none"/>
                    </w:rPr>
                    <w:t>2022年6月</w:t>
                  </w:r>
                </w:p>
              </w:tc>
              <w:tc>
                <w:tcPr>
                  <w:tcW w:w="850" w:type="dxa"/>
                </w:tcPr>
                <w:p w14:paraId="7E19F229">
                  <w:pPr>
                    <w:jc w:val="center"/>
                    <w:rPr>
                      <w:color w:val="auto"/>
                      <w:highlight w:val="none"/>
                    </w:rPr>
                  </w:pPr>
                  <w:r>
                    <w:rPr>
                      <w:color w:val="auto"/>
                      <w:highlight w:val="none"/>
                    </w:rPr>
                    <w:t>12</w:t>
                  </w:r>
                </w:p>
              </w:tc>
              <w:tc>
                <w:tcPr>
                  <w:tcW w:w="2129" w:type="dxa"/>
                </w:tcPr>
                <w:p w14:paraId="446C0FD9">
                  <w:pPr>
                    <w:jc w:val="center"/>
                    <w:rPr>
                      <w:color w:val="auto"/>
                      <w:highlight w:val="none"/>
                    </w:rPr>
                  </w:pPr>
                  <w:r>
                    <w:rPr>
                      <w:color w:val="auto"/>
                      <w:highlight w:val="none"/>
                    </w:rPr>
                    <w:t>2027/1/1-2027/12/31</w:t>
                  </w:r>
                </w:p>
              </w:tc>
            </w:tr>
            <w:tr w14:paraId="3F952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653BDF47">
                  <w:pPr>
                    <w:jc w:val="center"/>
                    <w:rPr>
                      <w:color w:val="auto"/>
                      <w:highlight w:val="none"/>
                    </w:rPr>
                  </w:pPr>
                  <w:r>
                    <w:rPr>
                      <w:color w:val="auto"/>
                      <w:highlight w:val="none"/>
                    </w:rPr>
                    <w:t>LT-F06</w:t>
                  </w:r>
                </w:p>
              </w:tc>
              <w:tc>
                <w:tcPr>
                  <w:tcW w:w="850" w:type="dxa"/>
                </w:tcPr>
                <w:p w14:paraId="44F19B02">
                  <w:pPr>
                    <w:jc w:val="center"/>
                    <w:rPr>
                      <w:color w:val="auto"/>
                      <w:highlight w:val="none"/>
                    </w:rPr>
                  </w:pPr>
                  <w:r>
                    <w:rPr>
                      <w:color w:val="auto"/>
                      <w:highlight w:val="none"/>
                    </w:rPr>
                    <w:t>600</w:t>
                  </w:r>
                </w:p>
              </w:tc>
              <w:tc>
                <w:tcPr>
                  <w:tcW w:w="1560" w:type="dxa"/>
                </w:tcPr>
                <w:p w14:paraId="03D47678">
                  <w:pPr>
                    <w:jc w:val="center"/>
                    <w:rPr>
                      <w:color w:val="auto"/>
                      <w:highlight w:val="none"/>
                    </w:rPr>
                  </w:pPr>
                  <w:r>
                    <w:rPr>
                      <w:rFonts w:hint="eastAsia"/>
                      <w:color w:val="auto"/>
                      <w:highlight w:val="none"/>
                    </w:rPr>
                    <w:t>2022年12月</w:t>
                  </w:r>
                </w:p>
              </w:tc>
              <w:tc>
                <w:tcPr>
                  <w:tcW w:w="850" w:type="dxa"/>
                </w:tcPr>
                <w:p w14:paraId="08D18BCD">
                  <w:pPr>
                    <w:jc w:val="center"/>
                    <w:rPr>
                      <w:color w:val="auto"/>
                      <w:highlight w:val="none"/>
                    </w:rPr>
                  </w:pPr>
                  <w:r>
                    <w:rPr>
                      <w:color w:val="auto"/>
                      <w:highlight w:val="none"/>
                    </w:rPr>
                    <w:t>12</w:t>
                  </w:r>
                </w:p>
              </w:tc>
              <w:tc>
                <w:tcPr>
                  <w:tcW w:w="2129" w:type="dxa"/>
                </w:tcPr>
                <w:p w14:paraId="69ECDF68">
                  <w:pPr>
                    <w:jc w:val="center"/>
                    <w:rPr>
                      <w:color w:val="auto"/>
                      <w:highlight w:val="none"/>
                    </w:rPr>
                  </w:pPr>
                  <w:r>
                    <w:rPr>
                      <w:color w:val="auto"/>
                      <w:highlight w:val="none"/>
                    </w:rPr>
                    <w:t>2027/1/1-2027/12/31</w:t>
                  </w:r>
                </w:p>
              </w:tc>
            </w:tr>
            <w:tr w14:paraId="581E9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1E3FB982">
                  <w:pPr>
                    <w:jc w:val="center"/>
                    <w:rPr>
                      <w:color w:val="auto"/>
                      <w:highlight w:val="none"/>
                    </w:rPr>
                  </w:pPr>
                  <w:r>
                    <w:rPr>
                      <w:color w:val="auto"/>
                      <w:highlight w:val="none"/>
                    </w:rPr>
                    <w:t>LT-F06</w:t>
                  </w:r>
                </w:p>
              </w:tc>
              <w:tc>
                <w:tcPr>
                  <w:tcW w:w="850" w:type="dxa"/>
                </w:tcPr>
                <w:p w14:paraId="0DBC6B20">
                  <w:pPr>
                    <w:jc w:val="center"/>
                    <w:rPr>
                      <w:color w:val="auto"/>
                      <w:highlight w:val="none"/>
                    </w:rPr>
                  </w:pPr>
                  <w:r>
                    <w:rPr>
                      <w:color w:val="auto"/>
                      <w:highlight w:val="none"/>
                    </w:rPr>
                    <w:t>1100</w:t>
                  </w:r>
                </w:p>
              </w:tc>
              <w:tc>
                <w:tcPr>
                  <w:tcW w:w="1560" w:type="dxa"/>
                </w:tcPr>
                <w:p w14:paraId="10665543">
                  <w:pPr>
                    <w:jc w:val="center"/>
                    <w:rPr>
                      <w:color w:val="auto"/>
                      <w:highlight w:val="none"/>
                    </w:rPr>
                  </w:pPr>
                  <w:r>
                    <w:rPr>
                      <w:rFonts w:hint="eastAsia"/>
                      <w:color w:val="auto"/>
                      <w:highlight w:val="none"/>
                    </w:rPr>
                    <w:t>2024年1月</w:t>
                  </w:r>
                </w:p>
              </w:tc>
              <w:tc>
                <w:tcPr>
                  <w:tcW w:w="850" w:type="dxa"/>
                </w:tcPr>
                <w:p w14:paraId="40E1AC61">
                  <w:pPr>
                    <w:jc w:val="center"/>
                    <w:rPr>
                      <w:color w:val="auto"/>
                      <w:highlight w:val="none"/>
                    </w:rPr>
                  </w:pPr>
                  <w:r>
                    <w:rPr>
                      <w:color w:val="auto"/>
                      <w:highlight w:val="none"/>
                    </w:rPr>
                    <w:t>12</w:t>
                  </w:r>
                </w:p>
              </w:tc>
              <w:tc>
                <w:tcPr>
                  <w:tcW w:w="2129" w:type="dxa"/>
                </w:tcPr>
                <w:p w14:paraId="2C9ED231">
                  <w:pPr>
                    <w:jc w:val="center"/>
                    <w:rPr>
                      <w:color w:val="auto"/>
                      <w:highlight w:val="none"/>
                    </w:rPr>
                  </w:pPr>
                  <w:r>
                    <w:rPr>
                      <w:color w:val="auto"/>
                      <w:highlight w:val="none"/>
                    </w:rPr>
                    <w:t>2027/1/1-2027/12/31</w:t>
                  </w:r>
                </w:p>
              </w:tc>
            </w:tr>
            <w:tr w14:paraId="28937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65E05262">
                  <w:pPr>
                    <w:jc w:val="center"/>
                    <w:rPr>
                      <w:color w:val="auto"/>
                      <w:highlight w:val="none"/>
                    </w:rPr>
                  </w:pPr>
                  <w:r>
                    <w:rPr>
                      <w:color w:val="auto"/>
                      <w:highlight w:val="none"/>
                    </w:rPr>
                    <w:t>LT-F06</w:t>
                  </w:r>
                </w:p>
              </w:tc>
              <w:tc>
                <w:tcPr>
                  <w:tcW w:w="850" w:type="dxa"/>
                </w:tcPr>
                <w:p w14:paraId="69C5541D">
                  <w:pPr>
                    <w:jc w:val="center"/>
                    <w:rPr>
                      <w:color w:val="auto"/>
                      <w:highlight w:val="none"/>
                    </w:rPr>
                  </w:pPr>
                  <w:r>
                    <w:rPr>
                      <w:color w:val="auto"/>
                      <w:highlight w:val="none"/>
                    </w:rPr>
                    <w:t>600</w:t>
                  </w:r>
                </w:p>
              </w:tc>
              <w:tc>
                <w:tcPr>
                  <w:tcW w:w="1560" w:type="dxa"/>
                </w:tcPr>
                <w:p w14:paraId="5238C68F">
                  <w:pPr>
                    <w:jc w:val="center"/>
                    <w:rPr>
                      <w:color w:val="auto"/>
                      <w:highlight w:val="none"/>
                    </w:rPr>
                  </w:pPr>
                  <w:r>
                    <w:rPr>
                      <w:rFonts w:hint="eastAsia"/>
                      <w:color w:val="auto"/>
                      <w:highlight w:val="none"/>
                    </w:rPr>
                    <w:t>2024年10月</w:t>
                  </w:r>
                </w:p>
              </w:tc>
              <w:tc>
                <w:tcPr>
                  <w:tcW w:w="850" w:type="dxa"/>
                </w:tcPr>
                <w:p w14:paraId="6726369C">
                  <w:pPr>
                    <w:jc w:val="center"/>
                    <w:rPr>
                      <w:color w:val="auto"/>
                      <w:highlight w:val="none"/>
                    </w:rPr>
                  </w:pPr>
                  <w:r>
                    <w:rPr>
                      <w:color w:val="auto"/>
                      <w:highlight w:val="none"/>
                    </w:rPr>
                    <w:t>3</w:t>
                  </w:r>
                </w:p>
              </w:tc>
              <w:tc>
                <w:tcPr>
                  <w:tcW w:w="2129" w:type="dxa"/>
                </w:tcPr>
                <w:p w14:paraId="4009F6A2">
                  <w:pPr>
                    <w:jc w:val="center"/>
                    <w:rPr>
                      <w:color w:val="auto"/>
                      <w:highlight w:val="none"/>
                    </w:rPr>
                  </w:pPr>
                  <w:r>
                    <w:rPr>
                      <w:color w:val="auto"/>
                      <w:highlight w:val="none"/>
                    </w:rPr>
                    <w:t>2027/10/1-2027/12/31</w:t>
                  </w:r>
                </w:p>
              </w:tc>
            </w:tr>
            <w:tr w14:paraId="3BFC5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6" w:type="dxa"/>
                </w:tcPr>
                <w:p w14:paraId="25B78AC7">
                  <w:pPr>
                    <w:jc w:val="center"/>
                    <w:rPr>
                      <w:color w:val="auto"/>
                      <w:highlight w:val="none"/>
                    </w:rPr>
                  </w:pPr>
                  <w:r>
                    <w:rPr>
                      <w:color w:val="auto"/>
                      <w:highlight w:val="none"/>
                    </w:rPr>
                    <w:t>LT-MS06</w:t>
                  </w:r>
                </w:p>
              </w:tc>
              <w:tc>
                <w:tcPr>
                  <w:tcW w:w="850" w:type="dxa"/>
                </w:tcPr>
                <w:p w14:paraId="0D53BFAD">
                  <w:pPr>
                    <w:jc w:val="center"/>
                    <w:rPr>
                      <w:color w:val="auto"/>
                      <w:highlight w:val="none"/>
                    </w:rPr>
                  </w:pPr>
                  <w:r>
                    <w:rPr>
                      <w:color w:val="auto"/>
                      <w:highlight w:val="none"/>
                    </w:rPr>
                    <w:t>2300</w:t>
                  </w:r>
                </w:p>
              </w:tc>
              <w:tc>
                <w:tcPr>
                  <w:tcW w:w="1560" w:type="dxa"/>
                </w:tcPr>
                <w:p w14:paraId="60ECF8FB">
                  <w:pPr>
                    <w:jc w:val="center"/>
                    <w:rPr>
                      <w:color w:val="auto"/>
                      <w:highlight w:val="none"/>
                    </w:rPr>
                  </w:pPr>
                  <w:r>
                    <w:rPr>
                      <w:rFonts w:hint="eastAsia"/>
                      <w:color w:val="auto"/>
                      <w:highlight w:val="none"/>
                    </w:rPr>
                    <w:t>2025年9月</w:t>
                  </w:r>
                </w:p>
              </w:tc>
              <w:tc>
                <w:tcPr>
                  <w:tcW w:w="850" w:type="dxa"/>
                </w:tcPr>
                <w:p w14:paraId="7E18AAAB">
                  <w:pPr>
                    <w:jc w:val="center"/>
                    <w:rPr>
                      <w:color w:val="auto"/>
                      <w:highlight w:val="none"/>
                    </w:rPr>
                  </w:pPr>
                  <w:r>
                    <w:rPr>
                      <w:color w:val="auto"/>
                      <w:highlight w:val="none"/>
                    </w:rPr>
                    <w:t>12</w:t>
                  </w:r>
                </w:p>
              </w:tc>
              <w:tc>
                <w:tcPr>
                  <w:tcW w:w="2129" w:type="dxa"/>
                </w:tcPr>
                <w:p w14:paraId="13585B22">
                  <w:pPr>
                    <w:jc w:val="center"/>
                    <w:rPr>
                      <w:color w:val="auto"/>
                      <w:highlight w:val="none"/>
                    </w:rPr>
                  </w:pPr>
                  <w:r>
                    <w:rPr>
                      <w:color w:val="auto"/>
                      <w:highlight w:val="none"/>
                    </w:rPr>
                    <w:t>2027/1/1-2027/12/31</w:t>
                  </w:r>
                </w:p>
              </w:tc>
            </w:tr>
            <w:tr w14:paraId="5B60D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35" w:type="dxa"/>
                  <w:gridSpan w:val="5"/>
                </w:tcPr>
                <w:p w14:paraId="67593168">
                  <w:pPr>
                    <w:jc w:val="center"/>
                    <w:rPr>
                      <w:color w:val="auto"/>
                      <w:highlight w:val="none"/>
                    </w:rPr>
                  </w:pPr>
                  <w:r>
                    <w:rPr>
                      <w:rFonts w:hint="eastAsia"/>
                      <w:color w:val="auto"/>
                      <w:highlight w:val="none"/>
                    </w:rPr>
                    <w:t>具体机型相关配置情况详见附件1</w:t>
                  </w:r>
                </w:p>
              </w:tc>
            </w:tr>
          </w:tbl>
          <w:p w14:paraId="3DE7863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一、项目概况</w:t>
            </w:r>
          </w:p>
          <w:p w14:paraId="7615B03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广西福利彩票发行中心现有一批LT-F01型、LT-F06型和LT-MS06型电脑彩票销售终端设备（以下简称投注机），分布在全区各地市（含县及乡镇）。为保障投注机安全、可靠的运行，需要供应商为投注机提供技术服务，包括但不限于故障处理、软硬件日常维护和保养、软件更新升级和巡检等服务。</w:t>
            </w:r>
          </w:p>
          <w:p w14:paraId="5EB3828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二、技术维护服务要求（包括但不限于）</w:t>
            </w:r>
          </w:p>
          <w:p w14:paraId="27A3BAD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供应商须承诺在本项目签订合同后的10个工作日内在广西区内落实驻点服务场所并组建本项目技术服务团队，并在广西十四个地市（南宁市、柳州市、桂林市、梧州市、北海市、防城港市、钦州市、贵港市、玉林市、百色市、贺州市、河池市、来宾市、崇左市）每个地市至少派驻一名技术服务人员提供驻点服务。</w:t>
            </w:r>
          </w:p>
          <w:p w14:paraId="7D2112E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▲2.设备维修需要的备件，地级市城区内需要在1个小时送至具体维修站点；县区需要在</w:t>
            </w:r>
            <w:r>
              <w:rPr>
                <w:rFonts w:ascii="宋体" w:hAnsi="宋体"/>
                <w:color w:val="auto"/>
                <w:szCs w:val="21"/>
                <w:highlight w:val="none"/>
              </w:rPr>
              <w:t>4</w:t>
            </w:r>
            <w:r>
              <w:rPr>
                <w:rFonts w:hint="eastAsia" w:ascii="宋体" w:hAnsi="宋体"/>
                <w:color w:val="auto"/>
                <w:szCs w:val="21"/>
                <w:highlight w:val="none"/>
              </w:rPr>
              <w:t>个小时送至具体维修站点；乡镇、村等需要在</w:t>
            </w:r>
            <w:r>
              <w:rPr>
                <w:rFonts w:ascii="宋体" w:hAnsi="宋体"/>
                <w:color w:val="auto"/>
                <w:szCs w:val="21"/>
                <w:highlight w:val="none"/>
              </w:rPr>
              <w:t>8</w:t>
            </w:r>
            <w:r>
              <w:rPr>
                <w:rFonts w:hint="eastAsia" w:ascii="宋体" w:hAnsi="宋体"/>
                <w:color w:val="auto"/>
                <w:szCs w:val="21"/>
                <w:highlight w:val="none"/>
              </w:rPr>
              <w:t>个小时送至具体维修站点；</w:t>
            </w:r>
          </w:p>
          <w:p w14:paraId="69B1804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供应商需要建立完整的投注机技术维护管理体系，建立服务期内如发生投注机软硬件重大事故的处理预案和解决方案，能够对维保投注机和主要部件进行全程跟踪管理，了解和查询每台投注机的使用、维修情况和运行状况，提高产品的整体质量和维护效率，根据采购人各地市实际配件损耗情况动态提供充足配件，以保障投注机正常运行，每月向采购人提交一份投注机维保服务报告。</w:t>
            </w:r>
          </w:p>
          <w:p w14:paraId="5D2BCC2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4</w:t>
            </w:r>
            <w:r>
              <w:rPr>
                <w:rFonts w:hint="eastAsia" w:ascii="宋体" w:hAnsi="宋体"/>
                <w:color w:val="auto"/>
                <w:szCs w:val="21"/>
                <w:highlight w:val="none"/>
              </w:rPr>
              <w:t>.因投注机数据涉及网络安全、信息安全以及行业秘密，要求本项目的服务人员必须是供应商本单位技术人员，且不得将本项目的服务外包给第三方。</w:t>
            </w:r>
          </w:p>
          <w:p w14:paraId="74433586">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.向采购人的投注机使用者提供故障报修、技术咨询以及技术支持服务联系电话等，提供的维修、维护手段可包括电话支持、7×24小时远程系统维护、现场维修、维护等。</w:t>
            </w:r>
          </w:p>
          <w:p w14:paraId="51695B9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6</w:t>
            </w:r>
            <w:r>
              <w:rPr>
                <w:rFonts w:hint="eastAsia" w:ascii="宋体" w:hAnsi="宋体"/>
                <w:color w:val="auto"/>
                <w:szCs w:val="21"/>
                <w:highlight w:val="none"/>
              </w:rPr>
              <w:t>.派驻各地市技术服务人员负责对本项目内的投注机提供日常维护、保养、配件更换等服务。在采购人维护管理员的协助下及时处理投注站故障报修，30分钟内响应，地级市城区内在2-6小时以内恢复彩票销售，县、乡镇、村等12-24小时以内恢复彩票销售。</w:t>
            </w:r>
          </w:p>
          <w:p w14:paraId="0288B252">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.供应商的维修配（备）件应保质保量，并保证维修所使用的投注机配件为原厂配件，确保投注机终端出现故障可及时得到修复。</w:t>
            </w:r>
          </w:p>
          <w:p w14:paraId="512D9A7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8</w:t>
            </w:r>
            <w:r>
              <w:rPr>
                <w:rFonts w:hint="eastAsia" w:ascii="宋体" w:hAnsi="宋体"/>
                <w:color w:val="auto"/>
                <w:szCs w:val="21"/>
                <w:highlight w:val="none"/>
              </w:rPr>
              <w:t>.供应商维修过的投注机要能正常接入采购人现有的电脑彩票热线销售系统并实现彩票销售、兑奖、报表等功能。</w:t>
            </w:r>
          </w:p>
          <w:p w14:paraId="5D8B237E">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9</w:t>
            </w:r>
            <w:r>
              <w:rPr>
                <w:rFonts w:hint="eastAsia" w:ascii="宋体" w:hAnsi="宋体"/>
                <w:color w:val="auto"/>
                <w:szCs w:val="21"/>
                <w:highlight w:val="none"/>
              </w:rPr>
              <w:t>.对月均彩票销量达到6万元的高销量投注站，技术服务人员每半年至少上门一次对投注机进行检测和保养，对易耗件进行检修更新。</w:t>
            </w:r>
          </w:p>
          <w:p w14:paraId="7343858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10</w:t>
            </w:r>
            <w:r>
              <w:rPr>
                <w:rFonts w:hint="eastAsia" w:ascii="宋体" w:hAnsi="宋体"/>
                <w:color w:val="auto"/>
                <w:szCs w:val="21"/>
                <w:highlight w:val="none"/>
              </w:rPr>
              <w:t>.供应商提供每年一次的巡检服务，可根据实际情况，分片区、分批次进行，对投注机进行检测和保养，主动排查可能出现的隐患，对易耗件进行检修更新。巡检服务佐证材料每年提供一次。</w:t>
            </w:r>
          </w:p>
          <w:p w14:paraId="0067598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1</w:t>
            </w:r>
            <w:r>
              <w:rPr>
                <w:rFonts w:hint="eastAsia" w:ascii="宋体" w:hAnsi="宋体"/>
                <w:color w:val="auto"/>
                <w:szCs w:val="21"/>
                <w:highlight w:val="none"/>
              </w:rPr>
              <w:t>.供应商须对采购人在投注机软硬件升级、系统扩充等方面提供技术支持服务，服务费用包含在成交金额中，采购人不额外付费。</w:t>
            </w:r>
          </w:p>
          <w:p w14:paraId="17E33C4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2</w:t>
            </w:r>
            <w:r>
              <w:rPr>
                <w:rFonts w:hint="eastAsia" w:ascii="宋体" w:hAnsi="宋体"/>
                <w:color w:val="auto"/>
                <w:szCs w:val="21"/>
                <w:highlight w:val="none"/>
              </w:rPr>
              <w:t>.收集采购人以及投注站点销售人员在使用、操作或维修维护方面的意见、建议，并及时给予分析、解决。</w:t>
            </w:r>
          </w:p>
          <w:p w14:paraId="038C69A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3</w:t>
            </w:r>
            <w:r>
              <w:rPr>
                <w:rFonts w:hint="eastAsia" w:ascii="宋体" w:hAnsi="宋体"/>
                <w:color w:val="auto"/>
                <w:szCs w:val="21"/>
                <w:highlight w:val="none"/>
              </w:rPr>
              <w:t>.供应商须应采购人要求，对采购人有关员工提供投注机使用、操作、疑难故障以及维护等方面的技术培训，能达到排除常见故障、进行日常保养的要求。</w:t>
            </w:r>
          </w:p>
          <w:p w14:paraId="3CBD14A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4</w:t>
            </w:r>
            <w:r>
              <w:rPr>
                <w:rFonts w:hint="eastAsia" w:ascii="宋体" w:hAnsi="宋体"/>
                <w:color w:val="auto"/>
                <w:szCs w:val="21"/>
                <w:highlight w:val="none"/>
              </w:rPr>
              <w:t>.投注机因洪水、地震等自然灾害或人为造成的故障或损坏，供应商只负责维修，不需要承担其他费用。若采购人确认修复受损投注机，供应商应根据实际情况参照配件收费标准进行评估修复投注机所产生的费用，特殊情况通过协商确定是否收费或收取多少费用，报采购人审核后确认。</w:t>
            </w:r>
          </w:p>
          <w:p w14:paraId="637ED2E6">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15.</w:t>
            </w:r>
            <w:r>
              <w:rPr>
                <w:rFonts w:hint="eastAsia" w:ascii="宋体" w:hAnsi="宋体"/>
                <w:color w:val="auto"/>
                <w:szCs w:val="21"/>
                <w:highlight w:val="none"/>
              </w:rPr>
              <w:t>供应商为本项目投入的所有服务人员接受采购人的管理，负责本地市范围内投注机维修、日常维护、配件管理、安装指导服务等，在服务过程中不得随意更换，更换前须经采购人同意认可，且包含项目经理、技术经理各1名。</w:t>
            </w:r>
          </w:p>
          <w:bookmarkEnd w:id="83"/>
          <w:bookmarkEnd w:id="84"/>
          <w:p w14:paraId="6F879C8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6</w:t>
            </w:r>
            <w:r>
              <w:rPr>
                <w:rFonts w:hint="eastAsia" w:ascii="宋体" w:hAnsi="宋体"/>
                <w:color w:val="auto"/>
                <w:szCs w:val="21"/>
                <w:highlight w:val="none"/>
              </w:rPr>
              <w:t>.因供应商技术人员误操作造成重大事故、蓄意破坏信息系统设施、发布非法信息或造成泄密事件的，一经查证，则视作供应商严重违约，按照</w:t>
            </w:r>
            <w:r>
              <w:rPr>
                <w:rFonts w:hint="eastAsia" w:ascii="宋体" w:hAnsi="宋体"/>
                <w:color w:val="auto"/>
                <w:highlight w:val="none"/>
              </w:rPr>
              <w:t>相关法律法规</w:t>
            </w:r>
            <w:r>
              <w:rPr>
                <w:rFonts w:hint="eastAsia" w:ascii="宋体" w:hAnsi="宋体"/>
                <w:color w:val="auto"/>
                <w:szCs w:val="21"/>
                <w:highlight w:val="none"/>
              </w:rPr>
              <w:t>规定处理。</w:t>
            </w:r>
          </w:p>
        </w:tc>
      </w:tr>
      <w:tr w14:paraId="4B7B914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83" w:hRule="atLeast"/>
          <w:jc w:val="center"/>
        </w:trPr>
        <w:tc>
          <w:tcPr>
            <w:tcW w:w="8528" w:type="dxa"/>
            <w:gridSpan w:val="5"/>
            <w:tcBorders>
              <w:top w:val="single" w:color="000000" w:sz="4" w:space="0"/>
              <w:left w:val="single" w:color="000000" w:sz="4" w:space="0"/>
              <w:bottom w:val="single" w:color="000000" w:sz="4" w:space="0"/>
              <w:right w:val="single" w:color="000000" w:sz="4" w:space="0"/>
            </w:tcBorders>
            <w:vAlign w:val="center"/>
          </w:tcPr>
          <w:p w14:paraId="57C3C778">
            <w:pPr>
              <w:spacing w:line="360" w:lineRule="auto"/>
              <w:rPr>
                <w:rFonts w:hint="eastAsia" w:ascii="宋体" w:hAnsi="宋体" w:cs="等线"/>
                <w:color w:val="auto"/>
                <w:szCs w:val="21"/>
                <w:highlight w:val="none"/>
              </w:rPr>
            </w:pPr>
            <w:r>
              <w:rPr>
                <w:rFonts w:hint="eastAsia" w:ascii="宋体" w:hAnsi="宋体" w:cs="等线"/>
                <w:color w:val="auto"/>
                <w:szCs w:val="21"/>
                <w:highlight w:val="none"/>
              </w:rPr>
              <w:t>一、商务条款</w:t>
            </w:r>
          </w:p>
        </w:tc>
      </w:tr>
      <w:tr w14:paraId="5E81A30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7551AB54">
            <w:pPr>
              <w:spacing w:line="360" w:lineRule="auto"/>
              <w:jc w:val="center"/>
              <w:rPr>
                <w:rFonts w:hint="eastAsia" w:ascii="宋体" w:hAnsi="宋体" w:cs="等线"/>
                <w:color w:val="auto"/>
                <w:szCs w:val="21"/>
                <w:highlight w:val="none"/>
              </w:rPr>
            </w:pPr>
            <w:bookmarkStart w:id="85" w:name="OLE_LINK2"/>
            <w:bookmarkStart w:id="86" w:name="_Hlk224665442"/>
            <w:bookmarkStart w:id="87" w:name="OLE_LINK3"/>
            <w:r>
              <w:rPr>
                <w:rFonts w:hint="eastAsia" w:ascii="宋体" w:hAnsi="宋体"/>
                <w:color w:val="auto"/>
                <w:szCs w:val="21"/>
                <w:highlight w:val="none"/>
              </w:rPr>
              <w:t>▲合同签订时间</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5926ADB3">
            <w:pPr>
              <w:spacing w:line="360" w:lineRule="auto"/>
              <w:ind w:firstLine="420" w:firstLineChars="200"/>
              <w:rPr>
                <w:rFonts w:hint="eastAsia" w:ascii="宋体" w:hAnsi="宋体" w:cs="等线"/>
                <w:color w:val="auto"/>
                <w:szCs w:val="21"/>
                <w:highlight w:val="none"/>
              </w:rPr>
            </w:pPr>
            <w:r>
              <w:rPr>
                <w:rFonts w:hint="eastAsia" w:ascii="宋体" w:hAnsi="宋体" w:cs="宋体"/>
                <w:color w:val="auto"/>
                <w:szCs w:val="21"/>
                <w:highlight w:val="none"/>
                <w:lang w:val="zh-CN"/>
              </w:rPr>
              <w:t>自成交通知书发出之日起 25 个日历日内。</w:t>
            </w:r>
          </w:p>
        </w:tc>
      </w:tr>
      <w:tr w14:paraId="2E58AA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7E3BD00A">
            <w:pPr>
              <w:spacing w:line="360" w:lineRule="auto"/>
              <w:jc w:val="center"/>
              <w:rPr>
                <w:rFonts w:hint="eastAsia" w:ascii="宋体" w:hAnsi="宋体" w:cs="等线"/>
                <w:color w:val="auto"/>
                <w:szCs w:val="21"/>
                <w:highlight w:val="none"/>
              </w:rPr>
            </w:pPr>
            <w:r>
              <w:rPr>
                <w:rFonts w:hint="eastAsia" w:ascii="宋体" w:hAnsi="宋体"/>
                <w:color w:val="auto"/>
                <w:szCs w:val="21"/>
                <w:highlight w:val="none"/>
              </w:rPr>
              <w:t>▲合同履行期限及地点</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57A9027F">
            <w:pPr>
              <w:tabs>
                <w:tab w:val="left" w:pos="312"/>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1.服务时间：2027年1月1日至2027年12月31日。</w:t>
            </w:r>
          </w:p>
          <w:p w14:paraId="09D1AD83">
            <w:pPr>
              <w:tabs>
                <w:tab w:val="left" w:pos="312"/>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2.服务地点：广西壮族自治区内采购人指定地点（全区14个地市，含县及乡镇）。</w:t>
            </w:r>
          </w:p>
        </w:tc>
      </w:tr>
      <w:bookmarkEnd w:id="85"/>
      <w:bookmarkEnd w:id="86"/>
      <w:bookmarkEnd w:id="87"/>
      <w:tr w14:paraId="0793169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59726094">
            <w:pPr>
              <w:spacing w:line="360" w:lineRule="auto"/>
              <w:jc w:val="center"/>
              <w:rPr>
                <w:rFonts w:hint="eastAsia" w:ascii="宋体" w:hAnsi="宋体" w:cs="等线"/>
                <w:color w:val="auto"/>
                <w:szCs w:val="21"/>
                <w:highlight w:val="none"/>
              </w:rPr>
            </w:pPr>
            <w:r>
              <w:rPr>
                <w:rFonts w:hint="eastAsia" w:ascii="宋体" w:hAnsi="宋体"/>
                <w:color w:val="auto"/>
                <w:szCs w:val="21"/>
                <w:highlight w:val="none"/>
              </w:rPr>
              <w:t>▲付款方式</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13EFE6EF">
            <w:pPr>
              <w:tabs>
                <w:tab w:val="left" w:pos="312"/>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1.第一期：合同签订后的10个工作日内，采购人以转账的方式支付成交供应商不超过合同金额40%的预付款</w:t>
            </w:r>
            <w:bookmarkStart w:id="88" w:name="_Hlk242955380"/>
            <w:r>
              <w:rPr>
                <w:rFonts w:hint="eastAsia" w:ascii="宋体" w:hAnsi="宋体"/>
                <w:color w:val="auto"/>
                <w:szCs w:val="21"/>
                <w:highlight w:val="none"/>
              </w:rPr>
              <w:t>（视成交金额及采购人能够支付的金额而定）</w:t>
            </w:r>
            <w:bookmarkEnd w:id="88"/>
            <w:r>
              <w:rPr>
                <w:rFonts w:hint="eastAsia" w:ascii="宋体" w:hAnsi="宋体"/>
                <w:color w:val="auto"/>
                <w:szCs w:val="21"/>
                <w:highlight w:val="none"/>
              </w:rPr>
              <w:t>。</w:t>
            </w:r>
          </w:p>
          <w:p w14:paraId="0E5A1B8F">
            <w:pPr>
              <w:tabs>
                <w:tab w:val="left" w:pos="312"/>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2.第二期：2027年服务期满8个月时，采购人支付到合同金额的85%。</w:t>
            </w:r>
          </w:p>
          <w:p w14:paraId="31E007CE">
            <w:pPr>
              <w:tabs>
                <w:tab w:val="left" w:pos="312"/>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3.第三期：2028年服务期满经终验合格后，支付剩余的15%。</w:t>
            </w:r>
          </w:p>
          <w:p w14:paraId="7A982EEB">
            <w:pPr>
              <w:tabs>
                <w:tab w:val="left" w:pos="312"/>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4.若服务期间因服务考核发生扣减服务费的，支付扣减后剩余部分，特殊情况可按月支付，具体由双方在合同中约定。</w:t>
            </w:r>
          </w:p>
          <w:p w14:paraId="3B4CD958">
            <w:pPr>
              <w:tabs>
                <w:tab w:val="left" w:pos="312"/>
              </w:tabs>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5.成交供应商应在每次收到合同款后5个工作日内开具等额有效合法发票给采购人，否则采购人有权拒绝付款，且不承担逾期付款的违约责任，因此产生的一切不利后果由成交供应商承担。</w:t>
            </w:r>
          </w:p>
        </w:tc>
      </w:tr>
      <w:tr w14:paraId="30D73CE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020CCDB0">
            <w:pPr>
              <w:spacing w:line="360" w:lineRule="auto"/>
              <w:jc w:val="center"/>
              <w:rPr>
                <w:rFonts w:hint="eastAsia" w:ascii="宋体" w:hAnsi="宋体" w:cs="等线"/>
                <w:color w:val="auto"/>
                <w:szCs w:val="21"/>
                <w:highlight w:val="none"/>
              </w:rPr>
            </w:pPr>
            <w:r>
              <w:rPr>
                <w:rFonts w:hint="eastAsia" w:ascii="宋体" w:hAnsi="宋体"/>
                <w:color w:val="auto"/>
                <w:szCs w:val="21"/>
                <w:highlight w:val="none"/>
              </w:rPr>
              <w:t>▲履约保证金</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403B8A9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本项目不收取履约保证金。</w:t>
            </w:r>
          </w:p>
        </w:tc>
      </w:tr>
      <w:tr w14:paraId="36800A4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39BC37BA">
            <w:pPr>
              <w:spacing w:line="360" w:lineRule="auto"/>
              <w:jc w:val="center"/>
              <w:rPr>
                <w:rFonts w:hint="eastAsia" w:ascii="宋体" w:hAnsi="宋体"/>
                <w:color w:val="auto"/>
                <w:szCs w:val="21"/>
                <w:highlight w:val="none"/>
              </w:rPr>
            </w:pPr>
            <w:r>
              <w:rPr>
                <w:rFonts w:hint="eastAsia" w:ascii="宋体" w:hAnsi="宋体"/>
                <w:color w:val="auto"/>
                <w:szCs w:val="21"/>
                <w:highlight w:val="none"/>
              </w:rPr>
              <w:t>▲服务考核</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04B2BD1B">
            <w:pPr>
              <w:spacing w:line="360" w:lineRule="auto"/>
              <w:ind w:firstLine="420" w:firstLineChars="200"/>
              <w:rPr>
                <w:rFonts w:hint="eastAsia" w:ascii="宋体" w:hAnsi="宋体"/>
                <w:color w:val="auto"/>
                <w:szCs w:val="21"/>
                <w:highlight w:val="none"/>
              </w:rPr>
            </w:pPr>
            <w:bookmarkStart w:id="89" w:name="_Hlk242955480"/>
            <w:r>
              <w:rPr>
                <w:rFonts w:hint="eastAsia" w:ascii="宋体" w:hAnsi="宋体"/>
                <w:color w:val="auto"/>
                <w:szCs w:val="21"/>
                <w:highlight w:val="none"/>
              </w:rPr>
              <w:t>1.采购人各管理处负责对成交供应商在管理处辖区内的服务情况进行考核（具体考核内容见附件2），每三个月考核一次，考核分数取平均分。</w:t>
            </w:r>
          </w:p>
          <w:p w14:paraId="580D62D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2.考核分数在90分（含）以上的，全额支付维保服务费；81分至90分的扣减服务费</w:t>
            </w:r>
            <w:r>
              <w:rPr>
                <w:rFonts w:ascii="宋体" w:hAnsi="宋体"/>
                <w:color w:val="auto"/>
                <w:szCs w:val="21"/>
                <w:highlight w:val="none"/>
              </w:rPr>
              <w:t>2</w:t>
            </w:r>
            <w:r>
              <w:rPr>
                <w:rFonts w:hint="eastAsia" w:ascii="宋体" w:hAnsi="宋体"/>
                <w:color w:val="auto"/>
                <w:szCs w:val="21"/>
                <w:highlight w:val="none"/>
              </w:rPr>
              <w:t>万元；71分至80分的扣减服务费</w:t>
            </w:r>
            <w:r>
              <w:rPr>
                <w:rFonts w:ascii="宋体" w:hAnsi="宋体"/>
                <w:color w:val="auto"/>
                <w:szCs w:val="21"/>
                <w:highlight w:val="none"/>
              </w:rPr>
              <w:t>5</w:t>
            </w:r>
            <w:r>
              <w:rPr>
                <w:rFonts w:hint="eastAsia" w:ascii="宋体" w:hAnsi="宋体"/>
                <w:color w:val="auto"/>
                <w:szCs w:val="21"/>
                <w:highlight w:val="none"/>
              </w:rPr>
              <w:t>万元；61分至70分的扣减服务费</w:t>
            </w:r>
            <w:r>
              <w:rPr>
                <w:rFonts w:ascii="宋体" w:hAnsi="宋体"/>
                <w:color w:val="auto"/>
                <w:szCs w:val="21"/>
                <w:highlight w:val="none"/>
              </w:rPr>
              <w:t>8</w:t>
            </w:r>
            <w:r>
              <w:rPr>
                <w:rFonts w:hint="eastAsia" w:ascii="宋体" w:hAnsi="宋体"/>
                <w:color w:val="auto"/>
                <w:szCs w:val="21"/>
                <w:highlight w:val="none"/>
              </w:rPr>
              <w:t>万元；60分（含）以下的，扣减服务费</w:t>
            </w:r>
            <w:r>
              <w:rPr>
                <w:rFonts w:ascii="宋体" w:hAnsi="宋体"/>
                <w:color w:val="auto"/>
                <w:szCs w:val="21"/>
                <w:highlight w:val="none"/>
              </w:rPr>
              <w:t>15</w:t>
            </w:r>
            <w:r>
              <w:rPr>
                <w:rFonts w:hint="eastAsia" w:ascii="宋体" w:hAnsi="宋体"/>
                <w:color w:val="auto"/>
                <w:szCs w:val="21"/>
                <w:highlight w:val="none"/>
              </w:rPr>
              <w:t>万元。</w:t>
            </w:r>
          </w:p>
          <w:p w14:paraId="27BC212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3.如发生服务费被扣减，在当期或末期服务费中予以扣减。</w:t>
            </w:r>
            <w:bookmarkEnd w:id="89"/>
          </w:p>
        </w:tc>
      </w:tr>
      <w:tr w14:paraId="38B7C96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09FE675D">
            <w:pPr>
              <w:spacing w:line="360" w:lineRule="auto"/>
              <w:jc w:val="center"/>
              <w:rPr>
                <w:rFonts w:hint="eastAsia" w:ascii="宋体" w:hAnsi="宋体"/>
                <w:color w:val="auto"/>
                <w:szCs w:val="21"/>
                <w:highlight w:val="none"/>
              </w:rPr>
            </w:pPr>
            <w:r>
              <w:rPr>
                <w:rFonts w:hint="eastAsia" w:ascii="宋体" w:hAnsi="宋体"/>
                <w:color w:val="auto"/>
                <w:szCs w:val="21"/>
                <w:highlight w:val="none"/>
              </w:rPr>
              <w:t>▲验收要求</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7FD0089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1.验收主体：采购人，采购人可根据项目实际情况邀请其他供应商或者专家参与验收，相关费用由成交供应商承担。</w:t>
            </w:r>
          </w:p>
          <w:p w14:paraId="00CCC6F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2.验收依据：竞争性磋商文件（含采购需求及附件2考核评分表）、成交供应商的响应文件、双方签订的合同，以及《广西壮族自治区政府采购项目履约验收管理办法》等规定。</w:t>
            </w:r>
          </w:p>
          <w:p w14:paraId="4AF8CB5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验收方式与时间：（1）过程考核：采购人每三个月按附件2《彩票终端机维保服务考核评分表》对成交供应商服务情况进行一次考核，考核结果作为阶段验收及付款扣减依据；（2）期满终验：服务期届满后，成交供应商书面通知采购人组织终验，采购人在收到通知后七个工作日内组织验收，对全年故障处理、配件供应、巡检、培训、升级支持等服务内容逐项核验。</w:t>
            </w:r>
          </w:p>
          <w:p w14:paraId="267F95E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验收标准：季度考核平均分90分（含）以上，且终验时磋商文件、响应文件及合同约定的各项服务内容均已履行完毕的，验收合格；验收不合格的，按商务要求服务考核条款及合同违约条款处理，整改合格前采购人可暂缓付款。</w:t>
            </w:r>
          </w:p>
        </w:tc>
      </w:tr>
      <w:tr w14:paraId="6C99462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1DC35634">
            <w:pPr>
              <w:spacing w:line="360" w:lineRule="auto"/>
              <w:jc w:val="center"/>
              <w:rPr>
                <w:rFonts w:hint="eastAsia" w:ascii="宋体" w:hAnsi="宋体"/>
                <w:color w:val="auto"/>
                <w:szCs w:val="21"/>
                <w:highlight w:val="none"/>
              </w:rPr>
            </w:pPr>
            <w:r>
              <w:rPr>
                <w:rFonts w:hint="eastAsia" w:ascii="宋体" w:hAnsi="宋体"/>
                <w:color w:val="auto"/>
                <w:szCs w:val="21"/>
                <w:highlight w:val="none"/>
              </w:rPr>
              <w:t>▲报价要求</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69CEBE2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磋商报价为人民币报价，包含完成本项目投注机正常运行所需的所有费用（含人员派驻费用、备件仓库设立及配件供应费用、差旅费、培训费、税金、验收费用等），合同履行过程中，采购人不再支付合同以外的其他费用。</w:t>
            </w:r>
          </w:p>
          <w:p w14:paraId="40F3C60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2.本项目采购预算金额为299万元，为最高限价，供应商的竞标报价（含首次报价、最后报价）超出采购预算金额或最高限价的，其响应文件按无效响应处理。</w:t>
            </w:r>
          </w:p>
          <w:p w14:paraId="6301DE4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3.本项目为固定总价包干，服务期内不作调整。</w:t>
            </w:r>
          </w:p>
        </w:tc>
      </w:tr>
      <w:tr w14:paraId="4F25179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8528" w:type="dxa"/>
            <w:gridSpan w:val="5"/>
            <w:tcBorders>
              <w:top w:val="single" w:color="000000" w:sz="4" w:space="0"/>
              <w:left w:val="single" w:color="000000" w:sz="4" w:space="0"/>
              <w:bottom w:val="single" w:color="000000" w:sz="4" w:space="0"/>
              <w:right w:val="single" w:color="000000" w:sz="4" w:space="0"/>
            </w:tcBorders>
          </w:tcPr>
          <w:p w14:paraId="538FA5C8">
            <w:pPr>
              <w:spacing w:line="360" w:lineRule="auto"/>
              <w:ind w:firstLine="422" w:firstLineChars="200"/>
              <w:rPr>
                <w:rFonts w:hint="eastAsia" w:ascii="宋体" w:hAnsi="宋体" w:cs="等线"/>
                <w:color w:val="auto"/>
                <w:szCs w:val="21"/>
                <w:highlight w:val="none"/>
              </w:rPr>
            </w:pPr>
            <w:r>
              <w:rPr>
                <w:rFonts w:hint="eastAsia" w:ascii="宋体" w:hAnsi="宋体"/>
                <w:b/>
                <w:color w:val="auto"/>
                <w:szCs w:val="21"/>
                <w:highlight w:val="none"/>
              </w:rPr>
              <w:t>二、采购人对项目的特殊要求及说明</w:t>
            </w:r>
          </w:p>
        </w:tc>
      </w:tr>
      <w:tr w14:paraId="0F4EB49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8528" w:type="dxa"/>
            <w:gridSpan w:val="5"/>
            <w:tcBorders>
              <w:top w:val="single" w:color="000000" w:sz="4" w:space="0"/>
              <w:left w:val="single" w:color="000000" w:sz="4" w:space="0"/>
              <w:bottom w:val="single" w:color="000000" w:sz="4" w:space="0"/>
              <w:right w:val="single" w:color="000000" w:sz="4" w:space="0"/>
            </w:tcBorders>
          </w:tcPr>
          <w:p w14:paraId="1A7ED946">
            <w:pPr>
              <w:spacing w:line="360" w:lineRule="auto"/>
              <w:ind w:firstLine="420" w:firstLineChars="200"/>
              <w:rPr>
                <w:rFonts w:hint="eastAsia" w:ascii="宋体" w:hAnsi="宋体" w:cs="等线"/>
                <w:color w:val="auto"/>
                <w:szCs w:val="21"/>
                <w:highlight w:val="none"/>
              </w:rPr>
            </w:pPr>
            <w:r>
              <w:rPr>
                <w:rFonts w:hint="eastAsia"/>
                <w:color w:val="auto"/>
                <w:highlight w:val="none"/>
              </w:rPr>
              <w:t>供应商可根据自身情况编制项目理解与需求分析、维保服务总体方案、配件供应及仓储保障方案、应急处理预案、服务团队配置及管理制度等方案文件，并提供业绩、项目人员配备、体系认证等证明材料</w:t>
            </w:r>
            <w:r>
              <w:rPr>
                <w:rFonts w:hint="eastAsia" w:ascii="宋体" w:hAnsi="宋体"/>
                <w:color w:val="auto"/>
                <w:szCs w:val="21"/>
                <w:highlight w:val="none"/>
              </w:rPr>
              <w:t>。</w:t>
            </w:r>
          </w:p>
        </w:tc>
      </w:tr>
      <w:tr w14:paraId="5971BED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8528" w:type="dxa"/>
            <w:gridSpan w:val="5"/>
            <w:tcBorders>
              <w:top w:val="single" w:color="000000" w:sz="4" w:space="0"/>
              <w:left w:val="single" w:color="000000" w:sz="4" w:space="0"/>
              <w:bottom w:val="single" w:color="000000" w:sz="4" w:space="0"/>
              <w:right w:val="single" w:color="000000" w:sz="4" w:space="0"/>
            </w:tcBorders>
            <w:vAlign w:val="center"/>
          </w:tcPr>
          <w:p w14:paraId="35DC1F8A">
            <w:pPr>
              <w:spacing w:line="360" w:lineRule="auto"/>
              <w:ind w:firstLine="422" w:firstLineChars="200"/>
              <w:rPr>
                <w:rFonts w:hint="eastAsia" w:ascii="宋体" w:hAnsi="宋体" w:cs="等线"/>
                <w:color w:val="auto"/>
                <w:szCs w:val="21"/>
                <w:highlight w:val="none"/>
              </w:rPr>
            </w:pPr>
            <w:r>
              <w:rPr>
                <w:rFonts w:hint="eastAsia" w:ascii="宋体" w:hAnsi="宋体"/>
                <w:b/>
                <w:bCs/>
                <w:color w:val="auto"/>
                <w:szCs w:val="21"/>
                <w:highlight w:val="none"/>
              </w:rPr>
              <w:t>三、供应商的履约能力要求表</w:t>
            </w:r>
          </w:p>
        </w:tc>
      </w:tr>
      <w:tr w14:paraId="7BB2553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5D77EBC2">
            <w:pPr>
              <w:spacing w:line="360" w:lineRule="auto"/>
              <w:jc w:val="center"/>
              <w:rPr>
                <w:rFonts w:hint="eastAsia" w:ascii="宋体" w:hAnsi="宋体" w:cs="等线"/>
                <w:color w:val="auto"/>
                <w:szCs w:val="21"/>
                <w:highlight w:val="none"/>
              </w:rPr>
            </w:pPr>
            <w:r>
              <w:rPr>
                <w:rFonts w:hint="eastAsia" w:ascii="宋体" w:hAnsi="宋体"/>
                <w:b/>
                <w:color w:val="auto"/>
                <w:szCs w:val="21"/>
                <w:highlight w:val="none"/>
              </w:rPr>
              <w:t>质量管理、企业信用要求</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5C9C57D4">
            <w:pPr>
              <w:spacing w:line="360" w:lineRule="auto"/>
              <w:ind w:firstLine="396" w:firstLineChars="200"/>
              <w:rPr>
                <w:rFonts w:hint="eastAsia" w:ascii="宋体" w:hAnsi="宋体" w:cs="等线"/>
                <w:color w:val="auto"/>
                <w:szCs w:val="21"/>
                <w:highlight w:val="none"/>
              </w:rPr>
            </w:pPr>
            <w:r>
              <w:rPr>
                <w:rFonts w:hint="eastAsia" w:ascii="宋体" w:hAnsi="宋体"/>
                <w:color w:val="auto"/>
                <w:spacing w:val="-6"/>
                <w:szCs w:val="21"/>
                <w:highlight w:val="none"/>
              </w:rPr>
              <w:t>见竞争性磋商文件第四章“评审程序、评审方法和评审标准”。</w:t>
            </w:r>
          </w:p>
        </w:tc>
      </w:tr>
      <w:tr w14:paraId="037BA0B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26849037">
            <w:pPr>
              <w:spacing w:line="360" w:lineRule="auto"/>
              <w:jc w:val="center"/>
              <w:rPr>
                <w:rFonts w:hint="eastAsia" w:ascii="宋体" w:hAnsi="宋体" w:cs="等线"/>
                <w:color w:val="auto"/>
                <w:szCs w:val="21"/>
                <w:highlight w:val="none"/>
              </w:rPr>
            </w:pPr>
            <w:r>
              <w:rPr>
                <w:rFonts w:hint="eastAsia" w:ascii="宋体" w:hAnsi="宋体"/>
                <w:b/>
                <w:color w:val="auto"/>
                <w:szCs w:val="21"/>
                <w:highlight w:val="none"/>
              </w:rPr>
              <w:t>能力或业绩要求</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469D4E0B">
            <w:pPr>
              <w:spacing w:line="360" w:lineRule="auto"/>
              <w:ind w:firstLine="396" w:firstLineChars="200"/>
              <w:rPr>
                <w:rFonts w:hint="eastAsia" w:ascii="宋体" w:hAnsi="宋体" w:cs="等线"/>
                <w:color w:val="auto"/>
                <w:szCs w:val="21"/>
                <w:highlight w:val="none"/>
              </w:rPr>
            </w:pPr>
            <w:r>
              <w:rPr>
                <w:rFonts w:hint="eastAsia" w:ascii="宋体" w:hAnsi="宋体"/>
                <w:color w:val="auto"/>
                <w:spacing w:val="-6"/>
                <w:szCs w:val="21"/>
                <w:highlight w:val="none"/>
              </w:rPr>
              <w:t>见竞争性磋商文件第四章“评审程序、评审方法和评审标准”。</w:t>
            </w:r>
          </w:p>
        </w:tc>
      </w:tr>
      <w:tr w14:paraId="38D0FA2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5E20D05E">
            <w:pPr>
              <w:spacing w:line="360" w:lineRule="auto"/>
              <w:jc w:val="center"/>
              <w:rPr>
                <w:rFonts w:hint="eastAsia" w:ascii="宋体" w:hAnsi="宋体" w:cs="等线"/>
                <w:color w:val="auto"/>
                <w:szCs w:val="21"/>
                <w:highlight w:val="none"/>
              </w:rPr>
            </w:pPr>
            <w:r>
              <w:rPr>
                <w:rFonts w:hint="eastAsia" w:ascii="宋体" w:hAnsi="宋体"/>
                <w:b/>
                <w:color w:val="auto"/>
                <w:szCs w:val="21"/>
                <w:highlight w:val="none"/>
              </w:rPr>
              <w:t>供应商能力</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2BE68CF4">
            <w:pPr>
              <w:spacing w:line="360" w:lineRule="auto"/>
              <w:ind w:firstLine="396" w:firstLineChars="200"/>
              <w:rPr>
                <w:rFonts w:hint="eastAsia" w:ascii="宋体" w:hAnsi="宋体" w:cs="等线"/>
                <w:color w:val="auto"/>
                <w:szCs w:val="21"/>
                <w:highlight w:val="none"/>
              </w:rPr>
            </w:pPr>
            <w:r>
              <w:rPr>
                <w:rFonts w:hint="eastAsia" w:ascii="宋体" w:hAnsi="宋体"/>
                <w:color w:val="auto"/>
                <w:spacing w:val="-6"/>
                <w:szCs w:val="21"/>
                <w:highlight w:val="none"/>
              </w:rPr>
              <w:t>见竞争性磋商文件第四章“评审程序、评审方法和评审标准”。</w:t>
            </w:r>
          </w:p>
        </w:tc>
      </w:tr>
      <w:tr w14:paraId="4418643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6EA5629A">
            <w:pPr>
              <w:spacing w:line="360" w:lineRule="auto"/>
              <w:jc w:val="center"/>
              <w:rPr>
                <w:rFonts w:hint="eastAsia" w:ascii="宋体" w:hAnsi="宋体" w:cs="等线"/>
                <w:color w:val="auto"/>
                <w:szCs w:val="21"/>
                <w:highlight w:val="none"/>
              </w:rPr>
            </w:pPr>
            <w:r>
              <w:rPr>
                <w:rFonts w:hint="eastAsia" w:ascii="宋体" w:hAnsi="宋体"/>
                <w:b/>
                <w:color w:val="auto"/>
                <w:szCs w:val="21"/>
                <w:highlight w:val="none"/>
              </w:rPr>
              <w:t>方案编制</w:t>
            </w:r>
          </w:p>
        </w:tc>
        <w:tc>
          <w:tcPr>
            <w:tcW w:w="7427" w:type="dxa"/>
            <w:gridSpan w:val="3"/>
            <w:tcBorders>
              <w:top w:val="single" w:color="000000" w:sz="4" w:space="0"/>
              <w:left w:val="single" w:color="000000" w:sz="4" w:space="0"/>
              <w:bottom w:val="single" w:color="000000" w:sz="4" w:space="0"/>
              <w:right w:val="single" w:color="000000" w:sz="4" w:space="0"/>
            </w:tcBorders>
            <w:vAlign w:val="center"/>
          </w:tcPr>
          <w:p w14:paraId="59C4969E">
            <w:pPr>
              <w:spacing w:line="360" w:lineRule="auto"/>
              <w:ind w:firstLine="396" w:firstLineChars="200"/>
              <w:rPr>
                <w:rFonts w:hint="eastAsia" w:ascii="宋体" w:hAnsi="宋体" w:cs="等线"/>
                <w:color w:val="auto"/>
                <w:szCs w:val="21"/>
                <w:highlight w:val="none"/>
              </w:rPr>
            </w:pPr>
            <w:r>
              <w:rPr>
                <w:rFonts w:hint="eastAsia" w:ascii="宋体" w:hAnsi="宋体"/>
                <w:color w:val="auto"/>
                <w:spacing w:val="-6"/>
                <w:szCs w:val="21"/>
                <w:highlight w:val="none"/>
              </w:rPr>
              <w:t>供应商应结合本项目的实际情况编写维保服务方案（格式自拟）。</w:t>
            </w:r>
          </w:p>
        </w:tc>
      </w:tr>
      <w:tr w14:paraId="76C9232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8528" w:type="dxa"/>
            <w:gridSpan w:val="5"/>
            <w:tcBorders>
              <w:top w:val="single" w:color="000000" w:sz="4" w:space="0"/>
              <w:left w:val="single" w:color="000000" w:sz="4" w:space="0"/>
              <w:bottom w:val="single" w:color="000000" w:sz="4" w:space="0"/>
              <w:right w:val="single" w:color="000000" w:sz="4" w:space="0"/>
            </w:tcBorders>
            <w:vAlign w:val="center"/>
          </w:tcPr>
          <w:p w14:paraId="6FD254E9">
            <w:pPr>
              <w:spacing w:line="360" w:lineRule="auto"/>
              <w:ind w:firstLine="422" w:firstLineChars="200"/>
              <w:rPr>
                <w:rFonts w:hint="eastAsia" w:ascii="宋体" w:hAnsi="宋体" w:cs="等线"/>
                <w:color w:val="auto"/>
                <w:szCs w:val="21"/>
                <w:highlight w:val="none"/>
              </w:rPr>
            </w:pPr>
            <w:r>
              <w:rPr>
                <w:rFonts w:hint="eastAsia" w:ascii="宋体" w:hAnsi="宋体"/>
                <w:b/>
                <w:bCs/>
                <w:color w:val="auto"/>
                <w:szCs w:val="21"/>
                <w:highlight w:val="none"/>
              </w:rPr>
              <w:t>四、政策性加分条件</w:t>
            </w:r>
          </w:p>
        </w:tc>
      </w:tr>
      <w:tr w14:paraId="1D55E66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55BBEC22">
            <w:pPr>
              <w:spacing w:line="360" w:lineRule="auto"/>
              <w:jc w:val="center"/>
              <w:rPr>
                <w:rFonts w:hint="eastAsia" w:ascii="宋体" w:hAnsi="宋体" w:cs="等线"/>
                <w:color w:val="auto"/>
                <w:szCs w:val="21"/>
                <w:highlight w:val="none"/>
              </w:rPr>
            </w:pPr>
            <w:r>
              <w:rPr>
                <w:rFonts w:hint="eastAsia" w:ascii="宋体" w:hAnsi="宋体"/>
                <w:b/>
                <w:color w:val="auto"/>
                <w:szCs w:val="21"/>
                <w:highlight w:val="none"/>
              </w:rPr>
              <w:t>政策性加分条件</w:t>
            </w:r>
          </w:p>
        </w:tc>
        <w:tc>
          <w:tcPr>
            <w:tcW w:w="7427" w:type="dxa"/>
            <w:gridSpan w:val="3"/>
            <w:tcBorders>
              <w:top w:val="single" w:color="000000" w:sz="4" w:space="0"/>
              <w:left w:val="single" w:color="000000" w:sz="4" w:space="0"/>
              <w:bottom w:val="single" w:color="000000" w:sz="4" w:space="0"/>
              <w:right w:val="single" w:color="000000" w:sz="4" w:space="0"/>
            </w:tcBorders>
          </w:tcPr>
          <w:p w14:paraId="255EBCE1">
            <w:pPr>
              <w:spacing w:line="360" w:lineRule="auto"/>
              <w:ind w:firstLine="396" w:firstLineChars="200"/>
              <w:rPr>
                <w:rFonts w:hint="eastAsia" w:ascii="宋体" w:hAnsi="宋体" w:cs="等线"/>
                <w:color w:val="auto"/>
                <w:szCs w:val="21"/>
                <w:highlight w:val="none"/>
              </w:rPr>
            </w:pPr>
            <w:r>
              <w:rPr>
                <w:rFonts w:hint="eastAsia" w:ascii="宋体" w:hAnsi="宋体"/>
                <w:color w:val="auto"/>
                <w:spacing w:val="-6"/>
                <w:szCs w:val="21"/>
                <w:highlight w:val="none"/>
              </w:rPr>
              <w:t>见竞争性磋商文件第四章“评审程序、评审方法和评审标准”。</w:t>
            </w:r>
          </w:p>
        </w:tc>
      </w:tr>
      <w:tr w14:paraId="037504D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8528" w:type="dxa"/>
            <w:gridSpan w:val="5"/>
            <w:tcBorders>
              <w:top w:val="single" w:color="000000" w:sz="4" w:space="0"/>
              <w:left w:val="single" w:color="000000" w:sz="4" w:space="0"/>
              <w:bottom w:val="single" w:color="000000" w:sz="4" w:space="0"/>
              <w:right w:val="single" w:color="000000" w:sz="4" w:space="0"/>
            </w:tcBorders>
            <w:vAlign w:val="center"/>
          </w:tcPr>
          <w:p w14:paraId="6D3D90EA">
            <w:pPr>
              <w:spacing w:line="360" w:lineRule="auto"/>
              <w:ind w:firstLine="422" w:firstLineChars="200"/>
              <w:rPr>
                <w:rFonts w:hint="eastAsia" w:ascii="宋体" w:hAnsi="宋体"/>
                <w:color w:val="auto"/>
                <w:spacing w:val="-6"/>
                <w:szCs w:val="21"/>
                <w:highlight w:val="none"/>
              </w:rPr>
            </w:pPr>
            <w:r>
              <w:rPr>
                <w:rFonts w:hint="eastAsia" w:ascii="宋体" w:hAnsi="宋体"/>
                <w:b/>
                <w:bCs/>
                <w:color w:val="auto"/>
                <w:szCs w:val="21"/>
                <w:highlight w:val="none"/>
              </w:rPr>
              <w:t>五、其他</w:t>
            </w:r>
          </w:p>
        </w:tc>
      </w:tr>
      <w:tr w14:paraId="3B46820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101" w:type="dxa"/>
            <w:gridSpan w:val="2"/>
            <w:tcBorders>
              <w:top w:val="single" w:color="000000" w:sz="4" w:space="0"/>
              <w:left w:val="single" w:color="000000" w:sz="4" w:space="0"/>
              <w:bottom w:val="single" w:color="000000" w:sz="4" w:space="0"/>
              <w:right w:val="single" w:color="000000" w:sz="4" w:space="0"/>
            </w:tcBorders>
            <w:vAlign w:val="center"/>
          </w:tcPr>
          <w:p w14:paraId="447B2006">
            <w:pPr>
              <w:spacing w:line="360" w:lineRule="auto"/>
              <w:jc w:val="center"/>
              <w:rPr>
                <w:rFonts w:hint="eastAsia" w:ascii="宋体" w:hAnsi="宋体" w:cs="等线"/>
                <w:color w:val="auto"/>
                <w:szCs w:val="21"/>
                <w:highlight w:val="none"/>
              </w:rPr>
            </w:pPr>
            <w:r>
              <w:rPr>
                <w:rFonts w:hint="eastAsia" w:ascii="宋体" w:hAnsi="宋体"/>
                <w:b/>
                <w:color w:val="auto"/>
                <w:szCs w:val="21"/>
                <w:highlight w:val="none"/>
              </w:rPr>
              <w:t>进口产品</w:t>
            </w:r>
          </w:p>
        </w:tc>
        <w:tc>
          <w:tcPr>
            <w:tcW w:w="7427" w:type="dxa"/>
            <w:gridSpan w:val="3"/>
            <w:tcBorders>
              <w:top w:val="single" w:color="000000" w:sz="4" w:space="0"/>
              <w:left w:val="single" w:color="000000" w:sz="4" w:space="0"/>
              <w:bottom w:val="single" w:color="000000" w:sz="4" w:space="0"/>
              <w:right w:val="single" w:color="000000" w:sz="4" w:space="0"/>
            </w:tcBorders>
          </w:tcPr>
          <w:p w14:paraId="42886E1B">
            <w:pPr>
              <w:spacing w:line="360" w:lineRule="auto"/>
              <w:ind w:firstLine="396" w:firstLineChars="200"/>
              <w:rPr>
                <w:rFonts w:hint="eastAsia" w:ascii="宋体" w:hAnsi="宋体" w:cs="等线"/>
                <w:color w:val="auto"/>
                <w:szCs w:val="21"/>
                <w:highlight w:val="none"/>
              </w:rPr>
            </w:pPr>
            <w:r>
              <w:rPr>
                <w:rFonts w:hint="eastAsia" w:ascii="宋体" w:hAnsi="宋体"/>
                <w:color w:val="auto"/>
                <w:spacing w:val="-6"/>
                <w:szCs w:val="21"/>
                <w:highlight w:val="none"/>
              </w:rPr>
              <w:t>1.本项目为服务类项目，不涉及进口产品及核心产品。</w:t>
            </w:r>
          </w:p>
          <w:p w14:paraId="06F4D92E">
            <w:pPr>
              <w:spacing w:line="360" w:lineRule="auto"/>
              <w:ind w:firstLine="396" w:firstLineChars="200"/>
              <w:rPr>
                <w:rFonts w:hint="eastAsia" w:ascii="宋体" w:hAnsi="宋体" w:cs="等线"/>
                <w:color w:val="auto"/>
                <w:szCs w:val="21"/>
                <w:highlight w:val="none"/>
              </w:rPr>
            </w:pPr>
            <w:r>
              <w:rPr>
                <w:rFonts w:hint="eastAsia" w:ascii="宋体" w:hAnsi="宋体"/>
                <w:color w:val="auto"/>
                <w:spacing w:val="-6"/>
                <w:szCs w:val="21"/>
                <w:highlight w:val="none"/>
              </w:rPr>
              <w:t>2.本项目专门面向中小企业采购，不接受联合体竞标，供应商不得分包、转包本项目。</w:t>
            </w:r>
          </w:p>
        </w:tc>
      </w:tr>
    </w:tbl>
    <w:p w14:paraId="7A04E9D1">
      <w:pPr>
        <w:spacing w:line="360" w:lineRule="auto"/>
        <w:ind w:firstLine="308" w:firstLineChars="147"/>
        <w:jc w:val="left"/>
        <w:rPr>
          <w:rFonts w:hint="eastAsia" w:ascii="宋体" w:hAnsi="宋体" w:cs="Arial"/>
          <w:bCs/>
          <w:color w:val="auto"/>
          <w:szCs w:val="21"/>
          <w:highlight w:val="none"/>
          <w:u w:val="single"/>
        </w:rPr>
      </w:pPr>
    </w:p>
    <w:p w14:paraId="298ADF27">
      <w:pPr>
        <w:pStyle w:val="35"/>
        <w:spacing w:line="360" w:lineRule="auto"/>
        <w:ind w:left="0" w:firstLine="0"/>
        <w:rPr>
          <w:b/>
          <w:bCs/>
          <w:color w:val="auto"/>
          <w:sz w:val="28"/>
          <w:szCs w:val="28"/>
          <w:highlight w:val="none"/>
        </w:rPr>
      </w:pPr>
      <w:r>
        <w:rPr>
          <w:rFonts w:hint="eastAsia"/>
          <w:color w:val="auto"/>
          <w:highlight w:val="none"/>
        </w:rPr>
        <w:t>附件1：投注机机型相关配置参数</w:t>
      </w:r>
    </w:p>
    <w:tbl>
      <w:tblPr>
        <w:tblStyle w:val="24"/>
        <w:tblW w:w="8668"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6"/>
        <w:gridCol w:w="1404"/>
        <w:gridCol w:w="5361"/>
        <w:gridCol w:w="1067"/>
      </w:tblGrid>
      <w:tr w14:paraId="1AF6C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8668" w:type="dxa"/>
            <w:gridSpan w:val="4"/>
            <w:vAlign w:val="center"/>
          </w:tcPr>
          <w:p w14:paraId="3B1571C4">
            <w:pPr>
              <w:jc w:val="center"/>
              <w:rPr>
                <w:color w:val="auto"/>
                <w:highlight w:val="none"/>
              </w:rPr>
            </w:pPr>
            <w:r>
              <w:rPr>
                <w:rFonts w:hint="eastAsia"/>
                <w:color w:val="auto"/>
                <w:highlight w:val="none"/>
              </w:rPr>
              <w:t>LT-F01型电脑彩票销售终端设备配件参数表</w:t>
            </w:r>
          </w:p>
        </w:tc>
      </w:tr>
      <w:tr w14:paraId="08457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tcPr>
          <w:p w14:paraId="41CB0BF3">
            <w:pPr>
              <w:jc w:val="center"/>
              <w:rPr>
                <w:color w:val="auto"/>
                <w:highlight w:val="none"/>
              </w:rPr>
            </w:pPr>
            <w:r>
              <w:rPr>
                <w:rFonts w:hint="eastAsia"/>
                <w:color w:val="auto"/>
                <w:highlight w:val="none"/>
              </w:rPr>
              <w:t>序号</w:t>
            </w:r>
          </w:p>
        </w:tc>
        <w:tc>
          <w:tcPr>
            <w:tcW w:w="1404" w:type="dxa"/>
          </w:tcPr>
          <w:p w14:paraId="25963AE0">
            <w:pPr>
              <w:jc w:val="center"/>
              <w:rPr>
                <w:color w:val="auto"/>
                <w:highlight w:val="none"/>
              </w:rPr>
            </w:pPr>
            <w:r>
              <w:rPr>
                <w:rFonts w:hint="eastAsia"/>
                <w:color w:val="auto"/>
                <w:highlight w:val="none"/>
              </w:rPr>
              <w:t>名称</w:t>
            </w:r>
          </w:p>
        </w:tc>
        <w:tc>
          <w:tcPr>
            <w:tcW w:w="5361" w:type="dxa"/>
          </w:tcPr>
          <w:p w14:paraId="0F5D75CD">
            <w:pPr>
              <w:jc w:val="center"/>
              <w:rPr>
                <w:color w:val="auto"/>
                <w:highlight w:val="none"/>
              </w:rPr>
            </w:pPr>
            <w:r>
              <w:rPr>
                <w:rFonts w:hint="eastAsia"/>
                <w:color w:val="auto"/>
                <w:highlight w:val="none"/>
              </w:rPr>
              <w:t>规格型号及性能指标</w:t>
            </w:r>
          </w:p>
        </w:tc>
        <w:tc>
          <w:tcPr>
            <w:tcW w:w="1067" w:type="dxa"/>
          </w:tcPr>
          <w:p w14:paraId="0F7CE575">
            <w:pPr>
              <w:jc w:val="center"/>
              <w:rPr>
                <w:color w:val="auto"/>
                <w:highlight w:val="none"/>
              </w:rPr>
            </w:pPr>
            <w:r>
              <w:rPr>
                <w:rFonts w:hint="eastAsia"/>
                <w:color w:val="auto"/>
                <w:highlight w:val="none"/>
              </w:rPr>
              <w:t>重要部件</w:t>
            </w:r>
          </w:p>
        </w:tc>
      </w:tr>
      <w:tr w14:paraId="6C931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2EA5A19A">
            <w:pPr>
              <w:jc w:val="center"/>
              <w:rPr>
                <w:color w:val="auto"/>
                <w:highlight w:val="none"/>
              </w:rPr>
            </w:pPr>
            <w:r>
              <w:rPr>
                <w:color w:val="auto"/>
                <w:highlight w:val="none"/>
              </w:rPr>
              <w:t>1</w:t>
            </w:r>
          </w:p>
        </w:tc>
        <w:tc>
          <w:tcPr>
            <w:tcW w:w="1404" w:type="dxa"/>
            <w:vAlign w:val="center"/>
          </w:tcPr>
          <w:p w14:paraId="23356012">
            <w:pPr>
              <w:rPr>
                <w:color w:val="auto"/>
                <w:highlight w:val="none"/>
              </w:rPr>
            </w:pPr>
            <w:r>
              <w:rPr>
                <w:rFonts w:hint="eastAsia"/>
                <w:color w:val="auto"/>
                <w:highlight w:val="none"/>
              </w:rPr>
              <w:t>主板</w:t>
            </w:r>
          </w:p>
        </w:tc>
        <w:tc>
          <w:tcPr>
            <w:tcW w:w="5361" w:type="dxa"/>
            <w:vAlign w:val="center"/>
          </w:tcPr>
          <w:p w14:paraId="51B3652F">
            <w:pPr>
              <w:rPr>
                <w:color w:val="auto"/>
                <w:highlight w:val="none"/>
              </w:rPr>
            </w:pPr>
            <w:r>
              <w:rPr>
                <w:rFonts w:hint="eastAsia"/>
                <w:color w:val="auto"/>
                <w:highlight w:val="none"/>
              </w:rPr>
              <w:t>RB-D525D4，ATOM D525(双核，主频1.8G) + ICH8M + SM750板载独立显卡，独立四显，主板具有唯一安全ID</w:t>
            </w:r>
          </w:p>
        </w:tc>
        <w:tc>
          <w:tcPr>
            <w:tcW w:w="1067" w:type="dxa"/>
          </w:tcPr>
          <w:p w14:paraId="6A3DA353">
            <w:pPr>
              <w:jc w:val="center"/>
              <w:rPr>
                <w:color w:val="auto"/>
                <w:highlight w:val="none"/>
              </w:rPr>
            </w:pPr>
            <w:r>
              <w:rPr>
                <w:rFonts w:hint="eastAsia"/>
                <w:color w:val="auto"/>
                <w:highlight w:val="none"/>
              </w:rPr>
              <w:t>是</w:t>
            </w:r>
          </w:p>
        </w:tc>
      </w:tr>
      <w:tr w14:paraId="62569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EAF0E08">
            <w:pPr>
              <w:jc w:val="center"/>
              <w:rPr>
                <w:color w:val="auto"/>
                <w:highlight w:val="none"/>
              </w:rPr>
            </w:pPr>
            <w:r>
              <w:rPr>
                <w:color w:val="auto"/>
                <w:highlight w:val="none"/>
              </w:rPr>
              <w:t>2</w:t>
            </w:r>
          </w:p>
        </w:tc>
        <w:tc>
          <w:tcPr>
            <w:tcW w:w="1404" w:type="dxa"/>
            <w:vAlign w:val="center"/>
          </w:tcPr>
          <w:p w14:paraId="5CBA0D77">
            <w:pPr>
              <w:rPr>
                <w:color w:val="auto"/>
                <w:highlight w:val="none"/>
              </w:rPr>
            </w:pPr>
            <w:r>
              <w:rPr>
                <w:rFonts w:hint="eastAsia"/>
                <w:color w:val="auto"/>
                <w:highlight w:val="none"/>
              </w:rPr>
              <w:t>内存条</w:t>
            </w:r>
          </w:p>
        </w:tc>
        <w:tc>
          <w:tcPr>
            <w:tcW w:w="5361" w:type="dxa"/>
            <w:vAlign w:val="center"/>
          </w:tcPr>
          <w:p w14:paraId="68A36FC9">
            <w:pPr>
              <w:rPr>
                <w:color w:val="auto"/>
                <w:highlight w:val="none"/>
              </w:rPr>
            </w:pPr>
            <w:r>
              <w:rPr>
                <w:rFonts w:hint="eastAsia"/>
                <w:color w:val="auto"/>
                <w:highlight w:val="none"/>
              </w:rPr>
              <w:t>M3SW-2GHJCC0C-E，2G DDR3 1600MHz SODIMM</w:t>
            </w:r>
          </w:p>
        </w:tc>
        <w:tc>
          <w:tcPr>
            <w:tcW w:w="1067" w:type="dxa"/>
          </w:tcPr>
          <w:p w14:paraId="61045EE3">
            <w:pPr>
              <w:jc w:val="center"/>
              <w:rPr>
                <w:color w:val="auto"/>
                <w:highlight w:val="none"/>
              </w:rPr>
            </w:pPr>
            <w:r>
              <w:rPr>
                <w:rFonts w:hint="eastAsia"/>
                <w:color w:val="auto"/>
                <w:highlight w:val="none"/>
              </w:rPr>
              <w:t>是</w:t>
            </w:r>
          </w:p>
        </w:tc>
      </w:tr>
      <w:tr w14:paraId="2FB40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7D3698D5">
            <w:pPr>
              <w:jc w:val="center"/>
              <w:rPr>
                <w:color w:val="auto"/>
                <w:highlight w:val="none"/>
              </w:rPr>
            </w:pPr>
            <w:r>
              <w:rPr>
                <w:color w:val="auto"/>
                <w:highlight w:val="none"/>
              </w:rPr>
              <w:t>3</w:t>
            </w:r>
          </w:p>
        </w:tc>
        <w:tc>
          <w:tcPr>
            <w:tcW w:w="1404" w:type="dxa"/>
            <w:vAlign w:val="center"/>
          </w:tcPr>
          <w:p w14:paraId="32922A7A">
            <w:pPr>
              <w:rPr>
                <w:color w:val="auto"/>
                <w:highlight w:val="none"/>
              </w:rPr>
            </w:pPr>
            <w:r>
              <w:rPr>
                <w:rFonts w:hint="eastAsia"/>
                <w:color w:val="auto"/>
                <w:highlight w:val="none"/>
              </w:rPr>
              <w:t>阅读器</w:t>
            </w:r>
          </w:p>
        </w:tc>
        <w:tc>
          <w:tcPr>
            <w:tcW w:w="5361" w:type="dxa"/>
            <w:vAlign w:val="center"/>
          </w:tcPr>
          <w:p w14:paraId="2C7450FB">
            <w:pPr>
              <w:rPr>
                <w:color w:val="auto"/>
                <w:highlight w:val="none"/>
              </w:rPr>
            </w:pPr>
            <w:r>
              <w:rPr>
                <w:rFonts w:hint="eastAsia"/>
                <w:color w:val="auto"/>
                <w:highlight w:val="none"/>
              </w:rPr>
              <w:t>OCR2000B，82.5mm宽度，读打一体</w:t>
            </w:r>
          </w:p>
        </w:tc>
        <w:tc>
          <w:tcPr>
            <w:tcW w:w="1067" w:type="dxa"/>
          </w:tcPr>
          <w:p w14:paraId="05536BAD">
            <w:pPr>
              <w:jc w:val="center"/>
              <w:rPr>
                <w:color w:val="auto"/>
                <w:highlight w:val="none"/>
              </w:rPr>
            </w:pPr>
            <w:r>
              <w:rPr>
                <w:rFonts w:hint="eastAsia"/>
                <w:color w:val="auto"/>
                <w:highlight w:val="none"/>
              </w:rPr>
              <w:t>是</w:t>
            </w:r>
          </w:p>
        </w:tc>
      </w:tr>
      <w:tr w14:paraId="2933A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502E047E">
            <w:pPr>
              <w:jc w:val="center"/>
              <w:rPr>
                <w:color w:val="auto"/>
                <w:highlight w:val="none"/>
              </w:rPr>
            </w:pPr>
            <w:r>
              <w:rPr>
                <w:color w:val="auto"/>
                <w:highlight w:val="none"/>
              </w:rPr>
              <w:t>4</w:t>
            </w:r>
          </w:p>
        </w:tc>
        <w:tc>
          <w:tcPr>
            <w:tcW w:w="1404" w:type="dxa"/>
            <w:vAlign w:val="center"/>
          </w:tcPr>
          <w:p w14:paraId="106F34B6">
            <w:pPr>
              <w:rPr>
                <w:color w:val="auto"/>
                <w:highlight w:val="none"/>
              </w:rPr>
            </w:pPr>
            <w:r>
              <w:rPr>
                <w:rFonts w:hint="eastAsia"/>
                <w:color w:val="auto"/>
                <w:highlight w:val="none"/>
              </w:rPr>
              <w:t>打印机</w:t>
            </w:r>
          </w:p>
        </w:tc>
        <w:tc>
          <w:tcPr>
            <w:tcW w:w="5361" w:type="dxa"/>
            <w:vAlign w:val="center"/>
          </w:tcPr>
          <w:p w14:paraId="1545E2EA">
            <w:pPr>
              <w:rPr>
                <w:color w:val="auto"/>
                <w:highlight w:val="none"/>
              </w:rPr>
            </w:pPr>
            <w:r>
              <w:rPr>
                <w:rFonts w:hint="eastAsia"/>
                <w:color w:val="auto"/>
                <w:highlight w:val="none"/>
              </w:rPr>
              <w:t>机芯：BT-T080U、控制板：KSKAE V1.1，82.5mm宽度，100KM、100万次，串口</w:t>
            </w:r>
          </w:p>
        </w:tc>
        <w:tc>
          <w:tcPr>
            <w:tcW w:w="1067" w:type="dxa"/>
          </w:tcPr>
          <w:p w14:paraId="351EF8B6">
            <w:pPr>
              <w:jc w:val="center"/>
              <w:rPr>
                <w:color w:val="auto"/>
                <w:highlight w:val="none"/>
              </w:rPr>
            </w:pPr>
            <w:r>
              <w:rPr>
                <w:rFonts w:hint="eastAsia"/>
                <w:color w:val="auto"/>
                <w:highlight w:val="none"/>
              </w:rPr>
              <w:t>是</w:t>
            </w:r>
          </w:p>
        </w:tc>
      </w:tr>
      <w:tr w14:paraId="3D466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041B8DF8">
            <w:pPr>
              <w:jc w:val="center"/>
              <w:rPr>
                <w:color w:val="auto"/>
                <w:highlight w:val="none"/>
              </w:rPr>
            </w:pPr>
            <w:r>
              <w:rPr>
                <w:color w:val="auto"/>
                <w:highlight w:val="none"/>
              </w:rPr>
              <w:t>5</w:t>
            </w:r>
          </w:p>
        </w:tc>
        <w:tc>
          <w:tcPr>
            <w:tcW w:w="1404" w:type="dxa"/>
            <w:vAlign w:val="center"/>
          </w:tcPr>
          <w:p w14:paraId="30221AFE">
            <w:pPr>
              <w:rPr>
                <w:color w:val="auto"/>
                <w:highlight w:val="none"/>
              </w:rPr>
            </w:pPr>
            <w:r>
              <w:rPr>
                <w:rFonts w:hint="eastAsia"/>
                <w:color w:val="auto"/>
                <w:highlight w:val="none"/>
              </w:rPr>
              <w:t>主显示器</w:t>
            </w:r>
          </w:p>
        </w:tc>
        <w:tc>
          <w:tcPr>
            <w:tcW w:w="5361" w:type="dxa"/>
            <w:vAlign w:val="center"/>
          </w:tcPr>
          <w:p w14:paraId="27725774">
            <w:pPr>
              <w:rPr>
                <w:color w:val="auto"/>
                <w:highlight w:val="none"/>
              </w:rPr>
            </w:pPr>
            <w:r>
              <w:rPr>
                <w:rFonts w:hint="eastAsia"/>
                <w:color w:val="auto"/>
                <w:highlight w:val="none"/>
              </w:rPr>
              <w:t>G150XG03 V3，15寸 TFT，分辨率1024×768</w:t>
            </w:r>
          </w:p>
        </w:tc>
        <w:tc>
          <w:tcPr>
            <w:tcW w:w="1067" w:type="dxa"/>
          </w:tcPr>
          <w:p w14:paraId="6891D43E">
            <w:pPr>
              <w:jc w:val="center"/>
              <w:rPr>
                <w:color w:val="auto"/>
                <w:highlight w:val="none"/>
              </w:rPr>
            </w:pPr>
          </w:p>
        </w:tc>
      </w:tr>
      <w:tr w14:paraId="51EEE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2F488DE7">
            <w:pPr>
              <w:jc w:val="center"/>
              <w:rPr>
                <w:color w:val="auto"/>
                <w:highlight w:val="none"/>
              </w:rPr>
            </w:pPr>
            <w:r>
              <w:rPr>
                <w:color w:val="auto"/>
                <w:highlight w:val="none"/>
              </w:rPr>
              <w:t>6</w:t>
            </w:r>
          </w:p>
        </w:tc>
        <w:tc>
          <w:tcPr>
            <w:tcW w:w="1404" w:type="dxa"/>
            <w:vAlign w:val="center"/>
          </w:tcPr>
          <w:p w14:paraId="0D78A72B">
            <w:pPr>
              <w:rPr>
                <w:color w:val="auto"/>
                <w:highlight w:val="none"/>
              </w:rPr>
            </w:pPr>
            <w:r>
              <w:rPr>
                <w:rFonts w:hint="eastAsia"/>
                <w:color w:val="auto"/>
                <w:highlight w:val="none"/>
              </w:rPr>
              <w:t>背光转换及控制</w:t>
            </w:r>
          </w:p>
        </w:tc>
        <w:tc>
          <w:tcPr>
            <w:tcW w:w="5361" w:type="dxa"/>
            <w:vAlign w:val="center"/>
          </w:tcPr>
          <w:p w14:paraId="68B1E4B3">
            <w:pPr>
              <w:rPr>
                <w:color w:val="auto"/>
                <w:highlight w:val="none"/>
              </w:rPr>
            </w:pPr>
            <w:r>
              <w:rPr>
                <w:rFonts w:hint="eastAsia"/>
                <w:color w:val="auto"/>
                <w:highlight w:val="none"/>
              </w:rPr>
              <w:t>SW-PWM150，可调亮度</w:t>
            </w:r>
          </w:p>
        </w:tc>
        <w:tc>
          <w:tcPr>
            <w:tcW w:w="1067" w:type="dxa"/>
          </w:tcPr>
          <w:p w14:paraId="0B9F9D31">
            <w:pPr>
              <w:jc w:val="center"/>
              <w:rPr>
                <w:color w:val="auto"/>
                <w:highlight w:val="none"/>
              </w:rPr>
            </w:pPr>
          </w:p>
        </w:tc>
      </w:tr>
      <w:tr w14:paraId="5448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07CEFBDA">
            <w:pPr>
              <w:jc w:val="center"/>
              <w:rPr>
                <w:color w:val="auto"/>
                <w:highlight w:val="none"/>
              </w:rPr>
            </w:pPr>
            <w:r>
              <w:rPr>
                <w:color w:val="auto"/>
                <w:highlight w:val="none"/>
              </w:rPr>
              <w:t>7</w:t>
            </w:r>
          </w:p>
        </w:tc>
        <w:tc>
          <w:tcPr>
            <w:tcW w:w="1404" w:type="dxa"/>
            <w:vAlign w:val="center"/>
          </w:tcPr>
          <w:p w14:paraId="2AA09C95">
            <w:pPr>
              <w:rPr>
                <w:color w:val="auto"/>
                <w:highlight w:val="none"/>
              </w:rPr>
            </w:pPr>
            <w:r>
              <w:rPr>
                <w:rFonts w:hint="eastAsia"/>
                <w:color w:val="auto"/>
                <w:highlight w:val="none"/>
              </w:rPr>
              <w:t>客显屏</w:t>
            </w:r>
          </w:p>
        </w:tc>
        <w:tc>
          <w:tcPr>
            <w:tcW w:w="5361" w:type="dxa"/>
            <w:vAlign w:val="center"/>
          </w:tcPr>
          <w:p w14:paraId="6EA3D76B">
            <w:pPr>
              <w:rPr>
                <w:color w:val="auto"/>
                <w:highlight w:val="none"/>
              </w:rPr>
            </w:pPr>
            <w:r>
              <w:rPr>
                <w:rFonts w:hint="eastAsia"/>
                <w:color w:val="auto"/>
                <w:highlight w:val="none"/>
              </w:rPr>
              <w:t>GL-DP20，7寸LED彩色屏，分辨率800×480</w:t>
            </w:r>
          </w:p>
        </w:tc>
        <w:tc>
          <w:tcPr>
            <w:tcW w:w="1067" w:type="dxa"/>
          </w:tcPr>
          <w:p w14:paraId="1E8C152A">
            <w:pPr>
              <w:jc w:val="center"/>
              <w:rPr>
                <w:color w:val="auto"/>
                <w:highlight w:val="none"/>
              </w:rPr>
            </w:pPr>
          </w:p>
        </w:tc>
      </w:tr>
      <w:tr w14:paraId="74CD5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58EF968C">
            <w:pPr>
              <w:jc w:val="center"/>
              <w:rPr>
                <w:color w:val="auto"/>
                <w:highlight w:val="none"/>
              </w:rPr>
            </w:pPr>
            <w:r>
              <w:rPr>
                <w:color w:val="auto"/>
                <w:highlight w:val="none"/>
              </w:rPr>
              <w:t>8</w:t>
            </w:r>
          </w:p>
        </w:tc>
        <w:tc>
          <w:tcPr>
            <w:tcW w:w="1404" w:type="dxa"/>
            <w:vAlign w:val="center"/>
          </w:tcPr>
          <w:p w14:paraId="7A6F6FC4">
            <w:pPr>
              <w:rPr>
                <w:color w:val="auto"/>
                <w:highlight w:val="none"/>
              </w:rPr>
            </w:pPr>
            <w:r>
              <w:rPr>
                <w:rFonts w:hint="eastAsia"/>
                <w:color w:val="auto"/>
                <w:highlight w:val="none"/>
              </w:rPr>
              <w:t>键盘</w:t>
            </w:r>
          </w:p>
        </w:tc>
        <w:tc>
          <w:tcPr>
            <w:tcW w:w="5361" w:type="dxa"/>
            <w:vAlign w:val="center"/>
          </w:tcPr>
          <w:p w14:paraId="201FBC86">
            <w:pPr>
              <w:rPr>
                <w:color w:val="auto"/>
                <w:highlight w:val="none"/>
              </w:rPr>
            </w:pPr>
            <w:r>
              <w:rPr>
                <w:rFonts w:hint="eastAsia"/>
                <w:color w:val="auto"/>
                <w:highlight w:val="none"/>
              </w:rPr>
              <w:t>KB-F01A，49键专用键盘</w:t>
            </w:r>
          </w:p>
        </w:tc>
        <w:tc>
          <w:tcPr>
            <w:tcW w:w="1067" w:type="dxa"/>
          </w:tcPr>
          <w:p w14:paraId="7C902024">
            <w:pPr>
              <w:jc w:val="center"/>
              <w:rPr>
                <w:color w:val="auto"/>
                <w:highlight w:val="none"/>
              </w:rPr>
            </w:pPr>
            <w:r>
              <w:rPr>
                <w:rFonts w:hint="eastAsia"/>
                <w:color w:val="auto"/>
                <w:highlight w:val="none"/>
              </w:rPr>
              <w:t>是</w:t>
            </w:r>
          </w:p>
        </w:tc>
      </w:tr>
      <w:tr w14:paraId="05665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FB016F0">
            <w:pPr>
              <w:jc w:val="center"/>
              <w:rPr>
                <w:color w:val="auto"/>
                <w:highlight w:val="none"/>
              </w:rPr>
            </w:pPr>
            <w:r>
              <w:rPr>
                <w:color w:val="auto"/>
                <w:highlight w:val="none"/>
              </w:rPr>
              <w:t>9</w:t>
            </w:r>
          </w:p>
        </w:tc>
        <w:tc>
          <w:tcPr>
            <w:tcW w:w="1404" w:type="dxa"/>
            <w:vAlign w:val="center"/>
          </w:tcPr>
          <w:p w14:paraId="616CC090">
            <w:pPr>
              <w:rPr>
                <w:color w:val="auto"/>
                <w:highlight w:val="none"/>
              </w:rPr>
            </w:pPr>
            <w:r>
              <w:rPr>
                <w:rFonts w:hint="eastAsia"/>
                <w:color w:val="auto"/>
                <w:highlight w:val="none"/>
              </w:rPr>
              <w:t>DOM电子盘</w:t>
            </w:r>
          </w:p>
        </w:tc>
        <w:tc>
          <w:tcPr>
            <w:tcW w:w="5361" w:type="dxa"/>
            <w:vAlign w:val="center"/>
          </w:tcPr>
          <w:p w14:paraId="24244A2D">
            <w:pPr>
              <w:rPr>
                <w:color w:val="auto"/>
                <w:highlight w:val="none"/>
              </w:rPr>
            </w:pPr>
            <w:r>
              <w:rPr>
                <w:rFonts w:hint="eastAsia"/>
                <w:color w:val="auto"/>
                <w:highlight w:val="none"/>
              </w:rPr>
              <w:t>DESSL-8G，8G SATA接口 MLC</w:t>
            </w:r>
          </w:p>
        </w:tc>
        <w:tc>
          <w:tcPr>
            <w:tcW w:w="1067" w:type="dxa"/>
          </w:tcPr>
          <w:p w14:paraId="1F3E6F79">
            <w:pPr>
              <w:jc w:val="center"/>
              <w:rPr>
                <w:color w:val="auto"/>
                <w:highlight w:val="none"/>
              </w:rPr>
            </w:pPr>
            <w:r>
              <w:rPr>
                <w:rFonts w:hint="eastAsia"/>
                <w:color w:val="auto"/>
                <w:highlight w:val="none"/>
              </w:rPr>
              <w:t>是</w:t>
            </w:r>
          </w:p>
        </w:tc>
      </w:tr>
      <w:tr w14:paraId="42E58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7E92C631">
            <w:pPr>
              <w:jc w:val="center"/>
              <w:rPr>
                <w:color w:val="auto"/>
                <w:highlight w:val="none"/>
              </w:rPr>
            </w:pPr>
            <w:r>
              <w:rPr>
                <w:color w:val="auto"/>
                <w:highlight w:val="none"/>
              </w:rPr>
              <w:t>10</w:t>
            </w:r>
          </w:p>
        </w:tc>
        <w:tc>
          <w:tcPr>
            <w:tcW w:w="1404" w:type="dxa"/>
            <w:vAlign w:val="center"/>
          </w:tcPr>
          <w:p w14:paraId="5FCA518A">
            <w:pPr>
              <w:rPr>
                <w:color w:val="auto"/>
                <w:highlight w:val="none"/>
              </w:rPr>
            </w:pPr>
            <w:r>
              <w:rPr>
                <w:rFonts w:hint="eastAsia"/>
                <w:color w:val="auto"/>
                <w:highlight w:val="none"/>
              </w:rPr>
              <w:t>电源</w:t>
            </w:r>
          </w:p>
        </w:tc>
        <w:tc>
          <w:tcPr>
            <w:tcW w:w="5361" w:type="dxa"/>
            <w:vAlign w:val="center"/>
          </w:tcPr>
          <w:p w14:paraId="6FA71231">
            <w:pPr>
              <w:rPr>
                <w:color w:val="auto"/>
                <w:highlight w:val="none"/>
              </w:rPr>
            </w:pPr>
            <w:r>
              <w:rPr>
                <w:rFonts w:hint="eastAsia"/>
                <w:color w:val="auto"/>
                <w:highlight w:val="none"/>
              </w:rPr>
              <w:t>FT-U220Q27-7，180W，带蓄电池</w:t>
            </w:r>
          </w:p>
        </w:tc>
        <w:tc>
          <w:tcPr>
            <w:tcW w:w="1067" w:type="dxa"/>
          </w:tcPr>
          <w:p w14:paraId="7771D3B0">
            <w:pPr>
              <w:jc w:val="center"/>
              <w:rPr>
                <w:color w:val="auto"/>
                <w:highlight w:val="none"/>
              </w:rPr>
            </w:pPr>
            <w:r>
              <w:rPr>
                <w:rFonts w:hint="eastAsia"/>
                <w:color w:val="auto"/>
                <w:highlight w:val="none"/>
              </w:rPr>
              <w:t>是</w:t>
            </w:r>
          </w:p>
        </w:tc>
      </w:tr>
      <w:tr w14:paraId="79B4B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0F4FBB9F">
            <w:pPr>
              <w:jc w:val="center"/>
              <w:rPr>
                <w:color w:val="auto"/>
                <w:highlight w:val="none"/>
              </w:rPr>
            </w:pPr>
            <w:r>
              <w:rPr>
                <w:color w:val="auto"/>
                <w:highlight w:val="none"/>
              </w:rPr>
              <w:t>11</w:t>
            </w:r>
          </w:p>
        </w:tc>
        <w:tc>
          <w:tcPr>
            <w:tcW w:w="1404" w:type="dxa"/>
            <w:vAlign w:val="center"/>
          </w:tcPr>
          <w:p w14:paraId="00DD76C4">
            <w:pPr>
              <w:rPr>
                <w:color w:val="auto"/>
                <w:highlight w:val="none"/>
              </w:rPr>
            </w:pPr>
            <w:r>
              <w:rPr>
                <w:rFonts w:hint="eastAsia"/>
                <w:color w:val="auto"/>
                <w:highlight w:val="none"/>
              </w:rPr>
              <w:t>监控版</w:t>
            </w:r>
          </w:p>
        </w:tc>
        <w:tc>
          <w:tcPr>
            <w:tcW w:w="5361" w:type="dxa"/>
            <w:vAlign w:val="center"/>
          </w:tcPr>
          <w:p w14:paraId="4B21F2ED">
            <w:pPr>
              <w:rPr>
                <w:color w:val="auto"/>
                <w:highlight w:val="none"/>
              </w:rPr>
            </w:pPr>
            <w:r>
              <w:rPr>
                <w:color w:val="auto"/>
                <w:highlight w:val="none"/>
              </w:rPr>
              <w:t>LT-F01-WA-001B</w:t>
            </w:r>
          </w:p>
        </w:tc>
        <w:tc>
          <w:tcPr>
            <w:tcW w:w="1067" w:type="dxa"/>
          </w:tcPr>
          <w:p w14:paraId="70715100">
            <w:pPr>
              <w:jc w:val="center"/>
              <w:rPr>
                <w:color w:val="auto"/>
                <w:highlight w:val="none"/>
              </w:rPr>
            </w:pPr>
          </w:p>
        </w:tc>
      </w:tr>
      <w:tr w14:paraId="2534D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DF2114C">
            <w:pPr>
              <w:jc w:val="center"/>
              <w:rPr>
                <w:color w:val="auto"/>
                <w:highlight w:val="none"/>
              </w:rPr>
            </w:pPr>
            <w:r>
              <w:rPr>
                <w:color w:val="auto"/>
                <w:highlight w:val="none"/>
              </w:rPr>
              <w:t>12</w:t>
            </w:r>
          </w:p>
        </w:tc>
        <w:tc>
          <w:tcPr>
            <w:tcW w:w="1404" w:type="dxa"/>
            <w:vAlign w:val="center"/>
          </w:tcPr>
          <w:p w14:paraId="0A8E5519">
            <w:pPr>
              <w:rPr>
                <w:color w:val="auto"/>
                <w:highlight w:val="none"/>
              </w:rPr>
            </w:pPr>
            <w:r>
              <w:rPr>
                <w:rFonts w:hint="eastAsia"/>
                <w:color w:val="auto"/>
                <w:highlight w:val="none"/>
              </w:rPr>
              <w:t>音频功放板</w:t>
            </w:r>
          </w:p>
        </w:tc>
        <w:tc>
          <w:tcPr>
            <w:tcW w:w="5361" w:type="dxa"/>
            <w:vAlign w:val="center"/>
          </w:tcPr>
          <w:p w14:paraId="1163544F">
            <w:pPr>
              <w:rPr>
                <w:color w:val="auto"/>
                <w:highlight w:val="none"/>
              </w:rPr>
            </w:pPr>
            <w:r>
              <w:rPr>
                <w:rFonts w:hint="eastAsia"/>
                <w:color w:val="auto"/>
                <w:highlight w:val="none"/>
              </w:rPr>
              <w:t>LT-F01-AU-001B，带喇叭，2×3W</w:t>
            </w:r>
          </w:p>
        </w:tc>
        <w:tc>
          <w:tcPr>
            <w:tcW w:w="1067" w:type="dxa"/>
          </w:tcPr>
          <w:p w14:paraId="2AA62554">
            <w:pPr>
              <w:jc w:val="center"/>
              <w:rPr>
                <w:color w:val="auto"/>
                <w:highlight w:val="none"/>
              </w:rPr>
            </w:pPr>
          </w:p>
        </w:tc>
      </w:tr>
      <w:tr w14:paraId="76C90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trPr>
        <w:tc>
          <w:tcPr>
            <w:tcW w:w="8668" w:type="dxa"/>
            <w:gridSpan w:val="4"/>
            <w:vAlign w:val="center"/>
          </w:tcPr>
          <w:p w14:paraId="3E87C2A0">
            <w:pPr>
              <w:jc w:val="center"/>
              <w:rPr>
                <w:color w:val="auto"/>
                <w:highlight w:val="none"/>
              </w:rPr>
            </w:pPr>
            <w:r>
              <w:rPr>
                <w:rFonts w:hint="eastAsia"/>
                <w:color w:val="auto"/>
                <w:highlight w:val="none"/>
              </w:rPr>
              <w:t>LT-F06型电脑彩票销售终端设备配件参数表</w:t>
            </w:r>
          </w:p>
        </w:tc>
      </w:tr>
      <w:tr w14:paraId="194A3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00A7438B">
            <w:pPr>
              <w:jc w:val="center"/>
              <w:rPr>
                <w:color w:val="auto"/>
                <w:highlight w:val="none"/>
              </w:rPr>
            </w:pPr>
            <w:r>
              <w:rPr>
                <w:rFonts w:hint="eastAsia"/>
                <w:color w:val="auto"/>
                <w:highlight w:val="none"/>
              </w:rPr>
              <w:t>序号</w:t>
            </w:r>
          </w:p>
        </w:tc>
        <w:tc>
          <w:tcPr>
            <w:tcW w:w="1404" w:type="dxa"/>
          </w:tcPr>
          <w:p w14:paraId="2BD6DDC6">
            <w:pPr>
              <w:rPr>
                <w:color w:val="auto"/>
                <w:highlight w:val="none"/>
              </w:rPr>
            </w:pPr>
            <w:r>
              <w:rPr>
                <w:rFonts w:hint="eastAsia"/>
                <w:color w:val="auto"/>
                <w:highlight w:val="none"/>
              </w:rPr>
              <w:t>名称</w:t>
            </w:r>
          </w:p>
        </w:tc>
        <w:tc>
          <w:tcPr>
            <w:tcW w:w="5361" w:type="dxa"/>
          </w:tcPr>
          <w:p w14:paraId="6D06CA32">
            <w:pPr>
              <w:rPr>
                <w:color w:val="auto"/>
                <w:highlight w:val="none"/>
              </w:rPr>
            </w:pPr>
            <w:r>
              <w:rPr>
                <w:rFonts w:hint="eastAsia"/>
                <w:color w:val="auto"/>
                <w:highlight w:val="none"/>
              </w:rPr>
              <w:t>规格型号及性能指标</w:t>
            </w:r>
          </w:p>
        </w:tc>
        <w:tc>
          <w:tcPr>
            <w:tcW w:w="1067" w:type="dxa"/>
          </w:tcPr>
          <w:p w14:paraId="3887E0A1">
            <w:pPr>
              <w:jc w:val="center"/>
              <w:rPr>
                <w:color w:val="auto"/>
                <w:highlight w:val="none"/>
              </w:rPr>
            </w:pPr>
            <w:r>
              <w:rPr>
                <w:rFonts w:hint="eastAsia"/>
                <w:color w:val="auto"/>
                <w:highlight w:val="none"/>
              </w:rPr>
              <w:t>重要部件</w:t>
            </w:r>
          </w:p>
        </w:tc>
      </w:tr>
      <w:tr w14:paraId="504D4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4745DF1A">
            <w:pPr>
              <w:jc w:val="center"/>
              <w:rPr>
                <w:color w:val="auto"/>
                <w:highlight w:val="none"/>
              </w:rPr>
            </w:pPr>
            <w:r>
              <w:rPr>
                <w:color w:val="auto"/>
                <w:highlight w:val="none"/>
              </w:rPr>
              <w:t>1</w:t>
            </w:r>
          </w:p>
        </w:tc>
        <w:tc>
          <w:tcPr>
            <w:tcW w:w="1404" w:type="dxa"/>
            <w:vAlign w:val="center"/>
          </w:tcPr>
          <w:p w14:paraId="5E8CC4FB">
            <w:pPr>
              <w:rPr>
                <w:color w:val="auto"/>
                <w:highlight w:val="none"/>
              </w:rPr>
            </w:pPr>
            <w:r>
              <w:rPr>
                <w:rFonts w:hint="eastAsia"/>
                <w:color w:val="auto"/>
                <w:highlight w:val="none"/>
              </w:rPr>
              <w:t>主板</w:t>
            </w:r>
          </w:p>
        </w:tc>
        <w:tc>
          <w:tcPr>
            <w:tcW w:w="5361" w:type="dxa"/>
            <w:vAlign w:val="center"/>
          </w:tcPr>
          <w:p w14:paraId="596DB789">
            <w:pPr>
              <w:rPr>
                <w:color w:val="auto"/>
                <w:highlight w:val="none"/>
              </w:rPr>
            </w:pPr>
            <w:r>
              <w:rPr>
                <w:rFonts w:hint="eastAsia"/>
                <w:color w:val="auto"/>
                <w:highlight w:val="none"/>
              </w:rPr>
              <w:t>RB-J1900D4-M(J1900+SM750板载显卡，四显，无板载内存IC，板载CPU主频2.0GHz四核 HW:V1.1 BIOS:V1.4)</w:t>
            </w:r>
          </w:p>
        </w:tc>
        <w:tc>
          <w:tcPr>
            <w:tcW w:w="1067" w:type="dxa"/>
          </w:tcPr>
          <w:p w14:paraId="6126E141">
            <w:pPr>
              <w:jc w:val="center"/>
              <w:rPr>
                <w:color w:val="auto"/>
                <w:highlight w:val="none"/>
              </w:rPr>
            </w:pPr>
            <w:r>
              <w:rPr>
                <w:rFonts w:hint="eastAsia"/>
                <w:color w:val="auto"/>
                <w:highlight w:val="none"/>
              </w:rPr>
              <w:t>是</w:t>
            </w:r>
          </w:p>
        </w:tc>
      </w:tr>
      <w:tr w14:paraId="40C7A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27A89495">
            <w:pPr>
              <w:jc w:val="center"/>
              <w:rPr>
                <w:color w:val="auto"/>
                <w:highlight w:val="none"/>
              </w:rPr>
            </w:pPr>
            <w:r>
              <w:rPr>
                <w:color w:val="auto"/>
                <w:highlight w:val="none"/>
              </w:rPr>
              <w:t>2</w:t>
            </w:r>
          </w:p>
        </w:tc>
        <w:tc>
          <w:tcPr>
            <w:tcW w:w="1404" w:type="dxa"/>
            <w:vAlign w:val="center"/>
          </w:tcPr>
          <w:p w14:paraId="0958D739">
            <w:pPr>
              <w:rPr>
                <w:color w:val="auto"/>
                <w:highlight w:val="none"/>
              </w:rPr>
            </w:pPr>
            <w:r>
              <w:rPr>
                <w:rFonts w:hint="eastAsia"/>
                <w:color w:val="auto"/>
                <w:highlight w:val="none"/>
              </w:rPr>
              <w:t>液晶屏</w:t>
            </w:r>
          </w:p>
        </w:tc>
        <w:tc>
          <w:tcPr>
            <w:tcW w:w="5361" w:type="dxa"/>
            <w:vAlign w:val="center"/>
          </w:tcPr>
          <w:p w14:paraId="304556F0">
            <w:pPr>
              <w:rPr>
                <w:color w:val="auto"/>
                <w:highlight w:val="none"/>
              </w:rPr>
            </w:pPr>
            <w:r>
              <w:rPr>
                <w:color w:val="auto"/>
                <w:highlight w:val="none"/>
              </w:rPr>
              <w:t>G150XTN03.2(AUO)</w:t>
            </w:r>
          </w:p>
        </w:tc>
        <w:tc>
          <w:tcPr>
            <w:tcW w:w="1067" w:type="dxa"/>
          </w:tcPr>
          <w:p w14:paraId="6F24F5A0">
            <w:pPr>
              <w:jc w:val="center"/>
              <w:rPr>
                <w:color w:val="auto"/>
                <w:highlight w:val="none"/>
              </w:rPr>
            </w:pPr>
          </w:p>
        </w:tc>
      </w:tr>
      <w:tr w14:paraId="462C1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48004B83">
            <w:pPr>
              <w:jc w:val="center"/>
              <w:rPr>
                <w:color w:val="auto"/>
                <w:highlight w:val="none"/>
              </w:rPr>
            </w:pPr>
            <w:r>
              <w:rPr>
                <w:color w:val="auto"/>
                <w:highlight w:val="none"/>
              </w:rPr>
              <w:t>3</w:t>
            </w:r>
          </w:p>
        </w:tc>
        <w:tc>
          <w:tcPr>
            <w:tcW w:w="1404" w:type="dxa"/>
            <w:vAlign w:val="center"/>
          </w:tcPr>
          <w:p w14:paraId="4E5DA9F2">
            <w:pPr>
              <w:rPr>
                <w:color w:val="auto"/>
                <w:highlight w:val="none"/>
              </w:rPr>
            </w:pPr>
            <w:r>
              <w:rPr>
                <w:rFonts w:hint="eastAsia"/>
                <w:color w:val="auto"/>
                <w:highlight w:val="none"/>
              </w:rPr>
              <w:t>打印机头</w:t>
            </w:r>
          </w:p>
        </w:tc>
        <w:tc>
          <w:tcPr>
            <w:tcW w:w="5361" w:type="dxa"/>
            <w:vAlign w:val="center"/>
          </w:tcPr>
          <w:p w14:paraId="7A4D7C15">
            <w:pPr>
              <w:rPr>
                <w:color w:val="auto"/>
                <w:highlight w:val="none"/>
              </w:rPr>
            </w:pPr>
            <w:r>
              <w:rPr>
                <w:rFonts w:hint="eastAsia"/>
                <w:color w:val="auto"/>
                <w:highlight w:val="none"/>
              </w:rPr>
              <w:t>BT-T080U,82.5mm,含两根数据线</w:t>
            </w:r>
          </w:p>
        </w:tc>
        <w:tc>
          <w:tcPr>
            <w:tcW w:w="1067" w:type="dxa"/>
          </w:tcPr>
          <w:p w14:paraId="099E234C">
            <w:pPr>
              <w:jc w:val="center"/>
              <w:rPr>
                <w:color w:val="auto"/>
                <w:highlight w:val="none"/>
              </w:rPr>
            </w:pPr>
            <w:r>
              <w:rPr>
                <w:rFonts w:hint="eastAsia"/>
                <w:color w:val="auto"/>
                <w:highlight w:val="none"/>
              </w:rPr>
              <w:t>是</w:t>
            </w:r>
          </w:p>
        </w:tc>
      </w:tr>
      <w:tr w14:paraId="24E84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73658F31">
            <w:pPr>
              <w:jc w:val="center"/>
              <w:rPr>
                <w:color w:val="auto"/>
                <w:highlight w:val="none"/>
              </w:rPr>
            </w:pPr>
            <w:r>
              <w:rPr>
                <w:color w:val="auto"/>
                <w:highlight w:val="none"/>
              </w:rPr>
              <w:t>4</w:t>
            </w:r>
          </w:p>
        </w:tc>
        <w:tc>
          <w:tcPr>
            <w:tcW w:w="1404" w:type="dxa"/>
            <w:vAlign w:val="center"/>
          </w:tcPr>
          <w:p w14:paraId="1A333F51">
            <w:pPr>
              <w:rPr>
                <w:color w:val="auto"/>
                <w:highlight w:val="none"/>
              </w:rPr>
            </w:pPr>
            <w:r>
              <w:rPr>
                <w:rFonts w:hint="eastAsia"/>
                <w:color w:val="auto"/>
                <w:highlight w:val="none"/>
              </w:rPr>
              <w:t>打印机板</w:t>
            </w:r>
          </w:p>
        </w:tc>
        <w:tc>
          <w:tcPr>
            <w:tcW w:w="5361" w:type="dxa"/>
            <w:vAlign w:val="center"/>
          </w:tcPr>
          <w:p w14:paraId="3B10CB49">
            <w:pPr>
              <w:rPr>
                <w:color w:val="auto"/>
                <w:highlight w:val="none"/>
              </w:rPr>
            </w:pPr>
            <w:r>
              <w:rPr>
                <w:rFonts w:hint="eastAsia"/>
                <w:color w:val="auto"/>
                <w:highlight w:val="none"/>
              </w:rPr>
              <w:t>KSKAE V1.1(USB接口，固件版本FV3.090)</w:t>
            </w:r>
          </w:p>
        </w:tc>
        <w:tc>
          <w:tcPr>
            <w:tcW w:w="1067" w:type="dxa"/>
          </w:tcPr>
          <w:p w14:paraId="0E538697">
            <w:pPr>
              <w:jc w:val="center"/>
              <w:rPr>
                <w:color w:val="auto"/>
                <w:highlight w:val="none"/>
              </w:rPr>
            </w:pPr>
            <w:r>
              <w:rPr>
                <w:rFonts w:hint="eastAsia"/>
                <w:color w:val="auto"/>
                <w:highlight w:val="none"/>
              </w:rPr>
              <w:t>是</w:t>
            </w:r>
          </w:p>
        </w:tc>
      </w:tr>
      <w:tr w14:paraId="7D669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194B0428">
            <w:pPr>
              <w:jc w:val="center"/>
              <w:rPr>
                <w:color w:val="auto"/>
                <w:highlight w:val="none"/>
              </w:rPr>
            </w:pPr>
            <w:r>
              <w:rPr>
                <w:color w:val="auto"/>
                <w:highlight w:val="none"/>
              </w:rPr>
              <w:t>5</w:t>
            </w:r>
          </w:p>
        </w:tc>
        <w:tc>
          <w:tcPr>
            <w:tcW w:w="1404" w:type="dxa"/>
            <w:vAlign w:val="center"/>
          </w:tcPr>
          <w:p w14:paraId="6DEB32E4">
            <w:pPr>
              <w:rPr>
                <w:color w:val="auto"/>
                <w:highlight w:val="none"/>
              </w:rPr>
            </w:pPr>
            <w:r>
              <w:rPr>
                <w:rFonts w:hint="eastAsia"/>
                <w:color w:val="auto"/>
                <w:highlight w:val="none"/>
              </w:rPr>
              <w:t>OCR阅读器</w:t>
            </w:r>
          </w:p>
        </w:tc>
        <w:tc>
          <w:tcPr>
            <w:tcW w:w="5361" w:type="dxa"/>
            <w:vAlign w:val="center"/>
          </w:tcPr>
          <w:p w14:paraId="730C5627">
            <w:pPr>
              <w:rPr>
                <w:color w:val="auto"/>
                <w:highlight w:val="none"/>
              </w:rPr>
            </w:pPr>
            <w:r>
              <w:rPr>
                <w:rFonts w:hint="eastAsia"/>
                <w:color w:val="auto"/>
                <w:highlight w:val="none"/>
              </w:rPr>
              <w:t>OCR2000E-80，82.5mm，USB接口，固件版本22.01.06.11</w:t>
            </w:r>
          </w:p>
        </w:tc>
        <w:tc>
          <w:tcPr>
            <w:tcW w:w="1067" w:type="dxa"/>
          </w:tcPr>
          <w:p w14:paraId="3B5203CA">
            <w:pPr>
              <w:jc w:val="center"/>
              <w:rPr>
                <w:color w:val="auto"/>
                <w:highlight w:val="none"/>
              </w:rPr>
            </w:pPr>
            <w:r>
              <w:rPr>
                <w:rFonts w:hint="eastAsia"/>
                <w:color w:val="auto"/>
                <w:highlight w:val="none"/>
              </w:rPr>
              <w:t>是</w:t>
            </w:r>
          </w:p>
        </w:tc>
      </w:tr>
      <w:tr w14:paraId="631BB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B798B73">
            <w:pPr>
              <w:jc w:val="center"/>
              <w:rPr>
                <w:color w:val="auto"/>
                <w:highlight w:val="none"/>
              </w:rPr>
            </w:pPr>
            <w:r>
              <w:rPr>
                <w:color w:val="auto"/>
                <w:highlight w:val="none"/>
              </w:rPr>
              <w:t>6</w:t>
            </w:r>
          </w:p>
        </w:tc>
        <w:tc>
          <w:tcPr>
            <w:tcW w:w="1404" w:type="dxa"/>
            <w:vAlign w:val="center"/>
          </w:tcPr>
          <w:p w14:paraId="40E79B0F">
            <w:pPr>
              <w:rPr>
                <w:color w:val="auto"/>
                <w:highlight w:val="none"/>
              </w:rPr>
            </w:pPr>
            <w:r>
              <w:rPr>
                <w:rFonts w:hint="eastAsia"/>
                <w:color w:val="auto"/>
                <w:highlight w:val="none"/>
              </w:rPr>
              <w:t>开关电源</w:t>
            </w:r>
          </w:p>
        </w:tc>
        <w:tc>
          <w:tcPr>
            <w:tcW w:w="5361" w:type="dxa"/>
            <w:vAlign w:val="center"/>
          </w:tcPr>
          <w:p w14:paraId="103477F4">
            <w:pPr>
              <w:rPr>
                <w:color w:val="auto"/>
                <w:highlight w:val="none"/>
              </w:rPr>
            </w:pPr>
            <w:r>
              <w:rPr>
                <w:rFonts w:hint="eastAsia"/>
                <w:color w:val="auto"/>
                <w:highlight w:val="none"/>
              </w:rPr>
              <w:t>FT-U220Q27-7A，带PVC绝缘片</w:t>
            </w:r>
          </w:p>
        </w:tc>
        <w:tc>
          <w:tcPr>
            <w:tcW w:w="1067" w:type="dxa"/>
          </w:tcPr>
          <w:p w14:paraId="47EA7586">
            <w:pPr>
              <w:jc w:val="center"/>
              <w:rPr>
                <w:color w:val="auto"/>
                <w:highlight w:val="none"/>
              </w:rPr>
            </w:pPr>
            <w:r>
              <w:rPr>
                <w:rFonts w:hint="eastAsia"/>
                <w:color w:val="auto"/>
                <w:highlight w:val="none"/>
              </w:rPr>
              <w:t>是</w:t>
            </w:r>
          </w:p>
        </w:tc>
      </w:tr>
      <w:tr w14:paraId="39FB2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6F88F6D">
            <w:pPr>
              <w:jc w:val="center"/>
              <w:rPr>
                <w:color w:val="auto"/>
                <w:highlight w:val="none"/>
              </w:rPr>
            </w:pPr>
            <w:r>
              <w:rPr>
                <w:color w:val="auto"/>
                <w:highlight w:val="none"/>
              </w:rPr>
              <w:t>7</w:t>
            </w:r>
          </w:p>
        </w:tc>
        <w:tc>
          <w:tcPr>
            <w:tcW w:w="1404" w:type="dxa"/>
            <w:vAlign w:val="center"/>
          </w:tcPr>
          <w:p w14:paraId="78A30D3B">
            <w:pPr>
              <w:rPr>
                <w:color w:val="auto"/>
                <w:highlight w:val="none"/>
              </w:rPr>
            </w:pPr>
            <w:r>
              <w:rPr>
                <w:rFonts w:hint="eastAsia"/>
                <w:color w:val="auto"/>
                <w:highlight w:val="none"/>
              </w:rPr>
              <w:t>DOM电子盘</w:t>
            </w:r>
          </w:p>
        </w:tc>
        <w:tc>
          <w:tcPr>
            <w:tcW w:w="5361" w:type="dxa"/>
            <w:vAlign w:val="center"/>
          </w:tcPr>
          <w:p w14:paraId="223F78F6">
            <w:pPr>
              <w:rPr>
                <w:color w:val="auto"/>
                <w:highlight w:val="none"/>
              </w:rPr>
            </w:pPr>
            <w:r>
              <w:rPr>
                <w:rFonts w:hint="eastAsia"/>
                <w:color w:val="auto"/>
                <w:highlight w:val="none"/>
              </w:rPr>
              <w:t>DESMV-8G， SATA接口 MLC，标准级</w:t>
            </w:r>
          </w:p>
        </w:tc>
        <w:tc>
          <w:tcPr>
            <w:tcW w:w="1067" w:type="dxa"/>
          </w:tcPr>
          <w:p w14:paraId="781037D3">
            <w:pPr>
              <w:jc w:val="center"/>
              <w:rPr>
                <w:color w:val="auto"/>
                <w:highlight w:val="none"/>
              </w:rPr>
            </w:pPr>
            <w:r>
              <w:rPr>
                <w:rFonts w:hint="eastAsia"/>
                <w:color w:val="auto"/>
                <w:highlight w:val="none"/>
              </w:rPr>
              <w:t>是</w:t>
            </w:r>
          </w:p>
        </w:tc>
      </w:tr>
      <w:tr w14:paraId="73AA6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60D6D0C0">
            <w:pPr>
              <w:jc w:val="center"/>
              <w:rPr>
                <w:color w:val="auto"/>
                <w:highlight w:val="none"/>
              </w:rPr>
            </w:pPr>
            <w:r>
              <w:rPr>
                <w:color w:val="auto"/>
                <w:highlight w:val="none"/>
              </w:rPr>
              <w:t>8</w:t>
            </w:r>
          </w:p>
        </w:tc>
        <w:tc>
          <w:tcPr>
            <w:tcW w:w="1404" w:type="dxa"/>
            <w:vAlign w:val="center"/>
          </w:tcPr>
          <w:p w14:paraId="2C13301D">
            <w:pPr>
              <w:rPr>
                <w:color w:val="auto"/>
                <w:highlight w:val="none"/>
              </w:rPr>
            </w:pPr>
            <w:r>
              <w:rPr>
                <w:rFonts w:hint="eastAsia"/>
                <w:color w:val="auto"/>
                <w:highlight w:val="none"/>
              </w:rPr>
              <w:t>内存条</w:t>
            </w:r>
          </w:p>
        </w:tc>
        <w:tc>
          <w:tcPr>
            <w:tcW w:w="5361" w:type="dxa"/>
            <w:vAlign w:val="center"/>
          </w:tcPr>
          <w:p w14:paraId="7729A49E">
            <w:pPr>
              <w:rPr>
                <w:color w:val="auto"/>
                <w:highlight w:val="none"/>
              </w:rPr>
            </w:pPr>
            <w:r>
              <w:rPr>
                <w:color w:val="auto"/>
                <w:highlight w:val="none"/>
              </w:rPr>
              <w:t>2G DDR3L 1600  SODIMM</w:t>
            </w:r>
          </w:p>
        </w:tc>
        <w:tc>
          <w:tcPr>
            <w:tcW w:w="1067" w:type="dxa"/>
          </w:tcPr>
          <w:p w14:paraId="139D4AAC">
            <w:pPr>
              <w:jc w:val="center"/>
              <w:rPr>
                <w:color w:val="auto"/>
                <w:highlight w:val="none"/>
              </w:rPr>
            </w:pPr>
            <w:r>
              <w:rPr>
                <w:rFonts w:hint="eastAsia"/>
                <w:color w:val="auto"/>
                <w:highlight w:val="none"/>
              </w:rPr>
              <w:t>是</w:t>
            </w:r>
          </w:p>
        </w:tc>
      </w:tr>
      <w:tr w14:paraId="6A831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68E9CD8E">
            <w:pPr>
              <w:jc w:val="center"/>
              <w:rPr>
                <w:color w:val="auto"/>
                <w:highlight w:val="none"/>
              </w:rPr>
            </w:pPr>
            <w:r>
              <w:rPr>
                <w:color w:val="auto"/>
                <w:highlight w:val="none"/>
              </w:rPr>
              <w:t>9</w:t>
            </w:r>
          </w:p>
        </w:tc>
        <w:tc>
          <w:tcPr>
            <w:tcW w:w="1404" w:type="dxa"/>
            <w:vAlign w:val="center"/>
          </w:tcPr>
          <w:p w14:paraId="6C7FBC24">
            <w:pPr>
              <w:rPr>
                <w:color w:val="auto"/>
                <w:highlight w:val="none"/>
              </w:rPr>
            </w:pPr>
            <w:r>
              <w:rPr>
                <w:rFonts w:hint="eastAsia"/>
                <w:color w:val="auto"/>
                <w:highlight w:val="none"/>
              </w:rPr>
              <w:t>背光控制板</w:t>
            </w:r>
          </w:p>
        </w:tc>
        <w:tc>
          <w:tcPr>
            <w:tcW w:w="5361" w:type="dxa"/>
            <w:vAlign w:val="center"/>
          </w:tcPr>
          <w:p w14:paraId="7B619F12">
            <w:pPr>
              <w:rPr>
                <w:color w:val="auto"/>
                <w:highlight w:val="none"/>
              </w:rPr>
            </w:pPr>
            <w:r>
              <w:rPr>
                <w:rFonts w:hint="eastAsia"/>
                <w:color w:val="auto"/>
                <w:highlight w:val="none"/>
              </w:rPr>
              <w:t>SW-PWM150，15寸LED屏背光控制板</w:t>
            </w:r>
          </w:p>
        </w:tc>
        <w:tc>
          <w:tcPr>
            <w:tcW w:w="1067" w:type="dxa"/>
          </w:tcPr>
          <w:p w14:paraId="6B206841">
            <w:pPr>
              <w:jc w:val="center"/>
              <w:rPr>
                <w:color w:val="auto"/>
                <w:highlight w:val="none"/>
              </w:rPr>
            </w:pPr>
          </w:p>
        </w:tc>
      </w:tr>
      <w:tr w14:paraId="42051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6E80B0AD">
            <w:pPr>
              <w:jc w:val="center"/>
              <w:rPr>
                <w:color w:val="auto"/>
                <w:highlight w:val="none"/>
              </w:rPr>
            </w:pPr>
            <w:r>
              <w:rPr>
                <w:color w:val="auto"/>
                <w:highlight w:val="none"/>
              </w:rPr>
              <w:t>10</w:t>
            </w:r>
          </w:p>
        </w:tc>
        <w:tc>
          <w:tcPr>
            <w:tcW w:w="1404" w:type="dxa"/>
            <w:vAlign w:val="center"/>
          </w:tcPr>
          <w:p w14:paraId="5A06DD93">
            <w:pPr>
              <w:rPr>
                <w:color w:val="auto"/>
                <w:highlight w:val="none"/>
              </w:rPr>
            </w:pPr>
            <w:r>
              <w:rPr>
                <w:rFonts w:hint="eastAsia"/>
                <w:color w:val="auto"/>
                <w:highlight w:val="none"/>
              </w:rPr>
              <w:t>键盘</w:t>
            </w:r>
          </w:p>
        </w:tc>
        <w:tc>
          <w:tcPr>
            <w:tcW w:w="5361" w:type="dxa"/>
            <w:vAlign w:val="center"/>
          </w:tcPr>
          <w:p w14:paraId="546F2CA3">
            <w:pPr>
              <w:rPr>
                <w:color w:val="auto"/>
                <w:highlight w:val="none"/>
              </w:rPr>
            </w:pPr>
            <w:r>
              <w:rPr>
                <w:color w:val="auto"/>
                <w:highlight w:val="none"/>
              </w:rPr>
              <w:t>KB-F01A</w:t>
            </w:r>
          </w:p>
        </w:tc>
        <w:tc>
          <w:tcPr>
            <w:tcW w:w="1067" w:type="dxa"/>
          </w:tcPr>
          <w:p w14:paraId="48105A0F">
            <w:pPr>
              <w:jc w:val="center"/>
              <w:rPr>
                <w:color w:val="auto"/>
                <w:highlight w:val="none"/>
              </w:rPr>
            </w:pPr>
            <w:r>
              <w:rPr>
                <w:rFonts w:hint="eastAsia"/>
                <w:color w:val="auto"/>
                <w:highlight w:val="none"/>
              </w:rPr>
              <w:t>是</w:t>
            </w:r>
          </w:p>
        </w:tc>
      </w:tr>
      <w:tr w14:paraId="575A4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77FD854C">
            <w:pPr>
              <w:jc w:val="center"/>
              <w:rPr>
                <w:color w:val="auto"/>
                <w:highlight w:val="none"/>
              </w:rPr>
            </w:pPr>
            <w:r>
              <w:rPr>
                <w:color w:val="auto"/>
                <w:highlight w:val="none"/>
              </w:rPr>
              <w:t>11</w:t>
            </w:r>
          </w:p>
        </w:tc>
        <w:tc>
          <w:tcPr>
            <w:tcW w:w="1404" w:type="dxa"/>
            <w:vAlign w:val="center"/>
          </w:tcPr>
          <w:p w14:paraId="53EFA91F">
            <w:pPr>
              <w:rPr>
                <w:color w:val="auto"/>
                <w:highlight w:val="none"/>
              </w:rPr>
            </w:pPr>
            <w:r>
              <w:rPr>
                <w:rFonts w:hint="eastAsia"/>
                <w:color w:val="auto"/>
                <w:highlight w:val="none"/>
              </w:rPr>
              <w:t>接口板</w:t>
            </w:r>
          </w:p>
        </w:tc>
        <w:tc>
          <w:tcPr>
            <w:tcW w:w="5361" w:type="dxa"/>
            <w:vAlign w:val="center"/>
          </w:tcPr>
          <w:p w14:paraId="2C37F57C">
            <w:pPr>
              <w:rPr>
                <w:color w:val="auto"/>
                <w:highlight w:val="none"/>
              </w:rPr>
            </w:pPr>
            <w:r>
              <w:rPr>
                <w:color w:val="auto"/>
                <w:highlight w:val="none"/>
              </w:rPr>
              <w:t>LT-F06-IT-001E</w:t>
            </w:r>
          </w:p>
        </w:tc>
        <w:tc>
          <w:tcPr>
            <w:tcW w:w="1067" w:type="dxa"/>
          </w:tcPr>
          <w:p w14:paraId="79D16D1C">
            <w:pPr>
              <w:jc w:val="center"/>
              <w:rPr>
                <w:color w:val="auto"/>
                <w:highlight w:val="none"/>
              </w:rPr>
            </w:pPr>
          </w:p>
        </w:tc>
      </w:tr>
      <w:tr w14:paraId="3CEAC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140FAF3A">
            <w:pPr>
              <w:jc w:val="center"/>
              <w:rPr>
                <w:color w:val="auto"/>
                <w:highlight w:val="none"/>
              </w:rPr>
            </w:pPr>
            <w:r>
              <w:rPr>
                <w:color w:val="auto"/>
                <w:highlight w:val="none"/>
              </w:rPr>
              <w:t>12</w:t>
            </w:r>
          </w:p>
        </w:tc>
        <w:tc>
          <w:tcPr>
            <w:tcW w:w="1404" w:type="dxa"/>
            <w:vAlign w:val="center"/>
          </w:tcPr>
          <w:p w14:paraId="38C20B7A">
            <w:pPr>
              <w:rPr>
                <w:color w:val="auto"/>
                <w:highlight w:val="none"/>
              </w:rPr>
            </w:pPr>
            <w:r>
              <w:rPr>
                <w:rFonts w:hint="eastAsia"/>
                <w:color w:val="auto"/>
                <w:highlight w:val="none"/>
              </w:rPr>
              <w:t>音量亮度按键板</w:t>
            </w:r>
          </w:p>
        </w:tc>
        <w:tc>
          <w:tcPr>
            <w:tcW w:w="5361" w:type="dxa"/>
            <w:vAlign w:val="center"/>
          </w:tcPr>
          <w:p w14:paraId="073F2522">
            <w:pPr>
              <w:rPr>
                <w:color w:val="auto"/>
                <w:highlight w:val="none"/>
              </w:rPr>
            </w:pPr>
            <w:r>
              <w:rPr>
                <w:color w:val="auto"/>
                <w:highlight w:val="none"/>
              </w:rPr>
              <w:t>LT-F06-KY-001A</w:t>
            </w:r>
          </w:p>
        </w:tc>
        <w:tc>
          <w:tcPr>
            <w:tcW w:w="1067" w:type="dxa"/>
          </w:tcPr>
          <w:p w14:paraId="1C804CB7">
            <w:pPr>
              <w:jc w:val="center"/>
              <w:rPr>
                <w:color w:val="auto"/>
                <w:highlight w:val="none"/>
              </w:rPr>
            </w:pPr>
          </w:p>
        </w:tc>
      </w:tr>
      <w:tr w14:paraId="16A4F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BE88426">
            <w:pPr>
              <w:jc w:val="center"/>
              <w:rPr>
                <w:color w:val="auto"/>
                <w:highlight w:val="none"/>
              </w:rPr>
            </w:pPr>
            <w:r>
              <w:rPr>
                <w:color w:val="auto"/>
                <w:highlight w:val="none"/>
              </w:rPr>
              <w:t>13</w:t>
            </w:r>
          </w:p>
        </w:tc>
        <w:tc>
          <w:tcPr>
            <w:tcW w:w="1404" w:type="dxa"/>
            <w:vAlign w:val="center"/>
          </w:tcPr>
          <w:p w14:paraId="622276BA">
            <w:pPr>
              <w:rPr>
                <w:color w:val="auto"/>
                <w:highlight w:val="none"/>
              </w:rPr>
            </w:pPr>
            <w:r>
              <w:rPr>
                <w:rFonts w:hint="eastAsia"/>
                <w:color w:val="auto"/>
                <w:highlight w:val="none"/>
              </w:rPr>
              <w:t>打印机LED开关板</w:t>
            </w:r>
          </w:p>
        </w:tc>
        <w:tc>
          <w:tcPr>
            <w:tcW w:w="5361" w:type="dxa"/>
            <w:vAlign w:val="center"/>
          </w:tcPr>
          <w:p w14:paraId="5F31A977">
            <w:pPr>
              <w:rPr>
                <w:color w:val="auto"/>
                <w:highlight w:val="none"/>
              </w:rPr>
            </w:pPr>
            <w:r>
              <w:rPr>
                <w:color w:val="auto"/>
                <w:highlight w:val="none"/>
              </w:rPr>
              <w:t>LT-F06-PR-001A</w:t>
            </w:r>
          </w:p>
        </w:tc>
        <w:tc>
          <w:tcPr>
            <w:tcW w:w="1067" w:type="dxa"/>
          </w:tcPr>
          <w:p w14:paraId="0F3F29A7">
            <w:pPr>
              <w:jc w:val="center"/>
              <w:rPr>
                <w:color w:val="auto"/>
                <w:highlight w:val="none"/>
              </w:rPr>
            </w:pPr>
          </w:p>
        </w:tc>
      </w:tr>
      <w:tr w14:paraId="51E13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42D1B985">
            <w:pPr>
              <w:jc w:val="center"/>
              <w:rPr>
                <w:color w:val="auto"/>
                <w:highlight w:val="none"/>
              </w:rPr>
            </w:pPr>
            <w:r>
              <w:rPr>
                <w:color w:val="auto"/>
                <w:highlight w:val="none"/>
              </w:rPr>
              <w:t>14</w:t>
            </w:r>
          </w:p>
        </w:tc>
        <w:tc>
          <w:tcPr>
            <w:tcW w:w="1404" w:type="dxa"/>
            <w:vAlign w:val="center"/>
          </w:tcPr>
          <w:p w14:paraId="02C6EA5A">
            <w:pPr>
              <w:rPr>
                <w:color w:val="auto"/>
                <w:highlight w:val="none"/>
              </w:rPr>
            </w:pPr>
            <w:r>
              <w:rPr>
                <w:rFonts w:hint="eastAsia"/>
                <w:color w:val="auto"/>
                <w:highlight w:val="none"/>
              </w:rPr>
              <w:t>系统LED开关板</w:t>
            </w:r>
          </w:p>
        </w:tc>
        <w:tc>
          <w:tcPr>
            <w:tcW w:w="5361" w:type="dxa"/>
            <w:vAlign w:val="center"/>
          </w:tcPr>
          <w:p w14:paraId="241939AA">
            <w:pPr>
              <w:rPr>
                <w:color w:val="auto"/>
                <w:highlight w:val="none"/>
              </w:rPr>
            </w:pPr>
            <w:r>
              <w:rPr>
                <w:color w:val="auto"/>
                <w:highlight w:val="none"/>
              </w:rPr>
              <w:t>LT-F06-SL-001B</w:t>
            </w:r>
          </w:p>
        </w:tc>
        <w:tc>
          <w:tcPr>
            <w:tcW w:w="1067" w:type="dxa"/>
          </w:tcPr>
          <w:p w14:paraId="76C606B9">
            <w:pPr>
              <w:jc w:val="center"/>
              <w:rPr>
                <w:color w:val="auto"/>
                <w:highlight w:val="none"/>
              </w:rPr>
            </w:pPr>
          </w:p>
        </w:tc>
      </w:tr>
      <w:tr w14:paraId="492C5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71636308">
            <w:pPr>
              <w:jc w:val="center"/>
              <w:rPr>
                <w:color w:val="auto"/>
                <w:highlight w:val="none"/>
              </w:rPr>
            </w:pPr>
            <w:r>
              <w:rPr>
                <w:color w:val="auto"/>
                <w:highlight w:val="none"/>
              </w:rPr>
              <w:t>15</w:t>
            </w:r>
          </w:p>
        </w:tc>
        <w:tc>
          <w:tcPr>
            <w:tcW w:w="1404" w:type="dxa"/>
            <w:vAlign w:val="center"/>
          </w:tcPr>
          <w:p w14:paraId="0CDB15F5">
            <w:pPr>
              <w:rPr>
                <w:color w:val="auto"/>
                <w:highlight w:val="none"/>
              </w:rPr>
            </w:pPr>
            <w:r>
              <w:rPr>
                <w:rFonts w:hint="eastAsia"/>
                <w:color w:val="auto"/>
                <w:highlight w:val="none"/>
              </w:rPr>
              <w:t>USB接口转接板</w:t>
            </w:r>
          </w:p>
        </w:tc>
        <w:tc>
          <w:tcPr>
            <w:tcW w:w="5361" w:type="dxa"/>
            <w:vAlign w:val="center"/>
          </w:tcPr>
          <w:p w14:paraId="4BE608C8">
            <w:pPr>
              <w:rPr>
                <w:color w:val="auto"/>
                <w:highlight w:val="none"/>
              </w:rPr>
            </w:pPr>
            <w:r>
              <w:rPr>
                <w:color w:val="auto"/>
                <w:highlight w:val="none"/>
              </w:rPr>
              <w:t>LT-F06-US-001A</w:t>
            </w:r>
          </w:p>
        </w:tc>
        <w:tc>
          <w:tcPr>
            <w:tcW w:w="1067" w:type="dxa"/>
          </w:tcPr>
          <w:p w14:paraId="52EBC403">
            <w:pPr>
              <w:jc w:val="center"/>
              <w:rPr>
                <w:color w:val="auto"/>
                <w:highlight w:val="none"/>
              </w:rPr>
            </w:pPr>
          </w:p>
        </w:tc>
      </w:tr>
      <w:tr w14:paraId="45700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4E4945B4">
            <w:pPr>
              <w:jc w:val="center"/>
              <w:rPr>
                <w:color w:val="auto"/>
                <w:highlight w:val="none"/>
              </w:rPr>
            </w:pPr>
            <w:r>
              <w:rPr>
                <w:color w:val="auto"/>
                <w:highlight w:val="none"/>
              </w:rPr>
              <w:t>16</w:t>
            </w:r>
          </w:p>
        </w:tc>
        <w:tc>
          <w:tcPr>
            <w:tcW w:w="1404" w:type="dxa"/>
            <w:vAlign w:val="center"/>
          </w:tcPr>
          <w:p w14:paraId="6C03E1D4">
            <w:pPr>
              <w:rPr>
                <w:color w:val="auto"/>
                <w:highlight w:val="none"/>
              </w:rPr>
            </w:pPr>
            <w:r>
              <w:rPr>
                <w:rFonts w:hint="eastAsia"/>
                <w:color w:val="auto"/>
                <w:highlight w:val="none"/>
              </w:rPr>
              <w:t>音频功放板</w:t>
            </w:r>
          </w:p>
        </w:tc>
        <w:tc>
          <w:tcPr>
            <w:tcW w:w="5361" w:type="dxa"/>
            <w:vAlign w:val="center"/>
          </w:tcPr>
          <w:p w14:paraId="6BFB813E">
            <w:pPr>
              <w:rPr>
                <w:color w:val="auto"/>
                <w:highlight w:val="none"/>
              </w:rPr>
            </w:pPr>
            <w:r>
              <w:rPr>
                <w:color w:val="auto"/>
                <w:highlight w:val="none"/>
              </w:rPr>
              <w:t>LT-F06-AU-001B</w:t>
            </w:r>
          </w:p>
        </w:tc>
        <w:tc>
          <w:tcPr>
            <w:tcW w:w="1067" w:type="dxa"/>
          </w:tcPr>
          <w:p w14:paraId="2A9A11D9">
            <w:pPr>
              <w:jc w:val="center"/>
              <w:rPr>
                <w:color w:val="auto"/>
                <w:highlight w:val="none"/>
              </w:rPr>
            </w:pPr>
          </w:p>
        </w:tc>
      </w:tr>
      <w:tr w14:paraId="766EA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15AA27B6">
            <w:pPr>
              <w:jc w:val="center"/>
              <w:rPr>
                <w:color w:val="auto"/>
                <w:highlight w:val="none"/>
              </w:rPr>
            </w:pPr>
            <w:r>
              <w:rPr>
                <w:color w:val="auto"/>
                <w:highlight w:val="none"/>
              </w:rPr>
              <w:t>17</w:t>
            </w:r>
          </w:p>
        </w:tc>
        <w:tc>
          <w:tcPr>
            <w:tcW w:w="1404" w:type="dxa"/>
            <w:vAlign w:val="center"/>
          </w:tcPr>
          <w:p w14:paraId="3BC24111">
            <w:pPr>
              <w:rPr>
                <w:color w:val="auto"/>
                <w:highlight w:val="none"/>
              </w:rPr>
            </w:pPr>
            <w:r>
              <w:rPr>
                <w:rFonts w:hint="eastAsia"/>
                <w:color w:val="auto"/>
                <w:highlight w:val="none"/>
              </w:rPr>
              <w:t>系统监测板</w:t>
            </w:r>
          </w:p>
        </w:tc>
        <w:tc>
          <w:tcPr>
            <w:tcW w:w="5361" w:type="dxa"/>
            <w:vAlign w:val="center"/>
          </w:tcPr>
          <w:p w14:paraId="2646FBC0">
            <w:pPr>
              <w:rPr>
                <w:color w:val="auto"/>
                <w:highlight w:val="none"/>
              </w:rPr>
            </w:pPr>
            <w:r>
              <w:rPr>
                <w:color w:val="auto"/>
                <w:highlight w:val="none"/>
              </w:rPr>
              <w:t>LT-F06-WA-001B</w:t>
            </w:r>
          </w:p>
        </w:tc>
        <w:tc>
          <w:tcPr>
            <w:tcW w:w="1067" w:type="dxa"/>
          </w:tcPr>
          <w:p w14:paraId="0C34AEAC">
            <w:pPr>
              <w:jc w:val="center"/>
              <w:rPr>
                <w:color w:val="auto"/>
                <w:highlight w:val="none"/>
              </w:rPr>
            </w:pPr>
          </w:p>
        </w:tc>
      </w:tr>
      <w:tr w14:paraId="0DD2C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7C4D0702">
            <w:pPr>
              <w:jc w:val="center"/>
              <w:rPr>
                <w:color w:val="auto"/>
                <w:highlight w:val="none"/>
              </w:rPr>
            </w:pPr>
            <w:r>
              <w:rPr>
                <w:color w:val="auto"/>
                <w:highlight w:val="none"/>
              </w:rPr>
              <w:t>18</w:t>
            </w:r>
          </w:p>
        </w:tc>
        <w:tc>
          <w:tcPr>
            <w:tcW w:w="1404" w:type="dxa"/>
            <w:vAlign w:val="center"/>
          </w:tcPr>
          <w:p w14:paraId="3212C62C">
            <w:pPr>
              <w:rPr>
                <w:color w:val="auto"/>
                <w:highlight w:val="none"/>
              </w:rPr>
            </w:pPr>
            <w:r>
              <w:rPr>
                <w:rFonts w:hint="eastAsia"/>
                <w:color w:val="auto"/>
                <w:highlight w:val="none"/>
              </w:rPr>
              <w:t>风扇</w:t>
            </w:r>
          </w:p>
        </w:tc>
        <w:tc>
          <w:tcPr>
            <w:tcW w:w="5361" w:type="dxa"/>
            <w:vAlign w:val="center"/>
          </w:tcPr>
          <w:p w14:paraId="154955F0">
            <w:pPr>
              <w:rPr>
                <w:color w:val="auto"/>
                <w:highlight w:val="none"/>
              </w:rPr>
            </w:pPr>
            <w:r>
              <w:rPr>
                <w:rFonts w:hint="eastAsia"/>
                <w:color w:val="auto"/>
                <w:highlight w:val="none"/>
              </w:rPr>
              <w:t>AD0612MB-C70GL(T)-2P，DC12V/0.08A，2PIN插头</w:t>
            </w:r>
          </w:p>
        </w:tc>
        <w:tc>
          <w:tcPr>
            <w:tcW w:w="1067" w:type="dxa"/>
          </w:tcPr>
          <w:p w14:paraId="39728465">
            <w:pPr>
              <w:jc w:val="center"/>
              <w:rPr>
                <w:color w:val="auto"/>
                <w:highlight w:val="none"/>
              </w:rPr>
            </w:pPr>
          </w:p>
        </w:tc>
      </w:tr>
      <w:tr w14:paraId="69B63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F0897F5">
            <w:pPr>
              <w:jc w:val="center"/>
              <w:rPr>
                <w:color w:val="auto"/>
                <w:highlight w:val="none"/>
              </w:rPr>
            </w:pPr>
            <w:r>
              <w:rPr>
                <w:color w:val="auto"/>
                <w:highlight w:val="none"/>
              </w:rPr>
              <w:t>19</w:t>
            </w:r>
          </w:p>
        </w:tc>
        <w:tc>
          <w:tcPr>
            <w:tcW w:w="1404" w:type="dxa"/>
            <w:vAlign w:val="center"/>
          </w:tcPr>
          <w:p w14:paraId="47BA6241">
            <w:pPr>
              <w:rPr>
                <w:color w:val="auto"/>
                <w:highlight w:val="none"/>
              </w:rPr>
            </w:pPr>
            <w:r>
              <w:rPr>
                <w:rFonts w:hint="eastAsia"/>
                <w:color w:val="auto"/>
                <w:highlight w:val="none"/>
              </w:rPr>
              <w:t>风扇</w:t>
            </w:r>
          </w:p>
        </w:tc>
        <w:tc>
          <w:tcPr>
            <w:tcW w:w="5361" w:type="dxa"/>
            <w:vAlign w:val="center"/>
          </w:tcPr>
          <w:p w14:paraId="54581FB2">
            <w:pPr>
              <w:rPr>
                <w:color w:val="auto"/>
                <w:highlight w:val="none"/>
              </w:rPr>
            </w:pPr>
            <w:r>
              <w:rPr>
                <w:rFonts w:hint="eastAsia"/>
                <w:color w:val="auto"/>
                <w:highlight w:val="none"/>
              </w:rPr>
              <w:t>AD0612MB-C70GL(T)-3P，DC12V/0.08A，3PIN插头</w:t>
            </w:r>
          </w:p>
        </w:tc>
        <w:tc>
          <w:tcPr>
            <w:tcW w:w="1067" w:type="dxa"/>
          </w:tcPr>
          <w:p w14:paraId="53C4BF76">
            <w:pPr>
              <w:jc w:val="center"/>
              <w:rPr>
                <w:color w:val="auto"/>
                <w:highlight w:val="none"/>
              </w:rPr>
            </w:pPr>
          </w:p>
        </w:tc>
      </w:tr>
      <w:tr w14:paraId="0F95A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077E92D0">
            <w:pPr>
              <w:jc w:val="center"/>
              <w:rPr>
                <w:color w:val="auto"/>
                <w:highlight w:val="none"/>
              </w:rPr>
            </w:pPr>
            <w:r>
              <w:rPr>
                <w:color w:val="auto"/>
                <w:highlight w:val="none"/>
              </w:rPr>
              <w:t>20</w:t>
            </w:r>
          </w:p>
        </w:tc>
        <w:tc>
          <w:tcPr>
            <w:tcW w:w="1404" w:type="dxa"/>
            <w:vAlign w:val="center"/>
          </w:tcPr>
          <w:p w14:paraId="1DD2F7F4">
            <w:pPr>
              <w:rPr>
                <w:color w:val="auto"/>
                <w:highlight w:val="none"/>
              </w:rPr>
            </w:pPr>
            <w:r>
              <w:rPr>
                <w:rFonts w:hint="eastAsia"/>
                <w:color w:val="auto"/>
                <w:highlight w:val="none"/>
              </w:rPr>
              <w:t>客显屏</w:t>
            </w:r>
          </w:p>
        </w:tc>
        <w:tc>
          <w:tcPr>
            <w:tcW w:w="5361" w:type="dxa"/>
            <w:vAlign w:val="center"/>
          </w:tcPr>
          <w:p w14:paraId="417EFC92">
            <w:pPr>
              <w:rPr>
                <w:color w:val="auto"/>
                <w:highlight w:val="none"/>
              </w:rPr>
            </w:pPr>
            <w:r>
              <w:rPr>
                <w:rFonts w:hint="eastAsia"/>
                <w:color w:val="auto"/>
                <w:highlight w:val="none"/>
              </w:rPr>
              <w:t>GL-DP22客显屏，彩色屏，分辨率1024x768</w:t>
            </w:r>
          </w:p>
          <w:p w14:paraId="3FAC37F8">
            <w:pPr>
              <w:rPr>
                <w:color w:val="auto"/>
                <w:highlight w:val="none"/>
              </w:rPr>
            </w:pPr>
            <w:r>
              <w:rPr>
                <w:rFonts w:hint="eastAsia"/>
                <w:color w:val="auto"/>
                <w:highlight w:val="none"/>
              </w:rPr>
              <w:t>GL-DP50客显屏，彩色屏，分辨率1366x768</w:t>
            </w:r>
          </w:p>
        </w:tc>
        <w:tc>
          <w:tcPr>
            <w:tcW w:w="1067" w:type="dxa"/>
          </w:tcPr>
          <w:p w14:paraId="4CEBF125">
            <w:pPr>
              <w:jc w:val="center"/>
              <w:rPr>
                <w:color w:val="auto"/>
                <w:highlight w:val="none"/>
              </w:rPr>
            </w:pPr>
          </w:p>
        </w:tc>
      </w:tr>
      <w:tr w14:paraId="7C48A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8668" w:type="dxa"/>
            <w:gridSpan w:val="4"/>
            <w:vAlign w:val="center"/>
          </w:tcPr>
          <w:p w14:paraId="4F00657B">
            <w:pPr>
              <w:jc w:val="center"/>
              <w:rPr>
                <w:color w:val="auto"/>
                <w:highlight w:val="none"/>
              </w:rPr>
            </w:pPr>
            <w:r>
              <w:rPr>
                <w:rFonts w:hint="eastAsia"/>
                <w:color w:val="auto"/>
                <w:highlight w:val="none"/>
              </w:rPr>
              <w:t>LT-MS06型电脑彩票销售终端设备配件参数表</w:t>
            </w:r>
          </w:p>
        </w:tc>
      </w:tr>
      <w:tr w14:paraId="0AB55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tcPr>
          <w:p w14:paraId="48338E29">
            <w:pPr>
              <w:rPr>
                <w:color w:val="auto"/>
                <w:highlight w:val="none"/>
              </w:rPr>
            </w:pPr>
            <w:r>
              <w:rPr>
                <w:rFonts w:hint="eastAsia"/>
                <w:color w:val="auto"/>
                <w:highlight w:val="none"/>
              </w:rPr>
              <w:t>序号</w:t>
            </w:r>
          </w:p>
        </w:tc>
        <w:tc>
          <w:tcPr>
            <w:tcW w:w="1404" w:type="dxa"/>
          </w:tcPr>
          <w:p w14:paraId="7CE195EE">
            <w:pPr>
              <w:rPr>
                <w:color w:val="auto"/>
                <w:highlight w:val="none"/>
              </w:rPr>
            </w:pPr>
            <w:r>
              <w:rPr>
                <w:rFonts w:hint="eastAsia"/>
                <w:color w:val="auto"/>
                <w:highlight w:val="none"/>
              </w:rPr>
              <w:t>名称</w:t>
            </w:r>
          </w:p>
        </w:tc>
        <w:tc>
          <w:tcPr>
            <w:tcW w:w="5361" w:type="dxa"/>
          </w:tcPr>
          <w:p w14:paraId="7541BFE6">
            <w:pPr>
              <w:rPr>
                <w:color w:val="auto"/>
                <w:highlight w:val="none"/>
              </w:rPr>
            </w:pPr>
            <w:r>
              <w:rPr>
                <w:rFonts w:hint="eastAsia"/>
                <w:color w:val="auto"/>
                <w:highlight w:val="none"/>
              </w:rPr>
              <w:t>规格型号及性能指标</w:t>
            </w:r>
          </w:p>
        </w:tc>
        <w:tc>
          <w:tcPr>
            <w:tcW w:w="1067" w:type="dxa"/>
          </w:tcPr>
          <w:p w14:paraId="766BBEE1">
            <w:pPr>
              <w:rPr>
                <w:color w:val="auto"/>
                <w:highlight w:val="none"/>
              </w:rPr>
            </w:pPr>
            <w:r>
              <w:rPr>
                <w:rFonts w:hint="eastAsia"/>
                <w:color w:val="auto"/>
                <w:highlight w:val="none"/>
              </w:rPr>
              <w:t>重要部件</w:t>
            </w:r>
          </w:p>
        </w:tc>
      </w:tr>
      <w:tr w14:paraId="6ACD4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37389D0">
            <w:pPr>
              <w:jc w:val="center"/>
              <w:rPr>
                <w:color w:val="auto"/>
                <w:highlight w:val="none"/>
              </w:rPr>
            </w:pPr>
            <w:r>
              <w:rPr>
                <w:color w:val="auto"/>
                <w:highlight w:val="none"/>
              </w:rPr>
              <w:t>1</w:t>
            </w:r>
          </w:p>
        </w:tc>
        <w:tc>
          <w:tcPr>
            <w:tcW w:w="1404" w:type="dxa"/>
            <w:vAlign w:val="center"/>
          </w:tcPr>
          <w:p w14:paraId="727ACFB8">
            <w:pPr>
              <w:jc w:val="center"/>
              <w:rPr>
                <w:color w:val="auto"/>
                <w:highlight w:val="none"/>
              </w:rPr>
            </w:pPr>
            <w:r>
              <w:rPr>
                <w:rFonts w:hint="eastAsia"/>
                <w:color w:val="auto"/>
                <w:highlight w:val="none"/>
              </w:rPr>
              <w:t>主板</w:t>
            </w:r>
          </w:p>
        </w:tc>
        <w:tc>
          <w:tcPr>
            <w:tcW w:w="5361" w:type="dxa"/>
          </w:tcPr>
          <w:p w14:paraId="6C7FB9E8">
            <w:pPr>
              <w:rPr>
                <w:color w:val="auto"/>
                <w:highlight w:val="none"/>
              </w:rPr>
            </w:pPr>
            <w:r>
              <w:rPr>
                <w:rFonts w:hint="eastAsia"/>
                <w:color w:val="auto"/>
                <w:highlight w:val="none"/>
              </w:rPr>
              <w:t>板载CPU：RK3568，板载内存：4GB，板载存储：32GB，</w:t>
            </w:r>
          </w:p>
          <w:p w14:paraId="7B0BE10E">
            <w:pPr>
              <w:rPr>
                <w:color w:val="auto"/>
                <w:highlight w:val="none"/>
              </w:rPr>
            </w:pPr>
            <w:r>
              <w:rPr>
                <w:rFonts w:hint="eastAsia"/>
                <w:color w:val="auto"/>
                <w:highlight w:val="none"/>
              </w:rPr>
              <w:t>DC24V，9×USB，3×COM，1×LAN，1×Audio，2×Speaker，1×SIM，1×SD，1×WLAN，1×WiFi+BLE，2×EDP，1×HDMI</w:t>
            </w:r>
          </w:p>
        </w:tc>
        <w:tc>
          <w:tcPr>
            <w:tcW w:w="1067" w:type="dxa"/>
            <w:vAlign w:val="center"/>
          </w:tcPr>
          <w:p w14:paraId="11C5C5F5">
            <w:pPr>
              <w:rPr>
                <w:color w:val="auto"/>
                <w:highlight w:val="none"/>
              </w:rPr>
            </w:pPr>
            <w:r>
              <w:rPr>
                <w:rFonts w:hint="eastAsia"/>
                <w:color w:val="auto"/>
                <w:highlight w:val="none"/>
              </w:rPr>
              <w:t>是</w:t>
            </w:r>
          </w:p>
        </w:tc>
      </w:tr>
      <w:tr w14:paraId="61775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44A122AE">
            <w:pPr>
              <w:jc w:val="center"/>
              <w:rPr>
                <w:color w:val="auto"/>
                <w:highlight w:val="none"/>
              </w:rPr>
            </w:pPr>
            <w:r>
              <w:rPr>
                <w:color w:val="auto"/>
                <w:highlight w:val="none"/>
              </w:rPr>
              <w:t>2</w:t>
            </w:r>
          </w:p>
        </w:tc>
        <w:tc>
          <w:tcPr>
            <w:tcW w:w="1404" w:type="dxa"/>
            <w:vAlign w:val="center"/>
          </w:tcPr>
          <w:p w14:paraId="74BC58BB">
            <w:pPr>
              <w:jc w:val="center"/>
              <w:rPr>
                <w:color w:val="auto"/>
                <w:highlight w:val="none"/>
              </w:rPr>
            </w:pPr>
            <w:r>
              <w:rPr>
                <w:rFonts w:hint="eastAsia"/>
                <w:color w:val="auto"/>
                <w:highlight w:val="none"/>
              </w:rPr>
              <w:t>4G模块</w:t>
            </w:r>
          </w:p>
        </w:tc>
        <w:tc>
          <w:tcPr>
            <w:tcW w:w="5361" w:type="dxa"/>
          </w:tcPr>
          <w:p w14:paraId="78A4F0DF">
            <w:pPr>
              <w:rPr>
                <w:color w:val="auto"/>
                <w:highlight w:val="none"/>
              </w:rPr>
            </w:pPr>
            <w:r>
              <w:rPr>
                <w:rFonts w:hint="eastAsia"/>
                <w:color w:val="auto"/>
                <w:highlight w:val="none"/>
              </w:rPr>
              <w:t>EC20，4G全网通模块</w:t>
            </w:r>
          </w:p>
        </w:tc>
        <w:tc>
          <w:tcPr>
            <w:tcW w:w="1067" w:type="dxa"/>
            <w:vAlign w:val="center"/>
          </w:tcPr>
          <w:p w14:paraId="6AB98D6D">
            <w:pPr>
              <w:rPr>
                <w:color w:val="auto"/>
                <w:highlight w:val="none"/>
              </w:rPr>
            </w:pPr>
            <w:r>
              <w:rPr>
                <w:rFonts w:hint="eastAsia"/>
                <w:color w:val="auto"/>
                <w:highlight w:val="none"/>
              </w:rPr>
              <w:t>是</w:t>
            </w:r>
          </w:p>
        </w:tc>
      </w:tr>
      <w:tr w14:paraId="3A1BC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4796CA0C">
            <w:pPr>
              <w:jc w:val="center"/>
              <w:rPr>
                <w:color w:val="auto"/>
                <w:highlight w:val="none"/>
              </w:rPr>
            </w:pPr>
            <w:r>
              <w:rPr>
                <w:color w:val="auto"/>
                <w:highlight w:val="none"/>
              </w:rPr>
              <w:t>3</w:t>
            </w:r>
          </w:p>
        </w:tc>
        <w:tc>
          <w:tcPr>
            <w:tcW w:w="1404" w:type="dxa"/>
            <w:vAlign w:val="center"/>
          </w:tcPr>
          <w:p w14:paraId="7ED20067">
            <w:pPr>
              <w:jc w:val="center"/>
              <w:rPr>
                <w:color w:val="auto"/>
                <w:highlight w:val="none"/>
              </w:rPr>
            </w:pPr>
            <w:r>
              <w:rPr>
                <w:rFonts w:hint="eastAsia"/>
                <w:color w:val="auto"/>
                <w:highlight w:val="none"/>
              </w:rPr>
              <w:t>大液晶屏</w:t>
            </w:r>
          </w:p>
        </w:tc>
        <w:tc>
          <w:tcPr>
            <w:tcW w:w="5361" w:type="dxa"/>
          </w:tcPr>
          <w:p w14:paraId="59666BA6">
            <w:pPr>
              <w:rPr>
                <w:color w:val="auto"/>
                <w:highlight w:val="none"/>
              </w:rPr>
            </w:pPr>
            <w:r>
              <w:rPr>
                <w:rFonts w:hint="eastAsia"/>
                <w:color w:val="auto"/>
                <w:highlight w:val="none"/>
              </w:rPr>
              <w:t>NT156FHM(BOE)，15.6寸，1920*1080</w:t>
            </w:r>
          </w:p>
        </w:tc>
        <w:tc>
          <w:tcPr>
            <w:tcW w:w="1067" w:type="dxa"/>
            <w:vAlign w:val="center"/>
          </w:tcPr>
          <w:p w14:paraId="493C9F70">
            <w:pPr>
              <w:rPr>
                <w:color w:val="auto"/>
                <w:highlight w:val="none"/>
              </w:rPr>
            </w:pPr>
            <w:r>
              <w:rPr>
                <w:rFonts w:hint="eastAsia"/>
                <w:color w:val="auto"/>
                <w:highlight w:val="none"/>
              </w:rPr>
              <w:t>是</w:t>
            </w:r>
          </w:p>
        </w:tc>
      </w:tr>
      <w:tr w14:paraId="574EC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E2EDABE">
            <w:pPr>
              <w:jc w:val="center"/>
              <w:rPr>
                <w:color w:val="auto"/>
                <w:highlight w:val="none"/>
              </w:rPr>
            </w:pPr>
            <w:r>
              <w:rPr>
                <w:color w:val="auto"/>
                <w:highlight w:val="none"/>
              </w:rPr>
              <w:t>4</w:t>
            </w:r>
          </w:p>
        </w:tc>
        <w:tc>
          <w:tcPr>
            <w:tcW w:w="1404" w:type="dxa"/>
            <w:vAlign w:val="center"/>
          </w:tcPr>
          <w:p w14:paraId="268A725B">
            <w:pPr>
              <w:jc w:val="center"/>
              <w:rPr>
                <w:color w:val="auto"/>
                <w:highlight w:val="none"/>
              </w:rPr>
            </w:pPr>
            <w:r>
              <w:rPr>
                <w:rFonts w:hint="eastAsia"/>
                <w:color w:val="auto"/>
                <w:highlight w:val="none"/>
              </w:rPr>
              <w:t>小液晶屏</w:t>
            </w:r>
          </w:p>
        </w:tc>
        <w:tc>
          <w:tcPr>
            <w:tcW w:w="5361" w:type="dxa"/>
          </w:tcPr>
          <w:p w14:paraId="2851E3E7">
            <w:pPr>
              <w:rPr>
                <w:color w:val="auto"/>
                <w:highlight w:val="none"/>
              </w:rPr>
            </w:pPr>
            <w:r>
              <w:rPr>
                <w:rFonts w:hint="eastAsia"/>
                <w:color w:val="auto"/>
                <w:highlight w:val="none"/>
              </w:rPr>
              <w:t>NT116WHM(BOE)，11.6寸，1366*768</w:t>
            </w:r>
          </w:p>
        </w:tc>
        <w:tc>
          <w:tcPr>
            <w:tcW w:w="1067" w:type="dxa"/>
            <w:vAlign w:val="center"/>
          </w:tcPr>
          <w:p w14:paraId="68A0DC66">
            <w:pPr>
              <w:rPr>
                <w:color w:val="auto"/>
                <w:highlight w:val="none"/>
              </w:rPr>
            </w:pPr>
            <w:r>
              <w:rPr>
                <w:rFonts w:hint="eastAsia"/>
                <w:color w:val="auto"/>
                <w:highlight w:val="none"/>
              </w:rPr>
              <w:t>是</w:t>
            </w:r>
          </w:p>
        </w:tc>
      </w:tr>
      <w:tr w14:paraId="05177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2FCFE5FC">
            <w:pPr>
              <w:jc w:val="center"/>
              <w:rPr>
                <w:color w:val="auto"/>
                <w:highlight w:val="none"/>
              </w:rPr>
            </w:pPr>
            <w:r>
              <w:rPr>
                <w:color w:val="auto"/>
                <w:highlight w:val="none"/>
              </w:rPr>
              <w:t>5</w:t>
            </w:r>
          </w:p>
        </w:tc>
        <w:tc>
          <w:tcPr>
            <w:tcW w:w="1404" w:type="dxa"/>
            <w:vAlign w:val="center"/>
          </w:tcPr>
          <w:p w14:paraId="55B6B3B6">
            <w:pPr>
              <w:jc w:val="center"/>
              <w:rPr>
                <w:color w:val="auto"/>
                <w:highlight w:val="none"/>
              </w:rPr>
            </w:pPr>
            <w:r>
              <w:rPr>
                <w:rFonts w:hint="eastAsia"/>
                <w:color w:val="auto"/>
                <w:highlight w:val="none"/>
              </w:rPr>
              <w:t>大触摸屏</w:t>
            </w:r>
          </w:p>
        </w:tc>
        <w:tc>
          <w:tcPr>
            <w:tcW w:w="5361" w:type="dxa"/>
          </w:tcPr>
          <w:p w14:paraId="5D192BAD">
            <w:pPr>
              <w:rPr>
                <w:color w:val="auto"/>
                <w:highlight w:val="none"/>
              </w:rPr>
            </w:pPr>
            <w:r>
              <w:rPr>
                <w:rFonts w:hint="eastAsia"/>
                <w:color w:val="auto"/>
                <w:highlight w:val="none"/>
              </w:rPr>
              <w:t>TEG-0115611，15.6寸多点电容屏，含控制卡</w:t>
            </w:r>
          </w:p>
        </w:tc>
        <w:tc>
          <w:tcPr>
            <w:tcW w:w="1067" w:type="dxa"/>
            <w:vAlign w:val="center"/>
          </w:tcPr>
          <w:p w14:paraId="29AD6E88">
            <w:pPr>
              <w:rPr>
                <w:color w:val="auto"/>
                <w:highlight w:val="none"/>
              </w:rPr>
            </w:pPr>
            <w:r>
              <w:rPr>
                <w:rFonts w:hint="eastAsia"/>
                <w:color w:val="auto"/>
                <w:highlight w:val="none"/>
              </w:rPr>
              <w:t>是</w:t>
            </w:r>
          </w:p>
        </w:tc>
      </w:tr>
      <w:tr w14:paraId="6FA14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35D12329">
            <w:pPr>
              <w:jc w:val="center"/>
              <w:rPr>
                <w:color w:val="auto"/>
                <w:highlight w:val="none"/>
              </w:rPr>
            </w:pPr>
            <w:r>
              <w:rPr>
                <w:color w:val="auto"/>
                <w:highlight w:val="none"/>
              </w:rPr>
              <w:t>6</w:t>
            </w:r>
          </w:p>
        </w:tc>
        <w:tc>
          <w:tcPr>
            <w:tcW w:w="1404" w:type="dxa"/>
            <w:vAlign w:val="center"/>
          </w:tcPr>
          <w:p w14:paraId="333EB00A">
            <w:pPr>
              <w:jc w:val="center"/>
              <w:rPr>
                <w:color w:val="auto"/>
                <w:highlight w:val="none"/>
              </w:rPr>
            </w:pPr>
            <w:r>
              <w:rPr>
                <w:rFonts w:hint="eastAsia"/>
                <w:color w:val="auto"/>
                <w:highlight w:val="none"/>
              </w:rPr>
              <w:t>小触摸屏</w:t>
            </w:r>
          </w:p>
        </w:tc>
        <w:tc>
          <w:tcPr>
            <w:tcW w:w="5361" w:type="dxa"/>
          </w:tcPr>
          <w:p w14:paraId="06F448CD">
            <w:pPr>
              <w:rPr>
                <w:color w:val="auto"/>
                <w:highlight w:val="none"/>
              </w:rPr>
            </w:pPr>
            <w:r>
              <w:rPr>
                <w:rFonts w:hint="eastAsia"/>
                <w:color w:val="auto"/>
                <w:highlight w:val="none"/>
              </w:rPr>
              <w:t>TEG-0111602，11.6寸多点电容屏，含控制卡</w:t>
            </w:r>
          </w:p>
        </w:tc>
        <w:tc>
          <w:tcPr>
            <w:tcW w:w="1067" w:type="dxa"/>
            <w:vAlign w:val="center"/>
          </w:tcPr>
          <w:p w14:paraId="649999CA">
            <w:pPr>
              <w:rPr>
                <w:color w:val="auto"/>
                <w:highlight w:val="none"/>
              </w:rPr>
            </w:pPr>
            <w:r>
              <w:rPr>
                <w:rFonts w:hint="eastAsia"/>
                <w:color w:val="auto"/>
                <w:highlight w:val="none"/>
              </w:rPr>
              <w:t>是</w:t>
            </w:r>
          </w:p>
        </w:tc>
      </w:tr>
      <w:tr w14:paraId="18B29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6F656123">
            <w:pPr>
              <w:jc w:val="center"/>
              <w:rPr>
                <w:color w:val="auto"/>
                <w:highlight w:val="none"/>
              </w:rPr>
            </w:pPr>
            <w:r>
              <w:rPr>
                <w:color w:val="auto"/>
                <w:highlight w:val="none"/>
              </w:rPr>
              <w:t>7</w:t>
            </w:r>
          </w:p>
        </w:tc>
        <w:tc>
          <w:tcPr>
            <w:tcW w:w="1404" w:type="dxa"/>
            <w:vAlign w:val="center"/>
          </w:tcPr>
          <w:p w14:paraId="1F4C673D">
            <w:pPr>
              <w:jc w:val="center"/>
              <w:rPr>
                <w:color w:val="auto"/>
                <w:highlight w:val="none"/>
              </w:rPr>
            </w:pPr>
            <w:r>
              <w:rPr>
                <w:rFonts w:hint="eastAsia"/>
                <w:color w:val="auto"/>
                <w:highlight w:val="none"/>
              </w:rPr>
              <w:t>打印机模块</w:t>
            </w:r>
          </w:p>
        </w:tc>
        <w:tc>
          <w:tcPr>
            <w:tcW w:w="5361" w:type="dxa"/>
          </w:tcPr>
          <w:p w14:paraId="51215BD0">
            <w:pPr>
              <w:rPr>
                <w:color w:val="auto"/>
                <w:highlight w:val="none"/>
              </w:rPr>
            </w:pPr>
            <w:r>
              <w:rPr>
                <w:rFonts w:hint="eastAsia"/>
                <w:color w:val="auto"/>
                <w:highlight w:val="none"/>
              </w:rPr>
              <w:t>SC-PR05，82.5mm，嵌入式一体热敏打印机模块</w:t>
            </w:r>
          </w:p>
        </w:tc>
        <w:tc>
          <w:tcPr>
            <w:tcW w:w="1067" w:type="dxa"/>
            <w:vAlign w:val="center"/>
          </w:tcPr>
          <w:p w14:paraId="07CC0D70">
            <w:pPr>
              <w:rPr>
                <w:color w:val="auto"/>
                <w:highlight w:val="none"/>
              </w:rPr>
            </w:pPr>
            <w:r>
              <w:rPr>
                <w:rFonts w:hint="eastAsia"/>
                <w:color w:val="auto"/>
                <w:highlight w:val="none"/>
              </w:rPr>
              <w:t>是</w:t>
            </w:r>
          </w:p>
        </w:tc>
      </w:tr>
      <w:tr w14:paraId="17677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4C6524EA">
            <w:pPr>
              <w:jc w:val="center"/>
              <w:rPr>
                <w:color w:val="auto"/>
                <w:highlight w:val="none"/>
              </w:rPr>
            </w:pPr>
            <w:r>
              <w:rPr>
                <w:color w:val="auto"/>
                <w:highlight w:val="none"/>
              </w:rPr>
              <w:t>8</w:t>
            </w:r>
          </w:p>
        </w:tc>
        <w:tc>
          <w:tcPr>
            <w:tcW w:w="1404" w:type="dxa"/>
            <w:vAlign w:val="center"/>
          </w:tcPr>
          <w:p w14:paraId="5F45F6C1">
            <w:pPr>
              <w:jc w:val="center"/>
              <w:rPr>
                <w:color w:val="auto"/>
                <w:highlight w:val="none"/>
              </w:rPr>
            </w:pPr>
            <w:r>
              <w:rPr>
                <w:rFonts w:hint="eastAsia"/>
                <w:color w:val="auto"/>
                <w:highlight w:val="none"/>
              </w:rPr>
              <w:t>扫描模块</w:t>
            </w:r>
          </w:p>
        </w:tc>
        <w:tc>
          <w:tcPr>
            <w:tcW w:w="5361" w:type="dxa"/>
          </w:tcPr>
          <w:p w14:paraId="1A182A79">
            <w:pPr>
              <w:rPr>
                <w:color w:val="auto"/>
                <w:highlight w:val="none"/>
              </w:rPr>
            </w:pPr>
            <w:r>
              <w:rPr>
                <w:rFonts w:hint="eastAsia"/>
                <w:color w:val="auto"/>
                <w:highlight w:val="none"/>
              </w:rPr>
              <w:t>NT7733XP-2，640*480，USB接口，二维码扫描模块</w:t>
            </w:r>
          </w:p>
        </w:tc>
        <w:tc>
          <w:tcPr>
            <w:tcW w:w="1067" w:type="dxa"/>
            <w:vAlign w:val="center"/>
          </w:tcPr>
          <w:p w14:paraId="2C222E10">
            <w:pPr>
              <w:rPr>
                <w:color w:val="auto"/>
                <w:highlight w:val="none"/>
              </w:rPr>
            </w:pPr>
            <w:r>
              <w:rPr>
                <w:rFonts w:hint="eastAsia"/>
                <w:color w:val="auto"/>
                <w:highlight w:val="none"/>
              </w:rPr>
              <w:t>是</w:t>
            </w:r>
          </w:p>
        </w:tc>
      </w:tr>
      <w:tr w14:paraId="77196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 w:type="dxa"/>
            <w:vAlign w:val="center"/>
          </w:tcPr>
          <w:p w14:paraId="65C7D101">
            <w:pPr>
              <w:jc w:val="center"/>
              <w:rPr>
                <w:color w:val="auto"/>
                <w:highlight w:val="none"/>
              </w:rPr>
            </w:pPr>
            <w:r>
              <w:rPr>
                <w:color w:val="auto"/>
                <w:highlight w:val="none"/>
              </w:rPr>
              <w:t>9</w:t>
            </w:r>
          </w:p>
        </w:tc>
        <w:tc>
          <w:tcPr>
            <w:tcW w:w="1404" w:type="dxa"/>
            <w:vAlign w:val="center"/>
          </w:tcPr>
          <w:p w14:paraId="3DAA0601">
            <w:pPr>
              <w:jc w:val="center"/>
              <w:rPr>
                <w:color w:val="auto"/>
                <w:highlight w:val="none"/>
              </w:rPr>
            </w:pPr>
            <w:r>
              <w:rPr>
                <w:rFonts w:hint="eastAsia"/>
                <w:color w:val="auto"/>
                <w:highlight w:val="none"/>
              </w:rPr>
              <w:t>电源适配器</w:t>
            </w:r>
          </w:p>
        </w:tc>
        <w:tc>
          <w:tcPr>
            <w:tcW w:w="5361" w:type="dxa"/>
          </w:tcPr>
          <w:p w14:paraId="3EB52AC2">
            <w:pPr>
              <w:rPr>
                <w:color w:val="auto"/>
                <w:highlight w:val="none"/>
              </w:rPr>
            </w:pPr>
            <w:r>
              <w:rPr>
                <w:rFonts w:hint="eastAsia"/>
                <w:color w:val="auto"/>
                <w:highlight w:val="none"/>
              </w:rPr>
              <w:t>HKA12024050-7B，100~240V～，24VDC/5A输出</w:t>
            </w:r>
          </w:p>
        </w:tc>
        <w:tc>
          <w:tcPr>
            <w:tcW w:w="1067" w:type="dxa"/>
            <w:vAlign w:val="center"/>
          </w:tcPr>
          <w:p w14:paraId="47361883">
            <w:pPr>
              <w:rPr>
                <w:color w:val="auto"/>
                <w:highlight w:val="none"/>
              </w:rPr>
            </w:pPr>
            <w:r>
              <w:rPr>
                <w:rFonts w:hint="eastAsia"/>
                <w:color w:val="auto"/>
                <w:highlight w:val="none"/>
              </w:rPr>
              <w:t>是</w:t>
            </w:r>
          </w:p>
        </w:tc>
      </w:tr>
    </w:tbl>
    <w:p w14:paraId="08F5594B">
      <w:pPr>
        <w:spacing w:line="360" w:lineRule="auto"/>
        <w:jc w:val="center"/>
        <w:rPr>
          <w:rFonts w:ascii="宋体"/>
          <w:color w:val="auto"/>
          <w:sz w:val="28"/>
          <w:szCs w:val="28"/>
          <w:highlight w:val="none"/>
        </w:rPr>
      </w:pPr>
    </w:p>
    <w:p w14:paraId="476F402E">
      <w:pPr>
        <w:rPr>
          <w:rFonts w:hint="eastAsia" w:ascii="宋体" w:hAnsi="宋体" w:cs="等线"/>
          <w:b/>
          <w:color w:val="auto"/>
          <w:sz w:val="28"/>
          <w:highlight w:val="none"/>
        </w:rPr>
      </w:pPr>
      <w:r>
        <w:rPr>
          <w:rFonts w:hint="eastAsia"/>
          <w:color w:val="auto"/>
          <w:highlight w:val="none"/>
        </w:rPr>
        <w:t>附件2：彩票终端机维保服务考核评分表</w:t>
      </w:r>
    </w:p>
    <w:tbl>
      <w:tblPr>
        <w:tblStyle w:val="24"/>
        <w:tblW w:w="865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
        <w:gridCol w:w="1559"/>
        <w:gridCol w:w="4962"/>
        <w:gridCol w:w="1311"/>
      </w:tblGrid>
      <w:tr w14:paraId="23DE2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trPr>
        <w:tc>
          <w:tcPr>
            <w:tcW w:w="822" w:type="dxa"/>
            <w:vAlign w:val="center"/>
          </w:tcPr>
          <w:p w14:paraId="11FDF0F4">
            <w:pPr>
              <w:jc w:val="center"/>
              <w:rPr>
                <w:color w:val="auto"/>
                <w:highlight w:val="none"/>
              </w:rPr>
            </w:pPr>
            <w:r>
              <w:rPr>
                <w:rFonts w:hint="eastAsia"/>
                <w:color w:val="auto"/>
                <w:highlight w:val="none"/>
              </w:rPr>
              <w:t>序号</w:t>
            </w:r>
          </w:p>
        </w:tc>
        <w:tc>
          <w:tcPr>
            <w:tcW w:w="1559" w:type="dxa"/>
            <w:vAlign w:val="center"/>
          </w:tcPr>
          <w:p w14:paraId="56118054">
            <w:pPr>
              <w:jc w:val="center"/>
              <w:rPr>
                <w:color w:val="auto"/>
                <w:highlight w:val="none"/>
              </w:rPr>
            </w:pPr>
            <w:r>
              <w:rPr>
                <w:rFonts w:hint="eastAsia"/>
                <w:color w:val="auto"/>
                <w:highlight w:val="none"/>
              </w:rPr>
              <w:t>考核指标</w:t>
            </w:r>
          </w:p>
        </w:tc>
        <w:tc>
          <w:tcPr>
            <w:tcW w:w="4962" w:type="dxa"/>
            <w:vAlign w:val="center"/>
          </w:tcPr>
          <w:p w14:paraId="7874FF7D">
            <w:pPr>
              <w:jc w:val="center"/>
              <w:rPr>
                <w:color w:val="auto"/>
                <w:highlight w:val="none"/>
              </w:rPr>
            </w:pPr>
            <w:r>
              <w:rPr>
                <w:rFonts w:hint="eastAsia"/>
                <w:color w:val="auto"/>
                <w:highlight w:val="none"/>
              </w:rPr>
              <w:t>指标具体内容</w:t>
            </w:r>
          </w:p>
        </w:tc>
        <w:tc>
          <w:tcPr>
            <w:tcW w:w="1311" w:type="dxa"/>
            <w:vAlign w:val="center"/>
          </w:tcPr>
          <w:p w14:paraId="3B7A4A9B">
            <w:pPr>
              <w:jc w:val="center"/>
              <w:rPr>
                <w:color w:val="auto"/>
                <w:highlight w:val="none"/>
              </w:rPr>
            </w:pPr>
            <w:r>
              <w:rPr>
                <w:rFonts w:hint="eastAsia"/>
                <w:color w:val="auto"/>
                <w:highlight w:val="none"/>
              </w:rPr>
              <w:t>评分</w:t>
            </w:r>
          </w:p>
        </w:tc>
      </w:tr>
      <w:tr w14:paraId="184A0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dxa"/>
            <w:vAlign w:val="center"/>
          </w:tcPr>
          <w:p w14:paraId="05754E57">
            <w:pPr>
              <w:jc w:val="center"/>
              <w:rPr>
                <w:color w:val="auto"/>
                <w:highlight w:val="none"/>
              </w:rPr>
            </w:pPr>
            <w:r>
              <w:rPr>
                <w:color w:val="auto"/>
                <w:highlight w:val="none"/>
              </w:rPr>
              <w:t>1</w:t>
            </w:r>
          </w:p>
        </w:tc>
        <w:tc>
          <w:tcPr>
            <w:tcW w:w="1559" w:type="dxa"/>
            <w:vAlign w:val="center"/>
          </w:tcPr>
          <w:p w14:paraId="004B1688">
            <w:pPr>
              <w:jc w:val="center"/>
              <w:rPr>
                <w:color w:val="auto"/>
                <w:highlight w:val="none"/>
              </w:rPr>
            </w:pPr>
            <w:r>
              <w:rPr>
                <w:rFonts w:hint="eastAsia"/>
                <w:color w:val="auto"/>
                <w:highlight w:val="none"/>
              </w:rPr>
              <w:t>维修及时性</w:t>
            </w:r>
          </w:p>
          <w:p w14:paraId="5BAC185A">
            <w:pPr>
              <w:jc w:val="center"/>
              <w:rPr>
                <w:color w:val="auto"/>
                <w:highlight w:val="none"/>
              </w:rPr>
            </w:pPr>
            <w:r>
              <w:rPr>
                <w:rFonts w:hint="eastAsia"/>
                <w:color w:val="auto"/>
                <w:highlight w:val="none"/>
              </w:rPr>
              <w:t>（20分）</w:t>
            </w:r>
          </w:p>
        </w:tc>
        <w:tc>
          <w:tcPr>
            <w:tcW w:w="4962" w:type="dxa"/>
            <w:vAlign w:val="center"/>
          </w:tcPr>
          <w:p w14:paraId="742F1055">
            <w:pPr>
              <w:rPr>
                <w:color w:val="auto"/>
                <w:highlight w:val="none"/>
              </w:rPr>
            </w:pPr>
            <w:r>
              <w:rPr>
                <w:rFonts w:hint="eastAsia"/>
                <w:color w:val="auto"/>
                <w:highlight w:val="none"/>
              </w:rPr>
              <w:t>能否在规定的时间能完成设备维修（地级市城区内在2-6小时以内恢复彩票销售，县、乡镇、村等12-24小时以内恢复彩票销售）。</w:t>
            </w:r>
          </w:p>
        </w:tc>
        <w:tc>
          <w:tcPr>
            <w:tcW w:w="1311" w:type="dxa"/>
            <w:vAlign w:val="center"/>
          </w:tcPr>
          <w:p w14:paraId="2A7AF023">
            <w:pPr>
              <w:rPr>
                <w:color w:val="auto"/>
                <w:highlight w:val="none"/>
              </w:rPr>
            </w:pPr>
          </w:p>
        </w:tc>
      </w:tr>
      <w:tr w14:paraId="6AB7E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dxa"/>
            <w:vAlign w:val="center"/>
          </w:tcPr>
          <w:p w14:paraId="4C15771D">
            <w:pPr>
              <w:jc w:val="center"/>
              <w:rPr>
                <w:color w:val="auto"/>
                <w:highlight w:val="none"/>
              </w:rPr>
            </w:pPr>
            <w:r>
              <w:rPr>
                <w:color w:val="auto"/>
                <w:highlight w:val="none"/>
              </w:rPr>
              <w:t>2</w:t>
            </w:r>
          </w:p>
        </w:tc>
        <w:tc>
          <w:tcPr>
            <w:tcW w:w="1559" w:type="dxa"/>
            <w:vAlign w:val="center"/>
          </w:tcPr>
          <w:p w14:paraId="6E8772D7">
            <w:pPr>
              <w:jc w:val="center"/>
              <w:rPr>
                <w:color w:val="auto"/>
                <w:highlight w:val="none"/>
              </w:rPr>
            </w:pPr>
            <w:r>
              <w:rPr>
                <w:rFonts w:hint="eastAsia"/>
                <w:color w:val="auto"/>
                <w:highlight w:val="none"/>
              </w:rPr>
              <w:t>维修质量</w:t>
            </w:r>
          </w:p>
          <w:p w14:paraId="5D4DA41B">
            <w:pPr>
              <w:jc w:val="center"/>
              <w:rPr>
                <w:color w:val="auto"/>
                <w:highlight w:val="none"/>
              </w:rPr>
            </w:pPr>
            <w:r>
              <w:rPr>
                <w:rFonts w:hint="eastAsia"/>
                <w:color w:val="auto"/>
                <w:highlight w:val="none"/>
              </w:rPr>
              <w:t>（20分）</w:t>
            </w:r>
          </w:p>
        </w:tc>
        <w:tc>
          <w:tcPr>
            <w:tcW w:w="4962" w:type="dxa"/>
            <w:vAlign w:val="center"/>
          </w:tcPr>
          <w:p w14:paraId="069D7F59">
            <w:pPr>
              <w:rPr>
                <w:color w:val="auto"/>
                <w:highlight w:val="none"/>
              </w:rPr>
            </w:pPr>
            <w:r>
              <w:rPr>
                <w:rFonts w:hint="eastAsia"/>
                <w:color w:val="auto"/>
                <w:highlight w:val="none"/>
              </w:rPr>
              <w:t>维修后的设备在至少一个月内不再发生相同故障（排除其他原因引起的）</w:t>
            </w:r>
          </w:p>
        </w:tc>
        <w:tc>
          <w:tcPr>
            <w:tcW w:w="1311" w:type="dxa"/>
            <w:vAlign w:val="center"/>
          </w:tcPr>
          <w:p w14:paraId="632B1D25">
            <w:pPr>
              <w:rPr>
                <w:color w:val="auto"/>
                <w:highlight w:val="none"/>
              </w:rPr>
            </w:pPr>
          </w:p>
        </w:tc>
      </w:tr>
      <w:tr w14:paraId="2B83E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dxa"/>
            <w:vAlign w:val="center"/>
          </w:tcPr>
          <w:p w14:paraId="04C41B42">
            <w:pPr>
              <w:jc w:val="center"/>
              <w:rPr>
                <w:color w:val="auto"/>
                <w:highlight w:val="none"/>
              </w:rPr>
            </w:pPr>
            <w:r>
              <w:rPr>
                <w:color w:val="auto"/>
                <w:highlight w:val="none"/>
              </w:rPr>
              <w:t>3</w:t>
            </w:r>
          </w:p>
        </w:tc>
        <w:tc>
          <w:tcPr>
            <w:tcW w:w="1559" w:type="dxa"/>
            <w:vAlign w:val="center"/>
          </w:tcPr>
          <w:p w14:paraId="72565943">
            <w:pPr>
              <w:jc w:val="center"/>
              <w:rPr>
                <w:color w:val="auto"/>
                <w:highlight w:val="none"/>
              </w:rPr>
            </w:pPr>
            <w:r>
              <w:rPr>
                <w:rFonts w:hint="eastAsia"/>
                <w:color w:val="auto"/>
                <w:highlight w:val="none"/>
              </w:rPr>
              <w:t>配件供应</w:t>
            </w:r>
          </w:p>
          <w:p w14:paraId="75AB5892">
            <w:pPr>
              <w:jc w:val="center"/>
              <w:rPr>
                <w:color w:val="auto"/>
                <w:highlight w:val="none"/>
              </w:rPr>
            </w:pPr>
            <w:r>
              <w:rPr>
                <w:rFonts w:hint="eastAsia"/>
                <w:color w:val="auto"/>
                <w:highlight w:val="none"/>
              </w:rPr>
              <w:t>（20分）</w:t>
            </w:r>
          </w:p>
        </w:tc>
        <w:tc>
          <w:tcPr>
            <w:tcW w:w="4962" w:type="dxa"/>
            <w:vAlign w:val="center"/>
          </w:tcPr>
          <w:p w14:paraId="4971D558">
            <w:pPr>
              <w:rPr>
                <w:color w:val="auto"/>
                <w:highlight w:val="none"/>
              </w:rPr>
            </w:pPr>
            <w:r>
              <w:rPr>
                <w:rFonts w:hint="eastAsia"/>
                <w:color w:val="auto"/>
                <w:highlight w:val="none"/>
              </w:rPr>
              <w:t>维修配件是否能满足投注机正常运行，能否及时提供维修配件</w:t>
            </w:r>
          </w:p>
        </w:tc>
        <w:tc>
          <w:tcPr>
            <w:tcW w:w="1311" w:type="dxa"/>
            <w:vAlign w:val="center"/>
          </w:tcPr>
          <w:p w14:paraId="2F1277FF">
            <w:pPr>
              <w:rPr>
                <w:color w:val="auto"/>
                <w:highlight w:val="none"/>
              </w:rPr>
            </w:pPr>
          </w:p>
        </w:tc>
      </w:tr>
      <w:tr w14:paraId="7D964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dxa"/>
            <w:vAlign w:val="center"/>
          </w:tcPr>
          <w:p w14:paraId="6FFF0928">
            <w:pPr>
              <w:jc w:val="center"/>
              <w:rPr>
                <w:color w:val="auto"/>
                <w:highlight w:val="none"/>
              </w:rPr>
            </w:pPr>
            <w:r>
              <w:rPr>
                <w:color w:val="auto"/>
                <w:highlight w:val="none"/>
              </w:rPr>
              <w:t>4</w:t>
            </w:r>
          </w:p>
        </w:tc>
        <w:tc>
          <w:tcPr>
            <w:tcW w:w="1559" w:type="dxa"/>
            <w:vAlign w:val="center"/>
          </w:tcPr>
          <w:p w14:paraId="260F2D68">
            <w:pPr>
              <w:jc w:val="center"/>
              <w:rPr>
                <w:color w:val="auto"/>
                <w:highlight w:val="none"/>
              </w:rPr>
            </w:pPr>
            <w:r>
              <w:rPr>
                <w:rFonts w:hint="eastAsia"/>
                <w:color w:val="auto"/>
                <w:highlight w:val="none"/>
              </w:rPr>
              <w:t>配件质量</w:t>
            </w:r>
          </w:p>
          <w:p w14:paraId="2F4DBB96">
            <w:pPr>
              <w:jc w:val="center"/>
              <w:rPr>
                <w:color w:val="auto"/>
                <w:highlight w:val="none"/>
              </w:rPr>
            </w:pPr>
            <w:r>
              <w:rPr>
                <w:rFonts w:hint="eastAsia"/>
                <w:color w:val="auto"/>
                <w:highlight w:val="none"/>
              </w:rPr>
              <w:t>（20分）</w:t>
            </w:r>
          </w:p>
        </w:tc>
        <w:tc>
          <w:tcPr>
            <w:tcW w:w="4962" w:type="dxa"/>
            <w:vAlign w:val="center"/>
          </w:tcPr>
          <w:p w14:paraId="542223EF">
            <w:pPr>
              <w:rPr>
                <w:color w:val="auto"/>
                <w:highlight w:val="none"/>
              </w:rPr>
            </w:pPr>
            <w:r>
              <w:rPr>
                <w:rFonts w:hint="eastAsia"/>
                <w:color w:val="auto"/>
                <w:highlight w:val="none"/>
              </w:rPr>
              <w:t>更换的维修配件在至少一个月内不损坏（排除其他原因引起的）</w:t>
            </w:r>
          </w:p>
        </w:tc>
        <w:tc>
          <w:tcPr>
            <w:tcW w:w="1311" w:type="dxa"/>
            <w:vAlign w:val="center"/>
          </w:tcPr>
          <w:p w14:paraId="3CC97BBD">
            <w:pPr>
              <w:rPr>
                <w:color w:val="auto"/>
                <w:highlight w:val="none"/>
              </w:rPr>
            </w:pPr>
          </w:p>
        </w:tc>
      </w:tr>
      <w:tr w14:paraId="092EF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dxa"/>
            <w:vAlign w:val="center"/>
          </w:tcPr>
          <w:p w14:paraId="549AAF4D">
            <w:pPr>
              <w:jc w:val="center"/>
              <w:rPr>
                <w:color w:val="auto"/>
                <w:highlight w:val="none"/>
              </w:rPr>
            </w:pPr>
            <w:r>
              <w:rPr>
                <w:color w:val="auto"/>
                <w:highlight w:val="none"/>
              </w:rPr>
              <w:t>5</w:t>
            </w:r>
          </w:p>
        </w:tc>
        <w:tc>
          <w:tcPr>
            <w:tcW w:w="1559" w:type="dxa"/>
            <w:vAlign w:val="center"/>
          </w:tcPr>
          <w:p w14:paraId="4D43FA7C">
            <w:pPr>
              <w:jc w:val="center"/>
              <w:rPr>
                <w:color w:val="auto"/>
                <w:highlight w:val="none"/>
              </w:rPr>
            </w:pPr>
            <w:r>
              <w:rPr>
                <w:rFonts w:hint="eastAsia"/>
                <w:color w:val="auto"/>
                <w:highlight w:val="none"/>
              </w:rPr>
              <w:t>工作能力</w:t>
            </w:r>
          </w:p>
          <w:p w14:paraId="43ED34E6">
            <w:pPr>
              <w:jc w:val="center"/>
              <w:rPr>
                <w:color w:val="auto"/>
                <w:highlight w:val="none"/>
              </w:rPr>
            </w:pPr>
            <w:r>
              <w:rPr>
                <w:rFonts w:hint="eastAsia"/>
                <w:color w:val="auto"/>
                <w:highlight w:val="none"/>
              </w:rPr>
              <w:t>（10分）</w:t>
            </w:r>
          </w:p>
        </w:tc>
        <w:tc>
          <w:tcPr>
            <w:tcW w:w="4962" w:type="dxa"/>
            <w:vAlign w:val="center"/>
          </w:tcPr>
          <w:p w14:paraId="7E132AD3">
            <w:pPr>
              <w:rPr>
                <w:color w:val="auto"/>
                <w:highlight w:val="none"/>
              </w:rPr>
            </w:pPr>
            <w:r>
              <w:rPr>
                <w:rFonts w:hint="eastAsia"/>
                <w:color w:val="auto"/>
                <w:highlight w:val="none"/>
              </w:rPr>
              <w:t>技术服务人员对设备故障的理解、判断以及处理能力</w:t>
            </w:r>
          </w:p>
        </w:tc>
        <w:tc>
          <w:tcPr>
            <w:tcW w:w="1311" w:type="dxa"/>
            <w:vAlign w:val="center"/>
          </w:tcPr>
          <w:p w14:paraId="405EE799">
            <w:pPr>
              <w:rPr>
                <w:color w:val="auto"/>
                <w:highlight w:val="none"/>
              </w:rPr>
            </w:pPr>
          </w:p>
        </w:tc>
      </w:tr>
      <w:tr w14:paraId="6A8B6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dxa"/>
            <w:vAlign w:val="center"/>
          </w:tcPr>
          <w:p w14:paraId="3B7DE1DB">
            <w:pPr>
              <w:jc w:val="center"/>
              <w:rPr>
                <w:color w:val="auto"/>
                <w:highlight w:val="none"/>
              </w:rPr>
            </w:pPr>
            <w:r>
              <w:rPr>
                <w:color w:val="auto"/>
                <w:highlight w:val="none"/>
              </w:rPr>
              <w:t>6</w:t>
            </w:r>
          </w:p>
        </w:tc>
        <w:tc>
          <w:tcPr>
            <w:tcW w:w="1559" w:type="dxa"/>
            <w:vAlign w:val="center"/>
          </w:tcPr>
          <w:p w14:paraId="674E5404">
            <w:pPr>
              <w:jc w:val="center"/>
              <w:rPr>
                <w:color w:val="auto"/>
                <w:highlight w:val="none"/>
              </w:rPr>
            </w:pPr>
            <w:r>
              <w:rPr>
                <w:rFonts w:hint="eastAsia"/>
                <w:color w:val="auto"/>
                <w:highlight w:val="none"/>
              </w:rPr>
              <w:t>服务态度</w:t>
            </w:r>
          </w:p>
          <w:p w14:paraId="42FA05E7">
            <w:pPr>
              <w:jc w:val="center"/>
              <w:rPr>
                <w:color w:val="auto"/>
                <w:highlight w:val="none"/>
              </w:rPr>
            </w:pPr>
            <w:r>
              <w:rPr>
                <w:rFonts w:hint="eastAsia"/>
                <w:color w:val="auto"/>
                <w:highlight w:val="none"/>
              </w:rPr>
              <w:t>（5分）</w:t>
            </w:r>
          </w:p>
        </w:tc>
        <w:tc>
          <w:tcPr>
            <w:tcW w:w="4962" w:type="dxa"/>
            <w:vAlign w:val="center"/>
          </w:tcPr>
          <w:p w14:paraId="0CC150B4">
            <w:pPr>
              <w:rPr>
                <w:color w:val="auto"/>
                <w:highlight w:val="none"/>
              </w:rPr>
            </w:pPr>
            <w:r>
              <w:rPr>
                <w:rFonts w:hint="eastAsia"/>
                <w:color w:val="auto"/>
                <w:highlight w:val="none"/>
              </w:rPr>
              <w:t>技术服务人员的工作服务态度</w:t>
            </w:r>
          </w:p>
        </w:tc>
        <w:tc>
          <w:tcPr>
            <w:tcW w:w="1311" w:type="dxa"/>
            <w:vAlign w:val="center"/>
          </w:tcPr>
          <w:p w14:paraId="6F41BE70">
            <w:pPr>
              <w:rPr>
                <w:color w:val="auto"/>
                <w:highlight w:val="none"/>
              </w:rPr>
            </w:pPr>
          </w:p>
        </w:tc>
      </w:tr>
      <w:tr w14:paraId="00FF9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 w:type="dxa"/>
            <w:vAlign w:val="center"/>
          </w:tcPr>
          <w:p w14:paraId="044A6CF6">
            <w:pPr>
              <w:jc w:val="center"/>
              <w:rPr>
                <w:color w:val="auto"/>
                <w:highlight w:val="none"/>
              </w:rPr>
            </w:pPr>
            <w:r>
              <w:rPr>
                <w:color w:val="auto"/>
                <w:highlight w:val="none"/>
              </w:rPr>
              <w:t>7</w:t>
            </w:r>
          </w:p>
        </w:tc>
        <w:tc>
          <w:tcPr>
            <w:tcW w:w="1559" w:type="dxa"/>
            <w:vAlign w:val="center"/>
          </w:tcPr>
          <w:p w14:paraId="3642D011">
            <w:pPr>
              <w:jc w:val="center"/>
              <w:rPr>
                <w:color w:val="auto"/>
                <w:highlight w:val="none"/>
              </w:rPr>
            </w:pPr>
            <w:r>
              <w:rPr>
                <w:rFonts w:hint="eastAsia"/>
                <w:color w:val="auto"/>
                <w:highlight w:val="none"/>
              </w:rPr>
              <w:t>其他</w:t>
            </w:r>
          </w:p>
          <w:p w14:paraId="3C34E695">
            <w:pPr>
              <w:jc w:val="center"/>
              <w:rPr>
                <w:color w:val="auto"/>
                <w:highlight w:val="none"/>
              </w:rPr>
            </w:pPr>
            <w:r>
              <w:rPr>
                <w:rFonts w:hint="eastAsia"/>
                <w:color w:val="auto"/>
                <w:highlight w:val="none"/>
              </w:rPr>
              <w:t>（5分）</w:t>
            </w:r>
          </w:p>
        </w:tc>
        <w:tc>
          <w:tcPr>
            <w:tcW w:w="4962" w:type="dxa"/>
            <w:vAlign w:val="center"/>
          </w:tcPr>
          <w:p w14:paraId="547EA3C4">
            <w:pPr>
              <w:rPr>
                <w:color w:val="auto"/>
                <w:highlight w:val="none"/>
              </w:rPr>
            </w:pPr>
            <w:r>
              <w:rPr>
                <w:rFonts w:hint="eastAsia"/>
                <w:color w:val="auto"/>
                <w:highlight w:val="none"/>
              </w:rPr>
              <w:t>技术服务人员对维修的配件管理是否完善、工作场地是否整洁</w:t>
            </w:r>
          </w:p>
        </w:tc>
        <w:tc>
          <w:tcPr>
            <w:tcW w:w="1311" w:type="dxa"/>
            <w:vAlign w:val="center"/>
          </w:tcPr>
          <w:p w14:paraId="195D748A">
            <w:pPr>
              <w:rPr>
                <w:color w:val="auto"/>
                <w:highlight w:val="none"/>
              </w:rPr>
            </w:pPr>
          </w:p>
        </w:tc>
      </w:tr>
    </w:tbl>
    <w:p w14:paraId="639F75F3">
      <w:pPr>
        <w:pStyle w:val="12"/>
        <w:rPr>
          <w:color w:val="auto"/>
          <w:highlight w:val="none"/>
        </w:rPr>
      </w:pPr>
    </w:p>
    <w:p w14:paraId="777CCFFA">
      <w:pPr>
        <w:rPr>
          <w:color w:val="auto"/>
          <w:highlight w:val="none"/>
        </w:rPr>
      </w:pPr>
      <w:r>
        <w:rPr>
          <w:color w:val="auto"/>
          <w:highlight w:val="none"/>
        </w:rPr>
        <w:br w:type="page"/>
      </w:r>
    </w:p>
    <w:p w14:paraId="0A43AED2">
      <w:pPr>
        <w:widowControl/>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w:t>
      </w:r>
    </w:p>
    <w:p w14:paraId="619671A6">
      <w:pPr>
        <w:pStyle w:val="12"/>
        <w:jc w:val="center"/>
        <w:rPr>
          <w:b/>
          <w:color w:val="auto"/>
          <w:sz w:val="28"/>
          <w:szCs w:val="28"/>
          <w:highlight w:val="none"/>
        </w:rPr>
      </w:pPr>
      <w:r>
        <w:rPr>
          <w:rFonts w:hint="eastAsia"/>
          <w:b/>
          <w:color w:val="auto"/>
          <w:sz w:val="28"/>
          <w:szCs w:val="28"/>
          <w:highlight w:val="none"/>
        </w:rPr>
        <w:t>中小企业划型标准规定</w:t>
      </w:r>
    </w:p>
    <w:p w14:paraId="6392D275">
      <w:pPr>
        <w:pStyle w:val="12"/>
        <w:jc w:val="center"/>
        <w:rPr>
          <w:rFonts w:hint="eastAsia" w:ascii="宋体" w:hAnsi="宋体"/>
          <w:color w:val="auto"/>
          <w:szCs w:val="21"/>
          <w:highlight w:val="none"/>
        </w:rPr>
      </w:pPr>
      <w:r>
        <w:rPr>
          <w:rFonts w:hint="eastAsia" w:ascii="宋体" w:hAnsi="宋体"/>
          <w:color w:val="auto"/>
          <w:szCs w:val="21"/>
          <w:highlight w:val="none"/>
        </w:rPr>
        <w:t>工信部联企业〔2011〕300号</w:t>
      </w:r>
    </w:p>
    <w:p w14:paraId="12A0B497">
      <w:pPr>
        <w:pStyle w:val="12"/>
        <w:rPr>
          <w:color w:val="auto"/>
          <w:sz w:val="24"/>
          <w:szCs w:val="21"/>
          <w:highlight w:val="none"/>
        </w:rPr>
      </w:pPr>
    </w:p>
    <w:p w14:paraId="3A3CAF6A">
      <w:pPr>
        <w:pStyle w:val="12"/>
        <w:rPr>
          <w:color w:val="auto"/>
          <w:szCs w:val="21"/>
          <w:highlight w:val="none"/>
        </w:rPr>
      </w:pPr>
      <w:r>
        <w:rPr>
          <w:rFonts w:hint="eastAsia"/>
          <w:color w:val="auto"/>
          <w:szCs w:val="21"/>
          <w:highlight w:val="none"/>
        </w:rPr>
        <w:t>　　一、根据《中华人民共和国中小企业促进法》和《国务院关于进一步促进中小企业发展的若干意见》</w:t>
      </w:r>
      <w:r>
        <w:rPr>
          <w:color w:val="auto"/>
          <w:szCs w:val="21"/>
          <w:highlight w:val="none"/>
        </w:rPr>
        <w:t>(</w:t>
      </w:r>
      <w:r>
        <w:rPr>
          <w:rFonts w:hint="eastAsia"/>
          <w:color w:val="auto"/>
          <w:szCs w:val="21"/>
          <w:highlight w:val="none"/>
        </w:rPr>
        <w:t>国发</w:t>
      </w:r>
      <w:r>
        <w:rPr>
          <w:rFonts w:hint="eastAsia" w:ascii="宋体" w:hAnsi="宋体"/>
          <w:color w:val="auto"/>
          <w:szCs w:val="21"/>
          <w:highlight w:val="none"/>
        </w:rPr>
        <w:t>〔2009〕36号</w:t>
      </w:r>
      <w:r>
        <w:rPr>
          <w:color w:val="auto"/>
          <w:szCs w:val="21"/>
          <w:highlight w:val="none"/>
        </w:rPr>
        <w:t>)</w:t>
      </w:r>
      <w:r>
        <w:rPr>
          <w:rFonts w:hint="eastAsia"/>
          <w:color w:val="auto"/>
          <w:szCs w:val="21"/>
          <w:highlight w:val="none"/>
        </w:rPr>
        <w:t>，制定本规定。</w:t>
      </w:r>
    </w:p>
    <w:p w14:paraId="452255F1">
      <w:pPr>
        <w:pStyle w:val="12"/>
        <w:rPr>
          <w:color w:val="auto"/>
          <w:highlight w:val="none"/>
        </w:rPr>
      </w:pPr>
      <w:r>
        <w:rPr>
          <w:rFonts w:hint="eastAsia"/>
          <w:color w:val="auto"/>
          <w:szCs w:val="21"/>
          <w:highlight w:val="none"/>
        </w:rPr>
        <w:t>　　二、中小企业划分为中型、小型、微型三种类型，具体标准根据企业从业人员、营业收入、资产总额等指标，结合行业特点制定。</w:t>
      </w:r>
    </w:p>
    <w:p w14:paraId="5147CF9F">
      <w:pPr>
        <w:pStyle w:val="12"/>
        <w:rPr>
          <w:color w:val="auto"/>
          <w:szCs w:val="21"/>
          <w:highlight w:val="none"/>
        </w:rPr>
      </w:pPr>
      <w:r>
        <w:rPr>
          <w:rFonts w:hint="eastAsia"/>
          <w:color w:val="auto"/>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AF4F521">
      <w:pPr>
        <w:pStyle w:val="12"/>
        <w:rPr>
          <w:color w:val="auto"/>
          <w:szCs w:val="21"/>
          <w:highlight w:val="none"/>
        </w:rPr>
      </w:pPr>
      <w:r>
        <w:rPr>
          <w:rFonts w:hint="eastAsia"/>
          <w:color w:val="auto"/>
          <w:szCs w:val="21"/>
          <w:highlight w:val="none"/>
        </w:rPr>
        <w:t>　　四、各行业划型标准为：</w:t>
      </w:r>
    </w:p>
    <w:p w14:paraId="326CE22F">
      <w:pPr>
        <w:pStyle w:val="12"/>
        <w:rPr>
          <w:color w:val="auto"/>
          <w:szCs w:val="21"/>
          <w:highlight w:val="none"/>
        </w:rPr>
      </w:pPr>
      <w:r>
        <w:rPr>
          <w:rFonts w:hint="eastAsia"/>
          <w:color w:val="auto"/>
          <w:szCs w:val="21"/>
          <w:highlight w:val="none"/>
        </w:rPr>
        <w:t>　　（一）农、林、牧、渔业。营业收入</w:t>
      </w:r>
      <w:r>
        <w:rPr>
          <w:color w:val="auto"/>
          <w:szCs w:val="21"/>
          <w:highlight w:val="none"/>
        </w:rPr>
        <w:t>20000</w:t>
      </w:r>
      <w:r>
        <w:rPr>
          <w:rFonts w:hint="eastAsia"/>
          <w:color w:val="auto"/>
          <w:szCs w:val="21"/>
          <w:highlight w:val="none"/>
        </w:rPr>
        <w:t>万元以下的为中小微型企业。其中，营业收入</w:t>
      </w:r>
      <w:r>
        <w:rPr>
          <w:color w:val="auto"/>
          <w:szCs w:val="21"/>
          <w:highlight w:val="none"/>
        </w:rPr>
        <w:t>500</w:t>
      </w:r>
      <w:r>
        <w:rPr>
          <w:rFonts w:hint="eastAsia"/>
          <w:color w:val="auto"/>
          <w:szCs w:val="21"/>
          <w:highlight w:val="none"/>
        </w:rPr>
        <w:t>万元及以上的为中型企业，营业收入</w:t>
      </w:r>
      <w:r>
        <w:rPr>
          <w:color w:val="auto"/>
          <w:szCs w:val="21"/>
          <w:highlight w:val="none"/>
        </w:rPr>
        <w:t>50</w:t>
      </w:r>
      <w:r>
        <w:rPr>
          <w:rFonts w:hint="eastAsia"/>
          <w:color w:val="auto"/>
          <w:szCs w:val="21"/>
          <w:highlight w:val="none"/>
        </w:rPr>
        <w:t>万元及以上的为小型企业，营业收入</w:t>
      </w:r>
      <w:r>
        <w:rPr>
          <w:color w:val="auto"/>
          <w:szCs w:val="21"/>
          <w:highlight w:val="none"/>
        </w:rPr>
        <w:t>50</w:t>
      </w:r>
      <w:r>
        <w:rPr>
          <w:rFonts w:hint="eastAsia"/>
          <w:color w:val="auto"/>
          <w:szCs w:val="21"/>
          <w:highlight w:val="none"/>
        </w:rPr>
        <w:t>万元以下的为微型企业。</w:t>
      </w:r>
    </w:p>
    <w:p w14:paraId="162DEDD5">
      <w:pPr>
        <w:pStyle w:val="12"/>
        <w:rPr>
          <w:color w:val="auto"/>
          <w:szCs w:val="21"/>
          <w:highlight w:val="none"/>
        </w:rPr>
      </w:pPr>
      <w:r>
        <w:rPr>
          <w:rFonts w:hint="eastAsia"/>
          <w:color w:val="auto"/>
          <w:szCs w:val="21"/>
          <w:highlight w:val="none"/>
        </w:rPr>
        <w:t>　　（二）工业。从业人员</w:t>
      </w:r>
      <w:r>
        <w:rPr>
          <w:color w:val="auto"/>
          <w:szCs w:val="21"/>
          <w:highlight w:val="none"/>
        </w:rPr>
        <w:t>1000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300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300</w:t>
      </w:r>
      <w:r>
        <w:rPr>
          <w:rFonts w:hint="eastAsia"/>
          <w:color w:val="auto"/>
          <w:szCs w:val="21"/>
          <w:highlight w:val="none"/>
        </w:rPr>
        <w:t>万元以下的为微型企业。</w:t>
      </w:r>
    </w:p>
    <w:p w14:paraId="7B09C62A">
      <w:pPr>
        <w:pStyle w:val="12"/>
        <w:rPr>
          <w:color w:val="auto"/>
          <w:szCs w:val="21"/>
          <w:highlight w:val="none"/>
        </w:rPr>
      </w:pPr>
      <w:r>
        <w:rPr>
          <w:rFonts w:hint="eastAsia"/>
          <w:color w:val="auto"/>
          <w:szCs w:val="21"/>
          <w:highlight w:val="none"/>
        </w:rPr>
        <w:t>　　（三）建筑业。营业收入</w:t>
      </w:r>
      <w:r>
        <w:rPr>
          <w:color w:val="auto"/>
          <w:szCs w:val="21"/>
          <w:highlight w:val="none"/>
        </w:rPr>
        <w:t>80000</w:t>
      </w:r>
      <w:r>
        <w:rPr>
          <w:rFonts w:hint="eastAsia"/>
          <w:color w:val="auto"/>
          <w:szCs w:val="21"/>
          <w:highlight w:val="none"/>
        </w:rPr>
        <w:t>万元以下或资产总额</w:t>
      </w:r>
      <w:r>
        <w:rPr>
          <w:color w:val="auto"/>
          <w:szCs w:val="21"/>
          <w:highlight w:val="none"/>
        </w:rPr>
        <w:t>80000</w:t>
      </w:r>
      <w:r>
        <w:rPr>
          <w:rFonts w:hint="eastAsia"/>
          <w:color w:val="auto"/>
          <w:szCs w:val="21"/>
          <w:highlight w:val="none"/>
        </w:rPr>
        <w:t>万元以下的为中小微型企业。其中，营业收入</w:t>
      </w:r>
      <w:r>
        <w:rPr>
          <w:color w:val="auto"/>
          <w:szCs w:val="21"/>
          <w:highlight w:val="none"/>
        </w:rPr>
        <w:t>6000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300</w:t>
      </w:r>
      <w:r>
        <w:rPr>
          <w:rFonts w:hint="eastAsia"/>
          <w:color w:val="auto"/>
          <w:szCs w:val="21"/>
          <w:highlight w:val="none"/>
        </w:rPr>
        <w:t>万元及以上，且资产总额</w:t>
      </w:r>
      <w:r>
        <w:rPr>
          <w:color w:val="auto"/>
          <w:szCs w:val="21"/>
          <w:highlight w:val="none"/>
        </w:rPr>
        <w:t>300</w:t>
      </w:r>
      <w:r>
        <w:rPr>
          <w:rFonts w:hint="eastAsia"/>
          <w:color w:val="auto"/>
          <w:szCs w:val="21"/>
          <w:highlight w:val="none"/>
        </w:rPr>
        <w:t>万元及以上的为小型企业；营业收入</w:t>
      </w:r>
      <w:r>
        <w:rPr>
          <w:color w:val="auto"/>
          <w:szCs w:val="21"/>
          <w:highlight w:val="none"/>
        </w:rPr>
        <w:t>300</w:t>
      </w:r>
      <w:r>
        <w:rPr>
          <w:rFonts w:hint="eastAsia"/>
          <w:color w:val="auto"/>
          <w:szCs w:val="21"/>
          <w:highlight w:val="none"/>
        </w:rPr>
        <w:t>万元以下或资产总额</w:t>
      </w:r>
      <w:r>
        <w:rPr>
          <w:color w:val="auto"/>
          <w:szCs w:val="21"/>
          <w:highlight w:val="none"/>
        </w:rPr>
        <w:t>300</w:t>
      </w:r>
      <w:r>
        <w:rPr>
          <w:rFonts w:hint="eastAsia"/>
          <w:color w:val="auto"/>
          <w:szCs w:val="21"/>
          <w:highlight w:val="none"/>
        </w:rPr>
        <w:t>万元以下的为微型企业。</w:t>
      </w:r>
    </w:p>
    <w:p w14:paraId="41042588">
      <w:pPr>
        <w:pStyle w:val="12"/>
        <w:rPr>
          <w:color w:val="auto"/>
          <w:szCs w:val="21"/>
          <w:highlight w:val="none"/>
        </w:rPr>
      </w:pPr>
      <w:r>
        <w:rPr>
          <w:rFonts w:hint="eastAsia"/>
          <w:color w:val="auto"/>
          <w:szCs w:val="21"/>
          <w:highlight w:val="none"/>
        </w:rPr>
        <w:t>　　（四）批发业。从业人员</w:t>
      </w:r>
      <w:r>
        <w:rPr>
          <w:color w:val="auto"/>
          <w:szCs w:val="21"/>
          <w:highlight w:val="none"/>
        </w:rPr>
        <w:t>200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20</w:t>
      </w:r>
      <w:r>
        <w:rPr>
          <w:rFonts w:hint="eastAsia"/>
          <w:color w:val="auto"/>
          <w:szCs w:val="21"/>
          <w:highlight w:val="none"/>
        </w:rPr>
        <w:t>人及以上，且营业收入</w:t>
      </w:r>
      <w:r>
        <w:rPr>
          <w:color w:val="auto"/>
          <w:szCs w:val="21"/>
          <w:highlight w:val="none"/>
        </w:rPr>
        <w:t>5000</w:t>
      </w:r>
      <w:r>
        <w:rPr>
          <w:rFonts w:hint="eastAsia"/>
          <w:color w:val="auto"/>
          <w:szCs w:val="21"/>
          <w:highlight w:val="none"/>
        </w:rPr>
        <w:t>万元及以上的为中型企业；从业人员</w:t>
      </w:r>
      <w:r>
        <w:rPr>
          <w:color w:val="auto"/>
          <w:szCs w:val="21"/>
          <w:highlight w:val="none"/>
        </w:rPr>
        <w:t>5</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万元及以上的为小型企业；从业人员</w:t>
      </w:r>
      <w:r>
        <w:rPr>
          <w:color w:val="auto"/>
          <w:szCs w:val="21"/>
          <w:highlight w:val="none"/>
        </w:rPr>
        <w:t>5</w:t>
      </w:r>
      <w:r>
        <w:rPr>
          <w:rFonts w:hint="eastAsia"/>
          <w:color w:val="auto"/>
          <w:szCs w:val="21"/>
          <w:highlight w:val="none"/>
        </w:rPr>
        <w:t>人以下或营业收入</w:t>
      </w:r>
      <w:r>
        <w:rPr>
          <w:color w:val="auto"/>
          <w:szCs w:val="21"/>
          <w:highlight w:val="none"/>
        </w:rPr>
        <w:t>1000</w:t>
      </w:r>
      <w:r>
        <w:rPr>
          <w:rFonts w:hint="eastAsia"/>
          <w:color w:val="auto"/>
          <w:szCs w:val="21"/>
          <w:highlight w:val="none"/>
        </w:rPr>
        <w:t>万元以下的为微型企业。</w:t>
      </w:r>
    </w:p>
    <w:p w14:paraId="57209803">
      <w:pPr>
        <w:pStyle w:val="12"/>
        <w:rPr>
          <w:color w:val="auto"/>
          <w:szCs w:val="21"/>
          <w:highlight w:val="none"/>
        </w:rPr>
      </w:pPr>
      <w:r>
        <w:rPr>
          <w:rFonts w:hint="eastAsia"/>
          <w:color w:val="auto"/>
          <w:szCs w:val="21"/>
          <w:highlight w:val="none"/>
        </w:rPr>
        <w:t>　　（五）零售业。从业人员</w:t>
      </w:r>
      <w:r>
        <w:rPr>
          <w:color w:val="auto"/>
          <w:szCs w:val="21"/>
          <w:highlight w:val="none"/>
        </w:rPr>
        <w:t>300</w:t>
      </w:r>
      <w:r>
        <w:rPr>
          <w:rFonts w:hint="eastAsia"/>
          <w:color w:val="auto"/>
          <w:szCs w:val="21"/>
          <w:highlight w:val="none"/>
        </w:rPr>
        <w:t>人以下或营业收入</w:t>
      </w:r>
      <w:r>
        <w:rPr>
          <w:color w:val="auto"/>
          <w:szCs w:val="21"/>
          <w:highlight w:val="none"/>
        </w:rPr>
        <w:t>20000</w:t>
      </w:r>
      <w:r>
        <w:rPr>
          <w:rFonts w:hint="eastAsia"/>
          <w:color w:val="auto"/>
          <w:szCs w:val="21"/>
          <w:highlight w:val="none"/>
        </w:rPr>
        <w:t>万元以下的为中小微型企业。其中，从业人员</w:t>
      </w:r>
      <w:r>
        <w:rPr>
          <w:color w:val="auto"/>
          <w:szCs w:val="21"/>
          <w:highlight w:val="none"/>
        </w:rPr>
        <w:t>50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1874A17B">
      <w:pPr>
        <w:pStyle w:val="12"/>
        <w:rPr>
          <w:color w:val="auto"/>
          <w:szCs w:val="21"/>
          <w:highlight w:val="none"/>
        </w:rPr>
      </w:pPr>
      <w:r>
        <w:rPr>
          <w:rFonts w:hint="eastAsia"/>
          <w:color w:val="auto"/>
          <w:szCs w:val="21"/>
          <w:highlight w:val="none"/>
        </w:rPr>
        <w:t>　　（六）交通运输业。从业人员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3000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200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200</w:t>
      </w:r>
      <w:r>
        <w:rPr>
          <w:rFonts w:hint="eastAsia"/>
          <w:color w:val="auto"/>
          <w:szCs w:val="21"/>
          <w:highlight w:val="none"/>
        </w:rPr>
        <w:t>万元以下的为微型企业。</w:t>
      </w:r>
    </w:p>
    <w:p w14:paraId="4D639EDC">
      <w:pPr>
        <w:pStyle w:val="12"/>
        <w:rPr>
          <w:color w:val="auto"/>
          <w:szCs w:val="21"/>
          <w:highlight w:val="none"/>
        </w:rPr>
      </w:pPr>
      <w:r>
        <w:rPr>
          <w:rFonts w:hint="eastAsia"/>
          <w:color w:val="auto"/>
          <w:szCs w:val="21"/>
          <w:highlight w:val="none"/>
        </w:rPr>
        <w:t>　　（七）仓储业。从业人员</w:t>
      </w:r>
      <w:r>
        <w:rPr>
          <w:color w:val="auto"/>
          <w:szCs w:val="21"/>
          <w:highlight w:val="none"/>
        </w:rPr>
        <w:t>200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01D23A16">
      <w:pPr>
        <w:pStyle w:val="12"/>
        <w:rPr>
          <w:color w:val="auto"/>
          <w:szCs w:val="21"/>
          <w:highlight w:val="none"/>
        </w:rPr>
      </w:pPr>
      <w:r>
        <w:rPr>
          <w:rFonts w:hint="eastAsia"/>
          <w:color w:val="auto"/>
          <w:szCs w:val="21"/>
          <w:highlight w:val="none"/>
        </w:rPr>
        <w:t>　　（八）邮政业。从业人员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790B2180">
      <w:pPr>
        <w:pStyle w:val="12"/>
        <w:rPr>
          <w:color w:val="auto"/>
          <w:szCs w:val="21"/>
          <w:highlight w:val="none"/>
        </w:rPr>
      </w:pPr>
      <w:r>
        <w:rPr>
          <w:rFonts w:hint="eastAsia"/>
          <w:color w:val="auto"/>
          <w:szCs w:val="21"/>
          <w:highlight w:val="none"/>
        </w:rPr>
        <w:t>　　（九）住宿业。从业人员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3B111E98">
      <w:pPr>
        <w:pStyle w:val="12"/>
        <w:rPr>
          <w:color w:val="auto"/>
          <w:szCs w:val="21"/>
          <w:highlight w:val="none"/>
        </w:rPr>
      </w:pPr>
      <w:r>
        <w:rPr>
          <w:rFonts w:hint="eastAsia"/>
          <w:color w:val="auto"/>
          <w:szCs w:val="21"/>
          <w:highlight w:val="none"/>
        </w:rPr>
        <w:t>　　（十）餐饮业。从业人员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1ACF77C6">
      <w:pPr>
        <w:pStyle w:val="12"/>
        <w:rPr>
          <w:color w:val="auto"/>
          <w:szCs w:val="21"/>
          <w:highlight w:val="none"/>
        </w:rPr>
      </w:pPr>
      <w:r>
        <w:rPr>
          <w:rFonts w:hint="eastAsia"/>
          <w:color w:val="auto"/>
          <w:szCs w:val="21"/>
          <w:highlight w:val="none"/>
        </w:rPr>
        <w:t>　　（十一）信息传输业。从业人员</w:t>
      </w:r>
      <w:r>
        <w:rPr>
          <w:color w:val="auto"/>
          <w:szCs w:val="21"/>
          <w:highlight w:val="none"/>
        </w:rPr>
        <w:t>2000</w:t>
      </w:r>
      <w:r>
        <w:rPr>
          <w:rFonts w:hint="eastAsia"/>
          <w:color w:val="auto"/>
          <w:szCs w:val="21"/>
          <w:highlight w:val="none"/>
        </w:rPr>
        <w:t>人以下或营业收入</w:t>
      </w:r>
      <w:r>
        <w:rPr>
          <w:color w:val="auto"/>
          <w:szCs w:val="21"/>
          <w:highlight w:val="none"/>
        </w:rPr>
        <w:t>100000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2432B681">
      <w:pPr>
        <w:pStyle w:val="12"/>
        <w:rPr>
          <w:color w:val="auto"/>
          <w:szCs w:val="21"/>
          <w:highlight w:val="none"/>
        </w:rPr>
      </w:pPr>
      <w:r>
        <w:rPr>
          <w:rFonts w:hint="eastAsia"/>
          <w:color w:val="auto"/>
          <w:szCs w:val="21"/>
          <w:highlight w:val="none"/>
        </w:rPr>
        <w:t>　　（十二）软件和信息技术服务业。从业人员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50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50</w:t>
      </w:r>
      <w:r>
        <w:rPr>
          <w:rFonts w:hint="eastAsia"/>
          <w:color w:val="auto"/>
          <w:szCs w:val="21"/>
          <w:highlight w:val="none"/>
        </w:rPr>
        <w:t>万元以下的为微型企业。</w:t>
      </w:r>
    </w:p>
    <w:p w14:paraId="489048F5">
      <w:pPr>
        <w:pStyle w:val="12"/>
        <w:rPr>
          <w:color w:val="auto"/>
          <w:szCs w:val="21"/>
          <w:highlight w:val="none"/>
        </w:rPr>
      </w:pPr>
      <w:r>
        <w:rPr>
          <w:rFonts w:hint="eastAsia"/>
          <w:color w:val="auto"/>
          <w:szCs w:val="21"/>
          <w:highlight w:val="none"/>
        </w:rPr>
        <w:t>　　（十三）房地产开发经营。营业收入</w:t>
      </w:r>
      <w:r>
        <w:rPr>
          <w:color w:val="auto"/>
          <w:szCs w:val="21"/>
          <w:highlight w:val="none"/>
        </w:rPr>
        <w:t>200000</w:t>
      </w:r>
      <w:r>
        <w:rPr>
          <w:rFonts w:hint="eastAsia"/>
          <w:color w:val="auto"/>
          <w:szCs w:val="21"/>
          <w:highlight w:val="none"/>
        </w:rPr>
        <w:t>万元以下或资产总额</w:t>
      </w:r>
      <w:r>
        <w:rPr>
          <w:color w:val="auto"/>
          <w:szCs w:val="21"/>
          <w:highlight w:val="none"/>
        </w:rPr>
        <w:t>10000</w:t>
      </w:r>
      <w:r>
        <w:rPr>
          <w:rFonts w:hint="eastAsia"/>
          <w:color w:val="auto"/>
          <w:szCs w:val="21"/>
          <w:highlight w:val="none"/>
        </w:rPr>
        <w:t>万元以下的为中小微型企业。其中，营业收入</w:t>
      </w:r>
      <w:r>
        <w:rPr>
          <w:color w:val="auto"/>
          <w:szCs w:val="21"/>
          <w:highlight w:val="none"/>
        </w:rPr>
        <w:t>1000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100</w:t>
      </w:r>
      <w:r>
        <w:rPr>
          <w:rFonts w:hint="eastAsia"/>
          <w:color w:val="auto"/>
          <w:szCs w:val="21"/>
          <w:highlight w:val="none"/>
        </w:rPr>
        <w:t>万元及以上，且资产总额</w:t>
      </w:r>
      <w:r>
        <w:rPr>
          <w:color w:val="auto"/>
          <w:szCs w:val="21"/>
          <w:highlight w:val="none"/>
        </w:rPr>
        <w:t>2000</w:t>
      </w:r>
      <w:r>
        <w:rPr>
          <w:rFonts w:hint="eastAsia"/>
          <w:color w:val="auto"/>
          <w:szCs w:val="21"/>
          <w:highlight w:val="none"/>
        </w:rPr>
        <w:t>万元及以上的为小型企业；营业收入</w:t>
      </w:r>
      <w:r>
        <w:rPr>
          <w:color w:val="auto"/>
          <w:szCs w:val="21"/>
          <w:highlight w:val="none"/>
        </w:rPr>
        <w:t>100</w:t>
      </w:r>
      <w:r>
        <w:rPr>
          <w:rFonts w:hint="eastAsia"/>
          <w:color w:val="auto"/>
          <w:szCs w:val="21"/>
          <w:highlight w:val="none"/>
        </w:rPr>
        <w:t>万元以下或资产总额</w:t>
      </w:r>
      <w:r>
        <w:rPr>
          <w:color w:val="auto"/>
          <w:szCs w:val="21"/>
          <w:highlight w:val="none"/>
        </w:rPr>
        <w:t>2000</w:t>
      </w:r>
      <w:r>
        <w:rPr>
          <w:rFonts w:hint="eastAsia"/>
          <w:color w:val="auto"/>
          <w:szCs w:val="21"/>
          <w:highlight w:val="none"/>
        </w:rPr>
        <w:t>万元以下的为微型企业。</w:t>
      </w:r>
    </w:p>
    <w:p w14:paraId="624BAD87">
      <w:pPr>
        <w:pStyle w:val="12"/>
        <w:rPr>
          <w:color w:val="auto"/>
          <w:szCs w:val="21"/>
          <w:highlight w:val="none"/>
        </w:rPr>
      </w:pPr>
      <w:r>
        <w:rPr>
          <w:rFonts w:hint="eastAsia"/>
          <w:color w:val="auto"/>
          <w:szCs w:val="21"/>
          <w:highlight w:val="none"/>
        </w:rPr>
        <w:t>　　（十四）物业管理。从业人员</w:t>
      </w:r>
      <w:r>
        <w:rPr>
          <w:color w:val="auto"/>
          <w:szCs w:val="21"/>
          <w:highlight w:val="none"/>
        </w:rPr>
        <w:t>1000</w:t>
      </w:r>
      <w:r>
        <w:rPr>
          <w:rFonts w:hint="eastAsia"/>
          <w:color w:val="auto"/>
          <w:szCs w:val="21"/>
          <w:highlight w:val="none"/>
        </w:rPr>
        <w:t>人以下或营业收入</w:t>
      </w:r>
      <w:r>
        <w:rPr>
          <w:color w:val="auto"/>
          <w:szCs w:val="21"/>
          <w:highlight w:val="none"/>
        </w:rPr>
        <w:t>5000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万元及以上的为小型企业；从业人员</w:t>
      </w:r>
      <w:r>
        <w:rPr>
          <w:color w:val="auto"/>
          <w:szCs w:val="21"/>
          <w:highlight w:val="none"/>
        </w:rPr>
        <w:t>100</w:t>
      </w:r>
      <w:r>
        <w:rPr>
          <w:rFonts w:hint="eastAsia"/>
          <w:color w:val="auto"/>
          <w:szCs w:val="21"/>
          <w:highlight w:val="none"/>
        </w:rPr>
        <w:t>人以下或营业收入</w:t>
      </w:r>
      <w:r>
        <w:rPr>
          <w:color w:val="auto"/>
          <w:szCs w:val="21"/>
          <w:highlight w:val="none"/>
        </w:rPr>
        <w:t>500</w:t>
      </w:r>
      <w:r>
        <w:rPr>
          <w:rFonts w:hint="eastAsia"/>
          <w:color w:val="auto"/>
          <w:szCs w:val="21"/>
          <w:highlight w:val="none"/>
        </w:rPr>
        <w:t>万元以下的为微型企业。</w:t>
      </w:r>
    </w:p>
    <w:p w14:paraId="0C4CFBAC">
      <w:pPr>
        <w:pStyle w:val="12"/>
        <w:rPr>
          <w:color w:val="auto"/>
          <w:szCs w:val="21"/>
          <w:highlight w:val="none"/>
        </w:rPr>
      </w:pPr>
      <w:r>
        <w:rPr>
          <w:rFonts w:hint="eastAsia"/>
          <w:color w:val="auto"/>
          <w:szCs w:val="21"/>
          <w:highlight w:val="none"/>
        </w:rPr>
        <w:t>　　（十五）租赁和商务服务业。从业人员</w:t>
      </w:r>
      <w:r>
        <w:rPr>
          <w:color w:val="auto"/>
          <w:szCs w:val="21"/>
          <w:highlight w:val="none"/>
        </w:rPr>
        <w:t>300</w:t>
      </w:r>
      <w:r>
        <w:rPr>
          <w:rFonts w:hint="eastAsia"/>
          <w:color w:val="auto"/>
          <w:szCs w:val="21"/>
          <w:highlight w:val="none"/>
        </w:rPr>
        <w:t>人以下或资产总额</w:t>
      </w:r>
      <w:r>
        <w:rPr>
          <w:color w:val="auto"/>
          <w:szCs w:val="21"/>
          <w:highlight w:val="none"/>
        </w:rPr>
        <w:t>120000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人及以上，且资产总额</w:t>
      </w:r>
      <w:r>
        <w:rPr>
          <w:color w:val="auto"/>
          <w:szCs w:val="21"/>
          <w:highlight w:val="none"/>
        </w:rPr>
        <w:t>8000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人及以上，且资产总额</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人以下或资产总额</w:t>
      </w:r>
      <w:r>
        <w:rPr>
          <w:color w:val="auto"/>
          <w:szCs w:val="21"/>
          <w:highlight w:val="none"/>
        </w:rPr>
        <w:t>100</w:t>
      </w:r>
      <w:r>
        <w:rPr>
          <w:rFonts w:hint="eastAsia"/>
          <w:color w:val="auto"/>
          <w:szCs w:val="21"/>
          <w:highlight w:val="none"/>
        </w:rPr>
        <w:t>万元以下的为微型企业。</w:t>
      </w:r>
    </w:p>
    <w:p w14:paraId="005FB0FB">
      <w:pPr>
        <w:pStyle w:val="12"/>
        <w:rPr>
          <w:color w:val="auto"/>
          <w:szCs w:val="21"/>
          <w:highlight w:val="none"/>
        </w:rPr>
      </w:pPr>
      <w:r>
        <w:rPr>
          <w:rFonts w:hint="eastAsia"/>
          <w:color w:val="auto"/>
          <w:szCs w:val="21"/>
          <w:highlight w:val="none"/>
        </w:rPr>
        <w:t>　　（十六）</w:t>
      </w:r>
      <w:bookmarkStart w:id="90" w:name="OLE_LINK12"/>
      <w:r>
        <w:rPr>
          <w:rFonts w:hint="eastAsia"/>
          <w:color w:val="auto"/>
          <w:szCs w:val="21"/>
          <w:highlight w:val="none"/>
        </w:rPr>
        <w:t>其他未列明行业</w:t>
      </w:r>
      <w:bookmarkEnd w:id="90"/>
      <w:r>
        <w:rPr>
          <w:rFonts w:hint="eastAsia"/>
          <w:color w:val="auto"/>
          <w:szCs w:val="21"/>
          <w:highlight w:val="none"/>
        </w:rPr>
        <w:t>。从业人员</w:t>
      </w:r>
      <w:r>
        <w:rPr>
          <w:color w:val="auto"/>
          <w:szCs w:val="21"/>
          <w:highlight w:val="none"/>
        </w:rPr>
        <w:t>300</w:t>
      </w:r>
      <w:r>
        <w:rPr>
          <w:rFonts w:hint="eastAsia"/>
          <w:color w:val="auto"/>
          <w:szCs w:val="21"/>
          <w:highlight w:val="none"/>
        </w:rPr>
        <w:t>人以下的为中小微型企业。其中，从业人员</w:t>
      </w:r>
      <w:r>
        <w:rPr>
          <w:color w:val="auto"/>
          <w:szCs w:val="21"/>
          <w:highlight w:val="none"/>
        </w:rPr>
        <w:t>100</w:t>
      </w:r>
      <w:r>
        <w:rPr>
          <w:rFonts w:hint="eastAsia"/>
          <w:color w:val="auto"/>
          <w:szCs w:val="21"/>
          <w:highlight w:val="none"/>
        </w:rPr>
        <w:t>人及以上的为中型企业；从业人员</w:t>
      </w:r>
      <w:r>
        <w:rPr>
          <w:color w:val="auto"/>
          <w:szCs w:val="21"/>
          <w:highlight w:val="none"/>
        </w:rPr>
        <w:t>10</w:t>
      </w:r>
      <w:r>
        <w:rPr>
          <w:rFonts w:hint="eastAsia"/>
          <w:color w:val="auto"/>
          <w:szCs w:val="21"/>
          <w:highlight w:val="none"/>
        </w:rPr>
        <w:t>人及以上的为小型企业；从业人员</w:t>
      </w:r>
      <w:r>
        <w:rPr>
          <w:color w:val="auto"/>
          <w:szCs w:val="21"/>
          <w:highlight w:val="none"/>
        </w:rPr>
        <w:t>10</w:t>
      </w:r>
      <w:r>
        <w:rPr>
          <w:rFonts w:hint="eastAsia"/>
          <w:color w:val="auto"/>
          <w:szCs w:val="21"/>
          <w:highlight w:val="none"/>
        </w:rPr>
        <w:t>人以下的为微型企业。</w:t>
      </w:r>
    </w:p>
    <w:p w14:paraId="72154933">
      <w:pPr>
        <w:pStyle w:val="12"/>
        <w:rPr>
          <w:color w:val="auto"/>
          <w:szCs w:val="21"/>
          <w:highlight w:val="none"/>
        </w:rPr>
      </w:pPr>
      <w:r>
        <w:rPr>
          <w:rFonts w:hint="eastAsia"/>
          <w:color w:val="auto"/>
          <w:szCs w:val="21"/>
          <w:highlight w:val="none"/>
        </w:rPr>
        <w:t>　　五、企业类型的划分以统计部门的统计数据为依据。</w:t>
      </w:r>
    </w:p>
    <w:p w14:paraId="35A61653">
      <w:pPr>
        <w:pStyle w:val="12"/>
        <w:rPr>
          <w:color w:val="auto"/>
          <w:szCs w:val="21"/>
          <w:highlight w:val="none"/>
        </w:rPr>
      </w:pPr>
      <w:r>
        <w:rPr>
          <w:rFonts w:hint="eastAsia"/>
          <w:color w:val="auto"/>
          <w:szCs w:val="21"/>
          <w:highlight w:val="none"/>
        </w:rPr>
        <w:t>　　六、本规定适用于在中华人民共和国境内依法设立的各类所有制和各种组织形式的企业。个体工商户和本规定以外的行业，参照本规定进行划型。</w:t>
      </w:r>
    </w:p>
    <w:p w14:paraId="3FB34C7D">
      <w:pPr>
        <w:pStyle w:val="12"/>
        <w:rPr>
          <w:color w:val="auto"/>
          <w:szCs w:val="21"/>
          <w:highlight w:val="none"/>
        </w:rPr>
      </w:pPr>
      <w:r>
        <w:rPr>
          <w:rFonts w:hint="eastAsia"/>
          <w:color w:val="auto"/>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5C8A252F">
      <w:pPr>
        <w:pStyle w:val="12"/>
        <w:rPr>
          <w:color w:val="auto"/>
          <w:szCs w:val="21"/>
          <w:highlight w:val="none"/>
        </w:rPr>
      </w:pPr>
      <w:r>
        <w:rPr>
          <w:rFonts w:hint="eastAsia"/>
          <w:color w:val="auto"/>
          <w:szCs w:val="21"/>
          <w:highlight w:val="none"/>
        </w:rPr>
        <w:t>　　八、本规定由工业和信息化部、国家统计局会同有关部门根据《国民经济行业分类》修订情况和企业发展变化情况适时修订。</w:t>
      </w:r>
    </w:p>
    <w:p w14:paraId="3AC16ABE">
      <w:pPr>
        <w:pStyle w:val="12"/>
        <w:rPr>
          <w:color w:val="auto"/>
          <w:szCs w:val="21"/>
          <w:highlight w:val="none"/>
        </w:rPr>
      </w:pPr>
      <w:r>
        <w:rPr>
          <w:rFonts w:hint="eastAsia"/>
          <w:color w:val="auto"/>
          <w:szCs w:val="21"/>
          <w:highlight w:val="none"/>
        </w:rPr>
        <w:t>　　九、本规定由工业和信息化部、国家统计局会同有关部门负责解释。</w:t>
      </w:r>
    </w:p>
    <w:p w14:paraId="2928DFBB">
      <w:pPr>
        <w:pStyle w:val="12"/>
        <w:ind w:firstLine="420"/>
        <w:rPr>
          <w:color w:val="auto"/>
          <w:szCs w:val="21"/>
          <w:highlight w:val="none"/>
        </w:rPr>
      </w:pPr>
      <w:r>
        <w:rPr>
          <w:rFonts w:hint="eastAsia"/>
          <w:color w:val="auto"/>
          <w:szCs w:val="21"/>
          <w:highlight w:val="none"/>
        </w:rPr>
        <w:t>十、本规定自发布之日起执行，原国家经贸委、原国家计委、财政部和国家统计局</w:t>
      </w:r>
      <w:r>
        <w:rPr>
          <w:color w:val="auto"/>
          <w:szCs w:val="21"/>
          <w:highlight w:val="none"/>
        </w:rPr>
        <w:t>2003</w:t>
      </w:r>
      <w:r>
        <w:rPr>
          <w:rFonts w:hint="eastAsia"/>
          <w:color w:val="auto"/>
          <w:szCs w:val="21"/>
          <w:highlight w:val="none"/>
        </w:rPr>
        <w:t>年颁布的《中小企业标准暂行规定》同时废止。</w:t>
      </w:r>
    </w:p>
    <w:p w14:paraId="201BC135">
      <w:pPr>
        <w:tabs>
          <w:tab w:val="left" w:pos="180"/>
          <w:tab w:val="left" w:pos="1620"/>
        </w:tabs>
        <w:spacing w:line="360" w:lineRule="auto"/>
        <w:ind w:firstLine="422" w:firstLineChars="200"/>
        <w:rPr>
          <w:rFonts w:hint="eastAsia" w:ascii="宋体" w:hAnsi="宋体" w:cs="宋体"/>
          <w:b/>
          <w:bCs/>
          <w:color w:val="auto"/>
          <w:szCs w:val="21"/>
          <w:highlight w:val="none"/>
        </w:rPr>
      </w:pPr>
    </w:p>
    <w:p w14:paraId="63CFD18A">
      <w:pPr>
        <w:pStyle w:val="2"/>
        <w:jc w:val="center"/>
        <w:rPr>
          <w:color w:val="auto"/>
          <w:highlight w:val="none"/>
        </w:rPr>
      </w:pPr>
      <w:bookmarkStart w:id="91" w:name="_Toc74323459"/>
      <w:r>
        <w:rPr>
          <w:rFonts w:hint="eastAsia"/>
          <w:color w:val="auto"/>
          <w:highlight w:val="none"/>
        </w:rPr>
        <w:t>第四章  评审程序、评审方法和评审标准</w:t>
      </w:r>
      <w:bookmarkEnd w:id="91"/>
    </w:p>
    <w:p w14:paraId="36A67952">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一、评审程序和评审方法</w:t>
      </w:r>
    </w:p>
    <w:p w14:paraId="2B88FEA1">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.资格审查</w:t>
      </w:r>
    </w:p>
    <w:p w14:paraId="419D3709">
      <w:pPr>
        <w:spacing w:line="360" w:lineRule="auto"/>
        <w:ind w:firstLine="420" w:firstLineChars="200"/>
        <w:rPr>
          <w:rFonts w:hint="eastAsia"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475538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2B5AC8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（1）查询渠道： “信用中国”网站(www.creditchina.gov.cn)、中国政府采购网(www.ccgp.gov.cn)。</w:t>
      </w:r>
    </w:p>
    <w:p w14:paraId="54C644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552F4D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12BDCA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16097D4D">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05189DD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.3供应商有下列情形之一的，资格审查不通过，其响应文件按无效响应处理：</w:t>
      </w:r>
    </w:p>
    <w:p w14:paraId="1C6BCA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6E3D92B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（2）未按磋商文件规定的方式获取本磋商文件的供应商；</w:t>
      </w:r>
    </w:p>
    <w:p w14:paraId="4B334C8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）响应文件的资格证明文件缺少任一项“供应商须知前附表”资格证明文件规定的“必须提供”的文件资料的；</w:t>
      </w:r>
    </w:p>
    <w:p w14:paraId="0A0BB83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7EA753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742BD19A">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5014F3F6">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.符合性审查</w:t>
      </w:r>
    </w:p>
    <w:p w14:paraId="4EDFF750">
      <w:pPr>
        <w:spacing w:line="360" w:lineRule="auto"/>
        <w:ind w:firstLine="420" w:firstLineChars="200"/>
        <w:rPr>
          <w:rFonts w:hint="eastAsia" w:ascii="宋体" w:hAnsi="宋体" w:cs="宋体"/>
          <w:color w:val="auto"/>
          <w:szCs w:val="21"/>
          <w:highlight w:val="none"/>
        </w:rPr>
      </w:pPr>
      <w:bookmarkStart w:id="92" w:name="_Hlk42528882"/>
      <w:r>
        <w:rPr>
          <w:rFonts w:ascii="宋体" w:hAnsi="宋体" w:cs="宋体"/>
          <w:color w:val="auto"/>
          <w:szCs w:val="21"/>
          <w:highlight w:val="none"/>
        </w:rPr>
        <w:t>2.1</w:t>
      </w:r>
      <w:r>
        <w:rPr>
          <w:rFonts w:hint="eastAsia" w:ascii="宋体" w:hAnsi="宋体" w:cs="宋体"/>
          <w:color w:val="auto"/>
          <w:szCs w:val="21"/>
          <w:highlight w:val="none"/>
        </w:rPr>
        <w:t>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p>
    <w:bookmarkEnd w:id="92"/>
    <w:p w14:paraId="011F94D4">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39D378C">
      <w:pPr>
        <w:spacing w:line="360" w:lineRule="auto"/>
        <w:ind w:firstLine="420" w:firstLineChars="200"/>
        <w:rPr>
          <w:rFonts w:hint="eastAsia"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3168C7FC">
      <w:pPr>
        <w:spacing w:line="360" w:lineRule="auto"/>
        <w:ind w:firstLine="420" w:firstLineChars="200"/>
        <w:rPr>
          <w:rFonts w:hint="eastAsia"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1BCCD086">
      <w:pPr>
        <w:spacing w:line="360" w:lineRule="auto"/>
        <w:ind w:firstLine="396" w:firstLineChars="200"/>
        <w:rPr>
          <w:rFonts w:hint="eastAsia" w:ascii="宋体" w:hAnsi="宋体" w:cs="宋体"/>
          <w:color w:val="auto"/>
          <w:szCs w:val="21"/>
          <w:highlight w:val="none"/>
        </w:rPr>
      </w:pPr>
      <w:r>
        <w:rPr>
          <w:rFonts w:ascii="宋体" w:hAnsi="宋体" w:cs="宋体"/>
          <w:color w:val="auto"/>
          <w:spacing w:val="-6"/>
          <w:szCs w:val="21"/>
          <w:highlight w:val="none"/>
        </w:rPr>
        <w:t>2.4</w:t>
      </w:r>
      <w:r>
        <w:rPr>
          <w:rFonts w:hint="eastAsia" w:ascii="宋体" w:hAnsi="宋体" w:cs="宋体"/>
          <w:color w:val="auto"/>
          <w:szCs w:val="21"/>
          <w:highlight w:val="none"/>
        </w:rPr>
        <w:t xml:space="preserve">首次响应文件报价出现前后不一致的，按照下列规定修正： </w:t>
      </w:r>
    </w:p>
    <w:p w14:paraId="1B6868D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49E254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0AE1E9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17C78EF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DC588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7E185B7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0779B4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63021B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（1）商务技术评审</w:t>
      </w:r>
    </w:p>
    <w:p w14:paraId="62E059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53CF111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2）委托代理人未能出具有效身份证或者出具的身份证与授权委托书中的信息不符的； </w:t>
      </w:r>
    </w:p>
    <w:p w14:paraId="49CEFCE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3）提交的磋商保证金无效的或者未按照磋商文件的规定提交磋商保证金；</w:t>
      </w:r>
    </w:p>
    <w:p w14:paraId="24C87B6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3A3266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3A93E93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5765AD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72B84A8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230F3DE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1AC5ED3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10）虚假竞标，或者出现其他情形而导致被磋商小组认定无效；</w:t>
      </w:r>
    </w:p>
    <w:p w14:paraId="362ABA0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11）磋商文件未载明允许提供备选（替代）竞标方案或明确不允许提供备选（替代）竞标方案时，供应商提供了备选（替代）竞标方案的；</w:t>
      </w:r>
      <w:bookmarkStart w:id="93" w:name="_Hlk71704147"/>
      <w:bookmarkEnd w:id="93"/>
    </w:p>
    <w:p w14:paraId="202EED2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12）响应文件标注的项目名称或者项目编号与磋商文件标注的项目名称或者项目编号不一致的；</w:t>
      </w:r>
    </w:p>
    <w:p w14:paraId="434D49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13）竞争性磋商文件明确不允许分包，响应文件拟分包的；</w:t>
      </w:r>
    </w:p>
    <w:p w14:paraId="070BE2F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14）未响应磋商文件实质性要求；</w:t>
      </w:r>
    </w:p>
    <w:p w14:paraId="6E0F0C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15）法律、法规和磋商文件规定的其他无效情形。</w:t>
      </w:r>
    </w:p>
    <w:p w14:paraId="5269E91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）报价评审</w:t>
      </w:r>
    </w:p>
    <w:p w14:paraId="4420C7A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响应文件未提供“供应商须知前附表” 报价文件中规定的“竞标报价表”；</w:t>
      </w:r>
    </w:p>
    <w:p w14:paraId="3897AAB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2D7CAA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229AA5E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4）竞标报价（包含首次报价、最后报价）超过所竞标分标规定的采购预算金额或者最高限价的（如本项目公布了最高限价）；</w:t>
      </w:r>
      <w:bookmarkStart w:id="94" w:name="_Hlk42596405"/>
      <w:r>
        <w:rPr>
          <w:rFonts w:hint="eastAsia" w:ascii="宋体" w:hAnsi="宋体" w:cs="宋体"/>
          <w:color w:val="auto"/>
          <w:szCs w:val="21"/>
          <w:highlight w:val="none"/>
        </w:rPr>
        <w:t>分项竞标报价（包含首次报价、最后报价）</w:t>
      </w:r>
      <w:bookmarkEnd w:id="94"/>
      <w:bookmarkStart w:id="95" w:name="_Hlk42596276"/>
      <w:r>
        <w:rPr>
          <w:rFonts w:hint="eastAsia" w:ascii="宋体" w:hAnsi="宋体" w:cs="宋体"/>
          <w:color w:val="auto"/>
          <w:szCs w:val="21"/>
          <w:highlight w:val="none"/>
        </w:rPr>
        <w:t>超过磋商文件分项采购预算金额或者最高限价的</w:t>
      </w:r>
      <w:bookmarkEnd w:id="95"/>
      <w:r>
        <w:rPr>
          <w:rFonts w:hint="eastAsia" w:ascii="宋体" w:hAnsi="宋体" w:cs="宋体"/>
          <w:color w:val="auto"/>
          <w:szCs w:val="21"/>
          <w:highlight w:val="none"/>
        </w:rPr>
        <w:t>（如本项目公布了最高限价）；</w:t>
      </w:r>
    </w:p>
    <w:p w14:paraId="21DB18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分项竞标报价（包含首次报价、最后报价）超过磋商文件分项采购预算金额或者最高限价的（如本项目公布了最高限价）。</w:t>
      </w:r>
    </w:p>
    <w:p w14:paraId="6D4AF6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6）响应文件响应的标的数量及单位与竞争性磋商采购文件要求实质性不一致的。</w:t>
      </w:r>
    </w:p>
    <w:p w14:paraId="6FE0702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103C9E8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olor w:val="auto"/>
          <w:szCs w:val="21"/>
          <w:highlight w:val="none"/>
        </w:rPr>
        <w:t>通过符合性审查的合格供应商不足3家的，不得进入磋商环节，采购人或者采购代理机构应当重新开展采购活动。</w:t>
      </w:r>
    </w:p>
    <w:p w14:paraId="00999634">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.磋商程序</w:t>
      </w:r>
    </w:p>
    <w:p w14:paraId="1F240C7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ascii="宋体" w:hAnsi="宋体" w:cs="宋体"/>
          <w:color w:val="auto"/>
          <w:kern w:val="0"/>
          <w:szCs w:val="21"/>
          <w:highlight w:val="none"/>
        </w:rPr>
        <w:t>.1</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集中与单一供应商分别进行磋商，并给予所有参加磋商的供应商平等的磋商机会。符合磋商资格的供应商必须在接到磋商通知后</w:t>
      </w:r>
      <w:r>
        <w:rPr>
          <w:rFonts w:hint="eastAsia"/>
          <w:color w:val="auto"/>
          <w:highlight w:val="none"/>
        </w:rPr>
        <w:t>在规定时间内在广西政府采购云平台上参加磋商</w:t>
      </w:r>
      <w:r>
        <w:rPr>
          <w:rFonts w:hint="eastAsia" w:ascii="宋体" w:hAnsi="宋体" w:cs="宋体"/>
          <w:color w:val="auto"/>
          <w:szCs w:val="21"/>
          <w:highlight w:val="none"/>
        </w:rPr>
        <w:t>，未在规定时间内参加磋商的视同放弃参加磋商权利，其响应文件按无效响应处理。</w:t>
      </w:r>
    </w:p>
    <w:p w14:paraId="44FF7804">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17AC12AD">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3F553124">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424B180E">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3.5</w:t>
      </w:r>
      <w:r>
        <w:rPr>
          <w:rFonts w:hint="eastAsia" w:ascii="宋体" w:hAnsi="宋体" w:cs="宋体"/>
          <w:color w:val="auto"/>
          <w:szCs w:val="21"/>
          <w:highlight w:val="none"/>
        </w:rPr>
        <w:t>磋商中，</w:t>
      </w:r>
      <w:r>
        <w:rPr>
          <w:rFonts w:hint="eastAsia" w:ascii="宋体" w:hAnsi="宋体" w:cs="宋体"/>
          <w:color w:val="auto"/>
          <w:spacing w:val="-6"/>
          <w:szCs w:val="21"/>
          <w:highlight w:val="none"/>
        </w:rPr>
        <w:t>磋商的任何一方不得透露与磋商有关的其他供应商的技术资料、价格和其他信息。</w:t>
      </w:r>
    </w:p>
    <w:p w14:paraId="55E6B317">
      <w:pPr>
        <w:widowControl/>
        <w:tabs>
          <w:tab w:val="left" w:pos="540"/>
        </w:tabs>
        <w:spacing w:line="360" w:lineRule="auto"/>
        <w:ind w:firstLine="420" w:firstLineChars="200"/>
        <w:jc w:val="left"/>
        <w:rPr>
          <w:rFonts w:hint="eastAsia" w:ascii="宋体" w:hAnsi="宋体" w:cs="宋体"/>
          <w:color w:val="auto"/>
          <w:szCs w:val="21"/>
          <w:highlight w:val="none"/>
        </w:rPr>
      </w:pPr>
      <w:r>
        <w:rPr>
          <w:rFonts w:ascii="宋体" w:hAnsi="宋体" w:cs="宋体"/>
          <w:color w:val="auto"/>
          <w:szCs w:val="21"/>
          <w:highlight w:val="none"/>
        </w:rPr>
        <w:t>3.6</w:t>
      </w:r>
      <w:r>
        <w:rPr>
          <w:rFonts w:hint="eastAsia" w:ascii="宋体" w:hAnsi="宋体" w:cs="宋体"/>
          <w:color w:val="auto"/>
          <w:szCs w:val="21"/>
          <w:highlight w:val="none"/>
        </w:rPr>
        <w:t>采购代理机构对磋商过程和重要磋商内容进行记录。</w:t>
      </w:r>
    </w:p>
    <w:p w14:paraId="0E7169AD">
      <w:pPr>
        <w:tabs>
          <w:tab w:val="left" w:pos="2835"/>
        </w:tabs>
        <w:spacing w:line="360" w:lineRule="auto"/>
        <w:ind w:firstLine="420" w:firstLineChars="200"/>
        <w:rPr>
          <w:color w:val="auto"/>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rFonts w:hint="eastAsia"/>
          <w:color w:val="auto"/>
          <w:highlight w:val="non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2FEFD00A">
      <w:pPr>
        <w:tabs>
          <w:tab w:val="left" w:pos="2835"/>
        </w:tabs>
        <w:spacing w:line="360" w:lineRule="auto"/>
        <w:ind w:firstLine="420" w:firstLineChars="200"/>
        <w:rPr>
          <w:rFonts w:hint="eastAsia" w:ascii="宋体" w:hAnsi="宋体" w:cs="宋体"/>
          <w:color w:val="auto"/>
          <w:szCs w:val="21"/>
          <w:highlight w:val="none"/>
        </w:rPr>
      </w:pPr>
      <w:r>
        <w:rPr>
          <w:rFonts w:hint="eastAsia"/>
          <w:color w:val="auto"/>
          <w:highlight w:val="none"/>
        </w:rPr>
        <w:t>3.8除本章第3.7条情形外，</w:t>
      </w:r>
      <w:r>
        <w:rPr>
          <w:rFonts w:hint="eastAsia" w:ascii="宋体" w:hAnsi="宋体"/>
          <w:color w:val="auto"/>
          <w:szCs w:val="21"/>
          <w:highlight w:val="none"/>
        </w:rPr>
        <w:t>对磋商过程提交的响应文件进行有效性、完整性和响应程度审查，通过审查的合格供应商不足3家的，采购人或者采购代理机构应当重新开展采购活动。</w:t>
      </w:r>
    </w:p>
    <w:p w14:paraId="1E0CE055">
      <w:pPr>
        <w:spacing w:line="360" w:lineRule="auto"/>
        <w:ind w:firstLine="482" w:firstLineChars="200"/>
        <w:rPr>
          <w:rFonts w:hint="eastAsia"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rPr>
        <w:t xml:space="preserve"> 最后报价</w:t>
      </w:r>
    </w:p>
    <w:p w14:paraId="6F06E86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磋商文件能够详细列明采购标的的技术、服务要求的，磋商结束后，磋商小组应当要求所有继续参加磋商的供应商在规定时间内在广西政府采购云平台开标大厅提交最后报价，除本章第</w:t>
      </w:r>
      <w:r>
        <w:rPr>
          <w:rFonts w:ascii="宋体" w:hAnsi="宋体" w:cs="宋体"/>
          <w:color w:val="auto"/>
          <w:szCs w:val="21"/>
          <w:highlight w:val="none"/>
        </w:rPr>
        <w:t>4.3</w:t>
      </w:r>
      <w:r>
        <w:rPr>
          <w:rFonts w:hint="eastAsia" w:ascii="宋体" w:hAnsi="宋体" w:cs="宋体"/>
          <w:color w:val="auto"/>
          <w:szCs w:val="21"/>
          <w:highlight w:val="none"/>
        </w:rPr>
        <w:t>条外，提交最后报价的供应商不得少于3家，否则必须重新采购。</w:t>
      </w:r>
    </w:p>
    <w:p w14:paraId="770EBB3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0B311A4E">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 xml:space="preserve"> 最后报价是供应商响应文件的有效组成部分。符合《政府采购竞争性磋商采购方式管理暂行办法》（财库〔2014〕214号）第三条第四项“市场竞争不充分的科研项目，以及需要扶持的科技成果转化项目”和</w:t>
      </w:r>
      <w:r>
        <w:rPr>
          <w:rFonts w:hint="eastAsia"/>
          <w:color w:val="auto"/>
          <w:highlight w:val="none"/>
        </w:rPr>
        <w:t>本</w:t>
      </w:r>
      <w:r>
        <w:rPr>
          <w:rFonts w:hint="eastAsia" w:ascii="宋体" w:hAnsi="宋体" w:cs="宋体"/>
          <w:color w:val="auto"/>
          <w:szCs w:val="21"/>
          <w:highlight w:val="none"/>
        </w:rPr>
        <w:t>章第3.7条情</w:t>
      </w:r>
      <w:r>
        <w:rPr>
          <w:rFonts w:hint="eastAsia"/>
          <w:color w:val="auto"/>
          <w:highlight w:val="none"/>
        </w:rPr>
        <w:t>形的，</w:t>
      </w:r>
      <w:r>
        <w:rPr>
          <w:rFonts w:hint="eastAsia" w:ascii="宋体" w:hAnsi="宋体" w:cs="宋体"/>
          <w:color w:val="auto"/>
          <w:szCs w:val="21"/>
          <w:highlight w:val="none"/>
        </w:rPr>
        <w:t>提交最后报价的供应商可以为2家。</w:t>
      </w:r>
    </w:p>
    <w:p w14:paraId="75CAD668">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已经提交响应文件的供应商，在提交最后报价之前，可以根据磋商情况退出磋商，退出磋商的供应商的响应文件按无效响应处理。采购人、采购代理机构将退还退出磋商的供应商的保证金。</w:t>
      </w:r>
    </w:p>
    <w:p w14:paraId="01905D34">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供应商未在规定时间内提交最后报价的，视同退出磋商，其响应文件按无效处理。</w:t>
      </w:r>
    </w:p>
    <w:p w14:paraId="1A544C7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最后报价统一开启后，磋商小组对最后报价进行有效性、完整性和响应程度的审查。</w:t>
      </w:r>
    </w:p>
    <w:p w14:paraId="2F062A0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2.4</w:t>
      </w:r>
      <w:r>
        <w:rPr>
          <w:rFonts w:hint="eastAsia" w:ascii="宋体" w:hAnsi="宋体" w:cs="宋体"/>
          <w:color w:val="auto"/>
          <w:szCs w:val="21"/>
          <w:highlight w:val="none"/>
        </w:rPr>
        <w:t xml:space="preserve">条的规定修正。 </w:t>
      </w:r>
    </w:p>
    <w:p w14:paraId="1A8727B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4.8</w:t>
      </w:r>
      <w:r>
        <w:rPr>
          <w:rFonts w:hint="eastAsia" w:ascii="宋体" w:hAnsi="宋体" w:cs="宋体"/>
          <w:color w:val="auto"/>
          <w:szCs w:val="21"/>
          <w:highlight w:val="none"/>
        </w:rPr>
        <w:t>修正后的报价出现下列情形的，按无效响应处理：</w:t>
      </w:r>
    </w:p>
    <w:p w14:paraId="4E0C9A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548B17B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771AEBD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5ED5FE01">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4.9</w:t>
      </w:r>
      <w:r>
        <w:rPr>
          <w:rFonts w:hint="eastAsia" w:ascii="宋体" w:hAnsi="宋体" w:cs="宋体"/>
          <w:color w:val="auto"/>
          <w:szCs w:val="21"/>
          <w:highlight w:val="none"/>
        </w:rPr>
        <w:t>经供应商确认修正后的最后报价作为评审及签订合同的依据。</w:t>
      </w:r>
    </w:p>
    <w:p w14:paraId="527E4C0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5238407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1最后报价结束后，磋商小组不得再与供应商进行任何形式的商谈。</w:t>
      </w:r>
    </w:p>
    <w:p w14:paraId="530E532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6799AA6E">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评审方法：综合评分法。</w:t>
      </w:r>
    </w:p>
    <w:p w14:paraId="0D2C29F0">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725185D8">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3C88AF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62BCABB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7B15AF3A">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09F0330B">
      <w:pPr>
        <w:spacing w:line="360" w:lineRule="auto"/>
        <w:ind w:firstLine="424" w:firstLineChars="202"/>
        <w:jc w:val="left"/>
        <w:rPr>
          <w:rFonts w:hint="eastAsia" w:ascii="宋体" w:hAnsi="宋体"/>
          <w:color w:val="auto"/>
          <w:spacing w:val="-6"/>
          <w:szCs w:val="21"/>
          <w:highlight w:val="none"/>
        </w:rPr>
      </w:pPr>
      <w:r>
        <w:rPr>
          <w:rFonts w:ascii="宋体" w:hAnsi="宋体" w:cs="宋体"/>
          <w:color w:val="auto"/>
          <w:szCs w:val="21"/>
          <w:highlight w:val="none"/>
        </w:rPr>
        <w:t>5.5</w:t>
      </w:r>
      <w:r>
        <w:rPr>
          <w:rFonts w:hint="eastAsia" w:ascii="宋体" w:hAnsi="宋体"/>
          <w:color w:val="auto"/>
          <w:szCs w:val="21"/>
          <w:highlight w:val="none"/>
        </w:rPr>
        <w:t>异常低价响应审查</w:t>
      </w:r>
    </w:p>
    <w:p w14:paraId="5EE2E0E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（1）磋商小组在评审中发现下列情形之一的，应当启动异常低价响应审查程序：</w:t>
      </w:r>
    </w:p>
    <w:p w14:paraId="40DB92D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①响应报价低于全部通过符合性审查供应商响应报价平均值</w:t>
      </w:r>
      <w:r>
        <w:rPr>
          <w:rFonts w:ascii="宋体" w:hAnsi="宋体"/>
          <w:color w:val="auto"/>
          <w:szCs w:val="21"/>
          <w:highlight w:val="none"/>
          <w:u w:val="single"/>
        </w:rPr>
        <w:t xml:space="preserve"> 50% </w:t>
      </w:r>
      <w:r>
        <w:rPr>
          <w:rFonts w:hint="eastAsia" w:ascii="宋体" w:hAnsi="宋体"/>
          <w:color w:val="auto"/>
          <w:szCs w:val="21"/>
          <w:highlight w:val="none"/>
        </w:rPr>
        <w:t>的，即响应报价＜全部通过符合性审查供应商响应报价平均值×</w:t>
      </w:r>
      <w:r>
        <w:rPr>
          <w:rFonts w:ascii="宋体" w:hAnsi="宋体"/>
          <w:color w:val="auto"/>
          <w:szCs w:val="21"/>
          <w:highlight w:val="none"/>
          <w:u w:val="single"/>
        </w:rPr>
        <w:t xml:space="preserve"> 50% </w:t>
      </w:r>
      <w:r>
        <w:rPr>
          <w:rFonts w:hint="eastAsia" w:ascii="宋体" w:hAnsi="宋体"/>
          <w:color w:val="auto"/>
          <w:szCs w:val="21"/>
          <w:highlight w:val="none"/>
        </w:rPr>
        <w:t xml:space="preserve">； </w:t>
      </w:r>
    </w:p>
    <w:p w14:paraId="429D9C3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②响应报价低于通过符合性审查的次低报价供应商响应报价</w:t>
      </w:r>
      <w:r>
        <w:rPr>
          <w:rFonts w:ascii="宋体" w:hAnsi="宋体"/>
          <w:color w:val="auto"/>
          <w:szCs w:val="21"/>
          <w:highlight w:val="none"/>
          <w:u w:val="single"/>
        </w:rPr>
        <w:t xml:space="preserve">50% </w:t>
      </w:r>
      <w:r>
        <w:rPr>
          <w:rFonts w:hint="eastAsia" w:ascii="宋体" w:hAnsi="宋体"/>
          <w:color w:val="auto"/>
          <w:szCs w:val="21"/>
          <w:highlight w:val="none"/>
        </w:rPr>
        <w:t>的，即响应报价＜通过符合性审查的次低报价供应商响应报价×</w:t>
      </w:r>
      <w:r>
        <w:rPr>
          <w:rFonts w:ascii="宋体" w:hAnsi="宋体"/>
          <w:color w:val="auto"/>
          <w:szCs w:val="21"/>
          <w:highlight w:val="none"/>
          <w:u w:val="single"/>
        </w:rPr>
        <w:t xml:space="preserve"> 50% </w:t>
      </w:r>
      <w:r>
        <w:rPr>
          <w:rFonts w:hint="eastAsia" w:ascii="宋体" w:hAnsi="宋体"/>
          <w:color w:val="auto"/>
          <w:szCs w:val="21"/>
          <w:highlight w:val="none"/>
        </w:rPr>
        <w:t xml:space="preserve">； </w:t>
      </w:r>
    </w:p>
    <w:p w14:paraId="337F072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③响应报价低于采购项目最高限价</w:t>
      </w:r>
      <w:r>
        <w:rPr>
          <w:rFonts w:ascii="宋体" w:hAnsi="宋体"/>
          <w:color w:val="auto"/>
          <w:szCs w:val="21"/>
          <w:highlight w:val="none"/>
          <w:u w:val="single"/>
        </w:rPr>
        <w:t xml:space="preserve"> 50% </w:t>
      </w:r>
      <w:r>
        <w:rPr>
          <w:rFonts w:hint="eastAsia" w:ascii="宋体" w:hAnsi="宋体"/>
          <w:color w:val="auto"/>
          <w:szCs w:val="21"/>
          <w:highlight w:val="none"/>
        </w:rPr>
        <w:t>的，即响应报价＜采购项目最高限价×</w:t>
      </w:r>
      <w:r>
        <w:rPr>
          <w:rFonts w:ascii="宋体" w:hAnsi="宋体"/>
          <w:color w:val="auto"/>
          <w:szCs w:val="21"/>
          <w:highlight w:val="none"/>
          <w:u w:val="single"/>
        </w:rPr>
        <w:t xml:space="preserve"> 50% </w:t>
      </w:r>
      <w:r>
        <w:rPr>
          <w:rFonts w:hint="eastAsia" w:ascii="宋体" w:hAnsi="宋体"/>
          <w:color w:val="auto"/>
          <w:szCs w:val="21"/>
          <w:highlight w:val="none"/>
        </w:rPr>
        <w:t xml:space="preserve">； </w:t>
      </w:r>
    </w:p>
    <w:p w14:paraId="2B434CB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14:paraId="4FE2327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33B6C4F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相关供应商不能提供书面说明、证明材料，或者提供的书面说明、证明材料不能证明其报价合理性的，磋商小组应当将其作为无效响应处理。</w:t>
      </w:r>
    </w:p>
    <w:p w14:paraId="05AFFBE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4B5E6B4F">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0047929D">
      <w:pPr>
        <w:spacing w:line="360" w:lineRule="auto"/>
        <w:ind w:firstLine="420" w:firstLineChars="200"/>
        <w:rPr>
          <w:rFonts w:hint="eastAsia" w:ascii="宋体" w:hAnsi="宋体"/>
          <w:color w:val="auto"/>
          <w:kern w:val="0"/>
          <w:szCs w:val="21"/>
          <w:highlight w:val="none"/>
        </w:rPr>
      </w:pPr>
      <w:r>
        <w:rPr>
          <w:rFonts w:ascii="宋体" w:hAnsi="宋体" w:cs="宋体"/>
          <w:color w:val="auto"/>
          <w:szCs w:val="21"/>
          <w:highlight w:val="none"/>
        </w:rPr>
        <w:t>5.6</w:t>
      </w:r>
      <w:r>
        <w:rPr>
          <w:rFonts w:hint="eastAsia" w:ascii="宋体" w:hAnsi="宋体" w:cs="宋体"/>
          <w:color w:val="auto"/>
          <w:szCs w:val="21"/>
          <w:highlight w:val="none"/>
        </w:rPr>
        <w:t>由磋商小组根据综合评分情况，按照评审得分由高到低顺序推荐3名以上成交候选供应商，并编写评</w:t>
      </w:r>
      <w:r>
        <w:rPr>
          <w:rFonts w:hint="eastAsia" w:ascii="宋体" w:hAnsi="宋体"/>
          <w:color w:val="auto"/>
          <w:kern w:val="0"/>
          <w:szCs w:val="21"/>
          <w:highlight w:val="none"/>
        </w:rPr>
        <w:t>审报告。符合本章第</w:t>
      </w:r>
      <w:r>
        <w:rPr>
          <w:rFonts w:ascii="宋体" w:hAnsi="宋体"/>
          <w:color w:val="auto"/>
          <w:kern w:val="0"/>
          <w:szCs w:val="21"/>
          <w:highlight w:val="none"/>
        </w:rPr>
        <w:t>4.3</w:t>
      </w:r>
      <w:r>
        <w:rPr>
          <w:rFonts w:hint="eastAsia" w:ascii="宋体" w:hAnsi="宋体"/>
          <w:color w:val="auto"/>
          <w:kern w:val="0"/>
          <w:szCs w:val="21"/>
          <w:highlight w:val="none"/>
        </w:rPr>
        <w:t>条情形的，可以推荐2家成交候选供应商。评审得分相同的，按照最后报价由低到高的顺序推荐。评审得分且最后报价相同的，按照技术指标优劣顺序推荐。</w:t>
      </w:r>
    </w:p>
    <w:p w14:paraId="54D04D80">
      <w:pPr>
        <w:spacing w:line="360" w:lineRule="auto"/>
        <w:ind w:firstLine="420" w:firstLineChars="200"/>
        <w:rPr>
          <w:rFonts w:hint="eastAsia" w:ascii="宋体" w:hAnsi="宋体" w:cs="宋体"/>
          <w:color w:val="auto"/>
          <w:szCs w:val="21"/>
          <w:highlight w:val="none"/>
        </w:rPr>
      </w:pPr>
      <w:r>
        <w:rPr>
          <w:rFonts w:ascii="宋体" w:hAnsi="宋体"/>
          <w:color w:val="auto"/>
          <w:kern w:val="0"/>
          <w:szCs w:val="21"/>
          <w:highlight w:val="none"/>
        </w:rPr>
        <w:t>5.7</w:t>
      </w:r>
      <w:r>
        <w:rPr>
          <w:rFonts w:hint="eastAsia" w:ascii="宋体" w:hAnsi="宋体"/>
          <w:color w:val="auto"/>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63A17BE">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二、评审标准</w:t>
      </w:r>
    </w:p>
    <w:p w14:paraId="0DADC000">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6</w:t>
      </w:r>
      <w:r>
        <w:rPr>
          <w:rFonts w:ascii="宋体" w:hAnsi="宋体"/>
          <w:bCs/>
          <w:color w:val="auto"/>
          <w:szCs w:val="21"/>
          <w:highlight w:val="none"/>
        </w:rPr>
        <w:t>.</w:t>
      </w: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tbl>
      <w:tblPr>
        <w:tblStyle w:val="24"/>
        <w:tblW w:w="837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1134"/>
        <w:gridCol w:w="6536"/>
      </w:tblGrid>
      <w:tr w14:paraId="3C0F7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4" w:type="dxa"/>
            <w:vAlign w:val="center"/>
          </w:tcPr>
          <w:p w14:paraId="5DAB69A9">
            <w:pPr>
              <w:widowControl/>
              <w:spacing w:line="360"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序号</w:t>
            </w:r>
          </w:p>
        </w:tc>
        <w:tc>
          <w:tcPr>
            <w:tcW w:w="1134" w:type="dxa"/>
            <w:vAlign w:val="center"/>
          </w:tcPr>
          <w:p w14:paraId="140151F0">
            <w:pPr>
              <w:widowControl/>
              <w:spacing w:line="360"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评审因素</w:t>
            </w:r>
          </w:p>
        </w:tc>
        <w:tc>
          <w:tcPr>
            <w:tcW w:w="6536" w:type="dxa"/>
            <w:vAlign w:val="center"/>
          </w:tcPr>
          <w:p w14:paraId="11B119FD">
            <w:pPr>
              <w:widowControl/>
              <w:spacing w:line="360" w:lineRule="auto"/>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评审因素具体内容</w:t>
            </w:r>
          </w:p>
        </w:tc>
      </w:tr>
      <w:tr w14:paraId="3918F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4" w:type="dxa"/>
            <w:vAlign w:val="center"/>
          </w:tcPr>
          <w:p w14:paraId="687B3834">
            <w:pPr>
              <w:widowControl/>
              <w:spacing w:line="360"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1</w:t>
            </w:r>
          </w:p>
        </w:tc>
        <w:tc>
          <w:tcPr>
            <w:tcW w:w="1134" w:type="dxa"/>
            <w:vAlign w:val="center"/>
          </w:tcPr>
          <w:p w14:paraId="5A281AED">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价格分</w:t>
            </w:r>
          </w:p>
          <w:p w14:paraId="4F9DCF7D">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（10分）</w:t>
            </w:r>
          </w:p>
        </w:tc>
        <w:tc>
          <w:tcPr>
            <w:tcW w:w="6536" w:type="dxa"/>
            <w:vAlign w:val="center"/>
          </w:tcPr>
          <w:p w14:paraId="742DBCA2">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（1）评审价为供应商的最后报价进行政策性扣除后的价格，评审价只是作为评审时使用。最终成交供应商的成交金额等于最后报价（如有修正，以确认修正后的最后报价为准）。</w:t>
            </w:r>
          </w:p>
          <w:p w14:paraId="19AA84F8">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（2）中小企业政策性扣除计算方法：本项目为专门面向中小企业采购预留项目，不再执行中小企业政策性扣除。</w:t>
            </w:r>
          </w:p>
          <w:p w14:paraId="3DBBEA25">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（3）本国产品政策性扣除计算方法。本项目为服务类采购，采购标的为服务，不涉及货物，本国产品价格评审扣除政策不执行，本项以下规定不适用。</w:t>
            </w:r>
          </w:p>
          <w:p w14:paraId="6D12754A">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782A8EA4">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13AF2609">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供应商在其响应文件中提供《关于符合本国产品标准的声明函》或财政部会同有关部门规定的有关证明文件，出具符合要求的《声明函》或有关证明文件的，该产品视为本国产品。</w:t>
            </w:r>
          </w:p>
          <w:p w14:paraId="4152F5DF">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如果所有参与竞争的供应商均可享受本国产品价格评审优惠，则统一不进行价格扣除。</w:t>
            </w:r>
          </w:p>
          <w:p w14:paraId="26AF343F">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（4）中小企业折扣与本国产品折扣进行叠加计算，用扣除后的价格参加评审。即评审报价=最后报价-本国产品折扣，除上述情况外，评审报价=最后报价。</w:t>
            </w:r>
          </w:p>
          <w:p w14:paraId="2A740C43">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（5）满足采购文件要求且最后报价最低的评审报价为评审基准价，其价格分为满分。</w:t>
            </w:r>
          </w:p>
          <w:p w14:paraId="410722BB">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（6）价格分计算公式：</w:t>
            </w:r>
          </w:p>
          <w:p w14:paraId="49CC4935">
            <w:pPr>
              <w:spacing w:line="360" w:lineRule="auto"/>
              <w:ind w:firstLine="420" w:firstLineChars="200"/>
              <w:rPr>
                <w:rFonts w:hint="eastAsia" w:ascii="宋体" w:hAnsi="宋体"/>
                <w:color w:val="auto"/>
                <w:szCs w:val="21"/>
                <w:highlight w:val="none"/>
              </w:rPr>
            </w:pPr>
            <w:r>
              <w:rPr>
                <w:rFonts w:hint="eastAsia" w:ascii="宋体" w:hAnsi="宋体" w:cs="Courier New"/>
                <w:bCs/>
                <w:color w:val="auto"/>
                <w:szCs w:val="21"/>
                <w:highlight w:val="none"/>
              </w:rPr>
              <w:t>价格分=（评审基准价／评审报价）× 10 分</w:t>
            </w:r>
          </w:p>
        </w:tc>
      </w:tr>
      <w:tr w14:paraId="0E291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4" w:type="dxa"/>
            <w:vAlign w:val="center"/>
          </w:tcPr>
          <w:p w14:paraId="61E7963C">
            <w:pPr>
              <w:widowControl/>
              <w:spacing w:before="120" w:beforeLines="50" w:line="360" w:lineRule="auto"/>
              <w:jc w:val="center"/>
              <w:rPr>
                <w:rFonts w:hint="eastAsia" w:ascii="宋体" w:hAnsi="宋体" w:cs="Tahoma"/>
                <w:color w:val="auto"/>
                <w:kern w:val="0"/>
                <w:szCs w:val="21"/>
                <w:highlight w:val="none"/>
              </w:rPr>
            </w:pPr>
            <w:r>
              <w:rPr>
                <w:rFonts w:hint="eastAsia" w:ascii="宋体" w:hAnsi="宋体"/>
                <w:bCs/>
                <w:color w:val="auto"/>
                <w:kern w:val="0"/>
                <w:szCs w:val="21"/>
                <w:highlight w:val="none"/>
              </w:rPr>
              <w:t>2</w:t>
            </w:r>
          </w:p>
        </w:tc>
        <w:tc>
          <w:tcPr>
            <w:tcW w:w="1134" w:type="dxa"/>
            <w:vAlign w:val="center"/>
          </w:tcPr>
          <w:p w14:paraId="0C7B715D">
            <w:pPr>
              <w:widowControl/>
              <w:spacing w:before="120" w:beforeLines="50" w:line="360" w:lineRule="auto"/>
              <w:jc w:val="center"/>
              <w:rPr>
                <w:rFonts w:hint="eastAsia" w:ascii="宋体" w:hAnsi="宋体" w:cs="Tahoma"/>
                <w:color w:val="auto"/>
                <w:kern w:val="0"/>
                <w:szCs w:val="21"/>
                <w:highlight w:val="none"/>
              </w:rPr>
            </w:pPr>
            <w:r>
              <w:rPr>
                <w:rFonts w:hint="eastAsia" w:ascii="宋体" w:hAnsi="宋体"/>
                <w:bCs/>
                <w:color w:val="auto"/>
                <w:kern w:val="0"/>
                <w:szCs w:val="21"/>
                <w:highlight w:val="none"/>
              </w:rPr>
              <w:t>技术分（72分）</w:t>
            </w:r>
          </w:p>
        </w:tc>
        <w:tc>
          <w:tcPr>
            <w:tcW w:w="6536" w:type="dxa"/>
            <w:tcBorders>
              <w:right w:val="single" w:color="auto" w:sz="4" w:space="0"/>
            </w:tcBorders>
            <w:vAlign w:val="center"/>
          </w:tcPr>
          <w:p w14:paraId="76B8B008">
            <w:pPr>
              <w:widowControl/>
              <w:spacing w:before="120" w:beforeLines="50" w:line="360"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评审因素</w:t>
            </w:r>
          </w:p>
        </w:tc>
      </w:tr>
      <w:tr w14:paraId="3E928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704" w:type="dxa"/>
            <w:vAlign w:val="center"/>
          </w:tcPr>
          <w:p w14:paraId="6D222AE1">
            <w:pPr>
              <w:spacing w:line="360" w:lineRule="auto"/>
              <w:ind w:left="-105" w:leftChars="-50" w:right="-105" w:rightChars="-50"/>
              <w:jc w:val="center"/>
              <w:rPr>
                <w:rFonts w:hint="eastAsia" w:ascii="宋体" w:hAnsi="宋体"/>
                <w:bCs/>
                <w:color w:val="auto"/>
                <w:kern w:val="0"/>
                <w:szCs w:val="21"/>
                <w:highlight w:val="none"/>
              </w:rPr>
            </w:pPr>
            <w:r>
              <w:rPr>
                <w:rFonts w:hint="eastAsia" w:ascii="宋体" w:hAnsi="宋体"/>
                <w:bCs/>
                <w:color w:val="auto"/>
                <w:kern w:val="0"/>
                <w:szCs w:val="21"/>
                <w:highlight w:val="none"/>
              </w:rPr>
              <w:t>2.1</w:t>
            </w:r>
          </w:p>
        </w:tc>
        <w:tc>
          <w:tcPr>
            <w:tcW w:w="1134" w:type="dxa"/>
            <w:vAlign w:val="center"/>
          </w:tcPr>
          <w:p w14:paraId="284B0E55">
            <w:pPr>
              <w:spacing w:line="360" w:lineRule="auto"/>
              <w:jc w:val="center"/>
              <w:rPr>
                <w:rFonts w:hint="eastAsia" w:ascii="宋体" w:hAnsi="宋体"/>
                <w:bCs/>
                <w:color w:val="auto"/>
                <w:kern w:val="0"/>
                <w:szCs w:val="21"/>
                <w:highlight w:val="none"/>
              </w:rPr>
            </w:pPr>
            <w:r>
              <w:rPr>
                <w:rFonts w:hint="eastAsia" w:ascii="宋体" w:hAnsi="宋体"/>
                <w:color w:val="auto"/>
                <w:szCs w:val="21"/>
                <w:highlight w:val="none"/>
              </w:rPr>
              <w:t>项目理解与需求分析（9分）</w:t>
            </w:r>
          </w:p>
        </w:tc>
        <w:tc>
          <w:tcPr>
            <w:tcW w:w="6536" w:type="dxa"/>
            <w:vAlign w:val="center"/>
          </w:tcPr>
          <w:p w14:paraId="62719E4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w:t>
            </w:r>
            <w:r>
              <w:rPr>
                <w:rFonts w:ascii="宋体" w:hAnsi="宋体"/>
                <w:color w:val="auto"/>
                <w:szCs w:val="21"/>
                <w:highlight w:val="none"/>
              </w:rPr>
              <w:t>4</w:t>
            </w:r>
            <w:r>
              <w:rPr>
                <w:rFonts w:hint="eastAsia" w:ascii="宋体" w:hAnsi="宋体"/>
                <w:color w:val="auto"/>
                <w:szCs w:val="21"/>
                <w:highlight w:val="none"/>
              </w:rPr>
              <w:t>分）：供应商能对本项目维保服务的工作背景、维保机型、技术服务要求作出基本描述，但不够全面、内容不完整，对本项目采购需求仅作照搬描述；</w:t>
            </w:r>
          </w:p>
          <w:p w14:paraId="5FCB2C7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6分）：供应商能对本项目维保服务的项目定位、采购需求、服务流程、投注机运维现状的把握及理解情况进行合理描述、内容完整，维保服务思路清晰，目标明确，对各项技术服务要求理解到位，符合本项目采购需求；</w:t>
            </w:r>
          </w:p>
          <w:p w14:paraId="1074E41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9分）：供应商能对本项目维保服务的项目定位、采购需求、服务流程、投注机运维现状的把握及理解情况进行全面、详细的描述，思路清晰，目标明确，对各项技术服务要求理解详细全面、完全符合甚至优于项目采购需求，能结合全区14个地市（含县及乡镇）的实际情况，针对本项目重点难点进行详细的需求分析。</w:t>
            </w:r>
          </w:p>
          <w:p w14:paraId="6F5DFAB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以上各档次不重复计分，由磋商小组根据各供应商响应文件中项目理解和需求分析的内容，在相应档次打分。不满足进档要求的，不予进档，得0分。</w:t>
            </w:r>
          </w:p>
        </w:tc>
      </w:tr>
      <w:tr w14:paraId="21AF0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704" w:type="dxa"/>
            <w:vAlign w:val="center"/>
          </w:tcPr>
          <w:p w14:paraId="3EC1A236">
            <w:pPr>
              <w:spacing w:line="360" w:lineRule="auto"/>
              <w:ind w:left="-105" w:leftChars="-50" w:right="-105" w:rightChars="-50"/>
              <w:jc w:val="center"/>
              <w:rPr>
                <w:rFonts w:hint="eastAsia" w:ascii="宋体" w:hAnsi="宋体"/>
                <w:bCs/>
                <w:color w:val="auto"/>
                <w:kern w:val="0"/>
                <w:szCs w:val="21"/>
                <w:highlight w:val="none"/>
              </w:rPr>
            </w:pPr>
            <w:r>
              <w:rPr>
                <w:rFonts w:hint="eastAsia" w:ascii="宋体" w:hAnsi="宋体"/>
                <w:bCs/>
                <w:color w:val="auto"/>
                <w:kern w:val="0"/>
                <w:szCs w:val="21"/>
                <w:highlight w:val="none"/>
              </w:rPr>
              <w:t>2.2</w:t>
            </w:r>
          </w:p>
        </w:tc>
        <w:tc>
          <w:tcPr>
            <w:tcW w:w="1134" w:type="dxa"/>
            <w:vAlign w:val="center"/>
          </w:tcPr>
          <w:p w14:paraId="26AC12F8">
            <w:pPr>
              <w:spacing w:line="360" w:lineRule="auto"/>
              <w:jc w:val="center"/>
              <w:rPr>
                <w:rFonts w:hint="eastAsia" w:ascii="宋体" w:hAnsi="宋体"/>
                <w:color w:val="auto"/>
                <w:szCs w:val="21"/>
                <w:highlight w:val="none"/>
              </w:rPr>
            </w:pPr>
            <w:r>
              <w:rPr>
                <w:rFonts w:hint="eastAsia" w:ascii="宋体" w:hAnsi="宋体"/>
                <w:color w:val="auto"/>
                <w:szCs w:val="21"/>
                <w:highlight w:val="none"/>
              </w:rPr>
              <w:t>维保服务总体方案（13分）</w:t>
            </w:r>
          </w:p>
        </w:tc>
        <w:tc>
          <w:tcPr>
            <w:tcW w:w="6536" w:type="dxa"/>
            <w:vAlign w:val="center"/>
          </w:tcPr>
          <w:p w14:paraId="3260877D">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由磋商小组根据供应商所提供的响应文件中维保服务的整体安排、故障报修处理流程、服务响应时限控制、日常维护保养措施、软件更新升级支持等作出的描述内容进行评价，以下各项不得重复计分：</w:t>
            </w:r>
          </w:p>
          <w:p w14:paraId="3C3AA69E">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一档（</w:t>
            </w:r>
            <w:r>
              <w:rPr>
                <w:rFonts w:ascii="宋体" w:hAnsi="宋体"/>
                <w:bCs/>
                <w:color w:val="auto"/>
                <w:szCs w:val="21"/>
                <w:highlight w:val="none"/>
              </w:rPr>
              <w:t>5</w:t>
            </w:r>
            <w:r>
              <w:rPr>
                <w:rFonts w:hint="eastAsia" w:ascii="宋体" w:hAnsi="宋体"/>
                <w:bCs/>
                <w:color w:val="auto"/>
                <w:szCs w:val="21"/>
                <w:highlight w:val="none"/>
              </w:rPr>
              <w:t>分）：供应商提供的维保服务总体方案，包含故障报修处理流程、服务响应、日常维护保养等基本内容，完全满足本项目维保服务范围要求的。</w:t>
            </w:r>
          </w:p>
          <w:p w14:paraId="3116DDEE">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二档（</w:t>
            </w:r>
            <w:r>
              <w:rPr>
                <w:rFonts w:ascii="宋体" w:hAnsi="宋体"/>
                <w:bCs/>
                <w:color w:val="auto"/>
                <w:szCs w:val="21"/>
                <w:highlight w:val="none"/>
              </w:rPr>
              <w:t>9</w:t>
            </w:r>
            <w:r>
              <w:rPr>
                <w:rFonts w:hint="eastAsia" w:ascii="宋体" w:hAnsi="宋体"/>
                <w:bCs/>
                <w:color w:val="auto"/>
                <w:szCs w:val="21"/>
                <w:highlight w:val="none"/>
              </w:rPr>
              <w:t>分）：在本项一档的基础上，供应商方案能针对本项目投注机机型特点细化维保服务措施，对故障处理的手段和能力有描述，并就硬件维护、软件更新升级、易耗件更换等方面进行详细阐述的。</w:t>
            </w:r>
          </w:p>
          <w:p w14:paraId="554CC7D4">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三档（13分）：在本项二档的基础上，供应商还就故障报修处理流程、日常维护保养、软件更新升级等编制有对应的流程图，服务响应时限控制措施明确（30分钟内响应，地级市城区2-6小时以内恢复彩票销售，县、乡镇、村12-24小时以内恢复彩票销售），设计思路清晰，方案切合实际具有可行性的。</w:t>
            </w:r>
          </w:p>
          <w:p w14:paraId="3E126550">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以上各档次不重复计分，由磋商小组根据各供应商维保服务总体方案的内容，在相应档次打分。不满足进档要求的，不予进档，得0分。</w:t>
            </w:r>
          </w:p>
        </w:tc>
      </w:tr>
      <w:tr w14:paraId="0F5D4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704" w:type="dxa"/>
            <w:vAlign w:val="center"/>
          </w:tcPr>
          <w:p w14:paraId="756924D3">
            <w:pPr>
              <w:spacing w:line="360" w:lineRule="auto"/>
              <w:ind w:left="-105" w:leftChars="-50" w:right="-105" w:rightChars="-50"/>
              <w:jc w:val="center"/>
              <w:rPr>
                <w:rFonts w:hint="eastAsia" w:ascii="宋体" w:hAnsi="宋体"/>
                <w:bCs/>
                <w:color w:val="auto"/>
                <w:kern w:val="0"/>
                <w:szCs w:val="21"/>
                <w:highlight w:val="none"/>
              </w:rPr>
            </w:pPr>
            <w:r>
              <w:rPr>
                <w:rFonts w:hint="eastAsia" w:ascii="宋体" w:hAnsi="宋体"/>
                <w:bCs/>
                <w:color w:val="auto"/>
                <w:kern w:val="0"/>
                <w:szCs w:val="21"/>
                <w:highlight w:val="none"/>
              </w:rPr>
              <w:t>2.</w:t>
            </w:r>
            <w:r>
              <w:rPr>
                <w:rFonts w:ascii="宋体" w:hAnsi="宋体"/>
                <w:bCs/>
                <w:color w:val="auto"/>
                <w:kern w:val="0"/>
                <w:szCs w:val="21"/>
                <w:highlight w:val="none"/>
              </w:rPr>
              <w:t>3</w:t>
            </w:r>
          </w:p>
        </w:tc>
        <w:tc>
          <w:tcPr>
            <w:tcW w:w="1134" w:type="dxa"/>
            <w:vAlign w:val="center"/>
          </w:tcPr>
          <w:p w14:paraId="32860A79">
            <w:pPr>
              <w:spacing w:line="360" w:lineRule="auto"/>
              <w:jc w:val="center"/>
              <w:rPr>
                <w:rFonts w:hint="eastAsia" w:ascii="宋体" w:hAnsi="宋体"/>
                <w:bCs/>
                <w:color w:val="auto"/>
                <w:kern w:val="0"/>
                <w:szCs w:val="21"/>
                <w:highlight w:val="none"/>
              </w:rPr>
            </w:pPr>
            <w:r>
              <w:rPr>
                <w:rFonts w:hint="eastAsia" w:ascii="宋体" w:hAnsi="宋体"/>
                <w:bCs/>
                <w:color w:val="auto"/>
                <w:szCs w:val="21"/>
                <w:highlight w:val="none"/>
              </w:rPr>
              <w:t>应急处理预案</w:t>
            </w:r>
          </w:p>
          <w:p w14:paraId="5DB69EC6">
            <w:pPr>
              <w:spacing w:line="360" w:lineRule="auto"/>
              <w:jc w:val="center"/>
              <w:rPr>
                <w:rFonts w:hint="eastAsia" w:ascii="宋体" w:hAnsi="宋体"/>
                <w:color w:val="auto"/>
                <w:szCs w:val="21"/>
                <w:highlight w:val="none"/>
              </w:rPr>
            </w:pPr>
            <w:r>
              <w:rPr>
                <w:rFonts w:hint="eastAsia" w:ascii="宋体" w:hAnsi="宋体"/>
                <w:bCs/>
                <w:color w:val="auto"/>
                <w:szCs w:val="21"/>
                <w:highlight w:val="none"/>
              </w:rPr>
              <w:t>（15分）</w:t>
            </w:r>
          </w:p>
        </w:tc>
        <w:tc>
          <w:tcPr>
            <w:tcW w:w="6536" w:type="dxa"/>
            <w:vAlign w:val="center"/>
          </w:tcPr>
          <w:p w14:paraId="2479B65A">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一档（</w:t>
            </w:r>
            <w:r>
              <w:rPr>
                <w:rFonts w:ascii="宋体" w:hAnsi="宋体"/>
                <w:bCs/>
                <w:color w:val="auto"/>
                <w:szCs w:val="21"/>
                <w:highlight w:val="none"/>
              </w:rPr>
              <w:t>8</w:t>
            </w:r>
            <w:r>
              <w:rPr>
                <w:rFonts w:hint="eastAsia" w:ascii="宋体" w:hAnsi="宋体"/>
                <w:bCs/>
                <w:color w:val="auto"/>
                <w:szCs w:val="21"/>
                <w:highlight w:val="none"/>
              </w:rPr>
              <w:t>分）：提供了应急处理预案，但预案未能按照本项目进行针对性表述，保障措施不明确，仅能保障项目最低限度实施；</w:t>
            </w:r>
          </w:p>
          <w:p w14:paraId="6C557222">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二档（</w:t>
            </w:r>
            <w:r>
              <w:rPr>
                <w:rFonts w:ascii="宋体" w:hAnsi="宋体"/>
                <w:bCs/>
                <w:color w:val="auto"/>
                <w:szCs w:val="21"/>
                <w:highlight w:val="none"/>
              </w:rPr>
              <w:t>11</w:t>
            </w:r>
            <w:r>
              <w:rPr>
                <w:rFonts w:hint="eastAsia" w:ascii="宋体" w:hAnsi="宋体"/>
                <w:bCs/>
                <w:color w:val="auto"/>
                <w:szCs w:val="21"/>
                <w:highlight w:val="none"/>
              </w:rPr>
              <w:t>分）：应急处理预案完善，能针对本项目投注机维保特点进行表述，保障措施全面，能保障出现投注机软硬件重大故障、重大事故时按照采购需求要求进行应对；</w:t>
            </w:r>
          </w:p>
          <w:p w14:paraId="25088195">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三档（15分）：在二档的基础上，应急处理预案能针对可能出现的不同紧急情况（如批量投注机故障、备件短缺、技术服务人员缺位、自然灾害或人为造成投注机损坏等）提供相对应的应急处置方案，应急处置方案能针对不同情形进行针对性表述，保障措施全面，熟悉彩票行业相关管理要求。</w:t>
            </w:r>
          </w:p>
          <w:p w14:paraId="41F5EFF7">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以上各档次不重复计分，由磋商小组根据各供应商的应急处理预案的内容，在相应档次打分。不满足进档要求的，不予进档，得0分。</w:t>
            </w:r>
          </w:p>
        </w:tc>
      </w:tr>
      <w:tr w14:paraId="525A5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704" w:type="dxa"/>
            <w:vAlign w:val="center"/>
          </w:tcPr>
          <w:p w14:paraId="2E677D1F">
            <w:pPr>
              <w:spacing w:line="360" w:lineRule="auto"/>
              <w:ind w:left="-105" w:leftChars="-50" w:right="-105" w:rightChars="-50"/>
              <w:jc w:val="center"/>
              <w:rPr>
                <w:rFonts w:hint="eastAsia" w:ascii="宋体" w:hAnsi="宋体"/>
                <w:bCs/>
                <w:color w:val="auto"/>
                <w:kern w:val="0"/>
                <w:szCs w:val="21"/>
                <w:highlight w:val="none"/>
              </w:rPr>
            </w:pPr>
            <w:r>
              <w:rPr>
                <w:rFonts w:hint="eastAsia" w:ascii="宋体" w:hAnsi="宋体"/>
                <w:bCs/>
                <w:color w:val="auto"/>
                <w:kern w:val="0"/>
                <w:szCs w:val="21"/>
                <w:highlight w:val="none"/>
              </w:rPr>
              <w:t>2.</w:t>
            </w:r>
            <w:r>
              <w:rPr>
                <w:rFonts w:ascii="宋体" w:hAnsi="宋体"/>
                <w:bCs/>
                <w:color w:val="auto"/>
                <w:kern w:val="0"/>
                <w:szCs w:val="21"/>
                <w:highlight w:val="none"/>
              </w:rPr>
              <w:t>4</w:t>
            </w:r>
          </w:p>
        </w:tc>
        <w:tc>
          <w:tcPr>
            <w:tcW w:w="1134" w:type="dxa"/>
            <w:vAlign w:val="center"/>
          </w:tcPr>
          <w:p w14:paraId="5337D97D">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配件供应及仓储保障方案</w:t>
            </w:r>
          </w:p>
          <w:p w14:paraId="209F7857">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w:t>
            </w:r>
            <w:r>
              <w:rPr>
                <w:rFonts w:ascii="宋体" w:hAnsi="宋体"/>
                <w:bCs/>
                <w:color w:val="auto"/>
                <w:szCs w:val="21"/>
                <w:highlight w:val="none"/>
              </w:rPr>
              <w:t>25</w:t>
            </w:r>
            <w:r>
              <w:rPr>
                <w:rFonts w:hint="eastAsia" w:ascii="宋体" w:hAnsi="宋体"/>
                <w:bCs/>
                <w:color w:val="auto"/>
                <w:szCs w:val="21"/>
                <w:highlight w:val="none"/>
              </w:rPr>
              <w:t>分）</w:t>
            </w:r>
          </w:p>
        </w:tc>
        <w:tc>
          <w:tcPr>
            <w:tcW w:w="6536" w:type="dxa"/>
            <w:vAlign w:val="center"/>
          </w:tcPr>
          <w:p w14:paraId="20D8529C">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由磋商小组根据供应商所提供的响应文件中备件仓库设立、配件储备与动态供应、配件质量保障、配件管理制度等作出的描述内容进行评价，以下各项不得重复计分：</w:t>
            </w:r>
          </w:p>
          <w:p w14:paraId="25E5FC92">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一档（</w:t>
            </w:r>
            <w:r>
              <w:rPr>
                <w:rFonts w:ascii="宋体" w:hAnsi="宋体"/>
                <w:bCs/>
                <w:color w:val="auto"/>
                <w:szCs w:val="21"/>
                <w:highlight w:val="none"/>
              </w:rPr>
              <w:t>15</w:t>
            </w:r>
            <w:r>
              <w:rPr>
                <w:rFonts w:hint="eastAsia" w:ascii="宋体" w:hAnsi="宋体"/>
                <w:bCs/>
                <w:color w:val="auto"/>
                <w:szCs w:val="21"/>
                <w:highlight w:val="none"/>
              </w:rPr>
              <w:t>分）：供应商提供的配件供应及仓储保障方案，包含配件来源、配件储备、配件供应流程等基本内容，且投入的维修配（备）件清单包含三种机型的重要部件，其中LT-F01型20套（含）以上、LT-F06型33套（含）以上的、LT-MS06型18套（含）以上的；</w:t>
            </w:r>
          </w:p>
          <w:p w14:paraId="031734F9">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二档（</w:t>
            </w:r>
            <w:r>
              <w:rPr>
                <w:rFonts w:ascii="宋体" w:hAnsi="宋体"/>
                <w:bCs/>
                <w:color w:val="auto"/>
                <w:szCs w:val="21"/>
                <w:highlight w:val="none"/>
              </w:rPr>
              <w:t>20</w:t>
            </w:r>
            <w:r>
              <w:rPr>
                <w:rFonts w:hint="eastAsia" w:ascii="宋体" w:hAnsi="宋体"/>
                <w:bCs/>
                <w:color w:val="auto"/>
                <w:szCs w:val="21"/>
                <w:highlight w:val="none"/>
              </w:rPr>
              <w:t>分）：在本项一档的基础上，供应商承诺在广西区内建立独立的备件仓库，方案能根据采购人各地市实际配件损耗情况动态提供充足配件，对配件质量保障措施（保证维修所使用的投注机配件为原厂配件）、配件出入库及库存管理有具体描述的。且投入的维修配（备）件清单包含三种机型的重要部件，其中LT-F01型25套（含）以上、LT-F06型45套（含）以上的、LT-MS06型26套（含）以上的；</w:t>
            </w:r>
          </w:p>
          <w:p w14:paraId="2C57F652">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三档（</w:t>
            </w:r>
            <w:r>
              <w:rPr>
                <w:rFonts w:ascii="宋体" w:hAnsi="宋体"/>
                <w:bCs/>
                <w:color w:val="auto"/>
                <w:szCs w:val="21"/>
                <w:highlight w:val="none"/>
              </w:rPr>
              <w:t>25</w:t>
            </w:r>
            <w:r>
              <w:rPr>
                <w:rFonts w:hint="eastAsia" w:ascii="宋体" w:hAnsi="宋体"/>
                <w:bCs/>
                <w:color w:val="auto"/>
                <w:szCs w:val="21"/>
                <w:highlight w:val="none"/>
              </w:rPr>
              <w:t>分）：在本项二档的基础上，方案还就配件储备清单、库存预警与补充机制、配件供应时效、配件质量追溯提供具体保障措施，并对广西区内备件仓库布局、拟储备配件种类及数量作出具体说明，方案切合实际具有可行性的。且投入的维修配（备）件清单包含三种机型的重要部件，其中LT-F01型30套（含）以上、LT-F06型60套（含）以上的、LT-MS06型33套（含）以上的。</w:t>
            </w:r>
          </w:p>
          <w:p w14:paraId="459174AB">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以上各档次不重复计分，由磋商小组根据各供应商配件供应及仓储保障方案的内容，在相应档次打分。不满足进档要求的或没有提供维修配（备）件清单的，不予进档，得0分。</w:t>
            </w:r>
          </w:p>
        </w:tc>
      </w:tr>
      <w:tr w14:paraId="288FC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704" w:type="dxa"/>
            <w:vAlign w:val="center"/>
          </w:tcPr>
          <w:p w14:paraId="2277B4ED">
            <w:pPr>
              <w:spacing w:line="360" w:lineRule="auto"/>
              <w:ind w:left="-105" w:leftChars="-50" w:right="-105" w:rightChars="-50"/>
              <w:jc w:val="center"/>
              <w:rPr>
                <w:rFonts w:hint="eastAsia" w:ascii="宋体" w:hAnsi="宋体"/>
                <w:bCs/>
                <w:color w:val="auto"/>
                <w:kern w:val="0"/>
                <w:szCs w:val="21"/>
                <w:highlight w:val="none"/>
              </w:rPr>
            </w:pPr>
            <w:r>
              <w:rPr>
                <w:rFonts w:hint="eastAsia" w:ascii="宋体" w:hAnsi="宋体"/>
                <w:bCs/>
                <w:color w:val="auto"/>
                <w:kern w:val="0"/>
                <w:szCs w:val="21"/>
                <w:highlight w:val="none"/>
              </w:rPr>
              <w:t>2.5</w:t>
            </w:r>
          </w:p>
        </w:tc>
        <w:tc>
          <w:tcPr>
            <w:tcW w:w="1134" w:type="dxa"/>
            <w:vAlign w:val="center"/>
          </w:tcPr>
          <w:p w14:paraId="6564B4BF">
            <w:pPr>
              <w:spacing w:line="360" w:lineRule="auto"/>
              <w:jc w:val="center"/>
              <w:rPr>
                <w:rFonts w:hint="eastAsia" w:ascii="宋体" w:hAnsi="宋体"/>
                <w:bCs/>
                <w:color w:val="auto"/>
                <w:kern w:val="0"/>
                <w:szCs w:val="21"/>
                <w:highlight w:val="none"/>
              </w:rPr>
            </w:pPr>
            <w:r>
              <w:rPr>
                <w:rFonts w:hint="eastAsia" w:ascii="宋体" w:hAnsi="宋体"/>
                <w:color w:val="auto"/>
                <w:szCs w:val="21"/>
                <w:highlight w:val="none"/>
              </w:rPr>
              <w:t>服务团队管理制度</w:t>
            </w:r>
          </w:p>
          <w:p w14:paraId="6376FC9E">
            <w:pPr>
              <w:spacing w:line="360" w:lineRule="auto"/>
              <w:jc w:val="center"/>
              <w:rPr>
                <w:rFonts w:hint="eastAsia" w:ascii="宋体" w:hAnsi="宋体"/>
                <w:bCs/>
                <w:color w:val="auto"/>
                <w:kern w:val="0"/>
                <w:szCs w:val="21"/>
                <w:highlight w:val="none"/>
              </w:rPr>
            </w:pPr>
            <w:r>
              <w:rPr>
                <w:rFonts w:hint="eastAsia" w:ascii="宋体" w:hAnsi="宋体"/>
                <w:color w:val="auto"/>
                <w:szCs w:val="21"/>
                <w:highlight w:val="none"/>
              </w:rPr>
              <w:t>（10分）</w:t>
            </w:r>
          </w:p>
        </w:tc>
        <w:tc>
          <w:tcPr>
            <w:tcW w:w="6536" w:type="dxa"/>
            <w:tcBorders>
              <w:right w:val="single" w:color="auto" w:sz="4" w:space="0"/>
            </w:tcBorders>
            <w:vAlign w:val="center"/>
          </w:tcPr>
          <w:p w14:paraId="66C6358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由磋商小组根据响应文件中的服务团队管理制度，从人员投入安排、岗位设置、人员管理制度、考核与更换机制等方面的完整性、详细性、可操作性进行评审，以下各项不重复计分：</w:t>
            </w:r>
          </w:p>
          <w:p w14:paraId="190A22B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一档（4分）：供应商提供的服务团队配置及管理制度，包含人员投入安排及工作安排、派驻计划，能满足本项目采购需求的；</w:t>
            </w:r>
          </w:p>
          <w:p w14:paraId="34E1C0A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二档（7分）：在本项一档的基础上，服务团队配置能清晰描述派驻广西十四个地市技术服务人员的具体工作安排及职责分工；能提供人员管理制度、更换审批机制，具有可操作性；方案阐述详细、人员安排合理、风险防范及应急处理措施具有针对性；</w:t>
            </w:r>
          </w:p>
          <w:p w14:paraId="53A8DD7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三档（10分）：在本项二档的基础上，服务团队配置能提供具体到个人的工作职责且符合需求；能提供技术服务人员的资质、培训及考核管理措施；提供技术服务人员接受采购人管理、不随意更换（更换前须经采购人同意认可）的具体承诺及保障措施。</w:t>
            </w:r>
          </w:p>
          <w:p w14:paraId="104643A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未提供服务团队配置及管理制度或未达到一档要求的，得0分。</w:t>
            </w:r>
          </w:p>
        </w:tc>
      </w:tr>
      <w:tr w14:paraId="2DDE7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04" w:type="dxa"/>
            <w:vAlign w:val="center"/>
          </w:tcPr>
          <w:p w14:paraId="5A407557">
            <w:pPr>
              <w:widowControl/>
              <w:spacing w:before="120" w:beforeLines="50" w:line="360"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3</w:t>
            </w:r>
          </w:p>
        </w:tc>
        <w:tc>
          <w:tcPr>
            <w:tcW w:w="1134" w:type="dxa"/>
            <w:vAlign w:val="center"/>
          </w:tcPr>
          <w:p w14:paraId="75E282F0">
            <w:pPr>
              <w:widowControl/>
              <w:spacing w:before="120" w:beforeLines="50" w:line="360" w:lineRule="auto"/>
              <w:jc w:val="center"/>
              <w:rPr>
                <w:rFonts w:hint="eastAsia" w:ascii="宋体" w:hAnsi="宋体" w:cs="Courier New"/>
                <w:bCs/>
                <w:color w:val="auto"/>
                <w:szCs w:val="21"/>
                <w:highlight w:val="none"/>
              </w:rPr>
            </w:pPr>
            <w:r>
              <w:rPr>
                <w:rFonts w:hint="eastAsia" w:ascii="宋体" w:hAnsi="宋体" w:cs="Courier New"/>
                <w:bCs/>
                <w:color w:val="auto"/>
                <w:szCs w:val="21"/>
                <w:highlight w:val="none"/>
              </w:rPr>
              <w:t>商务分（18分）</w:t>
            </w:r>
          </w:p>
        </w:tc>
        <w:tc>
          <w:tcPr>
            <w:tcW w:w="6536" w:type="dxa"/>
            <w:tcBorders>
              <w:right w:val="single" w:color="auto" w:sz="4" w:space="0"/>
            </w:tcBorders>
            <w:vAlign w:val="center"/>
          </w:tcPr>
          <w:p w14:paraId="0DC62674">
            <w:pPr>
              <w:widowControl/>
              <w:spacing w:before="120" w:beforeLines="50" w:line="360"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评审因素</w:t>
            </w:r>
          </w:p>
        </w:tc>
      </w:tr>
      <w:tr w14:paraId="11CB0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04" w:type="dxa"/>
            <w:vAlign w:val="center"/>
          </w:tcPr>
          <w:p w14:paraId="625EA439">
            <w:pPr>
              <w:widowControl/>
              <w:spacing w:line="360" w:lineRule="auto"/>
              <w:jc w:val="center"/>
              <w:rPr>
                <w:rFonts w:hint="eastAsia" w:ascii="宋体" w:hAnsi="宋体" w:cs="Tahoma"/>
                <w:color w:val="auto"/>
                <w:kern w:val="0"/>
                <w:szCs w:val="21"/>
                <w:highlight w:val="none"/>
              </w:rPr>
            </w:pPr>
            <w:r>
              <w:rPr>
                <w:rFonts w:ascii="宋体" w:hAnsi="宋体" w:cs="Tahoma"/>
                <w:color w:val="auto"/>
                <w:kern w:val="0"/>
                <w:szCs w:val="21"/>
                <w:highlight w:val="none"/>
              </w:rPr>
              <w:t>3.1</w:t>
            </w:r>
          </w:p>
        </w:tc>
        <w:tc>
          <w:tcPr>
            <w:tcW w:w="1134" w:type="dxa"/>
            <w:vAlign w:val="center"/>
          </w:tcPr>
          <w:p w14:paraId="73A19C1E">
            <w:pPr>
              <w:spacing w:line="480" w:lineRule="exact"/>
              <w:jc w:val="center"/>
              <w:rPr>
                <w:rFonts w:hint="eastAsia" w:ascii="宋体" w:hAnsi="宋体"/>
                <w:color w:val="auto"/>
                <w:szCs w:val="21"/>
                <w:highlight w:val="none"/>
              </w:rPr>
            </w:pPr>
            <w:r>
              <w:rPr>
                <w:rFonts w:hint="eastAsia" w:ascii="宋体" w:hAnsi="宋体"/>
                <w:color w:val="auto"/>
                <w:szCs w:val="21"/>
                <w:highlight w:val="none"/>
              </w:rPr>
              <w:t>业绩分</w:t>
            </w:r>
          </w:p>
          <w:p w14:paraId="171359AC">
            <w:pPr>
              <w:spacing w:line="480" w:lineRule="exact"/>
              <w:jc w:val="center"/>
              <w:rPr>
                <w:rFonts w:hint="eastAsia" w:ascii="宋体" w:hAnsi="宋体"/>
                <w:color w:val="auto"/>
                <w:szCs w:val="21"/>
                <w:highlight w:val="none"/>
              </w:rPr>
            </w:pPr>
            <w:r>
              <w:rPr>
                <w:rFonts w:hint="eastAsia" w:ascii="宋体" w:hAnsi="宋体"/>
                <w:color w:val="auto"/>
                <w:szCs w:val="21"/>
                <w:highlight w:val="none"/>
              </w:rPr>
              <w:t>（10分）</w:t>
            </w:r>
          </w:p>
        </w:tc>
        <w:tc>
          <w:tcPr>
            <w:tcW w:w="6536" w:type="dxa"/>
            <w:vAlign w:val="center"/>
          </w:tcPr>
          <w:p w14:paraId="5C63CD9C">
            <w:pPr>
              <w:spacing w:line="360" w:lineRule="auto"/>
              <w:ind w:firstLine="420" w:firstLineChars="200"/>
              <w:rPr>
                <w:rFonts w:hint="eastAsia" w:ascii="宋体" w:hAnsi="宋体" w:cs="Courier New"/>
                <w:bCs/>
                <w:color w:val="auto"/>
                <w:szCs w:val="21"/>
                <w:highlight w:val="none"/>
              </w:rPr>
            </w:pPr>
            <w:r>
              <w:rPr>
                <w:rFonts w:hint="eastAsia" w:ascii="宋体" w:hAnsi="宋体"/>
                <w:color w:val="auto"/>
                <w:kern w:val="0"/>
                <w:szCs w:val="21"/>
                <w:highlight w:val="none"/>
              </w:rPr>
              <w:t>供应商自2023年1月1日以来具有的类似项目（电脑彩票销售终端设备或者其他自助终端设备的维保、运维服务）业绩，每提供一个业绩得2分，满分10分。（响应文件中提供有效的中标（成交）通知书或合同复印件，否则不予以计分）。</w:t>
            </w:r>
          </w:p>
        </w:tc>
      </w:tr>
      <w:tr w14:paraId="48296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04" w:type="dxa"/>
            <w:vAlign w:val="center"/>
          </w:tcPr>
          <w:p w14:paraId="2888FAC4">
            <w:pPr>
              <w:widowControl/>
              <w:spacing w:line="360"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3.2</w:t>
            </w:r>
          </w:p>
        </w:tc>
        <w:tc>
          <w:tcPr>
            <w:tcW w:w="1134" w:type="dxa"/>
            <w:vAlign w:val="center"/>
          </w:tcPr>
          <w:p w14:paraId="4CE1BE5E">
            <w:pPr>
              <w:spacing w:line="480" w:lineRule="exact"/>
              <w:jc w:val="center"/>
              <w:rPr>
                <w:rFonts w:hint="eastAsia" w:ascii="宋体" w:hAnsi="宋体"/>
                <w:bCs/>
                <w:color w:val="auto"/>
                <w:szCs w:val="21"/>
                <w:highlight w:val="none"/>
              </w:rPr>
            </w:pPr>
            <w:r>
              <w:rPr>
                <w:rFonts w:hint="eastAsia" w:ascii="宋体" w:hAnsi="宋体"/>
                <w:bCs/>
                <w:color w:val="auto"/>
                <w:szCs w:val="21"/>
                <w:highlight w:val="none"/>
              </w:rPr>
              <w:t>项目人员配备</w:t>
            </w:r>
          </w:p>
          <w:p w14:paraId="3811941F">
            <w:pPr>
              <w:spacing w:line="480" w:lineRule="exact"/>
              <w:jc w:val="center"/>
              <w:rPr>
                <w:rFonts w:hint="eastAsia" w:ascii="宋体" w:hAnsi="宋体"/>
                <w:color w:val="auto"/>
                <w:szCs w:val="21"/>
                <w:highlight w:val="none"/>
              </w:rPr>
            </w:pPr>
            <w:r>
              <w:rPr>
                <w:rFonts w:hint="eastAsia" w:ascii="宋体" w:hAnsi="宋体"/>
                <w:bCs/>
                <w:color w:val="auto"/>
                <w:szCs w:val="21"/>
                <w:highlight w:val="none"/>
              </w:rPr>
              <w:t>（6分）</w:t>
            </w:r>
          </w:p>
        </w:tc>
        <w:tc>
          <w:tcPr>
            <w:tcW w:w="6536" w:type="dxa"/>
            <w:vAlign w:val="center"/>
          </w:tcPr>
          <w:p w14:paraId="236395D1">
            <w:pPr>
              <w:spacing w:after="160"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（1）供应商项目经理（仅限1人）具有人力资源和社会保障部颁发的信息系统项目管理师证书的得1分，与项目实施技术相关的计算机软件类高级工程师职称证书的得1分，满分 2 分；</w:t>
            </w:r>
          </w:p>
          <w:p w14:paraId="28E39EE7">
            <w:pPr>
              <w:spacing w:after="160"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w:t>
            </w:r>
            <w:r>
              <w:rPr>
                <w:rFonts w:ascii="宋体" w:hAnsi="宋体"/>
                <w:bCs/>
                <w:color w:val="auto"/>
                <w:szCs w:val="21"/>
                <w:highlight w:val="none"/>
              </w:rPr>
              <w:t>2</w:t>
            </w:r>
            <w:r>
              <w:rPr>
                <w:rFonts w:hint="eastAsia" w:ascii="宋体" w:hAnsi="宋体"/>
                <w:bCs/>
                <w:color w:val="auto"/>
                <w:szCs w:val="21"/>
                <w:highlight w:val="none"/>
              </w:rPr>
              <w:t>）供应商技术经理（仅限1人）具有国家人力资源和社会保障部颁发的系统架构设计师的得1分，与项目实施技术相关的计算机软件类高级工程师职称证书的得1分，满分 2 分；</w:t>
            </w:r>
          </w:p>
          <w:p w14:paraId="07DC4906">
            <w:pPr>
              <w:spacing w:after="160"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3）除上述项目经理、技术经理外，供应商拟投入服务团队成员具有国家人力资源和社会保障部颁发的且与本项目相关技术专业（软件设计师、软件评测师、数据库系统工程师、信息安全工程师等）的中级证书的（同一人有多个证书的，记一次，不重复计算），每人得0.5分，满分2分；</w:t>
            </w:r>
          </w:p>
          <w:p w14:paraId="7752CD73">
            <w:pPr>
              <w:spacing w:after="160" w:line="360" w:lineRule="auto"/>
              <w:ind w:firstLine="200"/>
              <w:rPr>
                <w:rFonts w:hint="eastAsia" w:ascii="宋体" w:hAnsi="宋体"/>
                <w:bCs/>
                <w:color w:val="auto"/>
                <w:szCs w:val="21"/>
                <w:highlight w:val="none"/>
              </w:rPr>
            </w:pPr>
            <w:r>
              <w:rPr>
                <w:rFonts w:hint="eastAsia" w:ascii="宋体" w:hAnsi="宋体"/>
                <w:bCs/>
                <w:color w:val="auto"/>
                <w:szCs w:val="21"/>
                <w:highlight w:val="none"/>
              </w:rPr>
              <w:t>注：供应商须提供相应人员的证书及近半年内任意连续3个月的社保证明扫描件或截至响应文件提交截止时间仍在有效期的劳动合同并加盖供应商电子公章，未按要求提供不得分。</w:t>
            </w:r>
          </w:p>
        </w:tc>
      </w:tr>
      <w:tr w14:paraId="78A30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04" w:type="dxa"/>
            <w:vAlign w:val="center"/>
          </w:tcPr>
          <w:p w14:paraId="0B54EB5E">
            <w:pPr>
              <w:widowControl/>
              <w:spacing w:line="360"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3.3</w:t>
            </w:r>
          </w:p>
        </w:tc>
        <w:tc>
          <w:tcPr>
            <w:tcW w:w="1134" w:type="dxa"/>
            <w:vAlign w:val="center"/>
          </w:tcPr>
          <w:p w14:paraId="53D619B6">
            <w:pPr>
              <w:spacing w:line="480" w:lineRule="exact"/>
              <w:jc w:val="center"/>
              <w:rPr>
                <w:rFonts w:hint="eastAsia" w:ascii="宋体" w:hAnsi="宋体"/>
                <w:color w:val="auto"/>
                <w:szCs w:val="21"/>
                <w:highlight w:val="none"/>
              </w:rPr>
            </w:pPr>
            <w:r>
              <w:rPr>
                <w:rFonts w:hint="eastAsia" w:ascii="宋体" w:hAnsi="宋体" w:cs="Courier New"/>
                <w:bCs/>
                <w:color w:val="auto"/>
                <w:szCs w:val="21"/>
                <w:highlight w:val="none"/>
              </w:rPr>
              <w:t>体系认证</w:t>
            </w:r>
          </w:p>
          <w:p w14:paraId="57A54D88">
            <w:pPr>
              <w:spacing w:line="480" w:lineRule="exact"/>
              <w:jc w:val="center"/>
              <w:rPr>
                <w:rFonts w:hint="eastAsia" w:ascii="宋体" w:hAnsi="宋体"/>
                <w:color w:val="auto"/>
                <w:szCs w:val="21"/>
                <w:highlight w:val="none"/>
              </w:rPr>
            </w:pPr>
            <w:r>
              <w:rPr>
                <w:rFonts w:hint="eastAsia" w:ascii="宋体" w:hAnsi="宋体" w:cs="Courier New"/>
                <w:bCs/>
                <w:color w:val="auto"/>
                <w:szCs w:val="21"/>
                <w:highlight w:val="none"/>
              </w:rPr>
              <w:t>（2分）</w:t>
            </w:r>
          </w:p>
        </w:tc>
        <w:tc>
          <w:tcPr>
            <w:tcW w:w="6536" w:type="dxa"/>
            <w:vAlign w:val="center"/>
          </w:tcPr>
          <w:p w14:paraId="7B9C4241">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1、供应商具有有效的ISO27001信息安全管理体系认证证书的得1分；</w:t>
            </w:r>
          </w:p>
          <w:p w14:paraId="34A6AE60">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2、供应商具有有效的ISO20000信息技术服务管理体系认证证书得1分；</w:t>
            </w:r>
          </w:p>
          <w:p w14:paraId="797C6EF7">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注：响应文件中需提供相应证书复印件，上述资料如含外文，供应商需附有中文翻译文件，如果没有翻译文件则视为无效。</w:t>
            </w:r>
          </w:p>
        </w:tc>
      </w:tr>
      <w:tr w14:paraId="5723C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8374" w:type="dxa"/>
            <w:gridSpan w:val="3"/>
            <w:vAlign w:val="center"/>
          </w:tcPr>
          <w:p w14:paraId="6B27C709">
            <w:pPr>
              <w:spacing w:line="360" w:lineRule="auto"/>
              <w:ind w:firstLine="420" w:firstLineChars="200"/>
              <w:jc w:val="center"/>
              <w:rPr>
                <w:rFonts w:hint="eastAsia" w:ascii="宋体" w:hAnsi="宋体" w:cs="Courier New"/>
                <w:bCs/>
                <w:color w:val="auto"/>
                <w:szCs w:val="21"/>
                <w:highlight w:val="none"/>
              </w:rPr>
            </w:pPr>
            <w:r>
              <w:rPr>
                <w:rFonts w:hint="eastAsia" w:ascii="宋体" w:hAnsi="宋体" w:cs="Courier New"/>
                <w:bCs/>
                <w:color w:val="auto"/>
                <w:szCs w:val="21"/>
                <w:highlight w:val="none"/>
              </w:rPr>
              <w:t>总得分为以上各项评审因素得分合计</w:t>
            </w:r>
          </w:p>
        </w:tc>
      </w:tr>
    </w:tbl>
    <w:p w14:paraId="28459307">
      <w:pPr>
        <w:spacing w:line="360" w:lineRule="auto"/>
        <w:ind w:firstLine="420" w:firstLineChars="200"/>
        <w:rPr>
          <w:rFonts w:hint="eastAsia" w:ascii="宋体" w:hAnsi="宋体"/>
          <w:bCs/>
          <w:color w:val="auto"/>
          <w:szCs w:val="21"/>
          <w:highlight w:val="none"/>
        </w:rPr>
      </w:pPr>
    </w:p>
    <w:p w14:paraId="102629B8">
      <w:pPr>
        <w:spacing w:line="360" w:lineRule="auto"/>
        <w:ind w:firstLine="420" w:firstLineChars="200"/>
        <w:rPr>
          <w:rFonts w:hint="eastAsia" w:ascii="宋体" w:hAnsi="宋体"/>
          <w:color w:val="auto"/>
          <w:szCs w:val="21"/>
          <w:highlight w:val="none"/>
        </w:rPr>
      </w:pPr>
      <w:r>
        <w:rPr>
          <w:rFonts w:ascii="宋体" w:hAnsi="宋体"/>
          <w:bCs/>
          <w:color w:val="auto"/>
          <w:szCs w:val="21"/>
          <w:highlight w:val="none"/>
        </w:rPr>
        <w:t>7.</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p>
    <w:p w14:paraId="231B37D6">
      <w:pPr>
        <w:spacing w:line="400" w:lineRule="exact"/>
        <w:ind w:firstLine="420" w:firstLineChars="200"/>
        <w:rPr>
          <w:rFonts w:hint="eastAsia" w:ascii="宋体" w:hAnsi="宋体" w:cs="宋体"/>
          <w:color w:val="auto"/>
          <w:highlight w:val="none"/>
        </w:rPr>
      </w:pPr>
    </w:p>
    <w:p w14:paraId="6639C4DD">
      <w:pPr>
        <w:spacing w:line="400" w:lineRule="exact"/>
        <w:ind w:firstLine="420" w:firstLineChars="200"/>
        <w:rPr>
          <w:rFonts w:hint="eastAsia" w:ascii="宋体" w:hAnsi="宋体" w:cs="宋体"/>
          <w:color w:val="auto"/>
          <w:highlight w:val="none"/>
        </w:rPr>
      </w:pPr>
    </w:p>
    <w:p w14:paraId="51422DFF">
      <w:pPr>
        <w:pStyle w:val="3"/>
        <w:rPr>
          <w:color w:val="auto"/>
          <w:highlight w:val="none"/>
        </w:rPr>
      </w:pPr>
    </w:p>
    <w:p w14:paraId="72EB7610">
      <w:pPr>
        <w:pStyle w:val="2"/>
        <w:jc w:val="center"/>
        <w:rPr>
          <w:color w:val="auto"/>
          <w:highlight w:val="none"/>
        </w:rPr>
      </w:pPr>
      <w:r>
        <w:rPr>
          <w:color w:val="auto"/>
          <w:highlight w:val="none"/>
        </w:rPr>
        <w:br w:type="page"/>
      </w:r>
    </w:p>
    <w:p w14:paraId="4E1D2944">
      <w:pPr>
        <w:rPr>
          <w:color w:val="auto"/>
          <w:highlight w:val="none"/>
        </w:rPr>
      </w:pPr>
    </w:p>
    <w:p w14:paraId="4FC4ED72">
      <w:pPr>
        <w:rPr>
          <w:color w:val="auto"/>
          <w:highlight w:val="none"/>
        </w:rPr>
      </w:pPr>
    </w:p>
    <w:p w14:paraId="50D5FCCA">
      <w:pPr>
        <w:rPr>
          <w:color w:val="auto"/>
          <w:highlight w:val="none"/>
        </w:rPr>
      </w:pPr>
    </w:p>
    <w:p w14:paraId="3C4FAB13">
      <w:pPr>
        <w:rPr>
          <w:color w:val="auto"/>
          <w:highlight w:val="none"/>
        </w:rPr>
      </w:pPr>
    </w:p>
    <w:p w14:paraId="5762BBA3">
      <w:pPr>
        <w:rPr>
          <w:color w:val="auto"/>
          <w:highlight w:val="none"/>
        </w:rPr>
      </w:pPr>
    </w:p>
    <w:p w14:paraId="01C53DDA">
      <w:pPr>
        <w:rPr>
          <w:color w:val="auto"/>
          <w:highlight w:val="none"/>
        </w:rPr>
      </w:pPr>
    </w:p>
    <w:p w14:paraId="06E27B50">
      <w:pPr>
        <w:rPr>
          <w:color w:val="auto"/>
          <w:highlight w:val="none"/>
        </w:rPr>
      </w:pPr>
    </w:p>
    <w:p w14:paraId="39A1587F">
      <w:pPr>
        <w:rPr>
          <w:color w:val="auto"/>
          <w:highlight w:val="none"/>
        </w:rPr>
      </w:pPr>
    </w:p>
    <w:p w14:paraId="7DCCE5F4">
      <w:pPr>
        <w:rPr>
          <w:color w:val="auto"/>
          <w:highlight w:val="none"/>
        </w:rPr>
      </w:pPr>
    </w:p>
    <w:p w14:paraId="389EACCA">
      <w:pPr>
        <w:rPr>
          <w:color w:val="auto"/>
          <w:highlight w:val="none"/>
        </w:rPr>
      </w:pPr>
    </w:p>
    <w:p w14:paraId="3A5791A2">
      <w:pPr>
        <w:rPr>
          <w:color w:val="auto"/>
          <w:highlight w:val="none"/>
        </w:rPr>
      </w:pPr>
    </w:p>
    <w:p w14:paraId="4C7ABBEF">
      <w:pPr>
        <w:rPr>
          <w:color w:val="auto"/>
          <w:highlight w:val="none"/>
        </w:rPr>
      </w:pPr>
    </w:p>
    <w:p w14:paraId="1B888FA0">
      <w:pPr>
        <w:rPr>
          <w:color w:val="auto"/>
          <w:highlight w:val="none"/>
        </w:rPr>
      </w:pPr>
    </w:p>
    <w:p w14:paraId="60FAB1C2">
      <w:pPr>
        <w:pStyle w:val="2"/>
        <w:jc w:val="center"/>
        <w:rPr>
          <w:color w:val="auto"/>
          <w:highlight w:val="none"/>
        </w:rPr>
      </w:pPr>
      <w:bookmarkStart w:id="96" w:name="_Toc74323460"/>
      <w:r>
        <w:rPr>
          <w:rFonts w:hint="eastAsia"/>
          <w:color w:val="auto"/>
          <w:highlight w:val="none"/>
        </w:rPr>
        <w:t>第五章 响应文件格式</w:t>
      </w:r>
      <w:bookmarkEnd w:id="96"/>
    </w:p>
    <w:p w14:paraId="0C824801">
      <w:pPr>
        <w:spacing w:line="240" w:lineRule="atLeast"/>
        <w:rPr>
          <w:rFonts w:hint="eastAsia" w:ascii="宋体" w:hAnsi="宋体"/>
          <w:b/>
          <w:color w:val="auto"/>
          <w:sz w:val="32"/>
          <w:szCs w:val="32"/>
          <w:highlight w:val="none"/>
        </w:rPr>
      </w:pPr>
    </w:p>
    <w:p w14:paraId="7D1110BF">
      <w:pPr>
        <w:spacing w:line="240" w:lineRule="atLeast"/>
        <w:rPr>
          <w:rFonts w:hint="eastAsia" w:ascii="宋体" w:hAnsi="宋体"/>
          <w:b/>
          <w:color w:val="auto"/>
          <w:sz w:val="32"/>
          <w:szCs w:val="32"/>
          <w:highlight w:val="none"/>
        </w:rPr>
      </w:pPr>
    </w:p>
    <w:p w14:paraId="12BC6D0B">
      <w:pPr>
        <w:spacing w:line="240" w:lineRule="atLeast"/>
        <w:rPr>
          <w:rFonts w:hint="eastAsia" w:ascii="宋体" w:hAnsi="宋体"/>
          <w:b/>
          <w:color w:val="auto"/>
          <w:sz w:val="32"/>
          <w:szCs w:val="32"/>
          <w:highlight w:val="none"/>
        </w:rPr>
      </w:pPr>
    </w:p>
    <w:p w14:paraId="61B009FF">
      <w:pPr>
        <w:spacing w:line="240" w:lineRule="atLeast"/>
        <w:rPr>
          <w:rFonts w:hint="eastAsia" w:ascii="宋体" w:hAnsi="宋体"/>
          <w:b/>
          <w:color w:val="auto"/>
          <w:sz w:val="32"/>
          <w:szCs w:val="32"/>
          <w:highlight w:val="none"/>
        </w:rPr>
      </w:pPr>
    </w:p>
    <w:p w14:paraId="397C7505">
      <w:pPr>
        <w:spacing w:line="240" w:lineRule="atLeast"/>
        <w:rPr>
          <w:rFonts w:hint="eastAsia" w:ascii="宋体" w:hAnsi="宋体"/>
          <w:b/>
          <w:color w:val="auto"/>
          <w:sz w:val="32"/>
          <w:szCs w:val="32"/>
          <w:highlight w:val="none"/>
        </w:rPr>
      </w:pPr>
    </w:p>
    <w:p w14:paraId="76A2248B">
      <w:pPr>
        <w:spacing w:line="240" w:lineRule="atLeast"/>
        <w:rPr>
          <w:rFonts w:hint="eastAsia" w:ascii="宋体" w:hAnsi="宋体"/>
          <w:b/>
          <w:color w:val="auto"/>
          <w:sz w:val="32"/>
          <w:szCs w:val="32"/>
          <w:highlight w:val="none"/>
        </w:rPr>
      </w:pPr>
    </w:p>
    <w:p w14:paraId="4560DFA2">
      <w:pPr>
        <w:spacing w:line="240" w:lineRule="atLeast"/>
        <w:rPr>
          <w:rFonts w:hint="eastAsia" w:ascii="宋体" w:hAnsi="宋体"/>
          <w:b/>
          <w:color w:val="auto"/>
          <w:sz w:val="32"/>
          <w:szCs w:val="32"/>
          <w:highlight w:val="none"/>
        </w:rPr>
      </w:pPr>
    </w:p>
    <w:p w14:paraId="30701C80">
      <w:pPr>
        <w:spacing w:line="240" w:lineRule="atLeast"/>
        <w:rPr>
          <w:rFonts w:hint="eastAsia" w:ascii="宋体" w:hAnsi="宋体"/>
          <w:b/>
          <w:color w:val="auto"/>
          <w:sz w:val="32"/>
          <w:szCs w:val="32"/>
          <w:highlight w:val="none"/>
        </w:rPr>
      </w:pPr>
    </w:p>
    <w:p w14:paraId="58021B63">
      <w:pPr>
        <w:spacing w:line="240" w:lineRule="atLeast"/>
        <w:rPr>
          <w:rFonts w:hint="eastAsia" w:ascii="宋体" w:hAnsi="宋体"/>
          <w:b/>
          <w:color w:val="auto"/>
          <w:sz w:val="32"/>
          <w:szCs w:val="32"/>
          <w:highlight w:val="none"/>
        </w:rPr>
      </w:pPr>
    </w:p>
    <w:p w14:paraId="63E18A57">
      <w:pPr>
        <w:spacing w:line="240" w:lineRule="atLeast"/>
        <w:rPr>
          <w:rFonts w:hint="eastAsia" w:ascii="宋体" w:hAnsi="宋体"/>
          <w:b/>
          <w:color w:val="auto"/>
          <w:sz w:val="32"/>
          <w:szCs w:val="32"/>
          <w:highlight w:val="none"/>
        </w:rPr>
      </w:pPr>
    </w:p>
    <w:p w14:paraId="5E852297">
      <w:pPr>
        <w:spacing w:line="240" w:lineRule="atLeast"/>
        <w:rPr>
          <w:rFonts w:hint="eastAsia" w:ascii="宋体" w:hAnsi="宋体"/>
          <w:b/>
          <w:color w:val="auto"/>
          <w:sz w:val="32"/>
          <w:szCs w:val="32"/>
          <w:highlight w:val="none"/>
        </w:rPr>
      </w:pPr>
    </w:p>
    <w:p w14:paraId="348CE5C7">
      <w:pPr>
        <w:spacing w:before="50" w:after="50"/>
        <w:outlineLvl w:val="1"/>
        <w:rPr>
          <w:rFonts w:hint="eastAsia" w:ascii="宋体" w:hAnsi="宋体"/>
          <w:b/>
          <w:bCs/>
          <w:color w:val="auto"/>
          <w:sz w:val="24"/>
          <w:highlight w:val="none"/>
        </w:rPr>
      </w:pPr>
    </w:p>
    <w:p w14:paraId="1C57E4DA">
      <w:pPr>
        <w:spacing w:before="120" w:after="50"/>
        <w:jc w:val="center"/>
        <w:rPr>
          <w:rFonts w:hint="eastAsia" w:ascii="仿宋_GB2312" w:hAnsi="仿宋_GB2312" w:eastAsia="仿宋_GB2312" w:cs="仿宋_GB2312"/>
          <w:bCs/>
          <w:color w:val="auto"/>
          <w:sz w:val="32"/>
          <w:szCs w:val="32"/>
          <w:highlight w:val="none"/>
        </w:rPr>
      </w:pPr>
    </w:p>
    <w:p w14:paraId="72F345B3">
      <w:pPr>
        <w:rPr>
          <w:b/>
          <w:color w:val="auto"/>
          <w:sz w:val="32"/>
          <w:szCs w:val="32"/>
          <w:highlight w:val="none"/>
        </w:rPr>
      </w:pPr>
      <w:bookmarkStart w:id="97" w:name="_Toc35611516"/>
      <w:bookmarkStart w:id="98" w:name="_Toc35611438"/>
      <w:bookmarkStart w:id="99" w:name="_Toc31723070"/>
      <w:bookmarkStart w:id="100" w:name="_Toc31728084"/>
      <w:bookmarkStart w:id="101" w:name="_Toc71366186"/>
      <w:bookmarkStart w:id="102" w:name="_Toc44229899"/>
      <w:r>
        <w:rPr>
          <w:b/>
          <w:color w:val="auto"/>
          <w:sz w:val="32"/>
          <w:szCs w:val="32"/>
          <w:highlight w:val="none"/>
        </w:rPr>
        <w:br w:type="page"/>
      </w:r>
      <w:r>
        <w:rPr>
          <w:rFonts w:hint="eastAsia"/>
          <w:b/>
          <w:color w:val="auto"/>
          <w:sz w:val="32"/>
          <w:szCs w:val="32"/>
          <w:highlight w:val="none"/>
        </w:rPr>
        <w:t>一、资格证明文件格式</w:t>
      </w:r>
      <w:bookmarkEnd w:id="97"/>
      <w:bookmarkEnd w:id="98"/>
      <w:bookmarkEnd w:id="99"/>
      <w:bookmarkEnd w:id="100"/>
      <w:bookmarkEnd w:id="101"/>
      <w:bookmarkEnd w:id="102"/>
    </w:p>
    <w:p w14:paraId="79C5E14E">
      <w:pPr>
        <w:spacing w:before="120" w:after="50" w:line="360" w:lineRule="auto"/>
        <w:jc w:val="left"/>
        <w:rPr>
          <w:rFonts w:hint="eastAsia" w:ascii="宋体" w:hAnsi="宋体"/>
          <w:b/>
          <w:color w:val="auto"/>
          <w:sz w:val="24"/>
          <w:highlight w:val="none"/>
        </w:rPr>
      </w:pPr>
      <w:r>
        <w:rPr>
          <w:rFonts w:hint="eastAsia" w:ascii="宋体" w:hAnsi="宋体"/>
          <w:b/>
          <w:color w:val="auto"/>
          <w:sz w:val="32"/>
          <w:szCs w:val="32"/>
          <w:highlight w:val="none"/>
        </w:rPr>
        <w:t>1.资格证明文件封面格式：</w:t>
      </w:r>
      <w:r>
        <w:rPr>
          <w:rFonts w:hint="eastAsia" w:ascii="宋体" w:hAnsi="宋体"/>
          <w:b/>
          <w:color w:val="auto"/>
          <w:sz w:val="24"/>
          <w:highlight w:val="none"/>
        </w:rPr>
        <w:t xml:space="preserve"> </w:t>
      </w:r>
    </w:p>
    <w:p w14:paraId="37616226">
      <w:pPr>
        <w:spacing w:before="120" w:after="50"/>
        <w:jc w:val="center"/>
        <w:rPr>
          <w:rFonts w:hint="eastAsia" w:ascii="宋体" w:hAnsi="宋体"/>
          <w:color w:val="auto"/>
          <w:sz w:val="44"/>
          <w:szCs w:val="44"/>
          <w:highlight w:val="none"/>
        </w:rPr>
      </w:pPr>
    </w:p>
    <w:p w14:paraId="2DFF2C8A">
      <w:pPr>
        <w:spacing w:before="120" w:after="50"/>
        <w:jc w:val="center"/>
        <w:rPr>
          <w:rFonts w:hint="eastAsia" w:ascii="宋体" w:hAnsi="宋体"/>
          <w:color w:val="auto"/>
          <w:sz w:val="44"/>
          <w:szCs w:val="44"/>
          <w:highlight w:val="none"/>
        </w:rPr>
      </w:pPr>
      <w:r>
        <w:rPr>
          <w:rFonts w:hint="eastAsia" w:ascii="宋体" w:hAnsi="宋体"/>
          <w:color w:val="auto"/>
          <w:sz w:val="44"/>
          <w:szCs w:val="44"/>
          <w:highlight w:val="none"/>
        </w:rPr>
        <w:t>电 子 响 应 文 件</w:t>
      </w:r>
    </w:p>
    <w:p w14:paraId="315C70B7">
      <w:pPr>
        <w:spacing w:before="120" w:after="50"/>
        <w:rPr>
          <w:rFonts w:hint="eastAsia" w:ascii="宋体" w:hAnsi="宋体"/>
          <w:color w:val="auto"/>
          <w:sz w:val="24"/>
          <w:szCs w:val="20"/>
          <w:highlight w:val="none"/>
        </w:rPr>
      </w:pPr>
    </w:p>
    <w:p w14:paraId="425CFA5E">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03FDB27B">
      <w:pPr>
        <w:spacing w:before="120" w:after="50"/>
        <w:rPr>
          <w:rFonts w:hint="eastAsia" w:ascii="宋体" w:hAnsi="宋体"/>
          <w:bCs/>
          <w:color w:val="auto"/>
          <w:sz w:val="24"/>
          <w:szCs w:val="20"/>
          <w:highlight w:val="none"/>
        </w:rPr>
      </w:pPr>
    </w:p>
    <w:p w14:paraId="36B4D35A">
      <w:pPr>
        <w:spacing w:before="120" w:after="50"/>
        <w:rPr>
          <w:rFonts w:hint="eastAsia" w:ascii="宋体" w:hAnsi="宋体"/>
          <w:bCs/>
          <w:color w:val="auto"/>
          <w:sz w:val="24"/>
          <w:szCs w:val="20"/>
          <w:highlight w:val="none"/>
        </w:rPr>
      </w:pPr>
    </w:p>
    <w:p w14:paraId="521D0626">
      <w:pPr>
        <w:spacing w:before="120" w:after="50"/>
        <w:rPr>
          <w:rFonts w:hint="eastAsia" w:ascii="宋体" w:hAnsi="宋体"/>
          <w:bCs/>
          <w:color w:val="auto"/>
          <w:sz w:val="24"/>
          <w:szCs w:val="20"/>
          <w:highlight w:val="none"/>
        </w:rPr>
      </w:pPr>
    </w:p>
    <w:p w14:paraId="3E81D392">
      <w:pPr>
        <w:spacing w:before="120" w:after="50"/>
        <w:rPr>
          <w:rFonts w:hint="eastAsia" w:ascii="宋体" w:hAnsi="宋体"/>
          <w:bCs/>
          <w:color w:val="auto"/>
          <w:sz w:val="24"/>
          <w:szCs w:val="20"/>
          <w:highlight w:val="none"/>
        </w:rPr>
      </w:pPr>
    </w:p>
    <w:p w14:paraId="159E53DF">
      <w:pPr>
        <w:spacing w:before="120" w:after="50"/>
        <w:rPr>
          <w:rFonts w:hint="eastAsia" w:ascii="宋体" w:hAnsi="宋体"/>
          <w:bCs/>
          <w:color w:val="auto"/>
          <w:sz w:val="24"/>
          <w:szCs w:val="20"/>
          <w:highlight w:val="none"/>
        </w:rPr>
      </w:pPr>
    </w:p>
    <w:p w14:paraId="76043E97">
      <w:pPr>
        <w:spacing w:before="12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1BE229FC">
      <w:pPr>
        <w:spacing w:before="120" w:after="50"/>
        <w:ind w:firstLine="720" w:firstLineChars="225"/>
        <w:rPr>
          <w:rFonts w:hint="eastAsia" w:ascii="宋体" w:hAnsi="宋体" w:cs="仿宋_GB2312"/>
          <w:bCs/>
          <w:color w:val="auto"/>
          <w:sz w:val="32"/>
          <w:szCs w:val="32"/>
          <w:highlight w:val="none"/>
        </w:rPr>
      </w:pPr>
    </w:p>
    <w:p w14:paraId="4E71573A">
      <w:pPr>
        <w:spacing w:before="12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D2C2C20">
      <w:pPr>
        <w:spacing w:before="12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52A5C295">
      <w:pPr>
        <w:spacing w:before="12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3C26AAD1">
      <w:pPr>
        <w:spacing w:before="120" w:after="50"/>
        <w:ind w:firstLine="720" w:firstLineChars="225"/>
        <w:rPr>
          <w:rFonts w:hint="eastAsia" w:ascii="宋体" w:hAnsi="宋体" w:cs="仿宋_GB2312"/>
          <w:bCs/>
          <w:color w:val="auto"/>
          <w:sz w:val="32"/>
          <w:szCs w:val="32"/>
          <w:highlight w:val="none"/>
        </w:rPr>
      </w:pPr>
    </w:p>
    <w:p w14:paraId="3273E1DA">
      <w:pPr>
        <w:pStyle w:val="7"/>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22AC3E71">
      <w:pPr>
        <w:spacing w:before="120" w:after="50"/>
        <w:ind w:firstLine="640" w:firstLineChars="200"/>
        <w:rPr>
          <w:rFonts w:hint="eastAsia" w:ascii="宋体" w:hAnsi="宋体" w:cs="仿宋_GB2312"/>
          <w:bCs/>
          <w:color w:val="auto"/>
          <w:sz w:val="32"/>
          <w:szCs w:val="32"/>
          <w:highlight w:val="none"/>
        </w:rPr>
      </w:pPr>
    </w:p>
    <w:p w14:paraId="44E42B26">
      <w:pPr>
        <w:pStyle w:val="7"/>
        <w:spacing w:before="50" w:after="50"/>
        <w:ind w:firstLine="720" w:firstLineChars="225"/>
        <w:rPr>
          <w:rFonts w:hint="eastAsia" w:ascii="宋体" w:hAnsi="宋体" w:cs="仿宋_GB2312"/>
          <w:bCs/>
          <w:color w:val="auto"/>
          <w:sz w:val="32"/>
          <w:szCs w:val="32"/>
          <w:highlight w:val="none"/>
        </w:rPr>
      </w:pPr>
    </w:p>
    <w:p w14:paraId="00583031">
      <w:pPr>
        <w:pStyle w:val="7"/>
        <w:spacing w:before="50" w:after="50"/>
        <w:ind w:firstLine="720" w:firstLineChars="225"/>
        <w:rPr>
          <w:rFonts w:hint="eastAsia" w:ascii="宋体" w:hAnsi="宋体" w:cs="仿宋_GB2312"/>
          <w:bCs/>
          <w:color w:val="auto"/>
          <w:sz w:val="32"/>
          <w:szCs w:val="32"/>
          <w:highlight w:val="none"/>
        </w:rPr>
      </w:pPr>
    </w:p>
    <w:p w14:paraId="523D840B">
      <w:pPr>
        <w:pStyle w:val="7"/>
        <w:spacing w:before="50" w:after="50"/>
        <w:ind w:firstLine="1280" w:firstLineChars="400"/>
        <w:rPr>
          <w:rFonts w:hint="eastAsia" w:ascii="宋体" w:hAnsi="宋体" w:cs="仿宋_GB2312"/>
          <w:bCs/>
          <w:color w:val="auto"/>
          <w:sz w:val="32"/>
          <w:szCs w:val="32"/>
          <w:highlight w:val="none"/>
        </w:rPr>
      </w:pPr>
    </w:p>
    <w:p w14:paraId="1CFF7556">
      <w:pPr>
        <w:spacing w:before="12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0F453638">
      <w:pPr>
        <w:spacing w:before="120" w:after="50" w:line="360" w:lineRule="auto"/>
        <w:ind w:left="142"/>
        <w:jc w:val="left"/>
        <w:rPr>
          <w:rFonts w:hint="eastAsia"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6D3DAAE1">
      <w:pPr>
        <w:spacing w:before="120" w:after="50" w:line="360" w:lineRule="auto"/>
        <w:ind w:firstLine="645"/>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71D15DD7">
      <w:pPr>
        <w:spacing w:before="120" w:after="50"/>
        <w:rPr>
          <w:rFonts w:hint="eastAsia" w:ascii="宋体" w:hAnsi="宋体"/>
          <w:color w:val="auto"/>
          <w:sz w:val="24"/>
          <w:szCs w:val="20"/>
          <w:highlight w:val="none"/>
        </w:rPr>
      </w:pPr>
      <w:r>
        <w:rPr>
          <w:rFonts w:ascii="宋体" w:hAnsi="宋体"/>
          <w:color w:val="auto"/>
          <w:sz w:val="24"/>
          <w:szCs w:val="20"/>
          <w:highlight w:val="none"/>
        </w:rPr>
        <w:t xml:space="preserve"> </w:t>
      </w:r>
    </w:p>
    <w:p w14:paraId="0809F4B9">
      <w:pPr>
        <w:spacing w:line="300" w:lineRule="auto"/>
        <w:rPr>
          <w:rFonts w:hint="eastAsia" w:ascii="宋体" w:hAnsi="宋体"/>
          <w:color w:val="auto"/>
          <w:szCs w:val="21"/>
          <w:highlight w:val="none"/>
        </w:rPr>
      </w:pPr>
    </w:p>
    <w:p w14:paraId="00FE1B2D">
      <w:pPr>
        <w:spacing w:line="300" w:lineRule="auto"/>
        <w:rPr>
          <w:rFonts w:hint="eastAsia" w:ascii="宋体" w:hAnsi="宋体"/>
          <w:color w:val="auto"/>
          <w:szCs w:val="21"/>
          <w:highlight w:val="none"/>
        </w:rPr>
      </w:pPr>
    </w:p>
    <w:p w14:paraId="2F654924">
      <w:pPr>
        <w:spacing w:line="300" w:lineRule="auto"/>
        <w:rPr>
          <w:rFonts w:hint="eastAsia" w:ascii="宋体" w:hAnsi="宋体"/>
          <w:color w:val="auto"/>
          <w:szCs w:val="21"/>
          <w:highlight w:val="none"/>
        </w:rPr>
      </w:pPr>
    </w:p>
    <w:p w14:paraId="5BB3C1F8">
      <w:pPr>
        <w:spacing w:line="300" w:lineRule="auto"/>
        <w:rPr>
          <w:rFonts w:hint="eastAsia" w:ascii="宋体" w:hAnsi="宋体"/>
          <w:color w:val="auto"/>
          <w:szCs w:val="21"/>
          <w:highlight w:val="none"/>
        </w:rPr>
      </w:pPr>
    </w:p>
    <w:p w14:paraId="1A252EE9">
      <w:pPr>
        <w:spacing w:line="300" w:lineRule="auto"/>
        <w:rPr>
          <w:rFonts w:hint="eastAsia" w:ascii="宋体" w:hAnsi="宋体"/>
          <w:color w:val="auto"/>
          <w:szCs w:val="21"/>
          <w:highlight w:val="none"/>
        </w:rPr>
      </w:pPr>
    </w:p>
    <w:p w14:paraId="1F855A57">
      <w:pPr>
        <w:spacing w:line="300" w:lineRule="auto"/>
        <w:rPr>
          <w:rFonts w:hint="eastAsia" w:ascii="宋体" w:hAnsi="宋体"/>
          <w:color w:val="auto"/>
          <w:szCs w:val="21"/>
          <w:highlight w:val="none"/>
        </w:rPr>
      </w:pPr>
    </w:p>
    <w:p w14:paraId="59E79033">
      <w:pPr>
        <w:spacing w:line="300" w:lineRule="auto"/>
        <w:rPr>
          <w:rFonts w:hint="eastAsia" w:ascii="宋体" w:hAnsi="宋体"/>
          <w:color w:val="auto"/>
          <w:szCs w:val="21"/>
          <w:highlight w:val="none"/>
        </w:rPr>
      </w:pPr>
    </w:p>
    <w:p w14:paraId="2393D124">
      <w:pPr>
        <w:spacing w:line="300" w:lineRule="auto"/>
        <w:rPr>
          <w:rFonts w:hint="eastAsia" w:ascii="宋体" w:hAnsi="宋体"/>
          <w:color w:val="auto"/>
          <w:szCs w:val="21"/>
          <w:highlight w:val="none"/>
        </w:rPr>
      </w:pPr>
    </w:p>
    <w:p w14:paraId="78CB1908">
      <w:pPr>
        <w:spacing w:line="300" w:lineRule="auto"/>
        <w:rPr>
          <w:rFonts w:hint="eastAsia" w:ascii="宋体" w:hAnsi="宋体"/>
          <w:color w:val="auto"/>
          <w:szCs w:val="21"/>
          <w:highlight w:val="none"/>
        </w:rPr>
      </w:pPr>
    </w:p>
    <w:p w14:paraId="228C48A3">
      <w:pPr>
        <w:spacing w:line="300" w:lineRule="auto"/>
        <w:rPr>
          <w:rFonts w:hint="eastAsia" w:ascii="宋体" w:hAnsi="宋体"/>
          <w:color w:val="auto"/>
          <w:szCs w:val="21"/>
          <w:highlight w:val="none"/>
        </w:rPr>
      </w:pPr>
    </w:p>
    <w:p w14:paraId="7ACB4B16">
      <w:pPr>
        <w:spacing w:line="300" w:lineRule="auto"/>
        <w:rPr>
          <w:rFonts w:hint="eastAsia" w:ascii="宋体" w:hAnsi="宋体"/>
          <w:color w:val="auto"/>
          <w:szCs w:val="21"/>
          <w:highlight w:val="none"/>
        </w:rPr>
      </w:pPr>
    </w:p>
    <w:p w14:paraId="640C7BD5">
      <w:pPr>
        <w:spacing w:line="300" w:lineRule="auto"/>
        <w:rPr>
          <w:rFonts w:hint="eastAsia" w:ascii="宋体" w:hAnsi="宋体"/>
          <w:color w:val="auto"/>
          <w:szCs w:val="21"/>
          <w:highlight w:val="none"/>
        </w:rPr>
      </w:pPr>
    </w:p>
    <w:p w14:paraId="4DF7897F">
      <w:pPr>
        <w:spacing w:line="300" w:lineRule="auto"/>
        <w:rPr>
          <w:rFonts w:hint="eastAsia" w:ascii="宋体" w:hAnsi="宋体"/>
          <w:color w:val="auto"/>
          <w:szCs w:val="21"/>
          <w:highlight w:val="none"/>
        </w:rPr>
      </w:pPr>
    </w:p>
    <w:p w14:paraId="2C62B54A">
      <w:pPr>
        <w:spacing w:line="300" w:lineRule="auto"/>
        <w:rPr>
          <w:rFonts w:hint="eastAsia" w:ascii="宋体" w:hAnsi="宋体"/>
          <w:color w:val="auto"/>
          <w:szCs w:val="21"/>
          <w:highlight w:val="none"/>
        </w:rPr>
      </w:pPr>
    </w:p>
    <w:p w14:paraId="61D19DCA">
      <w:pPr>
        <w:spacing w:line="300" w:lineRule="auto"/>
        <w:rPr>
          <w:rFonts w:hint="eastAsia" w:ascii="宋体" w:hAnsi="宋体"/>
          <w:color w:val="auto"/>
          <w:szCs w:val="21"/>
          <w:highlight w:val="none"/>
        </w:rPr>
      </w:pPr>
    </w:p>
    <w:p w14:paraId="419F3A48">
      <w:pPr>
        <w:spacing w:line="320" w:lineRule="exact"/>
        <w:jc w:val="left"/>
        <w:rPr>
          <w:rFonts w:hint="eastAsia" w:ascii="宋体" w:hAnsi="宋体"/>
          <w:color w:val="auto"/>
          <w:szCs w:val="21"/>
          <w:highlight w:val="none"/>
        </w:rPr>
      </w:pPr>
      <w:r>
        <w:rPr>
          <w:rFonts w:ascii="宋体" w:hAnsi="宋体"/>
          <w:color w:val="auto"/>
          <w:szCs w:val="21"/>
          <w:highlight w:val="none"/>
        </w:rPr>
        <w:br w:type="page"/>
      </w:r>
      <w:r>
        <w:rPr>
          <w:rFonts w:hint="eastAsia" w:ascii="宋体" w:hAnsi="宋体"/>
          <w:color w:val="auto"/>
          <w:szCs w:val="21"/>
          <w:highlight w:val="none"/>
        </w:rPr>
        <w:t xml:space="preserve"> </w:t>
      </w:r>
    </w:p>
    <w:p w14:paraId="148BA537">
      <w:pPr>
        <w:spacing w:before="120" w:after="50"/>
        <w:jc w:val="left"/>
        <w:rPr>
          <w:rFonts w:hint="eastAsia" w:ascii="宋体" w:hAnsi="宋体"/>
          <w:b/>
          <w:color w:val="auto"/>
          <w:sz w:val="24"/>
          <w:highlight w:val="none"/>
        </w:rPr>
      </w:pPr>
      <w:r>
        <w:rPr>
          <w:rFonts w:hint="eastAsia" w:ascii="宋体" w:hAnsi="宋体"/>
          <w:b/>
          <w:color w:val="auto"/>
          <w:sz w:val="24"/>
          <w:highlight w:val="none"/>
        </w:rPr>
        <w:t>3.</w:t>
      </w:r>
      <w:r>
        <w:rPr>
          <w:rFonts w:hint="eastAsia" w:ascii="宋体" w:hAnsi="宋体"/>
          <w:b/>
          <w:color w:val="auto"/>
          <w:sz w:val="28"/>
          <w:szCs w:val="28"/>
          <w:highlight w:val="none"/>
        </w:rPr>
        <w:t>供应商直接控股股东信息表</w:t>
      </w:r>
    </w:p>
    <w:p w14:paraId="4C4DE647">
      <w:pPr>
        <w:spacing w:before="50" w:after="120"/>
        <w:jc w:val="center"/>
        <w:rPr>
          <w:rFonts w:hint="eastAsia" w:ascii="宋体" w:hAnsi="宋体"/>
          <w:b/>
          <w:color w:val="auto"/>
          <w:sz w:val="28"/>
          <w:szCs w:val="28"/>
          <w:highlight w:val="none"/>
        </w:rPr>
      </w:pPr>
    </w:p>
    <w:p w14:paraId="63880D94">
      <w:pPr>
        <w:spacing w:before="50" w:after="120"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w:t>
      </w:r>
    </w:p>
    <w:tbl>
      <w:tblPr>
        <w:tblStyle w:val="24"/>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11C8EA41">
        <w:tblPrEx>
          <w:shd w:val="clear" w:color="auto" w:fill="FBFBFB"/>
          <w:tblCellMar>
            <w:top w:w="0" w:type="dxa"/>
            <w:left w:w="0" w:type="dxa"/>
            <w:bottom w:w="0" w:type="dxa"/>
            <w:right w:w="0" w:type="dxa"/>
          </w:tblCellMar>
        </w:tblPrEx>
        <w:trPr>
          <w:tblHeader/>
        </w:trPr>
        <w:tc>
          <w:tcPr>
            <w:tcW w:w="828"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757DD428">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77410A39">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15322B1D">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722"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40ACBB7F">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418"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3DA1C74F">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63CF7722">
        <w:tblPrEx>
          <w:tblCellMar>
            <w:top w:w="0" w:type="dxa"/>
            <w:left w:w="0" w:type="dxa"/>
            <w:bottom w:w="0" w:type="dxa"/>
            <w:right w:w="0" w:type="dxa"/>
          </w:tblCellMar>
        </w:tblPrEx>
        <w:tc>
          <w:tcPr>
            <w:tcW w:w="828"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6C34D744">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42333654">
            <w:pPr>
              <w:spacing w:line="360" w:lineRule="auto"/>
              <w:jc w:val="center"/>
              <w:rPr>
                <w:rFonts w:hint="eastAsia" w:ascii="宋体" w:hAnsi="宋体" w:cs="宋体"/>
                <w:color w:val="auto"/>
                <w:kern w:val="0"/>
                <w:sz w:val="24"/>
                <w:highlight w:val="none"/>
              </w:rPr>
            </w:pPr>
          </w:p>
        </w:tc>
        <w:tc>
          <w:tcPr>
            <w:tcW w:w="123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41B81134">
            <w:pPr>
              <w:spacing w:line="360" w:lineRule="auto"/>
              <w:jc w:val="center"/>
              <w:rPr>
                <w:rFonts w:hint="eastAsia" w:ascii="宋体" w:hAnsi="宋体" w:cs="宋体"/>
                <w:color w:val="auto"/>
                <w:kern w:val="0"/>
                <w:sz w:val="24"/>
                <w:highlight w:val="none"/>
              </w:rPr>
            </w:pPr>
          </w:p>
        </w:tc>
        <w:tc>
          <w:tcPr>
            <w:tcW w:w="3722"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4D78C5D1">
            <w:pPr>
              <w:spacing w:line="360" w:lineRule="auto"/>
              <w:jc w:val="center"/>
              <w:rPr>
                <w:rFonts w:hint="eastAsia" w:ascii="宋体" w:hAnsi="宋体" w:cs="宋体"/>
                <w:color w:val="auto"/>
                <w:kern w:val="0"/>
                <w:sz w:val="24"/>
                <w:highlight w:val="none"/>
              </w:rPr>
            </w:pPr>
          </w:p>
        </w:tc>
        <w:tc>
          <w:tcPr>
            <w:tcW w:w="1418"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2D49B92B">
            <w:pPr>
              <w:spacing w:line="360" w:lineRule="auto"/>
              <w:jc w:val="center"/>
              <w:rPr>
                <w:rFonts w:hint="eastAsia" w:ascii="宋体" w:hAnsi="宋体" w:cs="宋体"/>
                <w:color w:val="auto"/>
                <w:kern w:val="0"/>
                <w:sz w:val="24"/>
                <w:highlight w:val="none"/>
              </w:rPr>
            </w:pPr>
          </w:p>
        </w:tc>
      </w:tr>
      <w:tr w14:paraId="291A440C">
        <w:tblPrEx>
          <w:shd w:val="clear" w:color="auto" w:fill="FBFBFB"/>
          <w:tblCellMar>
            <w:top w:w="0" w:type="dxa"/>
            <w:left w:w="0" w:type="dxa"/>
            <w:bottom w:w="0" w:type="dxa"/>
            <w:right w:w="0" w:type="dxa"/>
          </w:tblCellMar>
        </w:tblPrEx>
        <w:tc>
          <w:tcPr>
            <w:tcW w:w="828"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521E9C03">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7B5401B2">
            <w:pPr>
              <w:spacing w:line="360" w:lineRule="auto"/>
              <w:jc w:val="center"/>
              <w:rPr>
                <w:rFonts w:hint="eastAsia" w:ascii="宋体" w:hAnsi="宋体" w:cs="宋体"/>
                <w:color w:val="auto"/>
                <w:kern w:val="0"/>
                <w:sz w:val="24"/>
                <w:highlight w:val="none"/>
              </w:rPr>
            </w:pPr>
          </w:p>
        </w:tc>
        <w:tc>
          <w:tcPr>
            <w:tcW w:w="123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60D1F363">
            <w:pPr>
              <w:spacing w:line="360" w:lineRule="auto"/>
              <w:jc w:val="center"/>
              <w:rPr>
                <w:rFonts w:hint="eastAsia" w:ascii="宋体" w:hAnsi="宋体" w:cs="宋体"/>
                <w:color w:val="auto"/>
                <w:kern w:val="0"/>
                <w:sz w:val="24"/>
                <w:highlight w:val="none"/>
              </w:rPr>
            </w:pPr>
          </w:p>
        </w:tc>
        <w:tc>
          <w:tcPr>
            <w:tcW w:w="3722"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71730231">
            <w:pPr>
              <w:spacing w:line="360" w:lineRule="auto"/>
              <w:jc w:val="center"/>
              <w:rPr>
                <w:rFonts w:hint="eastAsia" w:ascii="宋体" w:hAnsi="宋体" w:cs="宋体"/>
                <w:color w:val="auto"/>
                <w:kern w:val="0"/>
                <w:sz w:val="24"/>
                <w:highlight w:val="none"/>
              </w:rPr>
            </w:pPr>
          </w:p>
        </w:tc>
        <w:tc>
          <w:tcPr>
            <w:tcW w:w="1418"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6427FAD9">
            <w:pPr>
              <w:spacing w:line="360" w:lineRule="auto"/>
              <w:jc w:val="center"/>
              <w:rPr>
                <w:rFonts w:hint="eastAsia" w:ascii="宋体" w:hAnsi="宋体" w:cs="宋体"/>
                <w:color w:val="auto"/>
                <w:kern w:val="0"/>
                <w:sz w:val="24"/>
                <w:highlight w:val="none"/>
              </w:rPr>
            </w:pPr>
          </w:p>
        </w:tc>
      </w:tr>
      <w:tr w14:paraId="6FB13B07">
        <w:tblPrEx>
          <w:tblCellMar>
            <w:top w:w="0" w:type="dxa"/>
            <w:left w:w="0" w:type="dxa"/>
            <w:bottom w:w="0" w:type="dxa"/>
            <w:right w:w="0" w:type="dxa"/>
          </w:tblCellMar>
        </w:tblPrEx>
        <w:tc>
          <w:tcPr>
            <w:tcW w:w="828"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675C5C2F">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5D4962E5">
            <w:pPr>
              <w:spacing w:line="360" w:lineRule="auto"/>
              <w:jc w:val="center"/>
              <w:rPr>
                <w:rFonts w:hint="eastAsia" w:ascii="宋体" w:hAnsi="宋体" w:cs="宋体"/>
                <w:color w:val="auto"/>
                <w:kern w:val="0"/>
                <w:sz w:val="24"/>
                <w:highlight w:val="none"/>
              </w:rPr>
            </w:pPr>
          </w:p>
        </w:tc>
        <w:tc>
          <w:tcPr>
            <w:tcW w:w="123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6363D3A4">
            <w:pPr>
              <w:spacing w:line="360" w:lineRule="auto"/>
              <w:jc w:val="center"/>
              <w:rPr>
                <w:rFonts w:hint="eastAsia" w:ascii="宋体" w:hAnsi="宋体" w:cs="宋体"/>
                <w:color w:val="auto"/>
                <w:kern w:val="0"/>
                <w:sz w:val="24"/>
                <w:highlight w:val="none"/>
              </w:rPr>
            </w:pPr>
          </w:p>
        </w:tc>
        <w:tc>
          <w:tcPr>
            <w:tcW w:w="3722"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07BB1C5D">
            <w:pPr>
              <w:spacing w:line="360" w:lineRule="auto"/>
              <w:jc w:val="center"/>
              <w:rPr>
                <w:rFonts w:hint="eastAsia" w:ascii="宋体" w:hAnsi="宋体" w:cs="宋体"/>
                <w:color w:val="auto"/>
                <w:kern w:val="0"/>
                <w:sz w:val="24"/>
                <w:highlight w:val="none"/>
              </w:rPr>
            </w:pPr>
          </w:p>
        </w:tc>
        <w:tc>
          <w:tcPr>
            <w:tcW w:w="1418"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303BD0D6">
            <w:pPr>
              <w:spacing w:line="360" w:lineRule="auto"/>
              <w:jc w:val="center"/>
              <w:rPr>
                <w:rFonts w:hint="eastAsia" w:ascii="宋体" w:hAnsi="宋体" w:cs="宋体"/>
                <w:color w:val="auto"/>
                <w:kern w:val="0"/>
                <w:sz w:val="24"/>
                <w:highlight w:val="none"/>
              </w:rPr>
            </w:pPr>
          </w:p>
        </w:tc>
      </w:tr>
      <w:tr w14:paraId="7D325DFF">
        <w:tblPrEx>
          <w:tblCellMar>
            <w:top w:w="0" w:type="dxa"/>
            <w:left w:w="0" w:type="dxa"/>
            <w:bottom w:w="0" w:type="dxa"/>
            <w:right w:w="0" w:type="dxa"/>
          </w:tblCellMar>
        </w:tblPrEx>
        <w:tc>
          <w:tcPr>
            <w:tcW w:w="828"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5A926F2F">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3EC0342B">
            <w:pPr>
              <w:spacing w:line="360" w:lineRule="auto"/>
              <w:jc w:val="center"/>
              <w:rPr>
                <w:rFonts w:hint="eastAsia" w:ascii="宋体" w:hAnsi="宋体" w:cs="宋体"/>
                <w:color w:val="auto"/>
                <w:kern w:val="0"/>
                <w:sz w:val="24"/>
                <w:highlight w:val="none"/>
              </w:rPr>
            </w:pPr>
          </w:p>
        </w:tc>
        <w:tc>
          <w:tcPr>
            <w:tcW w:w="123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6E9E3B25">
            <w:pPr>
              <w:spacing w:line="360" w:lineRule="auto"/>
              <w:jc w:val="center"/>
              <w:rPr>
                <w:rFonts w:hint="eastAsia" w:ascii="宋体" w:hAnsi="宋体" w:cs="宋体"/>
                <w:color w:val="auto"/>
                <w:kern w:val="0"/>
                <w:sz w:val="24"/>
                <w:highlight w:val="none"/>
              </w:rPr>
            </w:pPr>
          </w:p>
        </w:tc>
        <w:tc>
          <w:tcPr>
            <w:tcW w:w="3722"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474FFF5D">
            <w:pPr>
              <w:spacing w:line="360" w:lineRule="auto"/>
              <w:jc w:val="center"/>
              <w:rPr>
                <w:rFonts w:hint="eastAsia" w:ascii="宋体" w:hAnsi="宋体" w:cs="宋体"/>
                <w:color w:val="auto"/>
                <w:kern w:val="0"/>
                <w:sz w:val="24"/>
                <w:highlight w:val="none"/>
              </w:rPr>
            </w:pPr>
          </w:p>
        </w:tc>
        <w:tc>
          <w:tcPr>
            <w:tcW w:w="1418"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6304759D">
            <w:pPr>
              <w:spacing w:line="360" w:lineRule="auto"/>
              <w:jc w:val="center"/>
              <w:rPr>
                <w:rFonts w:hint="eastAsia" w:ascii="宋体" w:hAnsi="宋体" w:cs="宋体"/>
                <w:color w:val="auto"/>
                <w:kern w:val="0"/>
                <w:sz w:val="24"/>
                <w:highlight w:val="none"/>
              </w:rPr>
            </w:pPr>
          </w:p>
        </w:tc>
      </w:tr>
    </w:tbl>
    <w:p w14:paraId="34E19961">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4DC5F30E">
      <w:pPr>
        <w:spacing w:line="360" w:lineRule="auto"/>
        <w:jc w:val="left"/>
        <w:rPr>
          <w:rFonts w:hint="eastAsia"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E0A519A">
      <w:pPr>
        <w:spacing w:line="360" w:lineRule="auto"/>
        <w:jc w:val="left"/>
        <w:rPr>
          <w:rFonts w:hint="eastAsia"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2CE961E7">
      <w:pPr>
        <w:spacing w:line="360" w:lineRule="auto"/>
        <w:jc w:val="left"/>
        <w:rPr>
          <w:rFonts w:hint="eastAsia" w:ascii="宋体" w:hAnsi="宋体"/>
          <w:color w:val="auto"/>
          <w:sz w:val="24"/>
          <w:highlight w:val="none"/>
        </w:rPr>
      </w:pPr>
      <w:r>
        <w:rPr>
          <w:rFonts w:hint="eastAsia" w:ascii="宋体" w:hAnsi="宋体"/>
          <w:color w:val="auto"/>
          <w:sz w:val="24"/>
          <w:highlight w:val="none"/>
        </w:rPr>
        <w:t>3.供应商不存在直接控股股东的，则在“</w:t>
      </w:r>
      <w:r>
        <w:rPr>
          <w:rFonts w:hint="eastAsia" w:ascii="宋体" w:hAnsi="宋体" w:cs="宋体"/>
          <w:b/>
          <w:bCs/>
          <w:color w:val="auto"/>
          <w:kern w:val="0"/>
          <w:sz w:val="24"/>
          <w:highlight w:val="none"/>
        </w:rPr>
        <w:t>直接控股股东名称</w:t>
      </w:r>
      <w:r>
        <w:rPr>
          <w:rFonts w:hint="eastAsia" w:ascii="宋体" w:hAnsi="宋体"/>
          <w:color w:val="auto"/>
          <w:sz w:val="24"/>
          <w:highlight w:val="none"/>
        </w:rPr>
        <w:t>”中填“无”。</w:t>
      </w:r>
    </w:p>
    <w:p w14:paraId="105DB669">
      <w:pPr>
        <w:spacing w:line="360" w:lineRule="auto"/>
        <w:jc w:val="left"/>
        <w:rPr>
          <w:rFonts w:hint="eastAsia" w:ascii="宋体" w:hAnsi="宋体"/>
          <w:color w:val="auto"/>
          <w:sz w:val="24"/>
          <w:highlight w:val="none"/>
        </w:rPr>
      </w:pPr>
    </w:p>
    <w:p w14:paraId="762B854D">
      <w:pPr>
        <w:spacing w:line="360" w:lineRule="auto"/>
        <w:jc w:val="left"/>
        <w:rPr>
          <w:rFonts w:hint="eastAsia" w:ascii="宋体" w:hAnsi="宋体"/>
          <w:color w:val="auto"/>
          <w:sz w:val="24"/>
          <w:highlight w:val="none"/>
        </w:rPr>
      </w:pPr>
    </w:p>
    <w:p w14:paraId="7EA5CCC9">
      <w:pPr>
        <w:spacing w:line="360" w:lineRule="auto"/>
        <w:jc w:val="left"/>
        <w:rPr>
          <w:rFonts w:hint="eastAsia" w:ascii="宋体" w:hAnsi="宋体"/>
          <w:color w:val="auto"/>
          <w:sz w:val="24"/>
          <w:highlight w:val="none"/>
        </w:rPr>
      </w:pPr>
    </w:p>
    <w:p w14:paraId="39AE37ED">
      <w:pPr>
        <w:spacing w:line="360" w:lineRule="auto"/>
        <w:ind w:left="-2" w:leftChars="-1" w:right="-817" w:rightChars="-389"/>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14:paraId="6BA45124">
      <w:pPr>
        <w:spacing w:line="360" w:lineRule="auto"/>
        <w:ind w:left="-3" w:leftChars="-15" w:right="-817" w:rightChars="-389" w:hanging="28" w:hangingChars="12"/>
        <w:rPr>
          <w:rFonts w:hint="eastAsia" w:ascii="宋体" w:hAnsi="宋体"/>
          <w:color w:val="auto"/>
          <w:sz w:val="24"/>
          <w:highlight w:val="none"/>
        </w:rPr>
      </w:pPr>
      <w:r>
        <w:rPr>
          <w:rFonts w:hint="eastAsia" w:ascii="宋体" w:hAnsi="宋体"/>
          <w:color w:val="auto"/>
          <w:sz w:val="24"/>
          <w:highlight w:val="none"/>
        </w:rPr>
        <w:t xml:space="preserve">                                    供应商名称（电子签章）：</w:t>
      </w:r>
    </w:p>
    <w:p w14:paraId="19C9CE50">
      <w:pPr>
        <w:spacing w:line="360" w:lineRule="auto"/>
        <w:jc w:val="left"/>
        <w:rPr>
          <w:rFonts w:hint="eastAsia" w:ascii="宋体" w:hAnsi="宋体"/>
          <w:color w:val="auto"/>
          <w:szCs w:val="21"/>
          <w:highlight w:val="none"/>
        </w:rPr>
      </w:pPr>
      <w:r>
        <w:rPr>
          <w:rFonts w:hint="eastAsia" w:ascii="宋体" w:hAnsi="宋体"/>
          <w:color w:val="auto"/>
          <w:sz w:val="24"/>
          <w:highlight w:val="none"/>
        </w:rPr>
        <w:t xml:space="preserve">                                    日期：    年   月   日</w:t>
      </w:r>
    </w:p>
    <w:p w14:paraId="6DFC8CD4">
      <w:pPr>
        <w:jc w:val="center"/>
        <w:rPr>
          <w:rFonts w:hint="eastAsia" w:ascii="宋体" w:hAnsi="宋体"/>
          <w:b/>
          <w:color w:val="auto"/>
          <w:sz w:val="28"/>
          <w:szCs w:val="28"/>
          <w:highlight w:val="none"/>
        </w:rPr>
      </w:pPr>
    </w:p>
    <w:p w14:paraId="0CB3A2F2">
      <w:pPr>
        <w:spacing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br w:type="page"/>
      </w:r>
      <w:r>
        <w:rPr>
          <w:rFonts w:hint="eastAsia" w:ascii="宋体" w:hAnsi="宋体"/>
          <w:b/>
          <w:color w:val="auto"/>
          <w:sz w:val="24"/>
          <w:highlight w:val="none"/>
        </w:rPr>
        <w:t>4.</w:t>
      </w:r>
      <w:r>
        <w:rPr>
          <w:color w:val="auto"/>
          <w:highlight w:val="none"/>
        </w:rPr>
        <w:t xml:space="preserve"> </w:t>
      </w:r>
      <w:r>
        <w:rPr>
          <w:rFonts w:hint="eastAsia" w:ascii="宋体" w:hAnsi="宋体"/>
          <w:b/>
          <w:color w:val="auto"/>
          <w:sz w:val="28"/>
          <w:szCs w:val="28"/>
          <w:highlight w:val="none"/>
        </w:rPr>
        <w:t>供应商直接管理关系信息表</w:t>
      </w:r>
    </w:p>
    <w:p w14:paraId="627ED030">
      <w:pPr>
        <w:spacing w:line="360" w:lineRule="auto"/>
        <w:jc w:val="center"/>
        <w:rPr>
          <w:rFonts w:hint="eastAsia" w:ascii="宋体" w:hAnsi="宋体"/>
          <w:color w:val="auto"/>
          <w:sz w:val="32"/>
          <w:szCs w:val="32"/>
          <w:highlight w:val="none"/>
        </w:rPr>
      </w:pPr>
      <w:r>
        <w:rPr>
          <w:rFonts w:hint="eastAsia" w:ascii="宋体" w:hAnsi="宋体"/>
          <w:b/>
          <w:color w:val="auto"/>
          <w:sz w:val="32"/>
          <w:szCs w:val="32"/>
          <w:highlight w:val="none"/>
        </w:rPr>
        <w:t>供应商直接管理关系信息表</w:t>
      </w:r>
    </w:p>
    <w:tbl>
      <w:tblPr>
        <w:tblStyle w:val="24"/>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104CF38E">
        <w:tblPrEx>
          <w:shd w:val="clear" w:color="auto" w:fill="FBFBFB"/>
          <w:tblCellMar>
            <w:top w:w="0" w:type="dxa"/>
            <w:left w:w="0" w:type="dxa"/>
            <w:bottom w:w="0" w:type="dxa"/>
            <w:right w:w="0" w:type="dxa"/>
          </w:tblCellMar>
        </w:tblPrEx>
        <w:trPr>
          <w:tblHeader/>
        </w:trPr>
        <w:tc>
          <w:tcPr>
            <w:tcW w:w="1005"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3605BD12">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15332A24">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66E46F4F">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000000" w:sz="4" w:space="0"/>
              <w:left w:val="single" w:color="000000" w:sz="4" w:space="0"/>
              <w:bottom w:val="single" w:color="000000" w:sz="4" w:space="0"/>
              <w:right w:val="single" w:color="000000" w:sz="4" w:space="0"/>
            </w:tcBorders>
            <w:shd w:val="clear" w:color="auto" w:fill="EAE3D8"/>
            <w:tcMar>
              <w:top w:w="120" w:type="dxa"/>
              <w:left w:w="120" w:type="dxa"/>
              <w:bottom w:w="120" w:type="dxa"/>
              <w:right w:w="120" w:type="dxa"/>
            </w:tcMar>
            <w:vAlign w:val="center"/>
          </w:tcPr>
          <w:p w14:paraId="648F076F">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7328420F">
        <w:tblPrEx>
          <w:tblCellMar>
            <w:top w:w="0" w:type="dxa"/>
            <w:left w:w="0" w:type="dxa"/>
            <w:bottom w:w="0" w:type="dxa"/>
            <w:right w:w="0" w:type="dxa"/>
          </w:tblCellMar>
        </w:tblPrEx>
        <w:tc>
          <w:tcPr>
            <w:tcW w:w="1005"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1BFEB88B">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15FA67D8">
            <w:pPr>
              <w:spacing w:line="360" w:lineRule="auto"/>
              <w:jc w:val="center"/>
              <w:rPr>
                <w:rFonts w:hint="eastAsia" w:ascii="宋体" w:hAnsi="宋体" w:cs="宋体"/>
                <w:color w:val="auto"/>
                <w:kern w:val="0"/>
                <w:sz w:val="24"/>
                <w:highlight w:val="none"/>
              </w:rPr>
            </w:pPr>
          </w:p>
        </w:tc>
        <w:tc>
          <w:tcPr>
            <w:tcW w:w="3924"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426E778D">
            <w:pPr>
              <w:spacing w:line="360" w:lineRule="auto"/>
              <w:jc w:val="center"/>
              <w:rPr>
                <w:rFonts w:hint="eastAsia" w:ascii="宋体" w:hAnsi="宋体" w:cs="宋体"/>
                <w:color w:val="auto"/>
                <w:kern w:val="0"/>
                <w:sz w:val="24"/>
                <w:highlight w:val="none"/>
              </w:rPr>
            </w:pPr>
          </w:p>
        </w:tc>
        <w:tc>
          <w:tcPr>
            <w:tcW w:w="2064"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22ED2AE6">
            <w:pPr>
              <w:spacing w:line="360" w:lineRule="auto"/>
              <w:jc w:val="center"/>
              <w:rPr>
                <w:rFonts w:hint="eastAsia" w:ascii="宋体" w:hAnsi="宋体" w:cs="宋体"/>
                <w:color w:val="auto"/>
                <w:kern w:val="0"/>
                <w:sz w:val="24"/>
                <w:highlight w:val="none"/>
              </w:rPr>
            </w:pPr>
          </w:p>
        </w:tc>
      </w:tr>
      <w:tr w14:paraId="6A7B317B">
        <w:tblPrEx>
          <w:tblCellMar>
            <w:top w:w="0" w:type="dxa"/>
            <w:left w:w="0" w:type="dxa"/>
            <w:bottom w:w="0" w:type="dxa"/>
            <w:right w:w="0" w:type="dxa"/>
          </w:tblCellMar>
        </w:tblPrEx>
        <w:tc>
          <w:tcPr>
            <w:tcW w:w="1005"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59F22DBA">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3AD11BB3">
            <w:pPr>
              <w:spacing w:line="360" w:lineRule="auto"/>
              <w:jc w:val="center"/>
              <w:rPr>
                <w:rFonts w:hint="eastAsia" w:ascii="宋体" w:hAnsi="宋体" w:cs="宋体"/>
                <w:color w:val="auto"/>
                <w:kern w:val="0"/>
                <w:sz w:val="24"/>
                <w:highlight w:val="none"/>
              </w:rPr>
            </w:pPr>
          </w:p>
        </w:tc>
        <w:tc>
          <w:tcPr>
            <w:tcW w:w="3924"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032087C9">
            <w:pPr>
              <w:spacing w:line="360" w:lineRule="auto"/>
              <w:jc w:val="center"/>
              <w:rPr>
                <w:rFonts w:hint="eastAsia" w:ascii="宋体" w:hAnsi="宋体" w:cs="宋体"/>
                <w:color w:val="auto"/>
                <w:kern w:val="0"/>
                <w:sz w:val="24"/>
                <w:highlight w:val="none"/>
              </w:rPr>
            </w:pPr>
          </w:p>
        </w:tc>
        <w:tc>
          <w:tcPr>
            <w:tcW w:w="2064"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1205D0C3">
            <w:pPr>
              <w:spacing w:line="360" w:lineRule="auto"/>
              <w:jc w:val="center"/>
              <w:rPr>
                <w:rFonts w:hint="eastAsia" w:ascii="宋体" w:hAnsi="宋体" w:cs="宋体"/>
                <w:color w:val="auto"/>
                <w:kern w:val="0"/>
                <w:sz w:val="24"/>
                <w:highlight w:val="none"/>
              </w:rPr>
            </w:pPr>
          </w:p>
        </w:tc>
      </w:tr>
      <w:tr w14:paraId="13263B97">
        <w:tblPrEx>
          <w:tblCellMar>
            <w:top w:w="0" w:type="dxa"/>
            <w:left w:w="0" w:type="dxa"/>
            <w:bottom w:w="0" w:type="dxa"/>
            <w:right w:w="0" w:type="dxa"/>
          </w:tblCellMar>
        </w:tblPrEx>
        <w:tc>
          <w:tcPr>
            <w:tcW w:w="1005"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52F4FE2E">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1BC7FCE9">
            <w:pPr>
              <w:spacing w:line="360" w:lineRule="auto"/>
              <w:jc w:val="center"/>
              <w:rPr>
                <w:rFonts w:hint="eastAsia" w:ascii="宋体" w:hAnsi="宋体" w:cs="宋体"/>
                <w:color w:val="auto"/>
                <w:kern w:val="0"/>
                <w:sz w:val="24"/>
                <w:highlight w:val="none"/>
              </w:rPr>
            </w:pPr>
          </w:p>
        </w:tc>
        <w:tc>
          <w:tcPr>
            <w:tcW w:w="3924"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623E3415">
            <w:pPr>
              <w:spacing w:line="360" w:lineRule="auto"/>
              <w:jc w:val="center"/>
              <w:rPr>
                <w:rFonts w:hint="eastAsia" w:ascii="宋体" w:hAnsi="宋体" w:cs="宋体"/>
                <w:color w:val="auto"/>
                <w:kern w:val="0"/>
                <w:sz w:val="24"/>
                <w:highlight w:val="none"/>
              </w:rPr>
            </w:pPr>
          </w:p>
        </w:tc>
        <w:tc>
          <w:tcPr>
            <w:tcW w:w="2064"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076107BD">
            <w:pPr>
              <w:spacing w:line="360" w:lineRule="auto"/>
              <w:jc w:val="center"/>
              <w:rPr>
                <w:rFonts w:hint="eastAsia" w:ascii="宋体" w:hAnsi="宋体" w:cs="宋体"/>
                <w:color w:val="auto"/>
                <w:kern w:val="0"/>
                <w:sz w:val="24"/>
                <w:highlight w:val="none"/>
              </w:rPr>
            </w:pPr>
          </w:p>
        </w:tc>
      </w:tr>
      <w:tr w14:paraId="3CC8C5A8">
        <w:tblPrEx>
          <w:tblCellMar>
            <w:top w:w="0" w:type="dxa"/>
            <w:left w:w="0" w:type="dxa"/>
            <w:bottom w:w="0" w:type="dxa"/>
            <w:right w:w="0" w:type="dxa"/>
          </w:tblCellMar>
        </w:tblPrEx>
        <w:tc>
          <w:tcPr>
            <w:tcW w:w="1005"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347EF12D">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04F70F16">
            <w:pPr>
              <w:spacing w:line="360" w:lineRule="auto"/>
              <w:jc w:val="center"/>
              <w:rPr>
                <w:rFonts w:hint="eastAsia" w:ascii="宋体" w:hAnsi="宋体" w:cs="宋体"/>
                <w:color w:val="auto"/>
                <w:kern w:val="0"/>
                <w:sz w:val="24"/>
                <w:highlight w:val="none"/>
              </w:rPr>
            </w:pPr>
          </w:p>
        </w:tc>
        <w:tc>
          <w:tcPr>
            <w:tcW w:w="3924"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150A7A43">
            <w:pPr>
              <w:spacing w:line="360" w:lineRule="auto"/>
              <w:jc w:val="center"/>
              <w:rPr>
                <w:rFonts w:hint="eastAsia" w:ascii="宋体" w:hAnsi="宋体" w:cs="宋体"/>
                <w:color w:val="auto"/>
                <w:kern w:val="0"/>
                <w:sz w:val="24"/>
                <w:highlight w:val="none"/>
              </w:rPr>
            </w:pPr>
          </w:p>
        </w:tc>
        <w:tc>
          <w:tcPr>
            <w:tcW w:w="2064" w:type="dxa"/>
            <w:tcBorders>
              <w:top w:val="single" w:color="000000" w:sz="4" w:space="0"/>
              <w:left w:val="single" w:color="000000" w:sz="4" w:space="0"/>
              <w:bottom w:val="single" w:color="000000" w:sz="4" w:space="0"/>
              <w:right w:val="single" w:color="000000" w:sz="4" w:space="0"/>
            </w:tcBorders>
            <w:shd w:val="clear" w:color="auto" w:fill="F9F9F9"/>
            <w:tcMar>
              <w:top w:w="120" w:type="dxa"/>
              <w:left w:w="120" w:type="dxa"/>
              <w:bottom w:w="120" w:type="dxa"/>
              <w:right w:w="120" w:type="dxa"/>
            </w:tcMar>
            <w:vAlign w:val="center"/>
          </w:tcPr>
          <w:p w14:paraId="4E0129D1">
            <w:pPr>
              <w:spacing w:line="360" w:lineRule="auto"/>
              <w:jc w:val="center"/>
              <w:rPr>
                <w:rFonts w:hint="eastAsia" w:ascii="宋体" w:hAnsi="宋体" w:cs="宋体"/>
                <w:color w:val="auto"/>
                <w:kern w:val="0"/>
                <w:sz w:val="24"/>
                <w:highlight w:val="none"/>
              </w:rPr>
            </w:pPr>
          </w:p>
        </w:tc>
      </w:tr>
    </w:tbl>
    <w:p w14:paraId="38B7CD08">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7E41890A">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33333C5F">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4F9FC62D">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w:t>
      </w:r>
      <w:r>
        <w:rPr>
          <w:rFonts w:hint="eastAsia" w:ascii="宋体" w:hAnsi="宋体" w:cs="宋体"/>
          <w:b/>
          <w:bCs/>
          <w:color w:val="auto"/>
          <w:kern w:val="0"/>
          <w:sz w:val="24"/>
          <w:highlight w:val="none"/>
        </w:rPr>
        <w:t>直接管理关系单位名称</w:t>
      </w:r>
      <w:r>
        <w:rPr>
          <w:rFonts w:hint="eastAsia" w:ascii="宋体" w:hAnsi="宋体"/>
          <w:color w:val="auto"/>
          <w:sz w:val="24"/>
          <w:highlight w:val="none"/>
        </w:rPr>
        <w:t>”中填“无”。</w:t>
      </w:r>
    </w:p>
    <w:p w14:paraId="3F8298FE">
      <w:pPr>
        <w:spacing w:line="360" w:lineRule="auto"/>
        <w:jc w:val="left"/>
        <w:rPr>
          <w:rFonts w:hint="eastAsia" w:ascii="宋体" w:hAnsi="宋体"/>
          <w:color w:val="auto"/>
          <w:sz w:val="24"/>
          <w:highlight w:val="none"/>
        </w:rPr>
      </w:pPr>
    </w:p>
    <w:p w14:paraId="103430A7">
      <w:pPr>
        <w:spacing w:line="360" w:lineRule="auto"/>
        <w:jc w:val="left"/>
        <w:rPr>
          <w:rFonts w:hint="eastAsia" w:ascii="宋体" w:hAnsi="宋体"/>
          <w:color w:val="auto"/>
          <w:sz w:val="24"/>
          <w:highlight w:val="none"/>
        </w:rPr>
      </w:pPr>
    </w:p>
    <w:p w14:paraId="3D3B2B1E">
      <w:pPr>
        <w:spacing w:line="360" w:lineRule="auto"/>
        <w:jc w:val="left"/>
        <w:rPr>
          <w:rFonts w:hint="eastAsia" w:ascii="宋体" w:hAnsi="宋体"/>
          <w:color w:val="auto"/>
          <w:sz w:val="24"/>
          <w:highlight w:val="none"/>
        </w:rPr>
      </w:pPr>
    </w:p>
    <w:p w14:paraId="21F1FD6F">
      <w:pPr>
        <w:spacing w:line="360" w:lineRule="auto"/>
        <w:jc w:val="left"/>
        <w:rPr>
          <w:color w:val="auto"/>
          <w:sz w:val="24"/>
          <w:highlight w:val="none"/>
        </w:rPr>
      </w:pPr>
    </w:p>
    <w:p w14:paraId="5B945580">
      <w:pPr>
        <w:spacing w:line="360" w:lineRule="auto"/>
        <w:ind w:left="-2" w:leftChars="-1" w:right="-817" w:rightChars="-389"/>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14:paraId="64A108F5">
      <w:pPr>
        <w:spacing w:line="360" w:lineRule="auto"/>
        <w:ind w:left="-3" w:leftChars="-15" w:right="-817" w:rightChars="-389" w:hanging="28" w:hangingChars="12"/>
        <w:rPr>
          <w:rFonts w:hint="eastAsia" w:ascii="宋体" w:hAnsi="宋体"/>
          <w:color w:val="auto"/>
          <w:sz w:val="24"/>
          <w:highlight w:val="none"/>
        </w:rPr>
      </w:pPr>
      <w:r>
        <w:rPr>
          <w:rFonts w:hint="eastAsia" w:ascii="宋体" w:hAnsi="宋体"/>
          <w:color w:val="auto"/>
          <w:sz w:val="24"/>
          <w:highlight w:val="none"/>
        </w:rPr>
        <w:t xml:space="preserve">                                  供应商名称（电子签章）：</w:t>
      </w:r>
    </w:p>
    <w:p w14:paraId="10E189B4">
      <w:pPr>
        <w:spacing w:line="360" w:lineRule="auto"/>
        <w:ind w:right="480" w:firstLine="240" w:firstLineChars="100"/>
        <w:jc w:val="left"/>
        <w:rPr>
          <w:rFonts w:hint="eastAsia" w:ascii="宋体" w:hAnsi="宋体"/>
          <w:color w:val="auto"/>
          <w:szCs w:val="21"/>
          <w:highlight w:val="none"/>
        </w:rPr>
      </w:pPr>
      <w:r>
        <w:rPr>
          <w:rFonts w:hint="eastAsia" w:ascii="宋体" w:hAnsi="宋体"/>
          <w:color w:val="auto"/>
          <w:sz w:val="24"/>
          <w:highlight w:val="none"/>
        </w:rPr>
        <w:t xml:space="preserve">                                日期：    年   月   日</w:t>
      </w:r>
    </w:p>
    <w:p w14:paraId="376C8B0B">
      <w:pPr>
        <w:spacing w:before="120" w:after="50"/>
        <w:jc w:val="left"/>
        <w:rPr>
          <w:rFonts w:hint="eastAsia" w:ascii="宋体" w:hAnsi="宋体"/>
          <w:color w:val="auto"/>
          <w:sz w:val="24"/>
          <w:highlight w:val="none"/>
        </w:rPr>
      </w:pPr>
    </w:p>
    <w:p w14:paraId="5A1EF7DE">
      <w:pPr>
        <w:spacing w:before="50" w:after="120"/>
        <w:jc w:val="left"/>
        <w:rPr>
          <w:rFonts w:hint="eastAsia" w:ascii="宋体" w:hAnsi="宋体"/>
          <w:color w:val="auto"/>
          <w:szCs w:val="21"/>
          <w:highlight w:val="none"/>
        </w:rPr>
      </w:pPr>
    </w:p>
    <w:p w14:paraId="7117D570">
      <w:pPr>
        <w:spacing w:before="120" w:after="50"/>
        <w:jc w:val="left"/>
        <w:rPr>
          <w:rFonts w:hint="eastAsia" w:ascii="宋体" w:hAnsi="宋体"/>
          <w:b/>
          <w:color w:val="auto"/>
          <w:sz w:val="24"/>
          <w:szCs w:val="20"/>
          <w:highlight w:val="none"/>
        </w:rPr>
      </w:pPr>
    </w:p>
    <w:p w14:paraId="3A642911">
      <w:pPr>
        <w:spacing w:before="120" w:after="50"/>
        <w:ind w:left="142"/>
        <w:jc w:val="left"/>
        <w:rPr>
          <w:rFonts w:hint="eastAsia" w:ascii="宋体" w:hAnsi="宋体"/>
          <w:b/>
          <w:color w:val="auto"/>
          <w:sz w:val="24"/>
          <w:highlight w:val="none"/>
        </w:rPr>
      </w:pPr>
    </w:p>
    <w:p w14:paraId="2F8842ED">
      <w:pPr>
        <w:spacing w:before="120" w:after="50"/>
        <w:ind w:left="142"/>
        <w:jc w:val="left"/>
        <w:rPr>
          <w:rFonts w:hint="eastAsia" w:ascii="宋体" w:hAnsi="宋体"/>
          <w:b/>
          <w:color w:val="auto"/>
          <w:sz w:val="24"/>
          <w:highlight w:val="none"/>
        </w:rPr>
      </w:pPr>
    </w:p>
    <w:p w14:paraId="197C3818">
      <w:pPr>
        <w:spacing w:before="120" w:after="50"/>
        <w:ind w:left="142"/>
        <w:jc w:val="left"/>
        <w:rPr>
          <w:rFonts w:hint="eastAsia" w:ascii="宋体" w:hAnsi="宋体"/>
          <w:b/>
          <w:color w:val="auto"/>
          <w:sz w:val="24"/>
          <w:highlight w:val="none"/>
        </w:rPr>
      </w:pPr>
    </w:p>
    <w:p w14:paraId="4D80BAD3">
      <w:pPr>
        <w:spacing w:before="120" w:after="50"/>
        <w:ind w:left="142"/>
        <w:jc w:val="left"/>
        <w:rPr>
          <w:rFonts w:hint="eastAsia" w:ascii="宋体" w:hAnsi="宋体"/>
          <w:b/>
          <w:color w:val="auto"/>
          <w:sz w:val="24"/>
          <w:highlight w:val="none"/>
        </w:rPr>
      </w:pPr>
    </w:p>
    <w:p w14:paraId="5E8BFCC7">
      <w:pPr>
        <w:spacing w:before="120" w:after="50"/>
        <w:ind w:left="142"/>
        <w:jc w:val="left"/>
        <w:rPr>
          <w:rFonts w:hint="eastAsia" w:ascii="宋体" w:hAnsi="宋体"/>
          <w:b/>
          <w:color w:val="auto"/>
          <w:sz w:val="24"/>
          <w:highlight w:val="none"/>
        </w:rPr>
      </w:pPr>
    </w:p>
    <w:p w14:paraId="3B6D4D1D">
      <w:pPr>
        <w:spacing w:before="120" w:after="50"/>
        <w:ind w:left="142"/>
        <w:jc w:val="left"/>
        <w:rPr>
          <w:rFonts w:hint="eastAsia" w:ascii="宋体" w:hAnsi="宋体"/>
          <w:b/>
          <w:color w:val="auto"/>
          <w:sz w:val="24"/>
          <w:szCs w:val="20"/>
          <w:highlight w:val="none"/>
        </w:rPr>
      </w:pPr>
      <w:r>
        <w:rPr>
          <w:rFonts w:hint="eastAsia" w:ascii="宋体" w:hAnsi="宋体"/>
          <w:b/>
          <w:color w:val="auto"/>
          <w:sz w:val="24"/>
          <w:highlight w:val="none"/>
        </w:rPr>
        <w:t>5.竞标声明</w:t>
      </w:r>
    </w:p>
    <w:p w14:paraId="6B341DCF">
      <w:pPr>
        <w:spacing w:line="320" w:lineRule="exact"/>
        <w:jc w:val="center"/>
        <w:rPr>
          <w:rFonts w:hint="eastAsia" w:ascii="宋体" w:hAnsi="宋体"/>
          <w:color w:val="auto"/>
          <w:sz w:val="28"/>
          <w:szCs w:val="28"/>
          <w:highlight w:val="none"/>
        </w:rPr>
      </w:pPr>
    </w:p>
    <w:p w14:paraId="49688AF4">
      <w:pPr>
        <w:spacing w:line="32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竞标声明</w:t>
      </w:r>
    </w:p>
    <w:p w14:paraId="4AA79D1D">
      <w:pPr>
        <w:spacing w:line="320" w:lineRule="exact"/>
        <w:jc w:val="center"/>
        <w:rPr>
          <w:rFonts w:hint="eastAsia" w:ascii="宋体" w:hAnsi="宋体"/>
          <w:color w:val="auto"/>
          <w:sz w:val="24"/>
          <w:szCs w:val="20"/>
          <w:highlight w:val="none"/>
        </w:rPr>
      </w:pPr>
    </w:p>
    <w:p w14:paraId="1B433FA6">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DED7C2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AC19F0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10FE403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04F11BD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30C6265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3CB93DD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2985DBA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0F47CC1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506D59F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0E20F06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20B3AEE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2849CE0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3272A56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73407B1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0BBE37C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1B6ED03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0535CE2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C328CA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3A4ABE6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607675A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3B8CE036">
      <w:pPr>
        <w:pStyle w:val="15"/>
        <w:spacing w:line="360" w:lineRule="auto"/>
        <w:ind w:firstLine="480" w:firstLineChars="20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26824F36">
      <w:pPr>
        <w:pStyle w:val="15"/>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70258B0E">
      <w:pPr>
        <w:pStyle w:val="14"/>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14:paraId="6B547A04">
      <w:pPr>
        <w:pStyle w:val="14"/>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22D9D4E1">
      <w:pPr>
        <w:pStyle w:val="14"/>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19C88519">
      <w:pPr>
        <w:spacing w:line="360" w:lineRule="auto"/>
        <w:contextualSpacing/>
        <w:jc w:val="left"/>
        <w:rPr>
          <w:rFonts w:hint="eastAsia"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3CA6BCE4">
      <w:pPr>
        <w:spacing w:line="360" w:lineRule="auto"/>
        <w:contextualSpacing/>
        <w:jc w:val="left"/>
        <w:rPr>
          <w:rFonts w:hint="eastAsia" w:ascii="宋体" w:hAnsi="宋体" w:cs="宋体"/>
          <w:color w:val="auto"/>
          <w:szCs w:val="21"/>
          <w:highlight w:val="none"/>
        </w:rPr>
      </w:pPr>
    </w:p>
    <w:p w14:paraId="63A94221">
      <w:pPr>
        <w:spacing w:line="360" w:lineRule="auto"/>
        <w:ind w:firstLine="1575" w:firstLineChars="750"/>
        <w:contextualSpacing/>
        <w:rPr>
          <w:color w:val="auto"/>
          <w:highlight w:val="none"/>
        </w:rPr>
      </w:pPr>
      <w:r>
        <w:rPr>
          <w:rFonts w:hint="eastAsia"/>
          <w:color w:val="auto"/>
          <w:highlight w:val="none"/>
        </w:rPr>
        <w:t>法定代表人或者委托代理人（签字或者电子签名）：</w:t>
      </w:r>
      <w:r>
        <w:rPr>
          <w:rFonts w:hint="eastAsia"/>
          <w:color w:val="auto"/>
          <w:highlight w:val="none"/>
          <w:u w:val="single"/>
        </w:rPr>
        <w:t xml:space="preserve">           </w:t>
      </w:r>
      <w:r>
        <w:rPr>
          <w:rFonts w:hint="eastAsia"/>
          <w:color w:val="auto"/>
          <w:highlight w:val="none"/>
        </w:rPr>
        <w:t xml:space="preserve">                                     </w:t>
      </w:r>
    </w:p>
    <w:p w14:paraId="6F5ADAE1">
      <w:pPr>
        <w:spacing w:line="360" w:lineRule="auto"/>
        <w:ind w:firstLine="3780" w:firstLineChars="1800"/>
        <w:contextualSpacing/>
        <w:rPr>
          <w:rFonts w:hint="eastAsia" w:ascii="宋体" w:hAnsi="宋体" w:cs="宋体"/>
          <w:color w:val="auto"/>
          <w:szCs w:val="21"/>
          <w:highlight w:val="none"/>
          <w:u w:val="single"/>
        </w:rPr>
      </w:pPr>
      <w:r>
        <w:rPr>
          <w:rFonts w:hint="eastAsia"/>
          <w:color w:val="auto"/>
          <w:highlight w:val="none"/>
        </w:rPr>
        <w:t>供应商名称（电子签章）：</w:t>
      </w:r>
      <w:r>
        <w:rPr>
          <w:rFonts w:hint="eastAsia"/>
          <w:color w:val="auto"/>
          <w:highlight w:val="none"/>
          <w:u w:val="single"/>
        </w:rPr>
        <w:t xml:space="preserve">                               </w:t>
      </w:r>
      <w:r>
        <w:rPr>
          <w:rFonts w:hint="eastAsia"/>
          <w:color w:val="auto"/>
          <w:highlight w:val="none"/>
        </w:rPr>
        <w:t xml:space="preserve">       </w:t>
      </w:r>
      <w:r>
        <w:rPr>
          <w:rFonts w:hint="eastAsia" w:ascii="宋体" w:hAnsi="宋体" w:cs="宋体"/>
          <w:color w:val="auto"/>
          <w:szCs w:val="21"/>
          <w:highlight w:val="none"/>
        </w:rPr>
        <w:t xml:space="preserve">    </w:t>
      </w:r>
    </w:p>
    <w:p w14:paraId="0B8BE35A">
      <w:pPr>
        <w:pStyle w:val="14"/>
        <w:tabs>
          <w:tab w:val="left" w:pos="939"/>
        </w:tabs>
        <w:spacing w:line="360" w:lineRule="auto"/>
        <w:ind w:left="0" w:leftChars="0" w:firstLine="420" w:firstLineChars="200"/>
        <w:rPr>
          <w:color w:val="auto"/>
          <w:sz w:val="24"/>
          <w:highlight w:val="none"/>
        </w:rPr>
      </w:pPr>
      <w:r>
        <w:rPr>
          <w:rFonts w:hint="eastAsia" w:ascii="宋体" w:hAnsi="宋体" w:cs="宋体"/>
          <w:color w:val="auto"/>
          <w:szCs w:val="21"/>
          <w:highlight w:val="none"/>
        </w:rPr>
        <w:t xml:space="preserve">                                                        </w:t>
      </w:r>
      <w:r>
        <w:rPr>
          <w:rFonts w:hint="eastAsia"/>
          <w:color w:val="auto"/>
          <w:highlight w:val="none"/>
        </w:rPr>
        <w:t xml:space="preserve"> 年    月    日</w:t>
      </w:r>
    </w:p>
    <w:p w14:paraId="109D9FAE">
      <w:pPr>
        <w:pStyle w:val="7"/>
        <w:overflowPunct w:val="0"/>
        <w:spacing w:line="520" w:lineRule="exact"/>
        <w:ind w:firstLine="0"/>
        <w:jc w:val="center"/>
        <w:rPr>
          <w:rFonts w:hint="eastAsia" w:ascii="方正小标宋简体" w:hAnsi="方正小标宋简体" w:eastAsia="方正小标宋简体" w:cs="方正小标宋简体"/>
          <w:color w:val="auto"/>
          <w:sz w:val="44"/>
          <w:szCs w:val="44"/>
          <w:highlight w:val="none"/>
        </w:rPr>
      </w:pPr>
      <w:r>
        <w:rPr>
          <w:rFonts w:hint="eastAsia"/>
          <w:color w:val="auto"/>
          <w:sz w:val="24"/>
          <w:highlight w:val="none"/>
        </w:rPr>
        <w:br w:type="page"/>
      </w:r>
      <w:r>
        <w:rPr>
          <w:rFonts w:hint="eastAsia" w:ascii="方正小标宋简体" w:hAnsi="方正小标宋简体" w:eastAsia="方正小标宋简体" w:cs="方正小标宋简体"/>
          <w:color w:val="auto"/>
          <w:sz w:val="44"/>
          <w:szCs w:val="44"/>
          <w:highlight w:val="none"/>
        </w:rPr>
        <w:t>联合体竞标协议书</w:t>
      </w:r>
    </w:p>
    <w:p w14:paraId="0A03A198">
      <w:pPr>
        <w:pStyle w:val="7"/>
        <w:overflowPunct w:val="0"/>
        <w:spacing w:line="360" w:lineRule="auto"/>
        <w:ind w:firstLine="0"/>
        <w:rPr>
          <w:rFonts w:hint="eastAsia" w:ascii="宋体" w:hAnsi="宋体"/>
          <w:color w:val="auto"/>
          <w:sz w:val="24"/>
          <w:szCs w:val="24"/>
          <w:highlight w:val="none"/>
        </w:rPr>
      </w:pPr>
    </w:p>
    <w:p w14:paraId="485AED5B">
      <w:pPr>
        <w:pStyle w:val="7"/>
        <w:overflowPunct w:val="0"/>
        <w:spacing w:line="360" w:lineRule="auto"/>
        <w:ind w:firstLine="480" w:firstLineChars="20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（所有成员单位名称）自愿组成</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（联合体名称）联合体，共同参加</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（项目名称）采购项目竞标。现就联合体竞标事宜订立如下协议。</w:t>
      </w:r>
    </w:p>
    <w:p w14:paraId="63508B2E">
      <w:pPr>
        <w:pStyle w:val="7"/>
        <w:overflowPunct w:val="0"/>
        <w:spacing w:line="360" w:lineRule="auto"/>
        <w:ind w:firstLine="480" w:firstLineChars="20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1.</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u w:val="single"/>
        </w:rPr>
        <w:tab/>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（某成员单位名称）为</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（联合体名称）牵头人。</w:t>
      </w:r>
    </w:p>
    <w:p w14:paraId="23F85CB9">
      <w:pPr>
        <w:pStyle w:val="7"/>
        <w:overflowPunct w:val="0"/>
        <w:spacing w:line="360" w:lineRule="auto"/>
        <w:ind w:firstLine="480" w:firstLineChars="20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0A09E619">
      <w:pPr>
        <w:pStyle w:val="7"/>
        <w:overflowPunct w:val="0"/>
        <w:spacing w:line="360" w:lineRule="auto"/>
        <w:ind w:firstLine="480" w:firstLineChars="20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3.联合体牵头人在本项目中签署和盖章的一切文件和处理的一切事宜，联合体各成员均予以承认。联合体各成员将严格按照磋商文件、响应文件和合同的要求全面履行义务，并向采购人承担连带责任。</w:t>
      </w:r>
    </w:p>
    <w:p w14:paraId="38CD0C19">
      <w:pPr>
        <w:pStyle w:val="7"/>
        <w:overflowPunct w:val="0"/>
        <w:spacing w:line="360" w:lineRule="auto"/>
        <w:ind w:firstLine="480" w:firstLineChars="20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4.联合体各成员单位内部的职责分工如下：</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w:t>
      </w:r>
    </w:p>
    <w:p w14:paraId="2D55EBB5">
      <w:pPr>
        <w:pStyle w:val="7"/>
        <w:overflowPunct w:val="0"/>
        <w:spacing w:line="360" w:lineRule="auto"/>
        <w:ind w:firstLine="480" w:firstLineChars="20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5.本</w:t>
      </w:r>
      <w:r>
        <w:rPr>
          <w:rFonts w:hint="eastAsia" w:ascii="宋体" w:hAnsi="宋体" w:cs="仿宋_GB2312"/>
          <w:color w:val="auto"/>
          <w:spacing w:val="-6"/>
          <w:sz w:val="24"/>
          <w:szCs w:val="24"/>
          <w:highlight w:val="none"/>
        </w:rPr>
        <w:t>协议书自所有成员单位法定代表人（单位负责人）或者其委托代理人签字或者盖单位章之日起生效，合同履行完毕后自动失效。</w:t>
      </w:r>
    </w:p>
    <w:p w14:paraId="54404350">
      <w:pPr>
        <w:pStyle w:val="7"/>
        <w:overflowPunct w:val="0"/>
        <w:spacing w:line="360" w:lineRule="auto"/>
        <w:ind w:firstLine="480" w:firstLineChars="20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6.本协议书一式</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u w:val="single"/>
        </w:rPr>
        <w:tab/>
      </w:r>
      <w:r>
        <w:rPr>
          <w:rFonts w:hint="eastAsia" w:ascii="宋体" w:hAnsi="宋体" w:cs="仿宋_GB2312"/>
          <w:color w:val="auto"/>
          <w:sz w:val="24"/>
          <w:szCs w:val="24"/>
          <w:highlight w:val="none"/>
        </w:rPr>
        <w:t>份，联合体成员和采购人各执一份。</w:t>
      </w:r>
    </w:p>
    <w:p w14:paraId="4063359F">
      <w:pPr>
        <w:pStyle w:val="7"/>
        <w:overflowPunct w:val="0"/>
        <w:spacing w:line="360" w:lineRule="auto"/>
        <w:ind w:firstLine="480" w:firstLineChars="20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注：本协议书应附法定代表人身份证明书；有委托代理的，应附授权委托书（格式自拟）。</w:t>
      </w:r>
    </w:p>
    <w:p w14:paraId="390CDB45">
      <w:pPr>
        <w:pStyle w:val="7"/>
        <w:overflowPunct w:val="0"/>
        <w:spacing w:line="360" w:lineRule="auto"/>
        <w:ind w:firstLineChars="175"/>
        <w:contextualSpacing/>
        <w:rPr>
          <w:rFonts w:hint="eastAsia" w:ascii="宋体" w:hAnsi="宋体" w:cs="仿宋_GB2312"/>
          <w:color w:val="auto"/>
          <w:sz w:val="24"/>
          <w:szCs w:val="24"/>
          <w:highlight w:val="none"/>
        </w:rPr>
      </w:pPr>
    </w:p>
    <w:p w14:paraId="3D44BCFC">
      <w:pPr>
        <w:pStyle w:val="7"/>
        <w:overflowPunct w:val="0"/>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联合体牵头人名称（电子签章）：</w:t>
      </w:r>
    </w:p>
    <w:p w14:paraId="1112DE00">
      <w:pPr>
        <w:pStyle w:val="7"/>
        <w:overflowPunct w:val="0"/>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1BDB604C">
      <w:pPr>
        <w:pStyle w:val="7"/>
        <w:overflowPunct w:val="0"/>
        <w:spacing w:line="360" w:lineRule="auto"/>
        <w:ind w:firstLine="0"/>
        <w:contextualSpacing/>
        <w:rPr>
          <w:rFonts w:hint="eastAsia" w:ascii="宋体" w:hAnsi="宋体" w:cs="仿宋_GB2312"/>
          <w:color w:val="auto"/>
          <w:sz w:val="24"/>
          <w:szCs w:val="24"/>
          <w:highlight w:val="none"/>
        </w:rPr>
      </w:pPr>
    </w:p>
    <w:p w14:paraId="4A0A0339">
      <w:pPr>
        <w:pStyle w:val="7"/>
        <w:overflowPunct w:val="0"/>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联合体成员名称（盖公章或者电子签章）：</w:t>
      </w:r>
    </w:p>
    <w:p w14:paraId="7D2A83B6">
      <w:pPr>
        <w:pStyle w:val="7"/>
        <w:overflowPunct w:val="0"/>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630BCD6F">
      <w:pPr>
        <w:pStyle w:val="7"/>
        <w:overflowPunct w:val="0"/>
        <w:spacing w:line="360" w:lineRule="auto"/>
        <w:ind w:firstLine="0"/>
        <w:contextualSpacing/>
        <w:rPr>
          <w:rFonts w:hint="eastAsia" w:ascii="宋体" w:hAnsi="宋体" w:cs="仿宋_GB2312"/>
          <w:color w:val="auto"/>
          <w:sz w:val="24"/>
          <w:szCs w:val="24"/>
          <w:highlight w:val="none"/>
        </w:rPr>
      </w:pPr>
    </w:p>
    <w:p w14:paraId="56D4FFF4">
      <w:pPr>
        <w:pStyle w:val="7"/>
        <w:overflowPunct w:val="0"/>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联合体成员名称（盖公章或者电子签章）：</w:t>
      </w:r>
    </w:p>
    <w:p w14:paraId="446C0B4F">
      <w:pPr>
        <w:pStyle w:val="7"/>
        <w:overflowPunct w:val="0"/>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7FFA9D1A">
      <w:pPr>
        <w:pStyle w:val="7"/>
        <w:overflowPunct w:val="0"/>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w:t>
      </w:r>
    </w:p>
    <w:p w14:paraId="4C69F29E">
      <w:pPr>
        <w:spacing w:line="360" w:lineRule="auto"/>
        <w:ind w:right="480" w:firstLine="240" w:firstLineChars="100"/>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178D8120">
      <w:pPr>
        <w:spacing w:line="360" w:lineRule="auto"/>
        <w:ind w:right="480" w:firstLine="240" w:firstLineChars="100"/>
        <w:contextualSpacing/>
        <w:jc w:val="center"/>
        <w:rPr>
          <w:rFonts w:hint="eastAsia" w:ascii="宋体" w:hAnsi="宋体"/>
          <w:b/>
          <w:bCs/>
          <w:color w:val="auto"/>
          <w:sz w:val="32"/>
          <w:szCs w:val="32"/>
          <w:highlight w:val="none"/>
        </w:rPr>
      </w:pPr>
      <w:r>
        <w:rPr>
          <w:rFonts w:hint="eastAsia" w:ascii="宋体" w:hAnsi="宋体" w:cs="仿宋_GB2312"/>
          <w:color w:val="auto"/>
          <w:sz w:val="24"/>
          <w:highlight w:val="none"/>
        </w:rPr>
        <w:t xml:space="preserve">                                                年  </w:t>
      </w:r>
      <w:r>
        <w:rPr>
          <w:rFonts w:hint="eastAsia" w:ascii="宋体" w:hAnsi="宋体" w:cs="仿宋_GB2312"/>
          <w:color w:val="auto"/>
          <w:sz w:val="24"/>
          <w:highlight w:val="none"/>
        </w:rPr>
        <w:tab/>
      </w:r>
      <w:r>
        <w:rPr>
          <w:rFonts w:hint="eastAsia" w:ascii="宋体" w:hAnsi="宋体" w:cs="仿宋_GB2312"/>
          <w:color w:val="auto"/>
          <w:sz w:val="24"/>
          <w:highlight w:val="none"/>
        </w:rPr>
        <w:t xml:space="preserve">月  </w:t>
      </w:r>
      <w:r>
        <w:rPr>
          <w:rFonts w:hint="eastAsia" w:ascii="宋体" w:hAnsi="宋体" w:cs="仿宋_GB2312"/>
          <w:color w:val="auto"/>
          <w:sz w:val="24"/>
          <w:highlight w:val="none"/>
        </w:rPr>
        <w:tab/>
      </w:r>
      <w:r>
        <w:rPr>
          <w:rFonts w:hint="eastAsia" w:ascii="宋体" w:hAnsi="宋体" w:cs="仿宋_GB2312"/>
          <w:color w:val="auto"/>
          <w:sz w:val="24"/>
          <w:highlight w:val="none"/>
        </w:rPr>
        <w:t>日</w:t>
      </w:r>
    </w:p>
    <w:p w14:paraId="2A9F676B">
      <w:pPr>
        <w:spacing w:line="360" w:lineRule="auto"/>
        <w:ind w:right="420"/>
        <w:contextualSpacing/>
        <w:jc w:val="left"/>
        <w:rPr>
          <w:rFonts w:hint="eastAsia" w:ascii="宋体" w:hAnsi="宋体"/>
          <w:b/>
          <w:color w:val="auto"/>
          <w:sz w:val="32"/>
          <w:szCs w:val="32"/>
          <w:highlight w:val="none"/>
        </w:rPr>
      </w:pPr>
      <w:r>
        <w:rPr>
          <w:rFonts w:ascii="宋体" w:hAnsi="宋体"/>
          <w:b/>
          <w:bCs/>
          <w:color w:val="auto"/>
          <w:sz w:val="32"/>
          <w:szCs w:val="32"/>
          <w:highlight w:val="none"/>
        </w:rPr>
        <w:br w:type="page"/>
      </w: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404F2F97">
      <w:pPr>
        <w:spacing w:before="12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38E184C7">
      <w:pPr>
        <w:spacing w:before="12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3EAFA6BA">
      <w:pPr>
        <w:spacing w:before="12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739BFEA4">
      <w:pPr>
        <w:spacing w:before="120" w:after="50"/>
        <w:rPr>
          <w:rFonts w:hint="eastAsia" w:ascii="宋体" w:hAnsi="宋体"/>
          <w:color w:val="auto"/>
          <w:sz w:val="24"/>
          <w:szCs w:val="20"/>
          <w:highlight w:val="none"/>
        </w:rPr>
      </w:pPr>
    </w:p>
    <w:p w14:paraId="4284C7F3">
      <w:pPr>
        <w:spacing w:before="120" w:after="50"/>
        <w:rPr>
          <w:rFonts w:hint="eastAsia" w:ascii="宋体" w:hAnsi="宋体"/>
          <w:color w:val="auto"/>
          <w:sz w:val="24"/>
          <w:szCs w:val="20"/>
          <w:highlight w:val="none"/>
        </w:rPr>
      </w:pPr>
    </w:p>
    <w:p w14:paraId="7AF77E2E">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03B0A0CD">
      <w:pPr>
        <w:spacing w:before="120" w:after="50"/>
        <w:rPr>
          <w:rFonts w:hint="eastAsia" w:ascii="宋体" w:hAnsi="宋体"/>
          <w:bCs/>
          <w:color w:val="auto"/>
          <w:sz w:val="24"/>
          <w:szCs w:val="20"/>
          <w:highlight w:val="none"/>
        </w:rPr>
      </w:pPr>
    </w:p>
    <w:p w14:paraId="2A159624">
      <w:pPr>
        <w:spacing w:before="120" w:after="50"/>
        <w:rPr>
          <w:rFonts w:hint="eastAsia" w:ascii="宋体" w:hAnsi="宋体"/>
          <w:bCs/>
          <w:color w:val="auto"/>
          <w:sz w:val="24"/>
          <w:szCs w:val="20"/>
          <w:highlight w:val="none"/>
        </w:rPr>
      </w:pPr>
    </w:p>
    <w:p w14:paraId="192DA95D">
      <w:pPr>
        <w:spacing w:before="120" w:after="50"/>
        <w:rPr>
          <w:rFonts w:hint="eastAsia" w:ascii="宋体" w:hAnsi="宋体"/>
          <w:bCs/>
          <w:color w:val="auto"/>
          <w:sz w:val="24"/>
          <w:szCs w:val="20"/>
          <w:highlight w:val="none"/>
        </w:rPr>
      </w:pPr>
    </w:p>
    <w:p w14:paraId="07C716CD">
      <w:pPr>
        <w:spacing w:before="120" w:after="50"/>
        <w:rPr>
          <w:rFonts w:hint="eastAsia" w:ascii="宋体" w:hAnsi="宋体"/>
          <w:bCs/>
          <w:color w:val="auto"/>
          <w:sz w:val="24"/>
          <w:szCs w:val="20"/>
          <w:highlight w:val="none"/>
        </w:rPr>
      </w:pPr>
    </w:p>
    <w:p w14:paraId="7BC26AEB">
      <w:pPr>
        <w:spacing w:before="120" w:after="50"/>
        <w:rPr>
          <w:rFonts w:hint="eastAsia" w:ascii="宋体" w:hAnsi="宋体"/>
          <w:bCs/>
          <w:color w:val="auto"/>
          <w:sz w:val="24"/>
          <w:szCs w:val="20"/>
          <w:highlight w:val="none"/>
        </w:rPr>
      </w:pPr>
    </w:p>
    <w:p w14:paraId="6C8CBF44">
      <w:pPr>
        <w:spacing w:before="12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E928451">
      <w:pPr>
        <w:spacing w:before="120" w:after="50"/>
        <w:ind w:firstLine="720" w:firstLineChars="225"/>
        <w:rPr>
          <w:rFonts w:hint="eastAsia" w:ascii="宋体" w:hAnsi="宋体" w:cs="仿宋_GB2312"/>
          <w:bCs/>
          <w:color w:val="auto"/>
          <w:sz w:val="32"/>
          <w:szCs w:val="32"/>
          <w:highlight w:val="none"/>
        </w:rPr>
      </w:pPr>
    </w:p>
    <w:p w14:paraId="05EB17EF">
      <w:pPr>
        <w:spacing w:before="12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2701CCB8">
      <w:pPr>
        <w:spacing w:before="12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0B177EB9">
      <w:pPr>
        <w:spacing w:before="12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1F652473">
      <w:pPr>
        <w:spacing w:before="120" w:after="50"/>
        <w:ind w:firstLine="720" w:firstLineChars="225"/>
        <w:rPr>
          <w:rFonts w:hint="eastAsia" w:ascii="宋体" w:hAnsi="宋体" w:cs="仿宋_GB2312"/>
          <w:bCs/>
          <w:color w:val="auto"/>
          <w:sz w:val="32"/>
          <w:szCs w:val="32"/>
          <w:highlight w:val="none"/>
        </w:rPr>
      </w:pPr>
    </w:p>
    <w:p w14:paraId="06340DD2">
      <w:pPr>
        <w:pStyle w:val="7"/>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1602F40E">
      <w:pPr>
        <w:pStyle w:val="7"/>
        <w:spacing w:before="50" w:after="50"/>
        <w:ind w:firstLine="640" w:firstLineChars="200"/>
        <w:rPr>
          <w:rFonts w:hint="eastAsia" w:ascii="宋体" w:hAnsi="宋体" w:cs="仿宋_GB2312"/>
          <w:bCs/>
          <w:color w:val="auto"/>
          <w:sz w:val="32"/>
          <w:szCs w:val="32"/>
          <w:highlight w:val="none"/>
        </w:rPr>
      </w:pPr>
    </w:p>
    <w:p w14:paraId="0A596A7F">
      <w:pPr>
        <w:pStyle w:val="7"/>
        <w:spacing w:before="50" w:after="50"/>
        <w:ind w:firstLine="720" w:firstLineChars="225"/>
        <w:rPr>
          <w:rFonts w:hint="eastAsia" w:ascii="宋体" w:hAnsi="宋体" w:cs="仿宋_GB2312"/>
          <w:bCs/>
          <w:color w:val="auto"/>
          <w:sz w:val="32"/>
          <w:szCs w:val="32"/>
          <w:highlight w:val="none"/>
        </w:rPr>
      </w:pPr>
    </w:p>
    <w:p w14:paraId="23574076">
      <w:pPr>
        <w:pStyle w:val="7"/>
        <w:spacing w:before="50" w:after="50"/>
        <w:ind w:firstLine="0"/>
        <w:rPr>
          <w:rFonts w:hint="eastAsia" w:ascii="宋体" w:hAnsi="宋体" w:cs="仿宋_GB2312"/>
          <w:bCs/>
          <w:color w:val="auto"/>
          <w:sz w:val="32"/>
          <w:szCs w:val="32"/>
          <w:highlight w:val="none"/>
        </w:rPr>
      </w:pPr>
    </w:p>
    <w:p w14:paraId="6550BCCA">
      <w:pPr>
        <w:pStyle w:val="7"/>
        <w:spacing w:before="50" w:after="50"/>
        <w:ind w:firstLine="1280" w:firstLineChars="400"/>
        <w:rPr>
          <w:rFonts w:hint="eastAsia" w:ascii="宋体" w:hAnsi="宋体" w:cs="仿宋_GB2312"/>
          <w:bCs/>
          <w:color w:val="auto"/>
          <w:sz w:val="32"/>
          <w:szCs w:val="32"/>
          <w:highlight w:val="none"/>
        </w:rPr>
      </w:pPr>
    </w:p>
    <w:p w14:paraId="65678DFD">
      <w:pPr>
        <w:spacing w:before="12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0BEFF5F">
      <w:pPr>
        <w:spacing w:before="120" w:after="50" w:line="360" w:lineRule="auto"/>
        <w:ind w:left="142"/>
        <w:jc w:val="left"/>
        <w:rPr>
          <w:rFonts w:hint="eastAsia" w:ascii="宋体" w:hAnsi="宋体"/>
          <w:b/>
          <w:bCs/>
          <w:color w:val="auto"/>
          <w:sz w:val="24"/>
          <w:highlight w:val="none"/>
        </w:rPr>
      </w:pPr>
      <w:r>
        <w:rPr>
          <w:rFonts w:hint="eastAsia" w:ascii="宋体" w:hAnsi="宋体"/>
          <w:color w:val="auto"/>
          <w:szCs w:val="21"/>
          <w:highlight w:val="none"/>
        </w:rPr>
        <w:br w:type="page"/>
      </w:r>
      <w:r>
        <w:rPr>
          <w:rFonts w:hint="eastAsia" w:ascii="宋体" w:hAnsi="宋体"/>
          <w:b/>
          <w:bCs/>
          <w:color w:val="auto"/>
          <w:sz w:val="32"/>
          <w:szCs w:val="32"/>
          <w:highlight w:val="none"/>
        </w:rPr>
        <w:t>2.报价文件目录</w:t>
      </w:r>
    </w:p>
    <w:p w14:paraId="4A57BEE5">
      <w:pPr>
        <w:spacing w:line="520" w:lineRule="exact"/>
        <w:jc w:val="center"/>
        <w:rPr>
          <w:rFonts w:hint="eastAsia" w:ascii="方正小标宋简体" w:hAnsi="方正小标宋简体" w:eastAsia="方正小标宋简体" w:cs="方正小标宋简体"/>
          <w:bCs/>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r>
        <w:rPr>
          <w:rFonts w:ascii="宋体" w:hAnsi="宋体"/>
          <w:b/>
          <w:bCs/>
          <w:color w:val="auto"/>
          <w:sz w:val="32"/>
          <w:szCs w:val="32"/>
          <w:highlight w:val="none"/>
        </w:rPr>
        <w:br w:type="page"/>
      </w:r>
      <w:r>
        <w:rPr>
          <w:rFonts w:hint="eastAsia" w:ascii="方正小标宋简体" w:hAnsi="方正小标宋简体" w:eastAsia="方正小标宋简体" w:cs="方正小标宋简体"/>
          <w:bCs/>
          <w:color w:val="auto"/>
          <w:sz w:val="44"/>
          <w:szCs w:val="44"/>
          <w:highlight w:val="none"/>
        </w:rPr>
        <w:t>竞  标  报  价  表</w:t>
      </w:r>
    </w:p>
    <w:p w14:paraId="234339CD">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650D2272">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43EF595D">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分标（如有）：</w:t>
      </w:r>
      <w:r>
        <w:rPr>
          <w:rFonts w:hint="eastAsia" w:ascii="宋体" w:hAnsi="宋体" w:cs="仿宋_GB2312"/>
          <w:color w:val="auto"/>
          <w:sz w:val="24"/>
          <w:highlight w:val="none"/>
          <w:u w:val="single"/>
        </w:rPr>
        <w:t xml:space="preserve">                                         </w:t>
      </w:r>
    </w:p>
    <w:p w14:paraId="5044187B">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5F6BFC66">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单位：元</w:t>
      </w:r>
    </w:p>
    <w:tbl>
      <w:tblPr>
        <w:tblStyle w:val="24"/>
        <w:tblW w:w="9095" w:type="dxa"/>
        <w:jc w:val="righ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7"/>
        <w:gridCol w:w="1880"/>
        <w:gridCol w:w="832"/>
        <w:gridCol w:w="2621"/>
        <w:gridCol w:w="1843"/>
        <w:gridCol w:w="1332"/>
      </w:tblGrid>
      <w:tr w14:paraId="7D538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7" w:hRule="atLeast"/>
          <w:jc w:val="right"/>
        </w:trPr>
        <w:tc>
          <w:tcPr>
            <w:tcW w:w="587" w:type="dxa"/>
            <w:tcBorders>
              <w:top w:val="single" w:color="000000" w:sz="4" w:space="0"/>
              <w:left w:val="single" w:color="000000" w:sz="4" w:space="0"/>
              <w:bottom w:val="single" w:color="000000" w:sz="4" w:space="0"/>
              <w:right w:val="single" w:color="000000" w:sz="4" w:space="0"/>
            </w:tcBorders>
            <w:vAlign w:val="center"/>
          </w:tcPr>
          <w:p w14:paraId="4CBECD77">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序号</w:t>
            </w:r>
          </w:p>
        </w:tc>
        <w:tc>
          <w:tcPr>
            <w:tcW w:w="1880" w:type="dxa"/>
            <w:tcBorders>
              <w:top w:val="single" w:color="000000" w:sz="4" w:space="0"/>
              <w:left w:val="single" w:color="000000" w:sz="4" w:space="0"/>
              <w:bottom w:val="single" w:color="000000" w:sz="4" w:space="0"/>
              <w:right w:val="single" w:color="000000" w:sz="4" w:space="0"/>
            </w:tcBorders>
            <w:vAlign w:val="center"/>
          </w:tcPr>
          <w:p w14:paraId="4EDD2419">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标的名称</w:t>
            </w:r>
          </w:p>
        </w:tc>
        <w:tc>
          <w:tcPr>
            <w:tcW w:w="832" w:type="dxa"/>
            <w:tcBorders>
              <w:top w:val="single" w:color="000000" w:sz="4" w:space="0"/>
              <w:left w:val="single" w:color="000000" w:sz="4" w:space="0"/>
              <w:bottom w:val="single" w:color="000000" w:sz="4" w:space="0"/>
              <w:right w:val="single" w:color="000000" w:sz="4" w:space="0"/>
            </w:tcBorders>
            <w:vAlign w:val="center"/>
          </w:tcPr>
          <w:p w14:paraId="14BEB311">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数量及单位</w:t>
            </w:r>
          </w:p>
        </w:tc>
        <w:tc>
          <w:tcPr>
            <w:tcW w:w="2621" w:type="dxa"/>
            <w:tcBorders>
              <w:top w:val="single" w:color="000000" w:sz="4" w:space="0"/>
              <w:left w:val="single" w:color="000000" w:sz="4" w:space="0"/>
              <w:bottom w:val="single" w:color="000000" w:sz="4" w:space="0"/>
              <w:right w:val="single" w:color="000000" w:sz="4" w:space="0"/>
            </w:tcBorders>
            <w:vAlign w:val="center"/>
          </w:tcPr>
          <w:p w14:paraId="72E860CC">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服务名称</w:t>
            </w:r>
          </w:p>
        </w:tc>
        <w:tc>
          <w:tcPr>
            <w:tcW w:w="1843" w:type="dxa"/>
            <w:tcBorders>
              <w:top w:val="single" w:color="000000" w:sz="4" w:space="0"/>
              <w:left w:val="single" w:color="000000" w:sz="4" w:space="0"/>
              <w:bottom w:val="single" w:color="000000" w:sz="4" w:space="0"/>
              <w:right w:val="single" w:color="000000" w:sz="4" w:space="0"/>
            </w:tcBorders>
            <w:vAlign w:val="center"/>
          </w:tcPr>
          <w:p w14:paraId="57D67934">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磋商报价</w:t>
            </w:r>
          </w:p>
        </w:tc>
        <w:tc>
          <w:tcPr>
            <w:tcW w:w="1332" w:type="dxa"/>
            <w:tcBorders>
              <w:top w:val="single" w:color="000000" w:sz="4" w:space="0"/>
              <w:left w:val="single" w:color="000000" w:sz="4" w:space="0"/>
              <w:bottom w:val="single" w:color="000000" w:sz="4" w:space="0"/>
              <w:right w:val="single" w:color="000000" w:sz="4" w:space="0"/>
            </w:tcBorders>
            <w:vAlign w:val="center"/>
          </w:tcPr>
          <w:p w14:paraId="59F4ACE9">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备注</w:t>
            </w:r>
          </w:p>
        </w:tc>
      </w:tr>
      <w:tr w14:paraId="079D7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7" w:hRule="atLeast"/>
          <w:jc w:val="right"/>
        </w:trPr>
        <w:tc>
          <w:tcPr>
            <w:tcW w:w="587" w:type="dxa"/>
            <w:tcBorders>
              <w:top w:val="single" w:color="000000" w:sz="4" w:space="0"/>
              <w:left w:val="single" w:color="000000" w:sz="4" w:space="0"/>
              <w:right w:val="single" w:color="000000" w:sz="4" w:space="0"/>
            </w:tcBorders>
            <w:vAlign w:val="center"/>
          </w:tcPr>
          <w:p w14:paraId="2C4F33B6">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1</w:t>
            </w:r>
          </w:p>
        </w:tc>
        <w:tc>
          <w:tcPr>
            <w:tcW w:w="1880" w:type="dxa"/>
            <w:tcBorders>
              <w:top w:val="single" w:color="000000" w:sz="4" w:space="0"/>
              <w:left w:val="single" w:color="000000" w:sz="4" w:space="0"/>
              <w:right w:val="single" w:color="000000" w:sz="4" w:space="0"/>
            </w:tcBorders>
            <w:vAlign w:val="center"/>
          </w:tcPr>
          <w:p w14:paraId="757F8828">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彩票终端机维保服务</w:t>
            </w:r>
          </w:p>
        </w:tc>
        <w:tc>
          <w:tcPr>
            <w:tcW w:w="832" w:type="dxa"/>
            <w:tcBorders>
              <w:top w:val="single" w:color="000000" w:sz="4" w:space="0"/>
              <w:left w:val="single" w:color="000000" w:sz="4" w:space="0"/>
              <w:right w:val="single" w:color="000000" w:sz="4" w:space="0"/>
            </w:tcBorders>
            <w:vAlign w:val="center"/>
          </w:tcPr>
          <w:p w14:paraId="38976BD4">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1项</w:t>
            </w:r>
          </w:p>
        </w:tc>
        <w:tc>
          <w:tcPr>
            <w:tcW w:w="2621" w:type="dxa"/>
            <w:tcBorders>
              <w:top w:val="single" w:color="000000" w:sz="4" w:space="0"/>
              <w:left w:val="single" w:color="000000" w:sz="4" w:space="0"/>
              <w:bottom w:val="single" w:color="000000" w:sz="4" w:space="0"/>
              <w:right w:val="single" w:color="000000" w:sz="4" w:space="0"/>
            </w:tcBorders>
            <w:vAlign w:val="center"/>
          </w:tcPr>
          <w:p w14:paraId="24108340">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彩票终端机维保服务</w:t>
            </w:r>
          </w:p>
        </w:tc>
        <w:tc>
          <w:tcPr>
            <w:tcW w:w="1843" w:type="dxa"/>
            <w:tcBorders>
              <w:top w:val="single" w:color="000000" w:sz="4" w:space="0"/>
              <w:left w:val="single" w:color="000000" w:sz="4" w:space="0"/>
              <w:bottom w:val="single" w:color="000000" w:sz="4" w:space="0"/>
              <w:right w:val="single" w:color="000000" w:sz="4" w:space="0"/>
            </w:tcBorders>
            <w:vAlign w:val="center"/>
          </w:tcPr>
          <w:p w14:paraId="288802EC">
            <w:pPr>
              <w:spacing w:line="360" w:lineRule="auto"/>
              <w:contextualSpacing/>
              <w:jc w:val="center"/>
              <w:rPr>
                <w:rFonts w:hint="eastAsia" w:ascii="宋体" w:hAnsi="宋体" w:cs="仿宋_GB2312"/>
                <w:color w:val="auto"/>
                <w:sz w:val="24"/>
                <w:highlight w:val="none"/>
              </w:rPr>
            </w:pPr>
          </w:p>
        </w:tc>
        <w:tc>
          <w:tcPr>
            <w:tcW w:w="1332" w:type="dxa"/>
            <w:tcBorders>
              <w:top w:val="single" w:color="000000" w:sz="4" w:space="0"/>
              <w:left w:val="single" w:color="000000" w:sz="4" w:space="0"/>
              <w:bottom w:val="single" w:color="000000" w:sz="4" w:space="0"/>
              <w:right w:val="single" w:color="000000" w:sz="4" w:space="0"/>
            </w:tcBorders>
            <w:vAlign w:val="center"/>
          </w:tcPr>
          <w:p w14:paraId="04E4D4F4">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本项目采购预算上限299万元</w:t>
            </w:r>
          </w:p>
        </w:tc>
      </w:tr>
      <w:tr w14:paraId="40002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7" w:hRule="atLeast"/>
          <w:jc w:val="right"/>
        </w:trPr>
        <w:tc>
          <w:tcPr>
            <w:tcW w:w="9095" w:type="dxa"/>
            <w:gridSpan w:val="6"/>
            <w:tcBorders>
              <w:left w:val="single" w:color="000000" w:sz="4" w:space="0"/>
              <w:bottom w:val="single" w:color="000000" w:sz="4" w:space="0"/>
              <w:right w:val="single" w:color="000000" w:sz="4" w:space="0"/>
            </w:tcBorders>
            <w:vAlign w:val="center"/>
          </w:tcPr>
          <w:p w14:paraId="428ABE0F">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磋商总报价：         大写        小写</w:t>
            </w:r>
          </w:p>
        </w:tc>
      </w:tr>
      <w:tr w14:paraId="616D0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97" w:hRule="atLeast"/>
          <w:jc w:val="right"/>
        </w:trPr>
        <w:tc>
          <w:tcPr>
            <w:tcW w:w="9095" w:type="dxa"/>
            <w:gridSpan w:val="6"/>
            <w:tcBorders>
              <w:top w:val="single" w:color="000000" w:sz="4" w:space="0"/>
              <w:left w:val="single" w:color="000000" w:sz="4" w:space="0"/>
              <w:bottom w:val="single" w:color="000000" w:sz="4" w:space="0"/>
              <w:right w:val="single" w:color="000000" w:sz="4" w:space="0"/>
            </w:tcBorders>
            <w:vAlign w:val="center"/>
          </w:tcPr>
          <w:p w14:paraId="1C4E4DC1">
            <w:pPr>
              <w:spacing w:line="360" w:lineRule="auto"/>
              <w:contextualSpacing/>
              <w:rPr>
                <w:rFonts w:hint="eastAsia" w:ascii="宋体" w:hAnsi="宋体" w:cs="仿宋_GB2312"/>
                <w:iCs/>
                <w:color w:val="auto"/>
                <w:sz w:val="24"/>
                <w:highlight w:val="none"/>
              </w:rPr>
            </w:pPr>
            <w:r>
              <w:rPr>
                <w:rFonts w:hint="eastAsia" w:ascii="宋体" w:hAnsi="宋体" w:cs="仿宋_GB2312"/>
                <w:iCs/>
                <w:color w:val="auto"/>
                <w:sz w:val="24"/>
                <w:highlight w:val="none"/>
                <w:u w:val="single"/>
              </w:rPr>
              <w:t>响应产品中，属于本国产品总值为¥       （具体明细详见附表，附表格式自拟），占响应产品的比例为    %。</w:t>
            </w:r>
          </w:p>
        </w:tc>
      </w:tr>
    </w:tbl>
    <w:p w14:paraId="26DE549A">
      <w:pPr>
        <w:spacing w:line="360" w:lineRule="auto"/>
        <w:contextualSpacing/>
        <w:jc w:val="left"/>
        <w:rPr>
          <w:rFonts w:hint="eastAsia" w:ascii="宋体" w:hAnsi="宋体" w:cs="仿宋_GB2312"/>
          <w:color w:val="auto"/>
          <w:sz w:val="24"/>
          <w:highlight w:val="none"/>
        </w:rPr>
      </w:pPr>
    </w:p>
    <w:p w14:paraId="3A6052D8">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1C56EA1C">
      <w:pPr>
        <w:spacing w:line="360" w:lineRule="auto"/>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4D5FEC25">
      <w:pPr>
        <w:spacing w:line="360" w:lineRule="auto"/>
        <w:ind w:firstLine="480" w:firstLineChars="20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73F31537">
      <w:pPr>
        <w:spacing w:line="360" w:lineRule="auto"/>
        <w:ind w:firstLine="480" w:firstLineChars="200"/>
        <w:contextualSpacing/>
        <w:jc w:val="left"/>
        <w:rPr>
          <w:rFonts w:hint="eastAsia" w:ascii="宋体" w:hAnsi="宋体" w:cs="仿宋_GB2312"/>
          <w:b/>
          <w:color w:val="auto"/>
          <w:sz w:val="24"/>
          <w:highlight w:val="none"/>
        </w:rPr>
      </w:pPr>
      <w:r>
        <w:rPr>
          <w:rFonts w:ascii="宋体" w:hAnsi="宋体" w:cs="仿宋_GB2312"/>
          <w:color w:val="auto"/>
          <w:sz w:val="24"/>
          <w:highlight w:val="none"/>
        </w:rPr>
        <w:t>3</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否则其响应文件按无效响应处理。</w:t>
      </w:r>
    </w:p>
    <w:p w14:paraId="4F81CDA6">
      <w:pPr>
        <w:spacing w:line="360" w:lineRule="auto"/>
        <w:ind w:firstLine="480" w:firstLineChars="200"/>
        <w:contextualSpacing/>
        <w:jc w:val="left"/>
        <w:rPr>
          <w:rFonts w:hint="eastAsia"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 如为联合体竞标，</w:t>
      </w:r>
      <w:r>
        <w:rPr>
          <w:rFonts w:hint="eastAsia" w:ascii="宋体" w:hAnsi="宋体"/>
          <w:color w:val="auto"/>
          <w:spacing w:val="-6"/>
          <w:sz w:val="24"/>
          <w:highlight w:val="none"/>
        </w:rPr>
        <w:t xml:space="preserve"> 盖章处须加盖联合体牵头人电子签章</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41BB3E15">
      <w:pPr>
        <w:spacing w:line="360" w:lineRule="auto"/>
        <w:ind w:firstLine="480" w:firstLineChars="200"/>
        <w:contextualSpacing/>
        <w:rPr>
          <w:rFonts w:hint="eastAsia" w:ascii="宋体" w:hAnsi="宋体" w:cs="仿宋_GB2312"/>
          <w:color w:val="auto"/>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否则其响应文件按无效响应处理。</w:t>
      </w:r>
    </w:p>
    <w:p w14:paraId="4749913B">
      <w:pPr>
        <w:spacing w:line="360" w:lineRule="auto"/>
        <w:ind w:right="-817" w:rightChars="-389"/>
        <w:contextualSpacing/>
        <w:rPr>
          <w:rFonts w:hint="eastAsia" w:ascii="宋体" w:hAnsi="宋体" w:cs="仿宋_GB2312"/>
          <w:color w:val="auto"/>
          <w:sz w:val="24"/>
          <w:highlight w:val="none"/>
        </w:rPr>
      </w:pPr>
    </w:p>
    <w:p w14:paraId="6C5569F6">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23CEE0EE">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供应商名称（电子签章）：      </w:t>
      </w:r>
    </w:p>
    <w:p w14:paraId="5297C6ED">
      <w:pPr>
        <w:spacing w:line="360" w:lineRule="auto"/>
        <w:ind w:right="-817" w:rightChars="-389" w:firstLine="4080" w:firstLineChars="1700"/>
        <w:contextualSpacing/>
        <w:rPr>
          <w:rFonts w:hint="eastAsia" w:ascii="宋体" w:hAnsi="宋体" w:cs="仿宋_GB2312"/>
          <w:b/>
          <w:color w:val="auto"/>
          <w:sz w:val="24"/>
          <w:highlight w:val="none"/>
        </w:rPr>
      </w:pPr>
      <w:r>
        <w:rPr>
          <w:rFonts w:hint="eastAsia" w:ascii="宋体" w:hAnsi="宋体" w:cs="仿宋_GB2312"/>
          <w:color w:val="auto"/>
          <w:sz w:val="24"/>
          <w:highlight w:val="none"/>
        </w:rPr>
        <w:t>日期：   年   月   日</w:t>
      </w:r>
    </w:p>
    <w:p w14:paraId="23B76258">
      <w:pPr>
        <w:spacing w:line="360" w:lineRule="auto"/>
        <w:ind w:right="420"/>
        <w:contextualSpacing/>
        <w:jc w:val="left"/>
        <w:rPr>
          <w:rFonts w:hint="eastAsia" w:ascii="宋体" w:hAnsi="宋体"/>
          <w:b/>
          <w:color w:val="auto"/>
          <w:sz w:val="32"/>
          <w:szCs w:val="32"/>
          <w:highlight w:val="none"/>
        </w:rPr>
      </w:pPr>
      <w:r>
        <w:rPr>
          <w:rFonts w:ascii="宋体" w:hAnsi="宋体"/>
          <w:b/>
          <w:bCs/>
          <w:color w:val="auto"/>
          <w:sz w:val="32"/>
          <w:szCs w:val="32"/>
          <w:highlight w:val="none"/>
        </w:rPr>
        <w:br w:type="page"/>
      </w:r>
      <w:r>
        <w:rPr>
          <w:rFonts w:hint="eastAsia" w:ascii="宋体" w:hAnsi="宋体"/>
          <w:b/>
          <w:bCs/>
          <w:color w:val="auto"/>
          <w:sz w:val="32"/>
          <w:szCs w:val="32"/>
          <w:highlight w:val="none"/>
        </w:rPr>
        <w:t>三、</w:t>
      </w:r>
      <w:r>
        <w:rPr>
          <w:rFonts w:hint="eastAsia" w:ascii="宋体" w:hAnsi="宋体"/>
          <w:b/>
          <w:color w:val="auto"/>
          <w:sz w:val="32"/>
          <w:szCs w:val="32"/>
          <w:highlight w:val="none"/>
        </w:rPr>
        <w:t xml:space="preserve">商务技术文件格式 </w:t>
      </w:r>
    </w:p>
    <w:p w14:paraId="4D448131">
      <w:pPr>
        <w:spacing w:before="12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1.商务技术文件封面格式</w:t>
      </w:r>
    </w:p>
    <w:p w14:paraId="581D099E">
      <w:pPr>
        <w:spacing w:before="12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6D06E3EA">
      <w:pPr>
        <w:spacing w:before="12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3C6268F7">
      <w:pPr>
        <w:spacing w:before="120" w:after="50"/>
        <w:rPr>
          <w:rFonts w:hint="eastAsia" w:ascii="宋体" w:hAnsi="宋体"/>
          <w:color w:val="auto"/>
          <w:sz w:val="24"/>
          <w:szCs w:val="20"/>
          <w:highlight w:val="none"/>
        </w:rPr>
      </w:pPr>
    </w:p>
    <w:p w14:paraId="2661A75F">
      <w:pPr>
        <w:spacing w:before="120" w:after="50"/>
        <w:rPr>
          <w:rFonts w:hint="eastAsia" w:ascii="宋体" w:hAnsi="宋体"/>
          <w:color w:val="auto"/>
          <w:sz w:val="24"/>
          <w:szCs w:val="20"/>
          <w:highlight w:val="none"/>
        </w:rPr>
      </w:pPr>
    </w:p>
    <w:p w14:paraId="0B5EA09C">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484443E2">
      <w:pPr>
        <w:spacing w:before="120" w:after="50"/>
        <w:rPr>
          <w:rFonts w:hint="eastAsia" w:ascii="宋体" w:hAnsi="宋体"/>
          <w:bCs/>
          <w:color w:val="auto"/>
          <w:sz w:val="24"/>
          <w:szCs w:val="20"/>
          <w:highlight w:val="none"/>
        </w:rPr>
      </w:pPr>
    </w:p>
    <w:p w14:paraId="7DED0C51">
      <w:pPr>
        <w:spacing w:before="120" w:after="50"/>
        <w:rPr>
          <w:rFonts w:hint="eastAsia" w:ascii="宋体" w:hAnsi="宋体"/>
          <w:bCs/>
          <w:color w:val="auto"/>
          <w:sz w:val="24"/>
          <w:szCs w:val="20"/>
          <w:highlight w:val="none"/>
        </w:rPr>
      </w:pPr>
    </w:p>
    <w:p w14:paraId="09FE69C1">
      <w:pPr>
        <w:spacing w:before="120" w:after="50"/>
        <w:rPr>
          <w:rFonts w:hint="eastAsia" w:ascii="宋体" w:hAnsi="宋体"/>
          <w:bCs/>
          <w:color w:val="auto"/>
          <w:sz w:val="24"/>
          <w:szCs w:val="20"/>
          <w:highlight w:val="none"/>
        </w:rPr>
      </w:pPr>
    </w:p>
    <w:p w14:paraId="002BBB01">
      <w:pPr>
        <w:spacing w:before="120" w:after="50"/>
        <w:rPr>
          <w:rFonts w:hint="eastAsia" w:ascii="宋体" w:hAnsi="宋体"/>
          <w:bCs/>
          <w:color w:val="auto"/>
          <w:sz w:val="24"/>
          <w:szCs w:val="20"/>
          <w:highlight w:val="none"/>
        </w:rPr>
      </w:pPr>
    </w:p>
    <w:p w14:paraId="28B1B715">
      <w:pPr>
        <w:spacing w:before="120" w:after="50"/>
        <w:rPr>
          <w:rFonts w:hint="eastAsia" w:ascii="宋体" w:hAnsi="宋体"/>
          <w:bCs/>
          <w:color w:val="auto"/>
          <w:sz w:val="24"/>
          <w:szCs w:val="20"/>
          <w:highlight w:val="none"/>
        </w:rPr>
      </w:pPr>
    </w:p>
    <w:p w14:paraId="44C9706E">
      <w:pPr>
        <w:spacing w:before="12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7EEAFEFA">
      <w:pPr>
        <w:spacing w:before="120" w:after="50"/>
        <w:ind w:firstLine="720" w:firstLineChars="225"/>
        <w:rPr>
          <w:rFonts w:hint="eastAsia" w:ascii="宋体" w:hAnsi="宋体" w:cs="仿宋_GB2312"/>
          <w:bCs/>
          <w:color w:val="auto"/>
          <w:sz w:val="32"/>
          <w:szCs w:val="32"/>
          <w:highlight w:val="none"/>
        </w:rPr>
      </w:pPr>
    </w:p>
    <w:p w14:paraId="1844C6EA">
      <w:pPr>
        <w:spacing w:before="12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218FCFDC">
      <w:pPr>
        <w:spacing w:before="12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2525DE06">
      <w:pPr>
        <w:spacing w:before="12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38C36160">
      <w:pPr>
        <w:spacing w:before="120" w:after="50"/>
        <w:ind w:firstLine="720" w:firstLineChars="225"/>
        <w:rPr>
          <w:rFonts w:hint="eastAsia" w:ascii="宋体" w:hAnsi="宋体" w:cs="仿宋_GB2312"/>
          <w:bCs/>
          <w:color w:val="auto"/>
          <w:sz w:val="32"/>
          <w:szCs w:val="32"/>
          <w:highlight w:val="none"/>
        </w:rPr>
      </w:pPr>
    </w:p>
    <w:p w14:paraId="3A7B6782">
      <w:pPr>
        <w:pStyle w:val="7"/>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2B3EB295">
      <w:pPr>
        <w:pStyle w:val="7"/>
        <w:spacing w:before="50" w:after="50"/>
        <w:ind w:firstLine="640" w:firstLineChars="200"/>
        <w:rPr>
          <w:rFonts w:hint="eastAsia" w:ascii="宋体" w:hAnsi="宋体" w:cs="仿宋_GB2312"/>
          <w:bCs/>
          <w:color w:val="auto"/>
          <w:sz w:val="32"/>
          <w:szCs w:val="32"/>
          <w:highlight w:val="none"/>
        </w:rPr>
      </w:pPr>
    </w:p>
    <w:p w14:paraId="1F55B521">
      <w:pPr>
        <w:pStyle w:val="7"/>
        <w:spacing w:before="50" w:after="50"/>
        <w:ind w:firstLine="720" w:firstLineChars="225"/>
        <w:rPr>
          <w:rFonts w:hint="eastAsia" w:ascii="宋体" w:hAnsi="宋体" w:cs="仿宋_GB2312"/>
          <w:bCs/>
          <w:color w:val="auto"/>
          <w:sz w:val="32"/>
          <w:szCs w:val="32"/>
          <w:highlight w:val="none"/>
        </w:rPr>
      </w:pPr>
    </w:p>
    <w:p w14:paraId="361272E7">
      <w:pPr>
        <w:pStyle w:val="7"/>
        <w:spacing w:before="50" w:after="50"/>
        <w:ind w:firstLine="0"/>
        <w:rPr>
          <w:rFonts w:hint="eastAsia" w:ascii="宋体" w:hAnsi="宋体" w:cs="仿宋_GB2312"/>
          <w:bCs/>
          <w:color w:val="auto"/>
          <w:sz w:val="32"/>
          <w:szCs w:val="32"/>
          <w:highlight w:val="none"/>
        </w:rPr>
      </w:pPr>
    </w:p>
    <w:p w14:paraId="7CCEDF6E">
      <w:pPr>
        <w:pStyle w:val="7"/>
        <w:spacing w:before="50" w:after="50"/>
        <w:ind w:firstLine="1280" w:firstLineChars="400"/>
        <w:rPr>
          <w:rFonts w:hint="eastAsia" w:ascii="宋体" w:hAnsi="宋体" w:cs="仿宋_GB2312"/>
          <w:bCs/>
          <w:color w:val="auto"/>
          <w:sz w:val="32"/>
          <w:szCs w:val="32"/>
          <w:highlight w:val="none"/>
        </w:rPr>
      </w:pPr>
    </w:p>
    <w:p w14:paraId="275E8529">
      <w:pPr>
        <w:spacing w:before="12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702735A8">
      <w:pPr>
        <w:spacing w:before="120" w:after="50" w:line="360" w:lineRule="auto"/>
        <w:ind w:right="480" w:firstLine="240" w:firstLineChars="100"/>
        <w:jc w:val="left"/>
        <w:rPr>
          <w:rFonts w:hint="eastAsia" w:ascii="宋体" w:hAnsi="宋体"/>
          <w:b/>
          <w:bCs/>
          <w:color w:val="auto"/>
          <w:sz w:val="24"/>
          <w:highlight w:val="none"/>
        </w:rPr>
      </w:pPr>
      <w:r>
        <w:rPr>
          <w:rFonts w:ascii="宋体" w:hAnsi="宋体"/>
          <w:color w:val="auto"/>
          <w:sz w:val="24"/>
          <w:highlight w:val="none"/>
        </w:rPr>
        <w:br w:type="page"/>
      </w:r>
      <w:r>
        <w:rPr>
          <w:rFonts w:hint="eastAsia" w:ascii="宋体" w:hAnsi="宋体"/>
          <w:b/>
          <w:bCs/>
          <w:color w:val="auto"/>
          <w:sz w:val="32"/>
          <w:szCs w:val="32"/>
          <w:highlight w:val="none"/>
        </w:rPr>
        <w:t>2.商务技术文件目录</w:t>
      </w:r>
    </w:p>
    <w:p w14:paraId="2B425DFA">
      <w:pPr>
        <w:spacing w:before="120" w:after="50" w:line="360" w:lineRule="auto"/>
        <w:ind w:firstLine="640" w:firstLineChars="200"/>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2C1C01AF">
      <w:pPr>
        <w:spacing w:line="400" w:lineRule="exact"/>
        <w:rPr>
          <w:rFonts w:hint="eastAsia" w:ascii="仿宋_GB2312" w:hAnsi="仿宋_GB2312" w:eastAsia="仿宋_GB2312" w:cs="仿宋_GB2312"/>
          <w:color w:val="auto"/>
          <w:sz w:val="32"/>
          <w:szCs w:val="32"/>
          <w:highlight w:val="none"/>
        </w:rPr>
      </w:pPr>
    </w:p>
    <w:p w14:paraId="49796373">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44"/>
          <w:szCs w:val="44"/>
          <w:highlight w:val="none"/>
        </w:rPr>
        <w:t>无串通竞标行为的承诺函</w:t>
      </w:r>
    </w:p>
    <w:p w14:paraId="50E91A8D">
      <w:pPr>
        <w:spacing w:line="360" w:lineRule="auto"/>
        <w:ind w:firstLine="640" w:firstLineChars="200"/>
        <w:contextualSpacing/>
        <w:rPr>
          <w:rFonts w:hint="eastAsia" w:ascii="仿宋_GB2312" w:hAnsi="仿宋_GB2312" w:eastAsia="仿宋_GB2312" w:cs="仿宋_GB2312"/>
          <w:color w:val="auto"/>
          <w:sz w:val="32"/>
          <w:szCs w:val="32"/>
          <w:highlight w:val="none"/>
        </w:rPr>
      </w:pPr>
    </w:p>
    <w:p w14:paraId="19AC8305">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0A2B0A98">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1.不同供应商的响应文件由同一单位或者个人编制；</w:t>
      </w:r>
      <w:r>
        <w:rPr>
          <w:rFonts w:hint="eastAsia" w:ascii="宋体" w:hAnsi="宋体"/>
          <w:color w:val="auto"/>
          <w:sz w:val="24"/>
          <w:highlight w:val="none"/>
        </w:rPr>
        <w:t>或不同供应商报名的IP地址一致的；</w:t>
      </w:r>
    </w:p>
    <w:p w14:paraId="30423067">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7647A852">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361147E1">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4FFF4067">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0E569C11">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2BADFA30">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4C63DE4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2E521CC9">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1F27153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396518A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766E7675">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06C35986">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0F4E1644">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41B8E51A">
      <w:pPr>
        <w:spacing w:line="360" w:lineRule="auto"/>
        <w:ind w:firstLine="480" w:firstLineChars="200"/>
        <w:contextualSpacing/>
        <w:rPr>
          <w:rFonts w:hint="eastAsia" w:ascii="宋体" w:hAnsi="宋体" w:cs="仿宋_GB2312"/>
          <w:color w:val="auto"/>
          <w:sz w:val="24"/>
          <w:highlight w:val="none"/>
        </w:rPr>
      </w:pPr>
    </w:p>
    <w:p w14:paraId="6D39EB56">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62063ABA">
      <w:pPr>
        <w:spacing w:line="360" w:lineRule="auto"/>
        <w:contextualSpacing/>
        <w:rPr>
          <w:rFonts w:hint="eastAsia" w:ascii="宋体" w:hAnsi="宋体" w:cs="仿宋_GB2312"/>
          <w:color w:val="auto"/>
          <w:sz w:val="24"/>
          <w:highlight w:val="none"/>
        </w:rPr>
      </w:pPr>
    </w:p>
    <w:p w14:paraId="2407CE69">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供应商名称（电子签章）：</w:t>
      </w:r>
    </w:p>
    <w:p w14:paraId="5A8647A4">
      <w:pPr>
        <w:spacing w:line="360" w:lineRule="auto"/>
        <w:ind w:firstLine="480" w:firstLineChars="200"/>
        <w:contextualSpacing/>
        <w:jc w:val="center"/>
        <w:rPr>
          <w:rFonts w:hint="eastAsia"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6C7752F0">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法定代表人证明书</w:t>
      </w:r>
    </w:p>
    <w:p w14:paraId="38B5C4C3">
      <w:pPr>
        <w:spacing w:line="360" w:lineRule="auto"/>
        <w:ind w:left="540"/>
        <w:contextualSpacing/>
        <w:rPr>
          <w:rFonts w:hint="eastAsia" w:ascii="仿宋_GB2312" w:hAnsi="仿宋_GB2312" w:eastAsia="仿宋_GB2312" w:cs="仿宋_GB2312"/>
          <w:color w:val="auto"/>
          <w:sz w:val="32"/>
          <w:szCs w:val="32"/>
          <w:highlight w:val="none"/>
        </w:rPr>
      </w:pPr>
    </w:p>
    <w:p w14:paraId="304A452E">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2C4CD579">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1AA63BAE">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764C48F1">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6797315F">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2E4DF20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7F4B2C04">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01E4931D">
      <w:pPr>
        <w:spacing w:line="360" w:lineRule="auto"/>
        <w:ind w:left="540"/>
        <w:contextualSpacing/>
        <w:rPr>
          <w:rFonts w:hint="eastAsia" w:ascii="宋体" w:hAnsi="宋体" w:cs="仿宋_GB2312"/>
          <w:color w:val="auto"/>
          <w:sz w:val="24"/>
          <w:highlight w:val="none"/>
        </w:rPr>
      </w:pPr>
    </w:p>
    <w:p w14:paraId="38EC642D">
      <w:pPr>
        <w:spacing w:line="360" w:lineRule="auto"/>
        <w:ind w:left="540"/>
        <w:contextualSpacing/>
        <w:rPr>
          <w:rFonts w:hint="eastAsia" w:ascii="宋体" w:hAnsi="宋体" w:cs="仿宋_GB2312"/>
          <w:color w:val="auto"/>
          <w:sz w:val="24"/>
          <w:highlight w:val="none"/>
        </w:rPr>
      </w:pPr>
    </w:p>
    <w:p w14:paraId="5FCBE55E">
      <w:pPr>
        <w:spacing w:line="360" w:lineRule="auto"/>
        <w:ind w:left="540"/>
        <w:contextualSpacing/>
        <w:rPr>
          <w:rFonts w:hint="eastAsia" w:ascii="宋体" w:hAnsi="宋体" w:cs="仿宋_GB2312"/>
          <w:color w:val="auto"/>
          <w:sz w:val="24"/>
          <w:highlight w:val="none"/>
        </w:rPr>
      </w:pPr>
    </w:p>
    <w:p w14:paraId="2C2B41E2">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128B42D0">
      <w:pPr>
        <w:spacing w:line="360" w:lineRule="auto"/>
        <w:ind w:left="540"/>
        <w:contextualSpacing/>
        <w:rPr>
          <w:rFonts w:hint="eastAsia" w:ascii="宋体" w:hAnsi="宋体" w:cs="仿宋_GB2312"/>
          <w:color w:val="auto"/>
          <w:sz w:val="24"/>
          <w:highlight w:val="none"/>
        </w:rPr>
      </w:pPr>
    </w:p>
    <w:p w14:paraId="038ED286">
      <w:pPr>
        <w:spacing w:line="360" w:lineRule="auto"/>
        <w:ind w:left="540" w:leftChars="257" w:right="480" w:firstLine="2280" w:firstLineChars="95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供应商名称（电子签章）：</w:t>
      </w:r>
      <w:r>
        <w:rPr>
          <w:rFonts w:hint="eastAsia" w:ascii="宋体" w:hAnsi="宋体" w:cs="仿宋_GB2312"/>
          <w:color w:val="auto"/>
          <w:sz w:val="24"/>
          <w:highlight w:val="none"/>
          <w:u w:val="single"/>
        </w:rPr>
        <w:t xml:space="preserve">               </w:t>
      </w:r>
    </w:p>
    <w:p w14:paraId="192F118F">
      <w:pPr>
        <w:spacing w:line="360" w:lineRule="auto"/>
        <w:ind w:firstLine="5040" w:firstLineChars="2100"/>
        <w:contextualSpacing/>
        <w:rPr>
          <w:rFonts w:hint="eastAsia" w:ascii="宋体" w:hAnsi="宋体" w:cs="仿宋_GB2312"/>
          <w:color w:val="auto"/>
          <w:sz w:val="24"/>
          <w:highlight w:val="none"/>
        </w:rPr>
      </w:pP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月</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日</w:t>
      </w:r>
    </w:p>
    <w:p w14:paraId="3DC15B3D">
      <w:pPr>
        <w:spacing w:line="360" w:lineRule="auto"/>
        <w:contextualSpacing/>
        <w:jc w:val="center"/>
        <w:rPr>
          <w:rFonts w:hint="eastAsia" w:ascii="宋体" w:hAnsi="宋体" w:cs="仿宋_GB2312"/>
          <w:b/>
          <w:color w:val="auto"/>
          <w:sz w:val="24"/>
          <w:highlight w:val="none"/>
        </w:rPr>
      </w:pPr>
    </w:p>
    <w:p w14:paraId="3DD60728">
      <w:pPr>
        <w:spacing w:line="360" w:lineRule="auto"/>
        <w:contextualSpacing/>
        <w:jc w:val="left"/>
        <w:rPr>
          <w:rFonts w:hint="eastAsia" w:ascii="宋体" w:hAnsi="宋体" w:cs="仿宋_GB2312"/>
          <w:color w:val="auto"/>
          <w:sz w:val="24"/>
          <w:highlight w:val="none"/>
        </w:rPr>
      </w:pPr>
    </w:p>
    <w:p w14:paraId="56DD54C2">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注：自然人竞标的无需提供，联合体竞标的只需牵头人出具。</w:t>
      </w:r>
    </w:p>
    <w:p w14:paraId="04097E68">
      <w:pPr>
        <w:spacing w:line="300" w:lineRule="auto"/>
        <w:jc w:val="left"/>
        <w:rPr>
          <w:rFonts w:hint="eastAsia" w:ascii="宋体" w:hAnsi="宋体"/>
          <w:b/>
          <w:color w:val="auto"/>
          <w:szCs w:val="21"/>
          <w:highlight w:val="none"/>
        </w:rPr>
      </w:pPr>
    </w:p>
    <w:p w14:paraId="7B430CC8">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ascii="方正小标宋简体" w:hAnsi="方正小标宋简体" w:eastAsia="方正小标宋简体" w:cs="方正小标宋简体"/>
          <w:color w:val="auto"/>
          <w:sz w:val="44"/>
          <w:szCs w:val="44"/>
          <w:highlight w:val="none"/>
        </w:rPr>
        <w:t xml:space="preserve"> </w:t>
      </w:r>
    </w:p>
    <w:p w14:paraId="564E4CEA">
      <w:pPr>
        <w:spacing w:line="520" w:lineRule="exact"/>
        <w:jc w:val="center"/>
        <w:rPr>
          <w:rFonts w:hint="eastAsia" w:ascii="方正小标宋简体" w:hAnsi="方正小标宋简体" w:eastAsia="方正小标宋简体" w:cs="方正小标宋简体"/>
          <w:color w:val="auto"/>
          <w:sz w:val="44"/>
          <w:szCs w:val="44"/>
          <w:highlight w:val="none"/>
        </w:rPr>
      </w:pPr>
      <w:bookmarkStart w:id="103" w:name="_Hlk65853643"/>
      <w:r>
        <w:rPr>
          <w:rFonts w:hint="eastAsia" w:ascii="方正小标宋简体" w:hAnsi="方正小标宋简体" w:eastAsia="方正小标宋简体" w:cs="方正小标宋简体"/>
          <w:color w:val="auto"/>
          <w:sz w:val="44"/>
          <w:szCs w:val="44"/>
          <w:highlight w:val="none"/>
        </w:rPr>
        <w:t>授权委托书</w:t>
      </w:r>
    </w:p>
    <w:p w14:paraId="14E99B61">
      <w:pPr>
        <w:spacing w:line="520" w:lineRule="exact"/>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（非联合体竞标格式）</w:t>
      </w:r>
    </w:p>
    <w:p w14:paraId="60FAA111">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0A01F84C">
      <w:pPr>
        <w:spacing w:line="520" w:lineRule="exact"/>
        <w:rPr>
          <w:rFonts w:hint="eastAsia" w:ascii="仿宋_GB2312" w:hAnsi="仿宋_GB2312" w:eastAsia="仿宋_GB2312" w:cs="仿宋_GB2312"/>
          <w:color w:val="auto"/>
          <w:sz w:val="32"/>
          <w:szCs w:val="32"/>
          <w:highlight w:val="none"/>
        </w:rPr>
      </w:pPr>
    </w:p>
    <w:p w14:paraId="089F3D66">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600337F6">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sym w:font="Wingdings 2" w:char="00A3"/>
      </w:r>
      <w:r>
        <w:rPr>
          <w:rFonts w:hint="eastAsia" w:ascii="宋体" w:hAnsi="宋体" w:cs="仿宋_GB2312"/>
          <w:color w:val="auto"/>
          <w:sz w:val="24"/>
          <w:highlight w:val="none"/>
          <w:u w:val="single"/>
        </w:rPr>
        <w:t>法定代表人/□负责人/□自然人本人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7686C443">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2B242DC3">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25FC4937">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5A917F5F">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1AD048CA">
      <w:pPr>
        <w:spacing w:line="360" w:lineRule="auto"/>
        <w:rPr>
          <w:rFonts w:hint="eastAsia" w:ascii="宋体" w:hAnsi="宋体" w:cs="仿宋_GB2312"/>
          <w:color w:val="auto"/>
          <w:sz w:val="24"/>
          <w:highlight w:val="none"/>
        </w:rPr>
      </w:pPr>
    </w:p>
    <w:p w14:paraId="438528BA">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签字或者电子签名</w:t>
      </w:r>
      <w:r>
        <w:rPr>
          <w:rFonts w:hint="eastAsia" w:ascii="宋体" w:hAnsi="宋体" w:cs="仿宋_GB2312"/>
          <w:color w:val="auto"/>
          <w:sz w:val="24"/>
          <w:highlight w:val="none"/>
        </w:rPr>
        <w:t xml:space="preserve">）：     </w:t>
      </w:r>
    </w:p>
    <w:p w14:paraId="66783C03">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法定代表人（签字或者盖章或者电子签名）：                    </w:t>
      </w:r>
    </w:p>
    <w:p w14:paraId="2DA33421">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6913A52F">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31B4FC0E">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供应商名称（电子签章）：                      </w:t>
      </w:r>
    </w:p>
    <w:p w14:paraId="073661DB">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4C54CDF3">
      <w:pPr>
        <w:spacing w:line="360" w:lineRule="auto"/>
        <w:rPr>
          <w:rFonts w:hint="eastAsia" w:ascii="宋体" w:hAnsi="宋体" w:cs="仿宋_GB2312"/>
          <w:color w:val="auto"/>
          <w:sz w:val="24"/>
          <w:highlight w:val="none"/>
        </w:rPr>
      </w:pPr>
    </w:p>
    <w:p w14:paraId="6C6DB060">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注：1. 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否则其响应文件按无效响应处理。</w:t>
      </w:r>
    </w:p>
    <w:p w14:paraId="47144F8E">
      <w:pPr>
        <w:spacing w:line="360" w:lineRule="auto"/>
        <w:ind w:firstLine="480" w:firstLineChars="200"/>
        <w:jc w:val="left"/>
        <w:rPr>
          <w:rFonts w:hint="eastAsia" w:ascii="宋体" w:hAnsi="宋体" w:cs="仿宋_GB2312"/>
          <w:color w:val="auto"/>
          <w:sz w:val="24"/>
          <w:highlight w:val="none"/>
        </w:rPr>
      </w:pPr>
      <w:r>
        <w:rPr>
          <w:rFonts w:ascii="宋体" w:hAnsi="宋体" w:cs="仿宋_GB2312"/>
          <w:color w:val="auto"/>
          <w:sz w:val="24"/>
          <w:highlight w:val="none"/>
        </w:rPr>
        <w:t>2.</w:t>
      </w:r>
      <w:bookmarkStart w:id="104" w:name="_Hlk65853109"/>
      <w:bookmarkStart w:id="105" w:name="_Hlk65853542"/>
      <w:r>
        <w:rPr>
          <w:rFonts w:hint="eastAsia" w:ascii="宋体" w:hAnsi="宋体" w:cs="仿宋_GB2312"/>
          <w:color w:val="auto"/>
          <w:sz w:val="24"/>
          <w:highlight w:val="none"/>
        </w:rPr>
        <w:t>法人、其他组织竞标时“我方”是指“我单位”，自然人竞标时“我方”是指“本人”。</w:t>
      </w:r>
      <w:bookmarkEnd w:id="104"/>
    </w:p>
    <w:bookmarkEnd w:id="105"/>
    <w:p w14:paraId="713CDE03">
      <w:pPr>
        <w:spacing w:line="360" w:lineRule="auto"/>
        <w:ind w:firstLine="420" w:firstLineChars="200"/>
        <w:jc w:val="left"/>
        <w:rPr>
          <w:rFonts w:hint="eastAsia" w:ascii="仿宋_GB2312" w:hAnsi="仿宋_GB2312" w:eastAsia="仿宋_GB2312" w:cs="仿宋_GB2312"/>
          <w:color w:val="auto"/>
          <w:szCs w:val="21"/>
          <w:highlight w:val="none"/>
        </w:rPr>
      </w:pPr>
    </w:p>
    <w:p w14:paraId="471E1AB7">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ascii="仿宋_GB2312" w:hAnsi="仿宋_GB2312" w:eastAsia="仿宋_GB2312" w:cs="仿宋_GB2312"/>
          <w:color w:val="auto"/>
          <w:szCs w:val="21"/>
          <w:highlight w:val="none"/>
        </w:rPr>
        <w:br w:type="page"/>
      </w:r>
      <w:r>
        <w:rPr>
          <w:rFonts w:hint="eastAsia" w:ascii="方正小标宋简体" w:hAnsi="方正小标宋简体" w:eastAsia="方正小标宋简体" w:cs="方正小标宋简体"/>
          <w:color w:val="auto"/>
          <w:sz w:val="44"/>
          <w:szCs w:val="44"/>
          <w:highlight w:val="none"/>
        </w:rPr>
        <w:t>授权委托书</w:t>
      </w:r>
    </w:p>
    <w:p w14:paraId="68F3C19C">
      <w:pPr>
        <w:spacing w:line="500" w:lineRule="exact"/>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（联合体竞标格式）</w:t>
      </w:r>
    </w:p>
    <w:p w14:paraId="6A57636C">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358E19B3">
      <w:pPr>
        <w:spacing w:line="500" w:lineRule="exact"/>
        <w:jc w:val="center"/>
        <w:rPr>
          <w:rFonts w:hint="eastAsia" w:ascii="方正小标宋简体" w:hAnsi="方正小标宋简体" w:eastAsia="方正小标宋简体" w:cs="方正小标宋简体"/>
          <w:color w:val="auto"/>
          <w:sz w:val="44"/>
          <w:szCs w:val="44"/>
          <w:highlight w:val="none"/>
        </w:rPr>
      </w:pPr>
    </w:p>
    <w:p w14:paraId="277CBE59">
      <w:pPr>
        <w:spacing w:line="500" w:lineRule="exact"/>
        <w:jc w:val="center"/>
        <w:rPr>
          <w:rFonts w:hint="eastAsia" w:ascii="仿宋_GB2312" w:hAnsi="仿宋_GB2312" w:eastAsia="仿宋_GB2312" w:cs="仿宋_GB2312"/>
          <w:color w:val="auto"/>
          <w:sz w:val="32"/>
          <w:szCs w:val="32"/>
          <w:highlight w:val="none"/>
        </w:rPr>
      </w:pPr>
    </w:p>
    <w:p w14:paraId="779F1965">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本授权委托书声明：根据</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（牵头人名称）与</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（联合体其他成员名称）签订的《联合体竞标协议书》的内容，</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（牵头人名称）的法定代表人</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（姓名）现授权</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（姓名）为联合委托代理人，并代表我方全权办理针对上述项目的所有采购程序和环节的具体事务和签署相关文件。</w:t>
      </w:r>
    </w:p>
    <w:p w14:paraId="2D9E3952">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我方对委托代理人的</w:t>
      </w:r>
      <w:r>
        <w:rPr>
          <w:rFonts w:hint="eastAsia" w:ascii="宋体" w:hAnsi="宋体"/>
          <w:color w:val="auto"/>
          <w:sz w:val="24"/>
          <w:highlight w:val="none"/>
        </w:rPr>
        <w:t>签字或者电子签名</w:t>
      </w:r>
      <w:r>
        <w:rPr>
          <w:rFonts w:hint="eastAsia" w:ascii="宋体" w:hAnsi="宋体" w:cs="仿宋_GB2312"/>
          <w:color w:val="auto"/>
          <w:sz w:val="24"/>
          <w:highlight w:val="none"/>
        </w:rPr>
        <w:t>事项负全部责任。</w:t>
      </w:r>
    </w:p>
    <w:p w14:paraId="2A09BB8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526D1C56">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3EE502B5">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附：法定代表人身份证明书及委托代理人有效身份证正反面复印件</w:t>
      </w:r>
    </w:p>
    <w:p w14:paraId="72A5B012">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牵头人法定代表人（签字或者盖章或者电子签名）：</w:t>
      </w:r>
    </w:p>
    <w:p w14:paraId="596085F8">
      <w:pPr>
        <w:spacing w:line="360" w:lineRule="auto"/>
        <w:ind w:firstLine="3120" w:firstLineChars="1300"/>
        <w:contextualSpacing/>
        <w:rPr>
          <w:rFonts w:hint="eastAsia" w:ascii="宋体" w:hAnsi="宋体" w:cs="仿宋_GB2312"/>
          <w:color w:val="auto"/>
          <w:sz w:val="24"/>
          <w:highlight w:val="none"/>
        </w:rPr>
      </w:pPr>
      <w:r>
        <w:rPr>
          <w:rFonts w:hint="eastAsia" w:ascii="宋体" w:hAnsi="宋体" w:cs="仿宋_GB2312"/>
          <w:color w:val="auto"/>
          <w:sz w:val="24"/>
          <w:highlight w:val="none"/>
        </w:rPr>
        <w:t>牵头人名称（电子签章）：</w:t>
      </w:r>
    </w:p>
    <w:p w14:paraId="6700566E">
      <w:pPr>
        <w:spacing w:line="360" w:lineRule="auto"/>
        <w:ind w:firstLine="3840" w:firstLineChars="16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1300A3EA">
      <w:pPr>
        <w:spacing w:line="360" w:lineRule="auto"/>
        <w:contextualSpacing/>
        <w:rPr>
          <w:rFonts w:hint="eastAsia" w:ascii="宋体" w:hAnsi="宋体" w:cs="仿宋_GB2312"/>
          <w:color w:val="auto"/>
          <w:sz w:val="24"/>
          <w:highlight w:val="none"/>
        </w:rPr>
      </w:pPr>
    </w:p>
    <w:p w14:paraId="1A9CF558">
      <w:pPr>
        <w:spacing w:line="360" w:lineRule="auto"/>
        <w:ind w:firstLine="3120" w:firstLineChars="1300"/>
        <w:contextualSpacing/>
        <w:rPr>
          <w:rFonts w:hint="eastAsia" w:ascii="宋体" w:hAnsi="宋体" w:cs="仿宋_GB2312"/>
          <w:color w:val="auto"/>
          <w:sz w:val="24"/>
          <w:highlight w:val="none"/>
        </w:rPr>
      </w:pPr>
      <w:r>
        <w:rPr>
          <w:rFonts w:hint="eastAsia" w:ascii="宋体" w:hAnsi="宋体" w:cs="仿宋_GB2312"/>
          <w:color w:val="auto"/>
          <w:sz w:val="24"/>
          <w:highlight w:val="none"/>
        </w:rPr>
        <w:t>被授权人（签字或者电子签名）：</w:t>
      </w:r>
    </w:p>
    <w:p w14:paraId="127CE054">
      <w:pPr>
        <w:spacing w:line="360" w:lineRule="auto"/>
        <w:ind w:firstLine="3840" w:firstLineChars="16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5BB6A233">
      <w:pPr>
        <w:spacing w:line="360" w:lineRule="auto"/>
        <w:contextualSpacing/>
        <w:rPr>
          <w:rFonts w:hint="eastAsia" w:ascii="宋体" w:hAnsi="宋体" w:cs="仿宋_GB2312"/>
          <w:color w:val="auto"/>
          <w:sz w:val="24"/>
          <w:highlight w:val="none"/>
        </w:rPr>
      </w:pPr>
    </w:p>
    <w:p w14:paraId="08795466">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注：1. 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否则其响应文件按无效响应处理。</w:t>
      </w:r>
    </w:p>
    <w:p w14:paraId="31A786AD">
      <w:pPr>
        <w:spacing w:line="360" w:lineRule="auto"/>
        <w:ind w:firstLine="480" w:firstLineChars="200"/>
        <w:jc w:val="left"/>
        <w:rPr>
          <w:rFonts w:hint="eastAsia" w:ascii="宋体" w:hAnsi="宋体" w:cs="仿宋_GB2312"/>
          <w:color w:val="auto"/>
          <w:spacing w:val="-11"/>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法人、其他组织竞标时“我方”是指“我单位”，自然人竞标时“我方”是指“本人”。</w:t>
      </w:r>
    </w:p>
    <w:bookmarkEnd w:id="103"/>
    <w:p w14:paraId="02E6687A">
      <w:pPr>
        <w:spacing w:line="500" w:lineRule="exact"/>
        <w:jc w:val="center"/>
        <w:rPr>
          <w:rFonts w:hint="eastAsia" w:ascii="方正小标宋简体" w:hAnsi="方正小标宋简体" w:eastAsia="方正小标宋简体" w:cs="方正小标宋简体"/>
          <w:bCs/>
          <w:color w:val="auto"/>
          <w:sz w:val="44"/>
          <w:szCs w:val="44"/>
          <w:highlight w:val="none"/>
        </w:rPr>
      </w:pPr>
      <w:r>
        <w:rPr>
          <w:rFonts w:hint="eastAsia" w:ascii="仿宋_GB2312" w:hAnsi="仿宋_GB2312" w:eastAsia="仿宋_GB2312" w:cs="仿宋_GB2312"/>
          <w:color w:val="auto"/>
          <w:sz w:val="32"/>
          <w:szCs w:val="32"/>
          <w:highlight w:val="none"/>
        </w:rPr>
        <w:br w:type="page"/>
      </w:r>
      <w:r>
        <w:rPr>
          <w:rFonts w:hint="eastAsia" w:ascii="方正小标宋简体" w:hAnsi="方正小标宋简体" w:eastAsia="方正小标宋简体" w:cs="方正小标宋简体"/>
          <w:bCs/>
          <w:color w:val="auto"/>
          <w:sz w:val="44"/>
          <w:szCs w:val="44"/>
          <w:highlight w:val="none"/>
        </w:rPr>
        <w:t>商务要求偏离表格式</w:t>
      </w:r>
    </w:p>
    <w:p w14:paraId="5C42CAB0">
      <w:pPr>
        <w:spacing w:line="360" w:lineRule="auto"/>
        <w:contextualSpacing/>
        <w:jc w:val="left"/>
        <w:rPr>
          <w:rFonts w:hint="eastAsia" w:ascii="宋体" w:hAnsi="宋体"/>
          <w:color w:val="auto"/>
          <w:sz w:val="24"/>
          <w:highlight w:val="none"/>
        </w:rPr>
      </w:pPr>
    </w:p>
    <w:p w14:paraId="0966AEE4">
      <w:pPr>
        <w:pStyle w:val="15"/>
        <w:spacing w:line="360" w:lineRule="auto"/>
        <w:contextualSpacing/>
        <w:rPr>
          <w:rFonts w:hint="eastAsia" w:hAnsi="宋体" w:cs="仿宋_GB2312"/>
          <w:color w:val="auto"/>
          <w:sz w:val="24"/>
          <w:szCs w:val="24"/>
          <w:highlight w:val="none"/>
        </w:rPr>
      </w:pPr>
      <w:r>
        <w:rPr>
          <w:rFonts w:hint="eastAsia" w:hAnsi="宋体" w:cs="仿宋_GB2312"/>
          <w:color w:val="auto"/>
          <w:sz w:val="24"/>
          <w:szCs w:val="24"/>
          <w:highlight w:val="none"/>
        </w:rPr>
        <w:t>所竞分标：</w:t>
      </w:r>
      <w:r>
        <w:rPr>
          <w:rFonts w:hint="eastAsia" w:hAnsi="宋体" w:cs="仿宋_GB2312"/>
          <w:color w:val="auto"/>
          <w:sz w:val="24"/>
          <w:szCs w:val="24"/>
          <w:highlight w:val="none"/>
          <w:u w:val="single"/>
        </w:rPr>
        <w:t xml:space="preserve">              </w:t>
      </w:r>
    </w:p>
    <w:p w14:paraId="435008FD">
      <w:pPr>
        <w:spacing w:line="360" w:lineRule="auto"/>
        <w:contextualSpacing/>
        <w:jc w:val="left"/>
        <w:rPr>
          <w:rFonts w:hint="eastAsia" w:ascii="宋体" w:hAnsi="宋体" w:cs="仿宋_GB2312"/>
          <w:color w:val="auto"/>
          <w:sz w:val="24"/>
          <w:highlight w:val="none"/>
          <w:u w:val="single"/>
        </w:rPr>
      </w:pPr>
    </w:p>
    <w:tbl>
      <w:tblPr>
        <w:tblStyle w:val="24"/>
        <w:tblpPr w:leftFromText="180" w:rightFromText="180" w:vertAnchor="text" w:horzAnchor="margin" w:tblpY="-9"/>
        <w:tblOverlap w:val="never"/>
        <w:tblW w:w="9308" w:type="dxa"/>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350"/>
        <w:gridCol w:w="2112"/>
      </w:tblGrid>
      <w:tr w14:paraId="2FD350C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000000" w:sz="4" w:space="0"/>
              <w:left w:val="single" w:color="000000" w:sz="4" w:space="0"/>
              <w:bottom w:val="single" w:color="000000" w:sz="4" w:space="0"/>
              <w:right w:val="single" w:color="000000" w:sz="4" w:space="0"/>
            </w:tcBorders>
            <w:vAlign w:val="center"/>
          </w:tcPr>
          <w:p w14:paraId="7075B989">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p>
        </w:tc>
        <w:tc>
          <w:tcPr>
            <w:tcW w:w="2668" w:type="dxa"/>
            <w:tcBorders>
              <w:top w:val="single" w:color="000000" w:sz="4" w:space="0"/>
              <w:left w:val="single" w:color="000000" w:sz="4" w:space="0"/>
              <w:bottom w:val="single" w:color="000000" w:sz="4" w:space="0"/>
              <w:right w:val="single" w:color="000000" w:sz="4" w:space="0"/>
            </w:tcBorders>
            <w:vAlign w:val="center"/>
          </w:tcPr>
          <w:p w14:paraId="6F5B9EA0">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磋商文件商务要求</w:t>
            </w:r>
          </w:p>
        </w:tc>
        <w:tc>
          <w:tcPr>
            <w:tcW w:w="2350" w:type="dxa"/>
            <w:tcBorders>
              <w:top w:val="single" w:color="000000" w:sz="4" w:space="0"/>
              <w:left w:val="single" w:color="000000" w:sz="4" w:space="0"/>
              <w:bottom w:val="single" w:color="000000" w:sz="4" w:space="0"/>
              <w:right w:val="single" w:color="000000" w:sz="4" w:space="0"/>
            </w:tcBorders>
            <w:vAlign w:val="center"/>
          </w:tcPr>
          <w:p w14:paraId="28E142A8">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2112" w:type="dxa"/>
            <w:tcBorders>
              <w:top w:val="single" w:color="000000" w:sz="4" w:space="0"/>
              <w:left w:val="single" w:color="000000" w:sz="4" w:space="0"/>
              <w:bottom w:val="single" w:color="000000" w:sz="4" w:space="0"/>
              <w:right w:val="single" w:color="000000" w:sz="4" w:space="0"/>
            </w:tcBorders>
            <w:vAlign w:val="center"/>
          </w:tcPr>
          <w:p w14:paraId="64C6FB79">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58CF705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000000" w:sz="4" w:space="0"/>
              <w:left w:val="single" w:color="000000" w:sz="4" w:space="0"/>
              <w:bottom w:val="single" w:color="000000" w:sz="4" w:space="0"/>
              <w:right w:val="single" w:color="000000" w:sz="4" w:space="0"/>
            </w:tcBorders>
            <w:vAlign w:val="center"/>
          </w:tcPr>
          <w:p w14:paraId="5F4C16D6">
            <w:pPr>
              <w:jc w:val="center"/>
              <w:rPr>
                <w:rFonts w:hint="eastAsia" w:ascii="宋体" w:hAnsi="宋体"/>
                <w:color w:val="auto"/>
                <w:sz w:val="24"/>
                <w:highlight w:val="none"/>
              </w:rPr>
            </w:pPr>
            <w:r>
              <w:rPr>
                <w:rFonts w:hint="eastAsia" w:ascii="宋体" w:hAnsi="宋体"/>
                <w:color w:val="auto"/>
                <w:szCs w:val="21"/>
                <w:highlight w:val="none"/>
              </w:rPr>
              <w:t>合同签订时间</w:t>
            </w:r>
          </w:p>
        </w:tc>
        <w:tc>
          <w:tcPr>
            <w:tcW w:w="2668" w:type="dxa"/>
            <w:tcBorders>
              <w:top w:val="single" w:color="000000" w:sz="4" w:space="0"/>
              <w:left w:val="single" w:color="000000" w:sz="4" w:space="0"/>
              <w:bottom w:val="single" w:color="000000" w:sz="4" w:space="0"/>
              <w:right w:val="single" w:color="000000" w:sz="4" w:space="0"/>
            </w:tcBorders>
            <w:vAlign w:val="center"/>
          </w:tcPr>
          <w:p w14:paraId="0514E95C">
            <w:pPr>
              <w:spacing w:line="360" w:lineRule="auto"/>
              <w:contextualSpacing/>
              <w:jc w:val="center"/>
              <w:rPr>
                <w:rFonts w:hint="eastAsia" w:ascii="宋体" w:hAnsi="宋体" w:cs="仿宋_GB2312"/>
                <w:color w:val="auto"/>
                <w:sz w:val="24"/>
                <w:highlight w:val="none"/>
              </w:rPr>
            </w:pPr>
          </w:p>
        </w:tc>
        <w:tc>
          <w:tcPr>
            <w:tcW w:w="2350" w:type="dxa"/>
            <w:tcBorders>
              <w:top w:val="single" w:color="000000" w:sz="4" w:space="0"/>
              <w:left w:val="single" w:color="000000" w:sz="4" w:space="0"/>
              <w:bottom w:val="single" w:color="000000" w:sz="4" w:space="0"/>
              <w:right w:val="single" w:color="000000" w:sz="4" w:space="0"/>
            </w:tcBorders>
            <w:vAlign w:val="center"/>
          </w:tcPr>
          <w:p w14:paraId="0E492B31">
            <w:pPr>
              <w:spacing w:line="360" w:lineRule="auto"/>
              <w:contextualSpacing/>
              <w:jc w:val="center"/>
              <w:rPr>
                <w:rFonts w:hint="eastAsia" w:ascii="宋体" w:hAnsi="宋体" w:cs="仿宋_GB2312"/>
                <w:color w:val="auto"/>
                <w:sz w:val="24"/>
                <w:highlight w:val="none"/>
              </w:rPr>
            </w:pPr>
          </w:p>
        </w:tc>
        <w:tc>
          <w:tcPr>
            <w:tcW w:w="2112" w:type="dxa"/>
            <w:tcBorders>
              <w:top w:val="single" w:color="000000" w:sz="4" w:space="0"/>
              <w:left w:val="single" w:color="000000" w:sz="4" w:space="0"/>
              <w:bottom w:val="single" w:color="000000" w:sz="4" w:space="0"/>
              <w:right w:val="single" w:color="000000" w:sz="4" w:space="0"/>
            </w:tcBorders>
            <w:vAlign w:val="center"/>
          </w:tcPr>
          <w:p w14:paraId="280AB631">
            <w:pPr>
              <w:spacing w:line="360" w:lineRule="auto"/>
              <w:contextualSpacing/>
              <w:jc w:val="center"/>
              <w:rPr>
                <w:rFonts w:hint="eastAsia" w:ascii="宋体" w:hAnsi="宋体" w:cs="仿宋_GB2312"/>
                <w:color w:val="auto"/>
                <w:sz w:val="24"/>
                <w:highlight w:val="none"/>
              </w:rPr>
            </w:pPr>
          </w:p>
        </w:tc>
      </w:tr>
      <w:tr w14:paraId="29155EF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000000" w:sz="4" w:space="0"/>
              <w:left w:val="single" w:color="000000" w:sz="4" w:space="0"/>
              <w:bottom w:val="single" w:color="000000" w:sz="4" w:space="0"/>
              <w:right w:val="single" w:color="000000" w:sz="4" w:space="0"/>
            </w:tcBorders>
            <w:vAlign w:val="center"/>
          </w:tcPr>
          <w:p w14:paraId="119F6E3D">
            <w:pPr>
              <w:jc w:val="center"/>
              <w:rPr>
                <w:rFonts w:hint="eastAsia" w:ascii="宋体" w:hAnsi="宋体"/>
                <w:color w:val="auto"/>
                <w:sz w:val="24"/>
                <w:highlight w:val="none"/>
              </w:rPr>
            </w:pPr>
            <w:r>
              <w:rPr>
                <w:rFonts w:hint="eastAsia" w:ascii="宋体" w:hAnsi="宋体"/>
                <w:color w:val="auto"/>
                <w:szCs w:val="21"/>
                <w:highlight w:val="none"/>
              </w:rPr>
              <w:t>合同履行期限及地点</w:t>
            </w:r>
          </w:p>
        </w:tc>
        <w:tc>
          <w:tcPr>
            <w:tcW w:w="2668" w:type="dxa"/>
            <w:tcBorders>
              <w:top w:val="single" w:color="000000" w:sz="4" w:space="0"/>
              <w:left w:val="single" w:color="000000" w:sz="4" w:space="0"/>
              <w:bottom w:val="single" w:color="000000" w:sz="4" w:space="0"/>
              <w:right w:val="single" w:color="000000" w:sz="4" w:space="0"/>
            </w:tcBorders>
            <w:vAlign w:val="center"/>
          </w:tcPr>
          <w:p w14:paraId="2C54D73A">
            <w:pPr>
              <w:spacing w:line="360" w:lineRule="auto"/>
              <w:contextualSpacing/>
              <w:jc w:val="center"/>
              <w:rPr>
                <w:rFonts w:hint="eastAsia" w:ascii="宋体" w:hAnsi="宋体" w:cs="仿宋_GB2312"/>
                <w:color w:val="auto"/>
                <w:sz w:val="24"/>
                <w:highlight w:val="none"/>
              </w:rPr>
            </w:pPr>
          </w:p>
        </w:tc>
        <w:tc>
          <w:tcPr>
            <w:tcW w:w="2350" w:type="dxa"/>
            <w:tcBorders>
              <w:top w:val="single" w:color="000000" w:sz="4" w:space="0"/>
              <w:left w:val="single" w:color="000000" w:sz="4" w:space="0"/>
              <w:bottom w:val="single" w:color="000000" w:sz="4" w:space="0"/>
              <w:right w:val="single" w:color="000000" w:sz="4" w:space="0"/>
            </w:tcBorders>
            <w:vAlign w:val="center"/>
          </w:tcPr>
          <w:p w14:paraId="4DD1A755">
            <w:pPr>
              <w:spacing w:line="360" w:lineRule="auto"/>
              <w:ind w:left="43"/>
              <w:contextualSpacing/>
              <w:jc w:val="center"/>
              <w:rPr>
                <w:rFonts w:hint="eastAsia" w:ascii="宋体" w:hAnsi="宋体" w:cs="仿宋_GB2312"/>
                <w:color w:val="auto"/>
                <w:sz w:val="24"/>
                <w:highlight w:val="none"/>
              </w:rPr>
            </w:pPr>
          </w:p>
        </w:tc>
        <w:tc>
          <w:tcPr>
            <w:tcW w:w="2112" w:type="dxa"/>
            <w:tcBorders>
              <w:top w:val="single" w:color="000000" w:sz="4" w:space="0"/>
              <w:left w:val="single" w:color="000000" w:sz="4" w:space="0"/>
              <w:bottom w:val="single" w:color="000000" w:sz="4" w:space="0"/>
              <w:right w:val="single" w:color="000000" w:sz="4" w:space="0"/>
            </w:tcBorders>
            <w:vAlign w:val="center"/>
          </w:tcPr>
          <w:p w14:paraId="7F0D4ADB">
            <w:pPr>
              <w:spacing w:line="360" w:lineRule="auto"/>
              <w:ind w:left="43"/>
              <w:contextualSpacing/>
              <w:jc w:val="center"/>
              <w:rPr>
                <w:rFonts w:hint="eastAsia" w:ascii="宋体" w:hAnsi="宋体" w:cs="仿宋_GB2312"/>
                <w:color w:val="auto"/>
                <w:sz w:val="24"/>
                <w:highlight w:val="none"/>
              </w:rPr>
            </w:pPr>
          </w:p>
        </w:tc>
      </w:tr>
      <w:tr w14:paraId="33EA289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000000" w:sz="4" w:space="0"/>
              <w:left w:val="single" w:color="000000" w:sz="4" w:space="0"/>
              <w:bottom w:val="single" w:color="000000" w:sz="4" w:space="0"/>
              <w:right w:val="single" w:color="000000" w:sz="4" w:space="0"/>
            </w:tcBorders>
            <w:vAlign w:val="center"/>
          </w:tcPr>
          <w:p w14:paraId="0E987502">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w:t>
            </w:r>
          </w:p>
        </w:tc>
        <w:tc>
          <w:tcPr>
            <w:tcW w:w="2668" w:type="dxa"/>
            <w:tcBorders>
              <w:top w:val="single" w:color="000000" w:sz="4" w:space="0"/>
              <w:left w:val="single" w:color="000000" w:sz="4" w:space="0"/>
              <w:bottom w:val="single" w:color="000000" w:sz="4" w:space="0"/>
              <w:right w:val="single" w:color="000000" w:sz="4" w:space="0"/>
            </w:tcBorders>
            <w:vAlign w:val="center"/>
          </w:tcPr>
          <w:p w14:paraId="09CD7CEF">
            <w:pPr>
              <w:spacing w:line="360" w:lineRule="auto"/>
              <w:contextualSpacing/>
              <w:jc w:val="center"/>
              <w:rPr>
                <w:rFonts w:hint="eastAsia" w:ascii="宋体" w:hAnsi="宋体" w:cs="仿宋_GB2312"/>
                <w:color w:val="auto"/>
                <w:sz w:val="24"/>
                <w:highlight w:val="none"/>
              </w:rPr>
            </w:pPr>
          </w:p>
        </w:tc>
        <w:tc>
          <w:tcPr>
            <w:tcW w:w="2350" w:type="dxa"/>
            <w:tcBorders>
              <w:top w:val="single" w:color="000000" w:sz="4" w:space="0"/>
              <w:left w:val="single" w:color="000000" w:sz="4" w:space="0"/>
              <w:bottom w:val="single" w:color="000000" w:sz="4" w:space="0"/>
              <w:right w:val="single" w:color="000000" w:sz="4" w:space="0"/>
            </w:tcBorders>
            <w:vAlign w:val="center"/>
          </w:tcPr>
          <w:p w14:paraId="2B3EA0F0">
            <w:pPr>
              <w:spacing w:line="360" w:lineRule="auto"/>
              <w:contextualSpacing/>
              <w:jc w:val="center"/>
              <w:rPr>
                <w:rFonts w:hint="eastAsia" w:ascii="宋体" w:hAnsi="宋体" w:cs="仿宋_GB2312"/>
                <w:color w:val="auto"/>
                <w:sz w:val="24"/>
                <w:highlight w:val="none"/>
              </w:rPr>
            </w:pPr>
          </w:p>
        </w:tc>
        <w:tc>
          <w:tcPr>
            <w:tcW w:w="2112" w:type="dxa"/>
            <w:tcBorders>
              <w:top w:val="single" w:color="000000" w:sz="4" w:space="0"/>
              <w:left w:val="single" w:color="000000" w:sz="4" w:space="0"/>
              <w:bottom w:val="single" w:color="000000" w:sz="4" w:space="0"/>
              <w:right w:val="single" w:color="000000" w:sz="4" w:space="0"/>
            </w:tcBorders>
            <w:vAlign w:val="center"/>
          </w:tcPr>
          <w:p w14:paraId="1CB0CEF0">
            <w:pPr>
              <w:spacing w:line="360" w:lineRule="auto"/>
              <w:contextualSpacing/>
              <w:jc w:val="center"/>
              <w:rPr>
                <w:rFonts w:hint="eastAsia" w:ascii="宋体" w:hAnsi="宋体" w:cs="仿宋_GB2312"/>
                <w:color w:val="auto"/>
                <w:sz w:val="24"/>
                <w:highlight w:val="none"/>
              </w:rPr>
            </w:pPr>
          </w:p>
        </w:tc>
      </w:tr>
    </w:tbl>
    <w:p w14:paraId="76C6C21D">
      <w:pPr>
        <w:pStyle w:val="11"/>
        <w:spacing w:after="0" w:line="360" w:lineRule="auto"/>
        <w:contextualSpacing/>
        <w:rPr>
          <w:rFonts w:hint="eastAsia" w:ascii="宋体" w:hAnsi="宋体"/>
          <w:color w:val="auto"/>
          <w:kern w:val="0"/>
          <w:sz w:val="24"/>
          <w:szCs w:val="24"/>
          <w:highlight w:val="none"/>
        </w:rPr>
      </w:pPr>
      <w:r>
        <w:rPr>
          <w:rFonts w:hint="eastAsia" w:ascii="宋体" w:hAnsi="宋体"/>
          <w:color w:val="auto"/>
          <w:kern w:val="0"/>
          <w:sz w:val="24"/>
          <w:szCs w:val="24"/>
          <w:highlight w:val="none"/>
        </w:rPr>
        <w:t>注：</w:t>
      </w:r>
    </w:p>
    <w:p w14:paraId="4211DC7A">
      <w:pPr>
        <w:pStyle w:val="11"/>
        <w:spacing w:after="0" w:line="360" w:lineRule="auto"/>
        <w:contextualSpacing/>
        <w:rPr>
          <w:rFonts w:hint="eastAsia" w:ascii="宋体" w:hAnsi="宋体"/>
          <w:color w:val="auto"/>
          <w:kern w:val="0"/>
          <w:sz w:val="24"/>
          <w:szCs w:val="24"/>
          <w:highlight w:val="none"/>
        </w:rPr>
      </w:pPr>
      <w:r>
        <w:rPr>
          <w:rFonts w:hint="eastAsia" w:ascii="宋体" w:hAnsi="宋体"/>
          <w:color w:val="auto"/>
          <w:kern w:val="0"/>
          <w:sz w:val="24"/>
          <w:szCs w:val="24"/>
          <w:highlight w:val="none"/>
        </w:rPr>
        <w:t>1. 说明：应对照磋商文件“第三章 采购需求”中的商务要求逐条作出明确响应，并作出偏离说明。</w:t>
      </w:r>
    </w:p>
    <w:p w14:paraId="42441D98">
      <w:pPr>
        <w:spacing w:line="360" w:lineRule="auto"/>
        <w:contextualSpacing/>
        <w:jc w:val="left"/>
        <w:rPr>
          <w:rFonts w:hint="eastAsia" w:ascii="宋体" w:hAnsi="宋体" w:cs="仿宋_GB2312"/>
          <w:color w:val="auto"/>
          <w:sz w:val="24"/>
          <w:highlight w:val="none"/>
          <w:u w:val="single"/>
        </w:rPr>
      </w:pPr>
      <w:r>
        <w:rPr>
          <w:rFonts w:hint="eastAsia" w:ascii="宋体" w:hAnsi="宋体"/>
          <w:color w:val="auto"/>
          <w:kern w:val="0"/>
          <w:sz w:val="24"/>
          <w:highlight w:val="none"/>
        </w:rPr>
        <w:t>2.供应商应根据自身的承诺，对照磋商文件要求在“偏离说明”中注明“正偏离”“负偏离”或者“无偏离”。既不属于“正偏离”也不属于“负偏离”即为“无偏离”。</w:t>
      </w:r>
    </w:p>
    <w:p w14:paraId="4A3031ED">
      <w:pPr>
        <w:spacing w:line="360" w:lineRule="auto"/>
        <w:ind w:right="-817" w:rightChars="-389"/>
        <w:contextualSpacing/>
        <w:rPr>
          <w:rFonts w:hint="eastAsia" w:ascii="宋体" w:hAnsi="宋体" w:cs="仿宋_GB2312"/>
          <w:color w:val="auto"/>
          <w:sz w:val="24"/>
          <w:highlight w:val="none"/>
        </w:rPr>
      </w:pPr>
    </w:p>
    <w:p w14:paraId="35F8258B">
      <w:pPr>
        <w:spacing w:line="360" w:lineRule="auto"/>
        <w:ind w:right="-817" w:rightChars="-389"/>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0BC5142D">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供应商名称（电子签章）：      </w:t>
      </w:r>
    </w:p>
    <w:p w14:paraId="22A3AB30">
      <w:pPr>
        <w:spacing w:line="360" w:lineRule="auto"/>
        <w:ind w:right="-817" w:rightChars="-389" w:firstLine="4080" w:firstLineChars="1700"/>
        <w:contextualSpacing/>
        <w:rPr>
          <w:rFonts w:hint="eastAsia"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日期：   年   月   日</w:t>
      </w:r>
    </w:p>
    <w:p w14:paraId="7BEB03AF">
      <w:pPr>
        <w:spacing w:line="520" w:lineRule="exact"/>
        <w:ind w:firstLine="7040" w:firstLineChars="1600"/>
        <w:jc w:val="center"/>
        <w:rPr>
          <w:rFonts w:hint="eastAsia" w:ascii="方正小标宋简体" w:hAnsi="方正小标宋简体" w:eastAsia="方正小标宋简体" w:cs="方正小标宋简体"/>
          <w:bCs/>
          <w:color w:val="auto"/>
          <w:sz w:val="44"/>
          <w:szCs w:val="44"/>
          <w:highlight w:val="none"/>
        </w:rPr>
      </w:pPr>
    </w:p>
    <w:p w14:paraId="01F95A12">
      <w:pPr>
        <w:spacing w:line="520" w:lineRule="exact"/>
        <w:ind w:firstLine="7040" w:firstLineChars="1600"/>
        <w:jc w:val="center"/>
        <w:rPr>
          <w:rFonts w:hint="eastAsia" w:ascii="方正小标宋简体" w:hAnsi="方正小标宋简体" w:eastAsia="方正小标宋简体" w:cs="方正小标宋简体"/>
          <w:bCs/>
          <w:color w:val="auto"/>
          <w:sz w:val="44"/>
          <w:szCs w:val="44"/>
          <w:highlight w:val="none"/>
        </w:rPr>
      </w:pPr>
    </w:p>
    <w:p w14:paraId="56012401">
      <w:pPr>
        <w:spacing w:line="520" w:lineRule="exact"/>
        <w:ind w:firstLine="7040" w:firstLineChars="1600"/>
        <w:jc w:val="center"/>
        <w:rPr>
          <w:rFonts w:hint="eastAsia" w:ascii="方正小标宋简体" w:hAnsi="方正小标宋简体" w:eastAsia="方正小标宋简体" w:cs="方正小标宋简体"/>
          <w:bCs/>
          <w:color w:val="auto"/>
          <w:sz w:val="44"/>
          <w:szCs w:val="44"/>
          <w:highlight w:val="none"/>
        </w:rPr>
      </w:pPr>
    </w:p>
    <w:p w14:paraId="04CF0E70">
      <w:pPr>
        <w:spacing w:line="520" w:lineRule="exact"/>
        <w:ind w:firstLine="7040" w:firstLineChars="1600"/>
        <w:jc w:val="center"/>
        <w:rPr>
          <w:rFonts w:hint="eastAsia" w:ascii="方正小标宋简体" w:hAnsi="方正小标宋简体" w:eastAsia="方正小标宋简体" w:cs="方正小标宋简体"/>
          <w:bCs/>
          <w:color w:val="auto"/>
          <w:sz w:val="44"/>
          <w:szCs w:val="44"/>
          <w:highlight w:val="none"/>
        </w:rPr>
      </w:pPr>
    </w:p>
    <w:p w14:paraId="1669A187">
      <w:pPr>
        <w:spacing w:line="520" w:lineRule="exact"/>
        <w:rPr>
          <w:rFonts w:hint="eastAsia" w:ascii="宋体" w:hAnsi="宋体"/>
          <w:color w:val="auto"/>
          <w:szCs w:val="21"/>
          <w:highlight w:val="none"/>
          <w:u w:val="single"/>
        </w:rPr>
      </w:pPr>
    </w:p>
    <w:p w14:paraId="6D666C6A">
      <w:pPr>
        <w:spacing w:line="300" w:lineRule="auto"/>
        <w:jc w:val="center"/>
        <w:rPr>
          <w:rFonts w:hint="eastAsia" w:ascii="方正小标宋简体" w:hAnsi="方正小标宋简体" w:eastAsia="方正小标宋简体" w:cs="方正小标宋简体"/>
          <w:bCs/>
          <w:color w:val="auto"/>
          <w:sz w:val="44"/>
          <w:szCs w:val="44"/>
          <w:highlight w:val="none"/>
        </w:rPr>
      </w:pPr>
      <w:r>
        <w:rPr>
          <w:rFonts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技术要求偏离表</w:t>
      </w:r>
    </w:p>
    <w:p w14:paraId="0D5A1D71">
      <w:pPr>
        <w:spacing w:line="520" w:lineRule="exact"/>
        <w:rPr>
          <w:rFonts w:hint="eastAsia" w:ascii="仿宋_GB2312" w:hAnsi="仿宋_GB2312" w:eastAsia="仿宋_GB2312" w:cs="仿宋_GB2312"/>
          <w:color w:val="auto"/>
          <w:sz w:val="32"/>
          <w:szCs w:val="32"/>
          <w:highlight w:val="none"/>
        </w:rPr>
      </w:pPr>
    </w:p>
    <w:p w14:paraId="55282023">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采购项目编号：</w:t>
      </w:r>
      <w:r>
        <w:rPr>
          <w:rFonts w:hint="eastAsia" w:ascii="宋体" w:hAnsi="宋体" w:cs="仿宋_GB2312"/>
          <w:color w:val="auto"/>
          <w:sz w:val="24"/>
          <w:highlight w:val="none"/>
          <w:u w:val="single"/>
        </w:rPr>
        <w:t xml:space="preserve">                 </w:t>
      </w:r>
    </w:p>
    <w:p w14:paraId="7F65BF5E">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采购项目名称：</w:t>
      </w:r>
      <w:r>
        <w:rPr>
          <w:rFonts w:hint="eastAsia" w:ascii="宋体" w:hAnsi="宋体" w:cs="仿宋_GB2312"/>
          <w:color w:val="auto"/>
          <w:sz w:val="24"/>
          <w:highlight w:val="none"/>
          <w:u w:val="single"/>
        </w:rPr>
        <w:t xml:space="preserve">                 </w:t>
      </w:r>
    </w:p>
    <w:p w14:paraId="7D6B857C">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分标号：</w:t>
      </w:r>
      <w:r>
        <w:rPr>
          <w:rFonts w:hint="eastAsia" w:ascii="宋体" w:hAnsi="宋体" w:cs="仿宋_GB2312"/>
          <w:color w:val="auto"/>
          <w:sz w:val="24"/>
          <w:highlight w:val="none"/>
          <w:u w:val="single"/>
        </w:rPr>
        <w:t xml:space="preserve">                       </w:t>
      </w:r>
    </w:p>
    <w:tbl>
      <w:tblPr>
        <w:tblStyle w:val="24"/>
        <w:tblW w:w="8528"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858"/>
        <w:gridCol w:w="858"/>
        <w:gridCol w:w="2849"/>
        <w:gridCol w:w="2564"/>
        <w:gridCol w:w="1399"/>
      </w:tblGrid>
      <w:tr w14:paraId="3924EFE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420" w:hRule="atLeast"/>
          <w:jc w:val="center"/>
        </w:trPr>
        <w:tc>
          <w:tcPr>
            <w:tcW w:w="858" w:type="dxa"/>
            <w:vAlign w:val="center"/>
          </w:tcPr>
          <w:p w14:paraId="20ECEE7E">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06" w:name="_Toc373333689"/>
            <w:bookmarkStart w:id="107" w:name="_Toc173066401"/>
            <w:bookmarkStart w:id="108" w:name="_Toc254970729"/>
            <w:bookmarkStart w:id="109" w:name="_Toc383699906"/>
            <w:bookmarkStart w:id="110" w:name="_Toc301781611"/>
            <w:bookmarkStart w:id="111" w:name="_Toc173211900"/>
            <w:bookmarkStart w:id="112" w:name="_Toc297193185"/>
            <w:bookmarkStart w:id="113" w:name="_Toc295404981"/>
            <w:bookmarkStart w:id="114" w:name="_Toc254970588"/>
            <w:r>
              <w:rPr>
                <w:rFonts w:hint="eastAsia" w:ascii="宋体" w:hAnsi="宋体" w:eastAsia="宋体" w:cs="仿宋_GB2312"/>
                <w:color w:val="auto"/>
                <w:kern w:val="2"/>
                <w:sz w:val="24"/>
                <w:szCs w:val="24"/>
                <w:highlight w:val="none"/>
              </w:rPr>
              <w:t>序号</w:t>
            </w:r>
            <w:bookmarkEnd w:id="106"/>
            <w:bookmarkEnd w:id="107"/>
            <w:bookmarkEnd w:id="108"/>
            <w:bookmarkEnd w:id="109"/>
            <w:bookmarkEnd w:id="110"/>
            <w:bookmarkEnd w:id="111"/>
            <w:bookmarkEnd w:id="112"/>
            <w:bookmarkEnd w:id="113"/>
            <w:bookmarkEnd w:id="114"/>
          </w:p>
        </w:tc>
        <w:tc>
          <w:tcPr>
            <w:tcW w:w="858" w:type="dxa"/>
            <w:tcBorders>
              <w:right w:val="single" w:color="000000" w:sz="4" w:space="0"/>
            </w:tcBorders>
            <w:vAlign w:val="center"/>
          </w:tcPr>
          <w:p w14:paraId="3C8628C5">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名称</w:t>
            </w:r>
          </w:p>
        </w:tc>
        <w:tc>
          <w:tcPr>
            <w:tcW w:w="2849" w:type="dxa"/>
            <w:tcBorders>
              <w:left w:val="single" w:color="000000" w:sz="4" w:space="0"/>
            </w:tcBorders>
            <w:vAlign w:val="center"/>
          </w:tcPr>
          <w:p w14:paraId="01D6F4F9">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磋商文件技术要求</w:t>
            </w:r>
          </w:p>
        </w:tc>
        <w:tc>
          <w:tcPr>
            <w:tcW w:w="2564" w:type="dxa"/>
            <w:vAlign w:val="center"/>
          </w:tcPr>
          <w:p w14:paraId="2E809B0C">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15" w:name="_Toc254970731"/>
            <w:bookmarkStart w:id="116" w:name="_Toc297193187"/>
            <w:bookmarkStart w:id="117" w:name="_Toc254970590"/>
            <w:bookmarkStart w:id="118" w:name="_Toc295404983"/>
            <w:bookmarkStart w:id="119" w:name="_Toc173211902"/>
            <w:bookmarkStart w:id="120" w:name="_Toc373333691"/>
            <w:bookmarkStart w:id="121" w:name="_Toc173066403"/>
            <w:bookmarkStart w:id="122" w:name="_Toc383699908"/>
            <w:bookmarkStart w:id="123" w:name="_Toc301781613"/>
            <w:r>
              <w:rPr>
                <w:rFonts w:hint="eastAsia" w:ascii="宋体" w:hAnsi="宋体" w:eastAsia="宋体" w:cs="仿宋_GB2312"/>
                <w:color w:val="auto"/>
                <w:kern w:val="2"/>
                <w:sz w:val="24"/>
                <w:szCs w:val="24"/>
                <w:highlight w:val="none"/>
              </w:rPr>
              <w:t>竞标响应</w:t>
            </w:r>
            <w:bookmarkEnd w:id="115"/>
            <w:bookmarkEnd w:id="116"/>
            <w:bookmarkEnd w:id="117"/>
            <w:bookmarkEnd w:id="118"/>
            <w:bookmarkEnd w:id="119"/>
            <w:bookmarkEnd w:id="120"/>
            <w:bookmarkEnd w:id="121"/>
            <w:bookmarkEnd w:id="122"/>
            <w:bookmarkEnd w:id="123"/>
          </w:p>
        </w:tc>
        <w:tc>
          <w:tcPr>
            <w:tcW w:w="1399" w:type="dxa"/>
            <w:vAlign w:val="center"/>
          </w:tcPr>
          <w:p w14:paraId="16C8E3BF">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24" w:name="_Toc301781614"/>
            <w:bookmarkStart w:id="125" w:name="_Toc373333692"/>
            <w:bookmarkStart w:id="126" w:name="_Toc383699909"/>
            <w:bookmarkStart w:id="127" w:name="_Toc173066404"/>
            <w:bookmarkStart w:id="128" w:name="_Toc254970732"/>
            <w:bookmarkStart w:id="129" w:name="_Toc297193188"/>
            <w:bookmarkStart w:id="130" w:name="_Toc173211903"/>
            <w:bookmarkStart w:id="131" w:name="_Toc254970591"/>
            <w:bookmarkStart w:id="132" w:name="_Toc295404984"/>
            <w:r>
              <w:rPr>
                <w:rFonts w:hint="eastAsia" w:ascii="宋体" w:hAnsi="宋体" w:eastAsia="宋体" w:cs="仿宋_GB2312"/>
                <w:color w:val="auto"/>
                <w:kern w:val="2"/>
                <w:sz w:val="24"/>
                <w:szCs w:val="24"/>
                <w:highlight w:val="none"/>
              </w:rPr>
              <w:t>偏离</w:t>
            </w:r>
            <w:bookmarkEnd w:id="124"/>
            <w:bookmarkEnd w:id="125"/>
            <w:bookmarkEnd w:id="126"/>
            <w:bookmarkEnd w:id="127"/>
            <w:bookmarkEnd w:id="128"/>
            <w:bookmarkEnd w:id="129"/>
            <w:bookmarkEnd w:id="130"/>
            <w:bookmarkEnd w:id="131"/>
            <w:bookmarkEnd w:id="132"/>
            <w:bookmarkStart w:id="133" w:name="_Toc254970592"/>
            <w:bookmarkStart w:id="134" w:name="_Toc173066405"/>
            <w:bookmarkStart w:id="135" w:name="_Toc254970733"/>
            <w:bookmarkStart w:id="136" w:name="_Toc297193189"/>
            <w:bookmarkStart w:id="137" w:name="_Toc295404985"/>
            <w:bookmarkStart w:id="138" w:name="_Toc173211904"/>
            <w:bookmarkStart w:id="139" w:name="_Toc383699910"/>
            <w:bookmarkStart w:id="140" w:name="_Toc373333693"/>
            <w:bookmarkStart w:id="141" w:name="_Toc301781615"/>
            <w:r>
              <w:rPr>
                <w:rFonts w:hint="eastAsia" w:ascii="宋体" w:hAnsi="宋体" w:eastAsia="宋体" w:cs="仿宋_GB2312"/>
                <w:color w:val="auto"/>
                <w:kern w:val="2"/>
                <w:sz w:val="24"/>
                <w:szCs w:val="24"/>
                <w:highlight w:val="none"/>
              </w:rPr>
              <w:t>说明</w:t>
            </w:r>
            <w:bookmarkEnd w:id="133"/>
            <w:bookmarkEnd w:id="134"/>
            <w:bookmarkEnd w:id="135"/>
            <w:bookmarkEnd w:id="136"/>
            <w:bookmarkEnd w:id="137"/>
            <w:bookmarkEnd w:id="138"/>
            <w:bookmarkEnd w:id="139"/>
            <w:bookmarkEnd w:id="140"/>
            <w:bookmarkEnd w:id="141"/>
          </w:p>
        </w:tc>
      </w:tr>
      <w:tr w14:paraId="5914DEE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420" w:hRule="atLeast"/>
          <w:jc w:val="center"/>
        </w:trPr>
        <w:tc>
          <w:tcPr>
            <w:tcW w:w="858" w:type="dxa"/>
            <w:vAlign w:val="center"/>
          </w:tcPr>
          <w:p w14:paraId="2C0CD0B1">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42" w:name="_Toc301781616"/>
            <w:bookmarkStart w:id="143" w:name="_Toc383699911"/>
            <w:bookmarkStart w:id="144" w:name="_Toc295404986"/>
            <w:bookmarkStart w:id="145" w:name="_Toc173066406"/>
            <w:bookmarkStart w:id="146" w:name="_Toc297193190"/>
            <w:bookmarkStart w:id="147" w:name="_Toc254970593"/>
            <w:bookmarkStart w:id="148" w:name="_Toc254970734"/>
            <w:bookmarkStart w:id="149" w:name="_Toc373333694"/>
            <w:bookmarkStart w:id="150" w:name="_Toc173211905"/>
            <w:r>
              <w:rPr>
                <w:rFonts w:hint="eastAsia" w:ascii="宋体" w:hAnsi="宋体" w:eastAsia="宋体" w:cs="仿宋_GB2312"/>
                <w:color w:val="auto"/>
                <w:kern w:val="2"/>
                <w:sz w:val="24"/>
                <w:szCs w:val="24"/>
                <w:highlight w:val="none"/>
              </w:rPr>
              <w:t>1</w:t>
            </w:r>
            <w:bookmarkEnd w:id="142"/>
            <w:bookmarkEnd w:id="143"/>
            <w:bookmarkEnd w:id="144"/>
            <w:bookmarkEnd w:id="145"/>
            <w:bookmarkEnd w:id="146"/>
            <w:bookmarkEnd w:id="147"/>
            <w:bookmarkEnd w:id="148"/>
            <w:bookmarkEnd w:id="149"/>
            <w:bookmarkEnd w:id="150"/>
          </w:p>
        </w:tc>
        <w:tc>
          <w:tcPr>
            <w:tcW w:w="858" w:type="dxa"/>
            <w:tcBorders>
              <w:right w:val="single" w:color="000000" w:sz="4" w:space="0"/>
            </w:tcBorders>
            <w:vAlign w:val="center"/>
          </w:tcPr>
          <w:p w14:paraId="02AEDACA">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849" w:type="dxa"/>
            <w:tcBorders>
              <w:left w:val="single" w:color="000000" w:sz="4" w:space="0"/>
            </w:tcBorders>
            <w:vAlign w:val="center"/>
          </w:tcPr>
          <w:p w14:paraId="090C2B9D">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564" w:type="dxa"/>
            <w:vAlign w:val="center"/>
          </w:tcPr>
          <w:p w14:paraId="32F1CA4E">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1399" w:type="dxa"/>
            <w:vAlign w:val="center"/>
          </w:tcPr>
          <w:p w14:paraId="00EAD983">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r>
      <w:tr w14:paraId="10B7A67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420" w:hRule="atLeast"/>
          <w:jc w:val="center"/>
        </w:trPr>
        <w:tc>
          <w:tcPr>
            <w:tcW w:w="858" w:type="dxa"/>
            <w:vAlign w:val="center"/>
          </w:tcPr>
          <w:p w14:paraId="44F2C52E">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51" w:name="_Toc301781617"/>
            <w:bookmarkStart w:id="152" w:name="_Toc254970735"/>
            <w:bookmarkStart w:id="153" w:name="_Toc297193191"/>
            <w:bookmarkStart w:id="154" w:name="_Toc373333695"/>
            <w:bookmarkStart w:id="155" w:name="_Toc173066407"/>
            <w:bookmarkStart w:id="156" w:name="_Toc295404987"/>
            <w:bookmarkStart w:id="157" w:name="_Toc254970594"/>
            <w:bookmarkStart w:id="158" w:name="_Toc173211906"/>
            <w:bookmarkStart w:id="159" w:name="_Toc383699912"/>
            <w:r>
              <w:rPr>
                <w:rFonts w:hint="eastAsia" w:ascii="宋体" w:hAnsi="宋体" w:eastAsia="宋体" w:cs="仿宋_GB2312"/>
                <w:color w:val="auto"/>
                <w:kern w:val="2"/>
                <w:sz w:val="24"/>
                <w:szCs w:val="24"/>
                <w:highlight w:val="none"/>
              </w:rPr>
              <w:t>2</w:t>
            </w:r>
            <w:bookmarkEnd w:id="151"/>
            <w:bookmarkEnd w:id="152"/>
            <w:bookmarkEnd w:id="153"/>
            <w:bookmarkEnd w:id="154"/>
            <w:bookmarkEnd w:id="155"/>
            <w:bookmarkEnd w:id="156"/>
            <w:bookmarkEnd w:id="157"/>
            <w:bookmarkEnd w:id="158"/>
            <w:bookmarkEnd w:id="159"/>
          </w:p>
        </w:tc>
        <w:tc>
          <w:tcPr>
            <w:tcW w:w="858" w:type="dxa"/>
            <w:tcBorders>
              <w:right w:val="single" w:color="000000" w:sz="4" w:space="0"/>
            </w:tcBorders>
            <w:vAlign w:val="center"/>
          </w:tcPr>
          <w:p w14:paraId="30834CB4">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849" w:type="dxa"/>
            <w:tcBorders>
              <w:left w:val="single" w:color="000000" w:sz="4" w:space="0"/>
            </w:tcBorders>
            <w:vAlign w:val="center"/>
          </w:tcPr>
          <w:p w14:paraId="38226ACF">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564" w:type="dxa"/>
            <w:vAlign w:val="center"/>
          </w:tcPr>
          <w:p w14:paraId="1B6863BD">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1399" w:type="dxa"/>
            <w:vAlign w:val="center"/>
          </w:tcPr>
          <w:p w14:paraId="0EC709A7">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r>
      <w:tr w14:paraId="707A3B0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420" w:hRule="atLeast"/>
          <w:jc w:val="center"/>
        </w:trPr>
        <w:tc>
          <w:tcPr>
            <w:tcW w:w="858" w:type="dxa"/>
            <w:vAlign w:val="center"/>
          </w:tcPr>
          <w:p w14:paraId="55003818">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60" w:name="_Toc173211907"/>
            <w:bookmarkStart w:id="161" w:name="_Toc301781618"/>
            <w:bookmarkStart w:id="162" w:name="_Toc297193192"/>
            <w:bookmarkStart w:id="163" w:name="_Toc295404988"/>
            <w:bookmarkStart w:id="164" w:name="_Toc373333696"/>
            <w:bookmarkStart w:id="165" w:name="_Toc173066408"/>
            <w:bookmarkStart w:id="166" w:name="_Toc383699913"/>
            <w:bookmarkStart w:id="167" w:name="_Toc254970595"/>
            <w:bookmarkStart w:id="168" w:name="_Toc254970736"/>
            <w:r>
              <w:rPr>
                <w:rFonts w:hint="eastAsia" w:ascii="宋体" w:hAnsi="宋体" w:eastAsia="宋体" w:cs="仿宋_GB2312"/>
                <w:color w:val="auto"/>
                <w:kern w:val="2"/>
                <w:sz w:val="24"/>
                <w:szCs w:val="24"/>
                <w:highlight w:val="none"/>
              </w:rPr>
              <w:t>3</w:t>
            </w:r>
            <w:bookmarkEnd w:id="160"/>
            <w:bookmarkEnd w:id="161"/>
            <w:bookmarkEnd w:id="162"/>
            <w:bookmarkEnd w:id="163"/>
            <w:bookmarkEnd w:id="164"/>
            <w:bookmarkEnd w:id="165"/>
            <w:bookmarkEnd w:id="166"/>
            <w:bookmarkEnd w:id="167"/>
            <w:bookmarkEnd w:id="168"/>
          </w:p>
        </w:tc>
        <w:tc>
          <w:tcPr>
            <w:tcW w:w="858" w:type="dxa"/>
            <w:tcBorders>
              <w:right w:val="single" w:color="000000" w:sz="4" w:space="0"/>
            </w:tcBorders>
            <w:vAlign w:val="center"/>
          </w:tcPr>
          <w:p w14:paraId="0474D726">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849" w:type="dxa"/>
            <w:tcBorders>
              <w:left w:val="single" w:color="000000" w:sz="4" w:space="0"/>
            </w:tcBorders>
            <w:vAlign w:val="center"/>
          </w:tcPr>
          <w:p w14:paraId="116E8BE6">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564" w:type="dxa"/>
            <w:vAlign w:val="center"/>
          </w:tcPr>
          <w:p w14:paraId="58F9A7C8">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1399" w:type="dxa"/>
            <w:vAlign w:val="center"/>
          </w:tcPr>
          <w:p w14:paraId="7CA68A74">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r>
      <w:tr w14:paraId="1C37A24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420" w:hRule="atLeast"/>
          <w:jc w:val="center"/>
        </w:trPr>
        <w:tc>
          <w:tcPr>
            <w:tcW w:w="858" w:type="dxa"/>
            <w:vAlign w:val="center"/>
          </w:tcPr>
          <w:p w14:paraId="418A67C0">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69" w:name="_Toc297193193"/>
            <w:bookmarkStart w:id="170" w:name="_Toc254970737"/>
            <w:bookmarkStart w:id="171" w:name="_Toc173211908"/>
            <w:bookmarkStart w:id="172" w:name="_Toc295404989"/>
            <w:bookmarkStart w:id="173" w:name="_Toc373333697"/>
            <w:bookmarkStart w:id="174" w:name="_Toc383699914"/>
            <w:bookmarkStart w:id="175" w:name="_Toc301781619"/>
            <w:bookmarkStart w:id="176" w:name="_Toc254970596"/>
            <w:bookmarkStart w:id="177" w:name="_Toc173066409"/>
            <w:r>
              <w:rPr>
                <w:rFonts w:hint="eastAsia" w:ascii="宋体" w:hAnsi="宋体" w:eastAsia="宋体" w:cs="仿宋_GB2312"/>
                <w:color w:val="auto"/>
                <w:kern w:val="2"/>
                <w:sz w:val="24"/>
                <w:szCs w:val="24"/>
                <w:highlight w:val="none"/>
              </w:rPr>
              <w:t>4</w:t>
            </w:r>
            <w:bookmarkEnd w:id="169"/>
            <w:bookmarkEnd w:id="170"/>
            <w:bookmarkEnd w:id="171"/>
            <w:bookmarkEnd w:id="172"/>
            <w:bookmarkEnd w:id="173"/>
            <w:bookmarkEnd w:id="174"/>
            <w:bookmarkEnd w:id="175"/>
            <w:bookmarkEnd w:id="176"/>
            <w:bookmarkEnd w:id="177"/>
          </w:p>
        </w:tc>
        <w:tc>
          <w:tcPr>
            <w:tcW w:w="858" w:type="dxa"/>
            <w:tcBorders>
              <w:right w:val="single" w:color="000000" w:sz="4" w:space="0"/>
            </w:tcBorders>
            <w:vAlign w:val="center"/>
          </w:tcPr>
          <w:p w14:paraId="75BAFA07">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849" w:type="dxa"/>
            <w:tcBorders>
              <w:left w:val="single" w:color="000000" w:sz="4" w:space="0"/>
            </w:tcBorders>
            <w:vAlign w:val="center"/>
          </w:tcPr>
          <w:p w14:paraId="2116D11C">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564" w:type="dxa"/>
            <w:vAlign w:val="center"/>
          </w:tcPr>
          <w:p w14:paraId="0360EEAD">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1399" w:type="dxa"/>
            <w:vAlign w:val="center"/>
          </w:tcPr>
          <w:p w14:paraId="38B10B9C">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r>
      <w:tr w14:paraId="1D589DA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420" w:hRule="atLeast"/>
          <w:jc w:val="center"/>
        </w:trPr>
        <w:tc>
          <w:tcPr>
            <w:tcW w:w="858" w:type="dxa"/>
            <w:vAlign w:val="center"/>
          </w:tcPr>
          <w:p w14:paraId="43F234AD">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78" w:name="_Toc173211909"/>
            <w:bookmarkStart w:id="179" w:name="_Toc254970597"/>
            <w:bookmarkStart w:id="180" w:name="_Toc295404990"/>
            <w:bookmarkStart w:id="181" w:name="_Toc297193194"/>
            <w:bookmarkStart w:id="182" w:name="_Toc383699915"/>
            <w:bookmarkStart w:id="183" w:name="_Toc373333698"/>
            <w:bookmarkStart w:id="184" w:name="_Toc173066410"/>
            <w:bookmarkStart w:id="185" w:name="_Toc301781620"/>
            <w:bookmarkStart w:id="186" w:name="_Toc254970738"/>
            <w:r>
              <w:rPr>
                <w:rFonts w:hint="eastAsia" w:ascii="宋体" w:hAnsi="宋体" w:eastAsia="宋体" w:cs="仿宋_GB2312"/>
                <w:color w:val="auto"/>
                <w:kern w:val="2"/>
                <w:sz w:val="24"/>
                <w:szCs w:val="24"/>
                <w:highlight w:val="none"/>
              </w:rPr>
              <w:t>5</w:t>
            </w:r>
            <w:bookmarkEnd w:id="178"/>
            <w:bookmarkEnd w:id="179"/>
            <w:bookmarkEnd w:id="180"/>
            <w:bookmarkEnd w:id="181"/>
            <w:bookmarkEnd w:id="182"/>
            <w:bookmarkEnd w:id="183"/>
            <w:bookmarkEnd w:id="184"/>
            <w:bookmarkEnd w:id="185"/>
            <w:bookmarkEnd w:id="186"/>
          </w:p>
        </w:tc>
        <w:tc>
          <w:tcPr>
            <w:tcW w:w="858" w:type="dxa"/>
            <w:tcBorders>
              <w:right w:val="single" w:color="000000" w:sz="4" w:space="0"/>
            </w:tcBorders>
            <w:vAlign w:val="center"/>
          </w:tcPr>
          <w:p w14:paraId="3DDBB660">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849" w:type="dxa"/>
            <w:tcBorders>
              <w:left w:val="single" w:color="000000" w:sz="4" w:space="0"/>
            </w:tcBorders>
            <w:vAlign w:val="center"/>
          </w:tcPr>
          <w:p w14:paraId="30F05F70">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564" w:type="dxa"/>
            <w:vAlign w:val="center"/>
          </w:tcPr>
          <w:p w14:paraId="108A0802">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1399" w:type="dxa"/>
            <w:vAlign w:val="center"/>
          </w:tcPr>
          <w:p w14:paraId="1A61F0AC">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r>
      <w:tr w14:paraId="6BA5348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858" w:type="dxa"/>
            <w:vAlign w:val="center"/>
          </w:tcPr>
          <w:p w14:paraId="4502FF59">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bookmarkStart w:id="187" w:name="_Toc295404991"/>
            <w:bookmarkStart w:id="188" w:name="_Toc383699916"/>
            <w:bookmarkStart w:id="189" w:name="_Toc373333699"/>
            <w:bookmarkStart w:id="190" w:name="_Toc301781621"/>
            <w:bookmarkStart w:id="191" w:name="_Toc297193195"/>
            <w:bookmarkStart w:id="192" w:name="_Toc254970743"/>
            <w:bookmarkStart w:id="193" w:name="_Toc173211914"/>
            <w:bookmarkStart w:id="194" w:name="_Toc173066415"/>
            <w:bookmarkStart w:id="195" w:name="_Toc254970602"/>
            <w:r>
              <w:rPr>
                <w:rFonts w:hint="eastAsia" w:ascii="宋体" w:hAnsi="宋体" w:eastAsia="宋体" w:cs="仿宋_GB2312"/>
                <w:color w:val="auto"/>
                <w:kern w:val="2"/>
                <w:sz w:val="24"/>
                <w:szCs w:val="24"/>
                <w:highlight w:val="none"/>
              </w:rPr>
              <w:t>…</w:t>
            </w:r>
            <w:bookmarkEnd w:id="187"/>
            <w:bookmarkEnd w:id="188"/>
            <w:bookmarkEnd w:id="189"/>
            <w:bookmarkEnd w:id="190"/>
            <w:bookmarkEnd w:id="191"/>
            <w:bookmarkEnd w:id="192"/>
            <w:bookmarkEnd w:id="193"/>
            <w:bookmarkEnd w:id="194"/>
            <w:bookmarkEnd w:id="195"/>
          </w:p>
        </w:tc>
        <w:tc>
          <w:tcPr>
            <w:tcW w:w="858" w:type="dxa"/>
            <w:tcBorders>
              <w:right w:val="single" w:color="000000" w:sz="4" w:space="0"/>
            </w:tcBorders>
            <w:vAlign w:val="center"/>
          </w:tcPr>
          <w:p w14:paraId="1F0ACB88">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849" w:type="dxa"/>
            <w:tcBorders>
              <w:left w:val="single" w:color="000000" w:sz="4" w:space="0"/>
            </w:tcBorders>
            <w:vAlign w:val="center"/>
          </w:tcPr>
          <w:p w14:paraId="7C2EDDD8">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2564" w:type="dxa"/>
            <w:vAlign w:val="center"/>
          </w:tcPr>
          <w:p w14:paraId="2D01A593">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c>
          <w:tcPr>
            <w:tcW w:w="1399" w:type="dxa"/>
            <w:tcBorders>
              <w:right w:val="single" w:color="000000" w:sz="4" w:space="0"/>
            </w:tcBorders>
            <w:vAlign w:val="center"/>
          </w:tcPr>
          <w:p w14:paraId="3339C6DA">
            <w:pPr>
              <w:pStyle w:val="13"/>
              <w:spacing w:line="360" w:lineRule="auto"/>
              <w:ind w:firstLine="0" w:firstLineChars="0"/>
              <w:contextualSpacing/>
              <w:jc w:val="center"/>
              <w:rPr>
                <w:rFonts w:hint="eastAsia" w:ascii="宋体" w:hAnsi="宋体" w:eastAsia="宋体" w:cs="仿宋_GB2312"/>
                <w:color w:val="auto"/>
                <w:kern w:val="2"/>
                <w:sz w:val="24"/>
                <w:szCs w:val="24"/>
                <w:highlight w:val="none"/>
              </w:rPr>
            </w:pPr>
          </w:p>
        </w:tc>
      </w:tr>
    </w:tbl>
    <w:p w14:paraId="56E5862C">
      <w:pPr>
        <w:spacing w:line="360" w:lineRule="auto"/>
        <w:contextualSpacing/>
        <w:rPr>
          <w:rFonts w:hint="eastAsia" w:ascii="宋体" w:hAnsi="宋体" w:cs="仿宋_GB2312"/>
          <w:color w:val="auto"/>
          <w:sz w:val="24"/>
          <w:highlight w:val="none"/>
        </w:rPr>
      </w:pPr>
    </w:p>
    <w:p w14:paraId="3E5927FE">
      <w:pPr>
        <w:pStyle w:val="13"/>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7D600539">
      <w:pPr>
        <w:pStyle w:val="13"/>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 说明：应对照磋商文件“第三章 采购需求”中的技术要求逐条作出明确响应，并作出偏离说明。</w:t>
      </w:r>
    </w:p>
    <w:p w14:paraId="67B5669F">
      <w:pPr>
        <w:pStyle w:val="13"/>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2.供应商应根据自身的承诺，对照磋商文件要求，在“偏离说明”中注明“正偏离”“负偏离”或者“无偏离”。既不属于“正偏离”也不属于“负偏离”即为“无偏离”。</w:t>
      </w:r>
    </w:p>
    <w:p w14:paraId="352ED8F9">
      <w:pPr>
        <w:spacing w:line="360" w:lineRule="auto"/>
        <w:ind w:right="-817" w:rightChars="-389"/>
        <w:contextualSpacing/>
        <w:rPr>
          <w:rFonts w:hint="eastAsia" w:ascii="宋体" w:hAnsi="宋体" w:cs="仿宋_GB2312"/>
          <w:color w:val="auto"/>
          <w:sz w:val="24"/>
          <w:highlight w:val="none"/>
        </w:rPr>
      </w:pPr>
    </w:p>
    <w:p w14:paraId="6146A1EB">
      <w:pPr>
        <w:spacing w:line="360" w:lineRule="auto"/>
        <w:ind w:right="-817" w:rightChars="-389"/>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6DBEAFED">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供应商名称（电子签章）：      </w:t>
      </w:r>
    </w:p>
    <w:p w14:paraId="47700518">
      <w:pPr>
        <w:spacing w:line="360" w:lineRule="auto"/>
        <w:ind w:right="-817" w:rightChars="-389"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2F803612">
      <w:pPr>
        <w:spacing w:before="120" w:after="50"/>
        <w:ind w:left="142"/>
        <w:jc w:val="left"/>
        <w:rPr>
          <w:rFonts w:hint="eastAsia" w:ascii="宋体" w:hAnsi="宋体"/>
          <w:b/>
          <w:color w:val="auto"/>
          <w:sz w:val="24"/>
          <w:highlight w:val="none"/>
        </w:rPr>
      </w:pPr>
      <w:r>
        <w:rPr>
          <w:rFonts w:ascii="宋体" w:hAnsi="宋体" w:cs="仿宋_GB2312"/>
          <w:color w:val="auto"/>
          <w:sz w:val="24"/>
          <w:highlight w:val="none"/>
        </w:rPr>
        <w:br w:type="page"/>
      </w:r>
      <w:r>
        <w:rPr>
          <w:rFonts w:hint="eastAsia" w:ascii="宋体" w:hAnsi="宋体"/>
          <w:b/>
          <w:color w:val="auto"/>
          <w:sz w:val="24"/>
          <w:highlight w:val="none"/>
        </w:rPr>
        <w:t>项目实施人员一览表格式</w:t>
      </w:r>
    </w:p>
    <w:p w14:paraId="64A72DE6">
      <w:pPr>
        <w:spacing w:before="120" w:after="50"/>
        <w:ind w:left="142"/>
        <w:jc w:val="left"/>
        <w:rPr>
          <w:rFonts w:hint="eastAsia" w:ascii="宋体" w:hAnsi="宋体"/>
          <w:b/>
          <w:color w:val="auto"/>
          <w:sz w:val="24"/>
          <w:highlight w:val="none"/>
        </w:rPr>
      </w:pPr>
    </w:p>
    <w:p w14:paraId="7C98B6D4">
      <w:pPr>
        <w:spacing w:line="360" w:lineRule="auto"/>
        <w:ind w:left="142"/>
        <w:contextualSpacing/>
        <w:jc w:val="center"/>
        <w:rPr>
          <w:rFonts w:hint="eastAsia" w:ascii="宋体" w:hAnsi="宋体"/>
          <w:b/>
          <w:color w:val="auto"/>
          <w:sz w:val="32"/>
          <w:szCs w:val="32"/>
          <w:highlight w:val="none"/>
        </w:rPr>
      </w:pPr>
      <w:r>
        <w:rPr>
          <w:rFonts w:hint="eastAsia" w:ascii="宋体" w:hAnsi="宋体"/>
          <w:b/>
          <w:color w:val="auto"/>
          <w:sz w:val="32"/>
          <w:szCs w:val="32"/>
          <w:highlight w:val="none"/>
        </w:rPr>
        <w:t>项目实施人员一览表</w:t>
      </w:r>
    </w:p>
    <w:p w14:paraId="09AAE0E6">
      <w:pPr>
        <w:pStyle w:val="15"/>
        <w:spacing w:line="360" w:lineRule="auto"/>
        <w:contextualSpacing/>
        <w:rPr>
          <w:color w:val="auto"/>
          <w:sz w:val="24"/>
          <w:szCs w:val="24"/>
          <w:highlight w:val="none"/>
        </w:rPr>
      </w:pPr>
      <w:r>
        <w:rPr>
          <w:rFonts w:hint="eastAsia"/>
          <w:color w:val="auto"/>
          <w:sz w:val="24"/>
          <w:szCs w:val="24"/>
          <w:highlight w:val="none"/>
        </w:rPr>
        <w:t>所竞分标：</w:t>
      </w:r>
      <w:r>
        <w:rPr>
          <w:rFonts w:hint="eastAsia"/>
          <w:color w:val="auto"/>
          <w:sz w:val="24"/>
          <w:szCs w:val="24"/>
          <w:highlight w:val="none"/>
          <w:u w:val="single"/>
        </w:rPr>
        <w:t xml:space="preserve">     </w:t>
      </w:r>
      <w:r>
        <w:rPr>
          <w:rFonts w:hint="eastAsia"/>
          <w:color w:val="auto"/>
          <w:sz w:val="24"/>
          <w:szCs w:val="24"/>
          <w:highlight w:val="none"/>
        </w:rPr>
        <w:t>分标</w:t>
      </w:r>
    </w:p>
    <w:tbl>
      <w:tblPr>
        <w:tblStyle w:val="24"/>
        <w:tblW w:w="81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3BDC5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7B829105">
            <w:pPr>
              <w:spacing w:line="360" w:lineRule="auto"/>
              <w:contextualSpacing/>
              <w:jc w:val="center"/>
              <w:rPr>
                <w:rFonts w:hint="eastAsia" w:ascii="宋体" w:hAnsi="宋体"/>
                <w:color w:val="auto"/>
                <w:sz w:val="24"/>
                <w:szCs w:val="20"/>
                <w:highlight w:val="none"/>
              </w:rPr>
            </w:pPr>
            <w:r>
              <w:rPr>
                <w:rFonts w:hint="eastAsia" w:ascii="宋体" w:hAnsi="宋体"/>
                <w:color w:val="auto"/>
                <w:sz w:val="24"/>
                <w:szCs w:val="20"/>
                <w:highlight w:val="none"/>
              </w:rPr>
              <w:t>姓名</w:t>
            </w:r>
          </w:p>
        </w:tc>
        <w:tc>
          <w:tcPr>
            <w:tcW w:w="709" w:type="dxa"/>
            <w:vAlign w:val="center"/>
          </w:tcPr>
          <w:p w14:paraId="5B02793B">
            <w:pPr>
              <w:spacing w:line="360" w:lineRule="auto"/>
              <w:contextualSpacing/>
              <w:jc w:val="center"/>
              <w:rPr>
                <w:rFonts w:hint="eastAsia" w:ascii="宋体" w:hAnsi="宋体"/>
                <w:color w:val="auto"/>
                <w:sz w:val="24"/>
                <w:szCs w:val="20"/>
                <w:highlight w:val="none"/>
              </w:rPr>
            </w:pPr>
            <w:r>
              <w:rPr>
                <w:rFonts w:hint="eastAsia" w:ascii="宋体" w:hAnsi="宋体"/>
                <w:color w:val="auto"/>
                <w:sz w:val="24"/>
                <w:szCs w:val="20"/>
                <w:highlight w:val="none"/>
              </w:rPr>
              <w:t>职务</w:t>
            </w:r>
          </w:p>
        </w:tc>
        <w:tc>
          <w:tcPr>
            <w:tcW w:w="1701" w:type="dxa"/>
            <w:vAlign w:val="center"/>
          </w:tcPr>
          <w:p w14:paraId="08F1B590">
            <w:pPr>
              <w:spacing w:line="360" w:lineRule="auto"/>
              <w:contextualSpacing/>
              <w:jc w:val="center"/>
              <w:rPr>
                <w:rFonts w:hint="eastAsia" w:ascii="宋体" w:hAnsi="宋体"/>
                <w:color w:val="auto"/>
                <w:sz w:val="24"/>
                <w:szCs w:val="20"/>
                <w:highlight w:val="none"/>
              </w:rPr>
            </w:pPr>
            <w:r>
              <w:rPr>
                <w:rFonts w:hint="eastAsia" w:ascii="宋体" w:hAnsi="宋体"/>
                <w:color w:val="auto"/>
                <w:sz w:val="24"/>
                <w:szCs w:val="20"/>
                <w:highlight w:val="none"/>
              </w:rPr>
              <w:t>专业技术资格（职称）或者职业资格或者执业资格证或者其他证书</w:t>
            </w:r>
          </w:p>
        </w:tc>
        <w:tc>
          <w:tcPr>
            <w:tcW w:w="1420" w:type="dxa"/>
            <w:vAlign w:val="center"/>
          </w:tcPr>
          <w:p w14:paraId="3BCF02B8">
            <w:pPr>
              <w:spacing w:line="360" w:lineRule="auto"/>
              <w:contextualSpacing/>
              <w:jc w:val="center"/>
              <w:rPr>
                <w:rFonts w:hint="eastAsia" w:ascii="宋体" w:hAnsi="宋体"/>
                <w:color w:val="auto"/>
                <w:sz w:val="24"/>
                <w:szCs w:val="20"/>
                <w:highlight w:val="none"/>
              </w:rPr>
            </w:pPr>
            <w:r>
              <w:rPr>
                <w:rFonts w:hint="eastAsia" w:ascii="宋体" w:hAnsi="宋体"/>
                <w:color w:val="auto"/>
                <w:sz w:val="24"/>
                <w:szCs w:val="20"/>
                <w:highlight w:val="none"/>
              </w:rPr>
              <w:t>证书编号</w:t>
            </w:r>
          </w:p>
        </w:tc>
        <w:tc>
          <w:tcPr>
            <w:tcW w:w="1698" w:type="dxa"/>
            <w:vAlign w:val="center"/>
          </w:tcPr>
          <w:p w14:paraId="0FA82989">
            <w:pPr>
              <w:spacing w:line="360" w:lineRule="auto"/>
              <w:contextualSpacing/>
              <w:jc w:val="center"/>
              <w:rPr>
                <w:rFonts w:hint="eastAsia" w:ascii="宋体" w:hAnsi="宋体"/>
                <w:color w:val="auto"/>
                <w:sz w:val="24"/>
                <w:szCs w:val="20"/>
                <w:highlight w:val="none"/>
              </w:rPr>
            </w:pPr>
            <w:r>
              <w:rPr>
                <w:rFonts w:hint="eastAsia" w:ascii="宋体" w:hAnsi="宋体"/>
                <w:color w:val="auto"/>
                <w:sz w:val="24"/>
                <w:szCs w:val="20"/>
                <w:highlight w:val="none"/>
              </w:rPr>
              <w:t>参加本单位</w:t>
            </w:r>
          </w:p>
          <w:p w14:paraId="414E1455">
            <w:pPr>
              <w:spacing w:line="360" w:lineRule="auto"/>
              <w:contextualSpacing/>
              <w:jc w:val="center"/>
              <w:rPr>
                <w:rFonts w:hint="eastAsia" w:ascii="宋体" w:hAnsi="宋体"/>
                <w:color w:val="auto"/>
                <w:sz w:val="24"/>
                <w:szCs w:val="20"/>
                <w:highlight w:val="none"/>
              </w:rPr>
            </w:pPr>
            <w:r>
              <w:rPr>
                <w:rFonts w:hint="eastAsia" w:ascii="宋体" w:hAnsi="宋体"/>
                <w:color w:val="auto"/>
                <w:sz w:val="24"/>
                <w:szCs w:val="20"/>
                <w:highlight w:val="none"/>
              </w:rPr>
              <w:t>工作时间</w:t>
            </w:r>
          </w:p>
        </w:tc>
        <w:tc>
          <w:tcPr>
            <w:tcW w:w="1843" w:type="dxa"/>
            <w:vAlign w:val="center"/>
          </w:tcPr>
          <w:p w14:paraId="6B6ED71E">
            <w:pPr>
              <w:spacing w:line="360" w:lineRule="auto"/>
              <w:contextualSpacing/>
              <w:jc w:val="center"/>
              <w:rPr>
                <w:rFonts w:hint="eastAsia" w:ascii="宋体" w:hAnsi="宋体"/>
                <w:color w:val="auto"/>
                <w:sz w:val="24"/>
                <w:szCs w:val="20"/>
                <w:highlight w:val="none"/>
              </w:rPr>
            </w:pPr>
            <w:r>
              <w:rPr>
                <w:rFonts w:hint="eastAsia" w:ascii="宋体" w:hAnsi="宋体"/>
                <w:color w:val="auto"/>
                <w:sz w:val="24"/>
                <w:szCs w:val="20"/>
                <w:highlight w:val="none"/>
              </w:rPr>
              <w:t>劳动合同编号</w:t>
            </w:r>
          </w:p>
        </w:tc>
      </w:tr>
      <w:tr w14:paraId="0E06E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216C44BE">
            <w:pPr>
              <w:spacing w:line="360" w:lineRule="auto"/>
              <w:contextualSpacing/>
              <w:jc w:val="center"/>
              <w:rPr>
                <w:rFonts w:hint="eastAsia" w:ascii="宋体" w:hAnsi="宋体"/>
                <w:color w:val="auto"/>
                <w:sz w:val="24"/>
                <w:szCs w:val="20"/>
                <w:highlight w:val="none"/>
              </w:rPr>
            </w:pPr>
          </w:p>
        </w:tc>
        <w:tc>
          <w:tcPr>
            <w:tcW w:w="709" w:type="dxa"/>
            <w:vAlign w:val="center"/>
          </w:tcPr>
          <w:p w14:paraId="5195F734">
            <w:pPr>
              <w:spacing w:line="360" w:lineRule="auto"/>
              <w:contextualSpacing/>
              <w:jc w:val="center"/>
              <w:rPr>
                <w:rFonts w:hint="eastAsia" w:ascii="宋体" w:hAnsi="宋体"/>
                <w:color w:val="auto"/>
                <w:sz w:val="24"/>
                <w:szCs w:val="20"/>
                <w:highlight w:val="none"/>
              </w:rPr>
            </w:pPr>
          </w:p>
        </w:tc>
        <w:tc>
          <w:tcPr>
            <w:tcW w:w="1701" w:type="dxa"/>
            <w:vAlign w:val="center"/>
          </w:tcPr>
          <w:p w14:paraId="013958FE">
            <w:pPr>
              <w:spacing w:line="360" w:lineRule="auto"/>
              <w:contextualSpacing/>
              <w:jc w:val="center"/>
              <w:rPr>
                <w:rFonts w:hint="eastAsia" w:ascii="宋体" w:hAnsi="宋体"/>
                <w:color w:val="auto"/>
                <w:sz w:val="24"/>
                <w:szCs w:val="20"/>
                <w:highlight w:val="none"/>
              </w:rPr>
            </w:pPr>
          </w:p>
        </w:tc>
        <w:tc>
          <w:tcPr>
            <w:tcW w:w="1420" w:type="dxa"/>
            <w:vAlign w:val="center"/>
          </w:tcPr>
          <w:p w14:paraId="1017A63F">
            <w:pPr>
              <w:spacing w:line="360" w:lineRule="auto"/>
              <w:contextualSpacing/>
              <w:jc w:val="center"/>
              <w:rPr>
                <w:rFonts w:hint="eastAsia" w:ascii="宋体" w:hAnsi="宋体"/>
                <w:color w:val="auto"/>
                <w:sz w:val="24"/>
                <w:szCs w:val="20"/>
                <w:highlight w:val="none"/>
              </w:rPr>
            </w:pPr>
          </w:p>
        </w:tc>
        <w:tc>
          <w:tcPr>
            <w:tcW w:w="1698" w:type="dxa"/>
            <w:vAlign w:val="center"/>
          </w:tcPr>
          <w:p w14:paraId="76518B89">
            <w:pPr>
              <w:spacing w:line="360" w:lineRule="auto"/>
              <w:contextualSpacing/>
              <w:jc w:val="center"/>
              <w:rPr>
                <w:rFonts w:hint="eastAsia" w:ascii="宋体" w:hAnsi="宋体"/>
                <w:color w:val="auto"/>
                <w:sz w:val="24"/>
                <w:szCs w:val="20"/>
                <w:highlight w:val="none"/>
              </w:rPr>
            </w:pPr>
          </w:p>
        </w:tc>
        <w:tc>
          <w:tcPr>
            <w:tcW w:w="1843" w:type="dxa"/>
            <w:vAlign w:val="center"/>
          </w:tcPr>
          <w:p w14:paraId="31630B82">
            <w:pPr>
              <w:spacing w:line="360" w:lineRule="auto"/>
              <w:contextualSpacing/>
              <w:jc w:val="center"/>
              <w:rPr>
                <w:rFonts w:hint="eastAsia" w:ascii="宋体" w:hAnsi="宋体"/>
                <w:color w:val="auto"/>
                <w:sz w:val="24"/>
                <w:szCs w:val="20"/>
                <w:highlight w:val="none"/>
              </w:rPr>
            </w:pPr>
          </w:p>
        </w:tc>
      </w:tr>
      <w:tr w14:paraId="3A61D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592751B2">
            <w:pPr>
              <w:spacing w:line="360" w:lineRule="auto"/>
              <w:contextualSpacing/>
              <w:jc w:val="center"/>
              <w:rPr>
                <w:rFonts w:hint="eastAsia" w:ascii="宋体" w:hAnsi="宋体"/>
                <w:color w:val="auto"/>
                <w:sz w:val="24"/>
                <w:szCs w:val="20"/>
                <w:highlight w:val="none"/>
              </w:rPr>
            </w:pPr>
          </w:p>
        </w:tc>
        <w:tc>
          <w:tcPr>
            <w:tcW w:w="709" w:type="dxa"/>
            <w:vAlign w:val="center"/>
          </w:tcPr>
          <w:p w14:paraId="54760FAD">
            <w:pPr>
              <w:spacing w:line="360" w:lineRule="auto"/>
              <w:contextualSpacing/>
              <w:jc w:val="center"/>
              <w:rPr>
                <w:rFonts w:hint="eastAsia" w:ascii="宋体" w:hAnsi="宋体"/>
                <w:color w:val="auto"/>
                <w:sz w:val="24"/>
                <w:szCs w:val="20"/>
                <w:highlight w:val="none"/>
              </w:rPr>
            </w:pPr>
          </w:p>
        </w:tc>
        <w:tc>
          <w:tcPr>
            <w:tcW w:w="1701" w:type="dxa"/>
            <w:vAlign w:val="center"/>
          </w:tcPr>
          <w:p w14:paraId="50443CE8">
            <w:pPr>
              <w:spacing w:line="360" w:lineRule="auto"/>
              <w:contextualSpacing/>
              <w:jc w:val="center"/>
              <w:rPr>
                <w:rFonts w:hint="eastAsia" w:ascii="宋体" w:hAnsi="宋体"/>
                <w:color w:val="auto"/>
                <w:sz w:val="24"/>
                <w:szCs w:val="20"/>
                <w:highlight w:val="none"/>
              </w:rPr>
            </w:pPr>
          </w:p>
        </w:tc>
        <w:tc>
          <w:tcPr>
            <w:tcW w:w="1420" w:type="dxa"/>
            <w:vAlign w:val="center"/>
          </w:tcPr>
          <w:p w14:paraId="64E1810C">
            <w:pPr>
              <w:spacing w:line="360" w:lineRule="auto"/>
              <w:contextualSpacing/>
              <w:jc w:val="center"/>
              <w:rPr>
                <w:rFonts w:hint="eastAsia" w:ascii="宋体" w:hAnsi="宋体"/>
                <w:color w:val="auto"/>
                <w:sz w:val="24"/>
                <w:szCs w:val="20"/>
                <w:highlight w:val="none"/>
              </w:rPr>
            </w:pPr>
          </w:p>
        </w:tc>
        <w:tc>
          <w:tcPr>
            <w:tcW w:w="1698" w:type="dxa"/>
            <w:vAlign w:val="center"/>
          </w:tcPr>
          <w:p w14:paraId="3A20915C">
            <w:pPr>
              <w:spacing w:line="360" w:lineRule="auto"/>
              <w:contextualSpacing/>
              <w:jc w:val="center"/>
              <w:rPr>
                <w:rFonts w:hint="eastAsia" w:ascii="宋体" w:hAnsi="宋体"/>
                <w:color w:val="auto"/>
                <w:sz w:val="24"/>
                <w:szCs w:val="20"/>
                <w:highlight w:val="none"/>
              </w:rPr>
            </w:pPr>
          </w:p>
        </w:tc>
        <w:tc>
          <w:tcPr>
            <w:tcW w:w="1843" w:type="dxa"/>
            <w:vAlign w:val="center"/>
          </w:tcPr>
          <w:p w14:paraId="0E7554C3">
            <w:pPr>
              <w:spacing w:line="360" w:lineRule="auto"/>
              <w:contextualSpacing/>
              <w:jc w:val="center"/>
              <w:rPr>
                <w:rFonts w:hint="eastAsia" w:ascii="宋体" w:hAnsi="宋体"/>
                <w:color w:val="auto"/>
                <w:sz w:val="24"/>
                <w:szCs w:val="20"/>
                <w:highlight w:val="none"/>
              </w:rPr>
            </w:pPr>
          </w:p>
        </w:tc>
      </w:tr>
      <w:tr w14:paraId="565AC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817" w:type="dxa"/>
            <w:vAlign w:val="center"/>
          </w:tcPr>
          <w:p w14:paraId="55AFD9EB">
            <w:pPr>
              <w:spacing w:line="360" w:lineRule="auto"/>
              <w:contextualSpacing/>
              <w:jc w:val="center"/>
              <w:rPr>
                <w:rFonts w:hint="eastAsia" w:ascii="宋体" w:hAnsi="宋体"/>
                <w:color w:val="auto"/>
                <w:sz w:val="24"/>
                <w:szCs w:val="20"/>
                <w:highlight w:val="none"/>
              </w:rPr>
            </w:pPr>
          </w:p>
        </w:tc>
        <w:tc>
          <w:tcPr>
            <w:tcW w:w="709" w:type="dxa"/>
            <w:vAlign w:val="center"/>
          </w:tcPr>
          <w:p w14:paraId="5647F113">
            <w:pPr>
              <w:spacing w:line="360" w:lineRule="auto"/>
              <w:contextualSpacing/>
              <w:jc w:val="center"/>
              <w:rPr>
                <w:rFonts w:hint="eastAsia" w:ascii="宋体" w:hAnsi="宋体"/>
                <w:color w:val="auto"/>
                <w:sz w:val="24"/>
                <w:szCs w:val="20"/>
                <w:highlight w:val="none"/>
              </w:rPr>
            </w:pPr>
          </w:p>
        </w:tc>
        <w:tc>
          <w:tcPr>
            <w:tcW w:w="1701" w:type="dxa"/>
            <w:vAlign w:val="center"/>
          </w:tcPr>
          <w:p w14:paraId="20F8448A">
            <w:pPr>
              <w:spacing w:line="360" w:lineRule="auto"/>
              <w:contextualSpacing/>
              <w:jc w:val="center"/>
              <w:rPr>
                <w:rFonts w:hint="eastAsia" w:ascii="宋体" w:hAnsi="宋体"/>
                <w:color w:val="auto"/>
                <w:sz w:val="24"/>
                <w:szCs w:val="20"/>
                <w:highlight w:val="none"/>
              </w:rPr>
            </w:pPr>
          </w:p>
        </w:tc>
        <w:tc>
          <w:tcPr>
            <w:tcW w:w="1420" w:type="dxa"/>
            <w:vAlign w:val="center"/>
          </w:tcPr>
          <w:p w14:paraId="6F6A256A">
            <w:pPr>
              <w:spacing w:line="360" w:lineRule="auto"/>
              <w:contextualSpacing/>
              <w:jc w:val="center"/>
              <w:rPr>
                <w:rFonts w:hint="eastAsia" w:ascii="宋体" w:hAnsi="宋体"/>
                <w:color w:val="auto"/>
                <w:sz w:val="24"/>
                <w:szCs w:val="20"/>
                <w:highlight w:val="none"/>
              </w:rPr>
            </w:pPr>
          </w:p>
        </w:tc>
        <w:tc>
          <w:tcPr>
            <w:tcW w:w="1698" w:type="dxa"/>
            <w:vAlign w:val="center"/>
          </w:tcPr>
          <w:p w14:paraId="562A580E">
            <w:pPr>
              <w:spacing w:line="360" w:lineRule="auto"/>
              <w:contextualSpacing/>
              <w:jc w:val="center"/>
              <w:rPr>
                <w:rFonts w:hint="eastAsia" w:ascii="宋体" w:hAnsi="宋体"/>
                <w:color w:val="auto"/>
                <w:sz w:val="24"/>
                <w:szCs w:val="20"/>
                <w:highlight w:val="none"/>
              </w:rPr>
            </w:pPr>
          </w:p>
        </w:tc>
        <w:tc>
          <w:tcPr>
            <w:tcW w:w="1843" w:type="dxa"/>
            <w:vAlign w:val="center"/>
          </w:tcPr>
          <w:p w14:paraId="3180F75D">
            <w:pPr>
              <w:spacing w:line="360" w:lineRule="auto"/>
              <w:contextualSpacing/>
              <w:jc w:val="center"/>
              <w:rPr>
                <w:rFonts w:hint="eastAsia" w:ascii="宋体" w:hAnsi="宋体"/>
                <w:color w:val="auto"/>
                <w:sz w:val="24"/>
                <w:szCs w:val="20"/>
                <w:highlight w:val="none"/>
              </w:rPr>
            </w:pPr>
          </w:p>
        </w:tc>
      </w:tr>
    </w:tbl>
    <w:p w14:paraId="4AF9A3CE">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注：</w:t>
      </w:r>
    </w:p>
    <w:p w14:paraId="660DFBE3">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在填写时，如本表格不适合供应商的实际情况，可根据本表格式自行制表填写。</w:t>
      </w:r>
    </w:p>
    <w:p w14:paraId="41851C71">
      <w:pPr>
        <w:spacing w:line="360" w:lineRule="auto"/>
        <w:contextualSpacing/>
        <w:jc w:val="left"/>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供应商应当附本表所列证书的复印件并加盖供应商电子签章。</w:t>
      </w:r>
    </w:p>
    <w:p w14:paraId="2AA0E0E3">
      <w:pPr>
        <w:spacing w:line="360" w:lineRule="auto"/>
        <w:contextualSpacing/>
        <w:rPr>
          <w:rFonts w:hint="eastAsia" w:ascii="宋体" w:hAnsi="宋体"/>
          <w:color w:val="auto"/>
          <w:sz w:val="24"/>
          <w:highlight w:val="none"/>
        </w:rPr>
      </w:pPr>
    </w:p>
    <w:p w14:paraId="78E02307">
      <w:pPr>
        <w:spacing w:line="360" w:lineRule="auto"/>
        <w:contextualSpacing/>
        <w:rPr>
          <w:rFonts w:hint="eastAsia"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w:t>
      </w:r>
      <w:r>
        <w:rPr>
          <w:rFonts w:hint="eastAsia" w:ascii="宋体" w:hAnsi="宋体"/>
          <w:color w:val="auto"/>
          <w:spacing w:val="20"/>
          <w:sz w:val="24"/>
          <w:highlight w:val="none"/>
          <w:u w:val="single"/>
        </w:rPr>
        <w:t xml:space="preserve">        </w:t>
      </w:r>
    </w:p>
    <w:p w14:paraId="49ACB715">
      <w:pPr>
        <w:spacing w:line="360" w:lineRule="auto"/>
        <w:contextualSpacing/>
        <w:jc w:val="left"/>
        <w:rPr>
          <w:rFonts w:hint="eastAsia" w:ascii="宋体" w:hAnsi="宋体"/>
          <w:color w:val="auto"/>
          <w:sz w:val="24"/>
          <w:szCs w:val="20"/>
          <w:highlight w:val="none"/>
        </w:rPr>
      </w:pPr>
      <w:r>
        <w:rPr>
          <w:rFonts w:hint="eastAsia" w:ascii="宋体" w:hAnsi="宋体"/>
          <w:color w:val="auto"/>
          <w:spacing w:val="20"/>
          <w:sz w:val="24"/>
          <w:highlight w:val="none"/>
        </w:rPr>
        <w:t>供应商名称（电子签章）：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日 期：</w:t>
      </w:r>
      <w:r>
        <w:rPr>
          <w:rFonts w:hint="eastAsia" w:ascii="宋体" w:hAnsi="宋体"/>
          <w:color w:val="auto"/>
          <w:spacing w:val="20"/>
          <w:sz w:val="24"/>
          <w:highlight w:val="none"/>
          <w:u w:val="single"/>
        </w:rPr>
        <w:t xml:space="preserve">         </w:t>
      </w:r>
    </w:p>
    <w:p w14:paraId="01F87E12">
      <w:pPr>
        <w:spacing w:before="120" w:after="50"/>
        <w:jc w:val="left"/>
        <w:rPr>
          <w:rFonts w:hint="eastAsia" w:ascii="方正小标宋简体" w:hAnsi="方正小标宋简体" w:eastAsia="方正小标宋简体" w:cs="方正小标宋简体"/>
          <w:bCs/>
          <w:color w:val="auto"/>
          <w:szCs w:val="21"/>
          <w:highlight w:val="none"/>
        </w:rPr>
      </w:pPr>
      <w:r>
        <w:rPr>
          <w:rFonts w:ascii="宋体" w:hAnsi="宋体"/>
          <w:color w:val="auto"/>
          <w:sz w:val="24"/>
          <w:szCs w:val="20"/>
          <w:highlight w:val="none"/>
        </w:rPr>
        <w:br w:type="page"/>
      </w:r>
      <w:r>
        <w:rPr>
          <w:rFonts w:hint="eastAsia" w:ascii="方正小标宋简体" w:hAnsi="方正小标宋简体" w:eastAsia="方正小标宋简体" w:cs="方正小标宋简体"/>
          <w:bCs/>
          <w:color w:val="auto"/>
          <w:szCs w:val="21"/>
          <w:highlight w:val="none"/>
        </w:rPr>
        <w:t>代理服务费承诺书（如本项目为采购人支付代理服务费的，无需提供）</w:t>
      </w:r>
    </w:p>
    <w:p w14:paraId="3509190F">
      <w:pPr>
        <w:spacing w:before="120" w:after="50"/>
        <w:jc w:val="left"/>
        <w:rPr>
          <w:rFonts w:hint="eastAsia" w:ascii="方正小标宋简体" w:hAnsi="方正小标宋简体" w:eastAsia="方正小标宋简体" w:cs="方正小标宋简体"/>
          <w:bCs/>
          <w:color w:val="auto"/>
          <w:szCs w:val="21"/>
          <w:highlight w:val="none"/>
        </w:rPr>
      </w:pPr>
    </w:p>
    <w:p w14:paraId="391327D9">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代理服务费承诺书</w:t>
      </w:r>
    </w:p>
    <w:p w14:paraId="2EEC80AE">
      <w:pPr>
        <w:spacing w:before="120" w:after="50"/>
        <w:jc w:val="center"/>
        <w:rPr>
          <w:rFonts w:hint="eastAsia" w:ascii="宋体" w:hAnsi="宋体"/>
          <w:b/>
          <w:color w:val="auto"/>
          <w:sz w:val="24"/>
          <w:highlight w:val="none"/>
        </w:rPr>
      </w:pPr>
    </w:p>
    <w:p w14:paraId="42116CAD">
      <w:pPr>
        <w:spacing w:line="360" w:lineRule="auto"/>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代理机构名称</w:t>
      </w:r>
      <w:r>
        <w:rPr>
          <w:rFonts w:hint="eastAsia" w:ascii="宋体" w:hAnsi="宋体"/>
          <w:color w:val="auto"/>
          <w:sz w:val="24"/>
          <w:highlight w:val="none"/>
        </w:rPr>
        <w:t>：</w:t>
      </w:r>
    </w:p>
    <w:p w14:paraId="3182FE0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 在此说明如下：</w:t>
      </w:r>
    </w:p>
    <w:p w14:paraId="0958B3A2">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1.我方承诺，若本单位成交，保证在发出成交通知书之后，按本项目采购文件的规定标准向贵单位一次性足额支付代理服务费， 在领取成交通知书后，由于被质疑、投诉或者其他原因而导致成交结果改变，我方将放弃对已缴纳的代理服务费追还的一切权利。</w:t>
      </w:r>
    </w:p>
    <w:p w14:paraId="2AEFF3D8">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种方式作为代理服务费开票类型：</w:t>
      </w:r>
    </w:p>
    <w:p w14:paraId="526A5C77">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第一种方式：开具增值税普通发票。开票信息如下：</w:t>
      </w:r>
    </w:p>
    <w:p w14:paraId="556A2782">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647A7DBE">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4A36C1DB">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第二种方式：开具增值税专用发票，开票信息如下：</w:t>
      </w:r>
    </w:p>
    <w:p w14:paraId="31B7D49D">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74644DA5">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47039F23">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（3）在税务局登记的地址</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70FCE6A4">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（4）在税务局登记的电话</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3129151E">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01BFD56">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CD29320">
      <w:pPr>
        <w:spacing w:line="440" w:lineRule="exact"/>
        <w:rPr>
          <w:rFonts w:hint="eastAsia" w:ascii="宋体" w:hAnsi="宋体"/>
          <w:color w:val="auto"/>
          <w:sz w:val="24"/>
          <w:highlight w:val="none"/>
        </w:rPr>
      </w:pPr>
    </w:p>
    <w:p w14:paraId="55630605">
      <w:pPr>
        <w:spacing w:line="440" w:lineRule="exact"/>
        <w:rPr>
          <w:rFonts w:hint="eastAsia" w:ascii="宋体" w:hAnsi="宋体"/>
          <w:color w:val="auto"/>
          <w:sz w:val="24"/>
          <w:highlight w:val="none"/>
        </w:rPr>
      </w:pPr>
    </w:p>
    <w:p w14:paraId="52EACE06">
      <w:pPr>
        <w:spacing w:line="440" w:lineRule="exact"/>
        <w:rPr>
          <w:rFonts w:hint="eastAsia" w:ascii="宋体" w:hAnsi="宋体"/>
          <w:color w:val="auto"/>
          <w:sz w:val="24"/>
          <w:highlight w:val="none"/>
        </w:rPr>
      </w:pPr>
    </w:p>
    <w:p w14:paraId="14EE9EB7">
      <w:pPr>
        <w:spacing w:line="360" w:lineRule="auto"/>
        <w:ind w:left="-2" w:leftChars="-1" w:right="-817" w:rightChars="-389" w:firstLine="1920" w:firstLineChars="800"/>
        <w:rPr>
          <w:rFonts w:hint="eastAsia" w:ascii="宋体" w:hAnsi="宋体"/>
          <w:color w:val="auto"/>
          <w:sz w:val="24"/>
          <w:highlight w:val="none"/>
        </w:rPr>
      </w:pPr>
      <w:r>
        <w:rPr>
          <w:rFonts w:hint="eastAsia" w:ascii="宋体" w:hAnsi="宋体"/>
          <w:color w:val="auto"/>
          <w:sz w:val="24"/>
          <w:highlight w:val="none"/>
        </w:rPr>
        <w:t xml:space="preserve">法定代表人或者委托代理人（签字或者电子签名）： </w:t>
      </w:r>
    </w:p>
    <w:p w14:paraId="214B807D">
      <w:pPr>
        <w:spacing w:line="360" w:lineRule="auto"/>
        <w:ind w:left="-3" w:leftChars="-15" w:right="-817" w:rightChars="-389" w:hanging="28" w:hangingChars="12"/>
        <w:rPr>
          <w:rFonts w:hint="eastAsia" w:ascii="宋体" w:hAnsi="宋体"/>
          <w:color w:val="auto"/>
          <w:sz w:val="24"/>
          <w:highlight w:val="none"/>
        </w:rPr>
      </w:pPr>
      <w:r>
        <w:rPr>
          <w:rFonts w:hint="eastAsia" w:ascii="宋体" w:hAnsi="宋体"/>
          <w:color w:val="auto"/>
          <w:sz w:val="24"/>
          <w:highlight w:val="none"/>
        </w:rPr>
        <w:t xml:space="preserve">                                      供应商公章（电子签章）：</w:t>
      </w:r>
    </w:p>
    <w:p w14:paraId="688D031D">
      <w:pPr>
        <w:spacing w:line="360" w:lineRule="auto"/>
        <w:ind w:right="480" w:firstLine="240" w:firstLineChars="100"/>
        <w:jc w:val="left"/>
        <w:rPr>
          <w:rFonts w:hint="eastAsia" w:ascii="宋体" w:hAnsi="宋体"/>
          <w:color w:val="auto"/>
          <w:szCs w:val="21"/>
          <w:highlight w:val="none"/>
        </w:rPr>
        <w:sectPr>
          <w:pgSz w:w="11906" w:h="16838"/>
          <w:pgMar w:top="1440" w:right="1797" w:bottom="1440" w:left="1797" w:header="851" w:footer="992" w:gutter="0"/>
          <w:cols w:space="720" w:num="1"/>
        </w:sectPr>
      </w:pPr>
      <w:r>
        <w:rPr>
          <w:rFonts w:hint="eastAsia" w:ascii="宋体" w:hAnsi="宋体"/>
          <w:color w:val="auto"/>
          <w:sz w:val="24"/>
          <w:highlight w:val="none"/>
        </w:rPr>
        <w:t xml:space="preserve">                                    日期：    年   月   日</w:t>
      </w:r>
    </w:p>
    <w:p w14:paraId="04BD6939">
      <w:pPr>
        <w:spacing w:before="50" w:after="156"/>
        <w:jc w:val="left"/>
        <w:rPr>
          <w:rFonts w:hint="eastAsia" w:ascii="宋体" w:hAnsi="宋体"/>
          <w:color w:val="auto"/>
          <w:sz w:val="24"/>
          <w:szCs w:val="20"/>
          <w:highlight w:val="none"/>
        </w:rPr>
      </w:pPr>
    </w:p>
    <w:p w14:paraId="717A6295">
      <w:pPr>
        <w:spacing w:before="50" w:after="50" w:line="360" w:lineRule="auto"/>
        <w:ind w:right="-817" w:rightChars="-389" w:firstLine="5461" w:firstLineChars="1700"/>
        <w:rPr>
          <w:rFonts w:hint="eastAsia" w:ascii="仿宋_GB2312" w:hAnsi="仿宋_GB2312" w:eastAsia="仿宋_GB2312" w:cs="仿宋_GB2312"/>
          <w:b/>
          <w:color w:val="auto"/>
          <w:sz w:val="32"/>
          <w:szCs w:val="32"/>
          <w:highlight w:val="none"/>
        </w:rPr>
      </w:pPr>
    </w:p>
    <w:p w14:paraId="7F24D4C7">
      <w:pPr>
        <w:spacing w:line="300" w:lineRule="auto"/>
        <w:rPr>
          <w:rFonts w:hint="eastAsia" w:ascii="宋体" w:hAnsi="宋体"/>
          <w:color w:val="auto"/>
          <w:szCs w:val="21"/>
          <w:highlight w:val="none"/>
        </w:rPr>
      </w:pPr>
      <w:r>
        <w:rPr>
          <w:rFonts w:ascii="宋体" w:hAnsi="宋体"/>
          <w:b/>
          <w:bCs/>
          <w:color w:val="auto"/>
          <w:sz w:val="24"/>
          <w:highlight w:val="none"/>
        </w:rPr>
        <w:br w:type="page"/>
      </w:r>
      <w:r>
        <w:rPr>
          <w:rFonts w:hint="eastAsia" w:ascii="宋体" w:hAnsi="宋体"/>
          <w:b/>
          <w:bCs/>
          <w:color w:val="auto"/>
          <w:sz w:val="24"/>
          <w:highlight w:val="none"/>
        </w:rPr>
        <w:t>其他文书、文件格式</w:t>
      </w:r>
    </w:p>
    <w:p w14:paraId="4303D0CD">
      <w:pPr>
        <w:jc w:val="center"/>
        <w:rPr>
          <w:rFonts w:hint="eastAsia" w:ascii="方正小标宋简体" w:hAnsi="方正小标宋简体" w:eastAsia="方正小标宋简体" w:cs="方正小标宋简体"/>
          <w:color w:val="auto"/>
          <w:sz w:val="44"/>
          <w:szCs w:val="44"/>
          <w:highlight w:val="none"/>
        </w:rPr>
      </w:pPr>
      <w:bookmarkStart w:id="196" w:name="_Toc71365926"/>
      <w:r>
        <w:rPr>
          <w:rFonts w:hint="eastAsia" w:ascii="方正小标宋简体" w:hAnsi="方正小标宋简体" w:eastAsia="方正小标宋简体" w:cs="方正小标宋简体"/>
          <w:color w:val="auto"/>
          <w:sz w:val="44"/>
          <w:szCs w:val="44"/>
          <w:highlight w:val="none"/>
        </w:rPr>
        <w:t>中小企业声明函（服务）</w:t>
      </w:r>
      <w:bookmarkEnd w:id="196"/>
    </w:p>
    <w:p w14:paraId="046E21B7">
      <w:pPr>
        <w:spacing w:before="2" w:line="500" w:lineRule="exact"/>
        <w:ind w:firstLine="708" w:firstLineChars="294"/>
        <w:rPr>
          <w:rFonts w:hint="eastAsia" w:ascii="宋体" w:hAnsi="宋体" w:cs="宋体"/>
          <w:b/>
          <w:bCs/>
          <w:color w:val="auto"/>
          <w:sz w:val="24"/>
          <w:highlight w:val="none"/>
        </w:rPr>
      </w:pPr>
    </w:p>
    <w:p w14:paraId="101029C6">
      <w:pPr>
        <w:pStyle w:val="12"/>
        <w:spacing w:line="500" w:lineRule="exact"/>
        <w:ind w:right="142" w:firstLine="705" w:firstLineChars="294"/>
        <w:rPr>
          <w:rFonts w:hint="eastAsia" w:ascii="宋体" w:hAnsi="宋体"/>
          <w:color w:val="auto"/>
          <w:sz w:val="24"/>
          <w:highlight w:val="none"/>
        </w:rPr>
      </w:pPr>
      <w:r>
        <w:rPr>
          <w:rFonts w:hint="eastAsia" w:ascii="宋体" w:hAnsi="宋体"/>
          <w:color w:val="auto"/>
          <w:sz w:val="24"/>
          <w:highlight w:val="none"/>
        </w:rPr>
        <w:t>本公司（联合体）郑重声明，根据《政府采购促进中小企业发展管理办法》（财库﹝2020﹞46号）的规定，本公司（联合体）参加</w:t>
      </w:r>
      <w:r>
        <w:rPr>
          <w:rFonts w:hint="eastAsia" w:ascii="宋体" w:hAnsi="宋体"/>
          <w:color w:val="auto"/>
          <w:sz w:val="24"/>
          <w:highlight w:val="none"/>
          <w:u w:val="single"/>
        </w:rPr>
        <w:t>（单位名称）</w:t>
      </w:r>
      <w:r>
        <w:rPr>
          <w:rFonts w:hint="eastAsia" w:ascii="宋体" w:hAnsi="宋体"/>
          <w:color w:val="auto"/>
          <w:sz w:val="24"/>
          <w:highlight w:val="none"/>
        </w:rPr>
        <w:t>的</w:t>
      </w:r>
      <w:r>
        <w:rPr>
          <w:rFonts w:hint="eastAsia" w:ascii="宋体" w:hAnsi="宋体"/>
          <w:color w:val="auto"/>
          <w:sz w:val="24"/>
          <w:highlight w:val="none"/>
          <w:u w:val="single"/>
        </w:rPr>
        <w:t>（项目名称）</w:t>
      </w:r>
      <w:r>
        <w:rPr>
          <w:rFonts w:hint="eastAsia" w:ascii="宋体" w:hAnsi="宋体"/>
          <w:color w:val="auto"/>
          <w:sz w:val="24"/>
          <w:highlight w:val="none"/>
        </w:rPr>
        <w:t>采购活动，服务全部由符合政策要求的中小企业承接。相关企业（含联合体中的中小企业、签订分包意向协议的中小企业）的具体情况如下：</w:t>
      </w:r>
    </w:p>
    <w:p w14:paraId="571F3E8F">
      <w:pPr>
        <w:tabs>
          <w:tab w:val="left" w:pos="1384"/>
          <w:tab w:val="left" w:pos="4562"/>
          <w:tab w:val="left" w:pos="6803"/>
        </w:tabs>
        <w:spacing w:before="13" w:line="500" w:lineRule="exact"/>
        <w:ind w:right="142" w:firstLine="772" w:firstLineChars="322"/>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u w:val="single"/>
        </w:rPr>
        <w:t>（标的名称）</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64AFE58A">
      <w:pPr>
        <w:tabs>
          <w:tab w:val="left" w:pos="1065"/>
          <w:tab w:val="left" w:pos="4262"/>
          <w:tab w:val="left" w:pos="6477"/>
        </w:tabs>
        <w:spacing w:before="20" w:line="500" w:lineRule="exact"/>
        <w:ind w:right="84" w:firstLine="772" w:firstLineChars="322"/>
        <w:rPr>
          <w:rFonts w:hint="eastAsia" w:ascii="宋体" w:hAnsi="宋体"/>
          <w:color w:val="auto"/>
          <w:sz w:val="24"/>
          <w:highlight w:val="none"/>
          <w:u w:val="single"/>
        </w:rPr>
      </w:pPr>
      <w:r>
        <w:rPr>
          <w:rFonts w:ascii="宋体" w:hAnsi="宋体"/>
          <w:color w:val="auto"/>
          <w:sz w:val="24"/>
          <w:highlight w:val="none"/>
        </w:rPr>
        <w:t>2.</w:t>
      </w:r>
      <w:r>
        <w:rPr>
          <w:rFonts w:hint="eastAsia" w:ascii="宋体" w:hAnsi="宋体"/>
          <w:color w:val="auto"/>
          <w:sz w:val="24"/>
          <w:highlight w:val="none"/>
          <w:u w:val="single"/>
        </w:rPr>
        <w:t>（标的名称）</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4B05C70F">
      <w:pPr>
        <w:pStyle w:val="12"/>
        <w:spacing w:before="34" w:line="500" w:lineRule="exact"/>
        <w:ind w:right="142" w:firstLine="705" w:firstLineChars="294"/>
        <w:rPr>
          <w:rFonts w:hint="eastAsia" w:ascii="宋体" w:hAnsi="宋体"/>
          <w:color w:val="auto"/>
          <w:sz w:val="24"/>
          <w:highlight w:val="none"/>
        </w:rPr>
      </w:pPr>
      <w:r>
        <w:rPr>
          <w:rFonts w:ascii="宋体" w:hAnsi="宋体"/>
          <w:color w:val="auto"/>
          <w:sz w:val="24"/>
          <w:highlight w:val="none"/>
        </w:rPr>
        <w:t xml:space="preserve">…… </w:t>
      </w:r>
    </w:p>
    <w:p w14:paraId="37B261D1">
      <w:pPr>
        <w:pStyle w:val="12"/>
        <w:spacing w:before="34" w:line="500" w:lineRule="exact"/>
        <w:ind w:right="142" w:firstLine="705" w:firstLineChars="294"/>
        <w:rPr>
          <w:rFonts w:hint="eastAsia" w:ascii="宋体" w:hAnsi="宋体"/>
          <w:color w:val="auto"/>
          <w:sz w:val="24"/>
          <w:highlight w:val="none"/>
        </w:rPr>
      </w:pPr>
      <w:r>
        <w:rPr>
          <w:rFonts w:hint="eastAsia" w:ascii="宋体" w:hAnsi="宋体"/>
          <w:color w:val="auto"/>
          <w:sz w:val="24"/>
          <w:highlight w:val="none"/>
        </w:rPr>
        <w:t>以上企业，不属于大企业的分支机构，不存在控股股东为大企业的情形，也不存在与大企业的负责人为同一人的情形。</w:t>
      </w:r>
    </w:p>
    <w:p w14:paraId="515F60D2">
      <w:pPr>
        <w:pStyle w:val="12"/>
        <w:spacing w:before="25" w:line="500" w:lineRule="exact"/>
        <w:ind w:right="142" w:firstLine="705" w:firstLineChars="294"/>
        <w:rPr>
          <w:rFonts w:hint="eastAsia" w:ascii="宋体" w:hAnsi="宋体"/>
          <w:color w:val="auto"/>
          <w:sz w:val="24"/>
          <w:highlight w:val="none"/>
        </w:rPr>
      </w:pPr>
      <w:r>
        <w:rPr>
          <w:rFonts w:hint="eastAsia" w:ascii="宋体" w:hAnsi="宋体"/>
          <w:color w:val="auto"/>
          <w:sz w:val="24"/>
          <w:highlight w:val="none"/>
        </w:rPr>
        <w:t>本企业对上述声明内容的真实性负责。如有虚假，将依法承担相应责任。</w:t>
      </w:r>
    </w:p>
    <w:p w14:paraId="53124695">
      <w:pPr>
        <w:pStyle w:val="12"/>
        <w:spacing w:before="56" w:line="500" w:lineRule="exact"/>
        <w:ind w:right="1808" w:firstLine="705" w:firstLineChars="294"/>
        <w:rPr>
          <w:rFonts w:hint="eastAsia" w:ascii="宋体" w:hAnsi="宋体"/>
          <w:color w:val="auto"/>
          <w:sz w:val="24"/>
          <w:highlight w:val="none"/>
        </w:rPr>
      </w:pPr>
    </w:p>
    <w:p w14:paraId="7F2AAA5A">
      <w:pPr>
        <w:pStyle w:val="12"/>
        <w:spacing w:before="56" w:line="500" w:lineRule="exact"/>
        <w:ind w:right="650" w:firstLine="5625" w:firstLineChars="2344"/>
        <w:rPr>
          <w:rFonts w:hint="eastAsia" w:ascii="宋体" w:hAnsi="宋体"/>
          <w:color w:val="auto"/>
          <w:sz w:val="24"/>
          <w:highlight w:val="none"/>
        </w:rPr>
      </w:pPr>
      <w:r>
        <w:rPr>
          <w:rFonts w:hint="eastAsia" w:ascii="宋体" w:hAnsi="宋体"/>
          <w:color w:val="auto"/>
          <w:sz w:val="24"/>
          <w:highlight w:val="none"/>
        </w:rPr>
        <w:t xml:space="preserve">企业名称（章）： </w:t>
      </w:r>
    </w:p>
    <w:p w14:paraId="22D631F0">
      <w:pPr>
        <w:pStyle w:val="12"/>
        <w:spacing w:before="56" w:line="500" w:lineRule="exact"/>
        <w:ind w:right="1808" w:firstLine="5625" w:firstLineChars="2344"/>
        <w:rPr>
          <w:rFonts w:hint="eastAsia" w:ascii="宋体" w:hAnsi="宋体"/>
          <w:color w:val="auto"/>
          <w:sz w:val="24"/>
          <w:highlight w:val="none"/>
        </w:rPr>
      </w:pPr>
      <w:r>
        <w:rPr>
          <w:rFonts w:hint="eastAsia" w:ascii="宋体" w:hAnsi="宋体"/>
          <w:color w:val="auto"/>
          <w:sz w:val="24"/>
          <w:highlight w:val="none"/>
        </w:rPr>
        <w:t>日 期：</w:t>
      </w:r>
    </w:p>
    <w:p w14:paraId="0E4685C1">
      <w:pPr>
        <w:spacing w:line="520" w:lineRule="exact"/>
        <w:jc w:val="left"/>
        <w:rPr>
          <w:rFonts w:hint="eastAsia"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285EE1E">
      <w:pPr>
        <w:spacing w:line="520" w:lineRule="exact"/>
        <w:jc w:val="center"/>
        <w:rPr>
          <w:rFonts w:hint="eastAsia" w:ascii="仿宋_GB2312" w:hAnsi="仿宋_GB2312" w:eastAsia="仿宋_GB2312" w:cs="仿宋_GB2312"/>
          <w:color w:val="auto"/>
          <w:sz w:val="32"/>
          <w:szCs w:val="32"/>
          <w:highlight w:val="none"/>
        </w:rPr>
      </w:pPr>
      <w:r>
        <w:rPr>
          <w:rFonts w:ascii="宋体" w:hAnsi="宋体"/>
          <w:color w:val="auto"/>
          <w:sz w:val="24"/>
          <w:highlight w:val="none"/>
        </w:rPr>
        <w:br w:type="page"/>
      </w:r>
      <w:r>
        <w:rPr>
          <w:rFonts w:hint="eastAsia" w:ascii="方正小标宋简体" w:hAnsi="方正小标宋简体" w:eastAsia="方正小标宋简体" w:cs="方正小标宋简体"/>
          <w:color w:val="auto"/>
          <w:sz w:val="44"/>
          <w:szCs w:val="44"/>
          <w:highlight w:val="none"/>
        </w:rPr>
        <w:t>残疾人福利性单位声明函</w:t>
      </w:r>
    </w:p>
    <w:p w14:paraId="270CC6CC">
      <w:pPr>
        <w:spacing w:line="360" w:lineRule="auto"/>
        <w:contextualSpacing/>
        <w:rPr>
          <w:rFonts w:hint="eastAsia" w:ascii="仿宋_GB2312" w:hAnsi="仿宋_GB2312" w:eastAsia="仿宋_GB2312" w:cs="仿宋_GB2312"/>
          <w:color w:val="auto"/>
          <w:sz w:val="32"/>
          <w:szCs w:val="32"/>
          <w:highlight w:val="none"/>
        </w:rPr>
      </w:pPr>
    </w:p>
    <w:p w14:paraId="3033480B">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3A5F8FD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7F1EB7CB">
      <w:pPr>
        <w:spacing w:line="360" w:lineRule="auto"/>
        <w:contextualSpacing/>
        <w:rPr>
          <w:rFonts w:hint="eastAsia" w:ascii="宋体" w:hAnsi="宋体" w:cs="仿宋_GB2312"/>
          <w:color w:val="auto"/>
          <w:sz w:val="24"/>
          <w:highlight w:val="none"/>
        </w:rPr>
      </w:pPr>
    </w:p>
    <w:p w14:paraId="587DF4E2">
      <w:pPr>
        <w:spacing w:line="360" w:lineRule="auto"/>
        <w:contextualSpacing/>
        <w:rPr>
          <w:rFonts w:hint="eastAsia" w:ascii="宋体" w:hAnsi="宋体" w:cs="仿宋_GB2312"/>
          <w:color w:val="auto"/>
          <w:sz w:val="24"/>
          <w:highlight w:val="none"/>
        </w:rPr>
      </w:pPr>
    </w:p>
    <w:p w14:paraId="732871F7">
      <w:pPr>
        <w:spacing w:line="360" w:lineRule="auto"/>
        <w:contextualSpacing/>
        <w:rPr>
          <w:rFonts w:hint="eastAsia" w:ascii="宋体" w:hAnsi="宋体" w:cs="仿宋_GB2312"/>
          <w:color w:val="auto"/>
          <w:sz w:val="24"/>
          <w:highlight w:val="none"/>
        </w:rPr>
      </w:pPr>
    </w:p>
    <w:p w14:paraId="71A91833">
      <w:pPr>
        <w:spacing w:line="360" w:lineRule="auto"/>
        <w:ind w:firstLine="2400" w:firstLineChars="1000"/>
        <w:contextualSpacing/>
        <w:rPr>
          <w:rFonts w:hint="eastAsia" w:ascii="宋体" w:hAnsi="宋体" w:cs="仿宋_GB2312"/>
          <w:color w:val="auto"/>
          <w:sz w:val="24"/>
          <w:highlight w:val="none"/>
        </w:rPr>
      </w:pPr>
      <w:r>
        <w:rPr>
          <w:rFonts w:hint="eastAsia" w:ascii="宋体" w:hAnsi="宋体" w:cs="仿宋_GB2312"/>
          <w:color w:val="auto"/>
          <w:sz w:val="24"/>
          <w:highlight w:val="none"/>
        </w:rPr>
        <w:t>单位名称（盖章）：</w:t>
      </w:r>
    </w:p>
    <w:p w14:paraId="7F1245F3">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日  期：</w:t>
      </w:r>
    </w:p>
    <w:p w14:paraId="7B126AFE">
      <w:pPr>
        <w:spacing w:line="360" w:lineRule="auto"/>
        <w:contextualSpacing/>
        <w:rPr>
          <w:rFonts w:hint="eastAsia" w:ascii="宋体" w:hAnsi="宋体" w:cs="仿宋_GB2312"/>
          <w:color w:val="auto"/>
          <w:sz w:val="24"/>
          <w:highlight w:val="none"/>
        </w:rPr>
      </w:pPr>
    </w:p>
    <w:p w14:paraId="0C9F8BE3">
      <w:pPr>
        <w:spacing w:line="360" w:lineRule="auto"/>
        <w:contextualSpacing/>
        <w:rPr>
          <w:rFonts w:hint="eastAsia" w:ascii="宋体" w:hAnsi="宋体" w:cs="仿宋_GB2312"/>
          <w:color w:val="auto"/>
          <w:sz w:val="24"/>
          <w:highlight w:val="none"/>
        </w:rPr>
      </w:pPr>
    </w:p>
    <w:p w14:paraId="5FC62F72">
      <w:pPr>
        <w:spacing w:line="360" w:lineRule="auto"/>
        <w:contextualSpacing/>
        <w:rPr>
          <w:rFonts w:hint="eastAsia" w:ascii="宋体" w:hAnsi="宋体" w:cs="仿宋_GB2312"/>
          <w:color w:val="auto"/>
          <w:sz w:val="24"/>
          <w:highlight w:val="none"/>
        </w:rPr>
      </w:pPr>
    </w:p>
    <w:p w14:paraId="51171A28">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7E534007">
      <w:pPr>
        <w:pStyle w:val="22"/>
        <w:shd w:val="clear" w:color="auto" w:fill="FFFFFF"/>
        <w:jc w:val="center"/>
        <w:rPr>
          <w:rFonts w:hint="eastAsia" w:ascii="宋体" w:hAnsi="宋体" w:cs="宋体"/>
          <w:color w:val="auto"/>
          <w:sz w:val="36"/>
          <w:szCs w:val="36"/>
          <w:highlight w:val="none"/>
        </w:rPr>
      </w:pPr>
      <w:r>
        <w:rPr>
          <w:rFonts w:ascii="宋体" w:hAnsi="宋体" w:cs="仿宋_GB2312"/>
          <w:color w:val="auto"/>
          <w:highlight w:val="none"/>
        </w:rPr>
        <w:br w:type="page"/>
      </w:r>
      <w:r>
        <w:rPr>
          <w:rFonts w:hint="eastAsia" w:ascii="宋体" w:hAnsi="宋体" w:cs="宋体"/>
          <w:b/>
          <w:bCs/>
          <w:color w:val="auto"/>
          <w:sz w:val="36"/>
          <w:szCs w:val="36"/>
          <w:highlight w:val="none"/>
        </w:rPr>
        <w:t>关于符合本国产品标准的声明函</w:t>
      </w:r>
    </w:p>
    <w:p w14:paraId="5ACC4207">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p w14:paraId="690DFF8D">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5911AB79">
      <w:pPr>
        <w:widowControl/>
        <w:shd w:val="clear" w:color="auto" w:fill="FFFFFF"/>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i/>
          <w:iCs/>
          <w:color w:val="auto"/>
          <w:kern w:val="0"/>
          <w:sz w:val="24"/>
          <w:highlight w:val="none"/>
        </w:rPr>
        <w:t>（产品名称1）</w:t>
      </w:r>
      <w:r>
        <w:rPr>
          <w:rFonts w:hint="eastAsia" w:ascii="宋体" w:hAnsi="宋体" w:cs="宋体"/>
          <w:i/>
          <w:iCs/>
          <w:color w:val="auto"/>
          <w:kern w:val="0"/>
          <w:sz w:val="18"/>
          <w:szCs w:val="18"/>
          <w:highlight w:val="none"/>
          <w:vertAlign w:val="superscript"/>
        </w:rPr>
        <w:t>1</w:t>
      </w:r>
      <w:r>
        <w:rPr>
          <w:rFonts w:hint="eastAsia" w:ascii="宋体" w:hAnsi="宋体" w:cs="宋体"/>
          <w:color w:val="auto"/>
          <w:kern w:val="0"/>
          <w:sz w:val="24"/>
          <w:highlight w:val="none"/>
        </w:rPr>
        <w:t>，生产厂为</w:t>
      </w:r>
      <w:r>
        <w:rPr>
          <w:rFonts w:hint="eastAsia" w:ascii="宋体" w:hAnsi="宋体" w:cs="宋体"/>
          <w:i/>
          <w:iCs/>
          <w:color w:val="auto"/>
          <w:kern w:val="0"/>
          <w:sz w:val="24"/>
          <w:highlight w:val="none"/>
        </w:rPr>
        <w:t>（厂名）</w:t>
      </w:r>
      <w:r>
        <w:rPr>
          <w:rFonts w:hint="eastAsia" w:ascii="宋体" w:hAnsi="宋体" w:cs="宋体"/>
          <w:i/>
          <w:iCs/>
          <w:color w:val="auto"/>
          <w:kern w:val="0"/>
          <w:sz w:val="18"/>
          <w:szCs w:val="18"/>
          <w:highlight w:val="none"/>
          <w:vertAlign w:val="superscript"/>
        </w:rPr>
        <w:t>2</w:t>
      </w:r>
      <w:r>
        <w:rPr>
          <w:rFonts w:hint="eastAsia" w:ascii="宋体" w:hAnsi="宋体" w:cs="宋体"/>
          <w:color w:val="auto"/>
          <w:kern w:val="0"/>
          <w:sz w:val="24"/>
          <w:highlight w:val="none"/>
        </w:rPr>
        <w:t>，厂址为</w:t>
      </w:r>
      <w:r>
        <w:rPr>
          <w:rFonts w:hint="eastAsia" w:ascii="宋体" w:hAnsi="宋体" w:cs="宋体"/>
          <w:i/>
          <w:iCs/>
          <w:color w:val="auto"/>
          <w:kern w:val="0"/>
          <w:sz w:val="24"/>
          <w:highlight w:val="none"/>
        </w:rPr>
        <w:t>（生产厂址）</w:t>
      </w:r>
      <w:r>
        <w:rPr>
          <w:rFonts w:hint="eastAsia" w:ascii="宋体" w:hAnsi="宋体" w:cs="宋体"/>
          <w:color w:val="auto"/>
          <w:kern w:val="0"/>
          <w:sz w:val="24"/>
          <w:highlight w:val="none"/>
        </w:rPr>
        <w:t>。</w:t>
      </w:r>
      <w:r>
        <w:rPr>
          <w:rFonts w:hint="eastAsia" w:ascii="宋体" w:hAnsi="宋体" w:cs="宋体"/>
          <w:i/>
          <w:iCs/>
          <w:color w:val="auto"/>
          <w:kern w:val="0"/>
          <w:sz w:val="24"/>
          <w:highlight w:val="none"/>
        </w:rPr>
        <w:t>（产品名称1）</w:t>
      </w:r>
      <w:r>
        <w:rPr>
          <w:rFonts w:hint="eastAsia" w:ascii="宋体" w:hAnsi="宋体" w:cs="宋体"/>
          <w:color w:val="auto"/>
          <w:kern w:val="0"/>
          <w:sz w:val="24"/>
          <w:highlight w:val="none"/>
        </w:rPr>
        <w:t>的中国境内生产的组件成本占比≥</w:t>
      </w:r>
      <w:r>
        <w:rPr>
          <w:rFonts w:hint="eastAsia" w:ascii="宋体" w:hAnsi="宋体" w:cs="宋体"/>
          <w:i/>
          <w:iCs/>
          <w:color w:val="auto"/>
          <w:kern w:val="0"/>
          <w:sz w:val="24"/>
          <w:highlight w:val="none"/>
        </w:rPr>
        <w:t>（规定比例）</w:t>
      </w:r>
      <w:r>
        <w:rPr>
          <w:rFonts w:hint="eastAsia" w:ascii="宋体" w:hAnsi="宋体" w:cs="宋体"/>
          <w:i/>
          <w:iCs/>
          <w:color w:val="auto"/>
          <w:kern w:val="0"/>
          <w:sz w:val="18"/>
          <w:szCs w:val="18"/>
          <w:highlight w:val="none"/>
          <w:vertAlign w:val="superscript"/>
        </w:rPr>
        <w:t>3</w:t>
      </w:r>
      <w:r>
        <w:rPr>
          <w:rFonts w:hint="eastAsia" w:ascii="宋体" w:hAnsi="宋体" w:cs="宋体"/>
          <w:color w:val="auto"/>
          <w:kern w:val="0"/>
          <w:sz w:val="24"/>
          <w:highlight w:val="none"/>
        </w:rPr>
        <w:t>。</w:t>
      </w:r>
      <w:r>
        <w:rPr>
          <w:rFonts w:hint="eastAsia" w:ascii="宋体" w:hAnsi="宋体" w:cs="宋体"/>
          <w:i/>
          <w:iCs/>
          <w:color w:val="auto"/>
          <w:kern w:val="0"/>
          <w:sz w:val="24"/>
          <w:highlight w:val="none"/>
        </w:rPr>
        <w:t>（产品名称1）</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rPr>
        <w:t>（关键组件）</w:t>
      </w:r>
      <w:r>
        <w:rPr>
          <w:rFonts w:hint="eastAsia" w:ascii="宋体" w:hAnsi="宋体" w:cs="宋体"/>
          <w:i/>
          <w:iCs/>
          <w:color w:val="auto"/>
          <w:kern w:val="0"/>
          <w:sz w:val="18"/>
          <w:szCs w:val="18"/>
          <w:highlight w:val="none"/>
          <w:vertAlign w:val="superscript"/>
        </w:rPr>
        <w:t>4</w:t>
      </w:r>
      <w:r>
        <w:rPr>
          <w:rFonts w:hint="eastAsia" w:ascii="宋体" w:hAnsi="宋体" w:cs="宋体"/>
          <w:color w:val="auto"/>
          <w:kern w:val="0"/>
          <w:sz w:val="24"/>
          <w:highlight w:val="none"/>
        </w:rPr>
        <w:t>在中国境内生产。</w:t>
      </w:r>
      <w:r>
        <w:rPr>
          <w:rFonts w:hint="eastAsia" w:ascii="宋体" w:hAnsi="宋体" w:cs="宋体"/>
          <w:i/>
          <w:iCs/>
          <w:color w:val="auto"/>
          <w:kern w:val="0"/>
          <w:sz w:val="24"/>
          <w:highlight w:val="none"/>
        </w:rPr>
        <w:t>（产品名称1）</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rPr>
        <w:t>（关键工序）</w:t>
      </w:r>
      <w:r>
        <w:rPr>
          <w:rFonts w:hint="eastAsia" w:ascii="宋体" w:hAnsi="宋体" w:cs="宋体"/>
          <w:i/>
          <w:iCs/>
          <w:color w:val="auto"/>
          <w:kern w:val="0"/>
          <w:sz w:val="18"/>
          <w:szCs w:val="18"/>
          <w:highlight w:val="none"/>
          <w:vertAlign w:val="superscript"/>
        </w:rPr>
        <w:t>5</w:t>
      </w:r>
      <w:r>
        <w:rPr>
          <w:rFonts w:hint="eastAsia" w:ascii="宋体" w:hAnsi="宋体" w:cs="宋体"/>
          <w:color w:val="auto"/>
          <w:kern w:val="0"/>
          <w:sz w:val="24"/>
          <w:highlight w:val="none"/>
        </w:rPr>
        <w:t>在中国境内完成。</w:t>
      </w:r>
    </w:p>
    <w:p w14:paraId="15EC2657">
      <w:pPr>
        <w:widowControl/>
        <w:shd w:val="clear" w:color="auto" w:fill="FFFFFF"/>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i/>
          <w:iCs/>
          <w:color w:val="auto"/>
          <w:kern w:val="0"/>
          <w:sz w:val="24"/>
          <w:highlight w:val="none"/>
        </w:rPr>
        <w:t>（产品名称2）</w:t>
      </w:r>
      <w:r>
        <w:rPr>
          <w:rFonts w:hint="eastAsia" w:ascii="宋体" w:hAnsi="宋体" w:cs="宋体"/>
          <w:color w:val="auto"/>
          <w:kern w:val="0"/>
          <w:sz w:val="24"/>
          <w:highlight w:val="none"/>
        </w:rPr>
        <w:t>，生产厂为</w:t>
      </w:r>
      <w:r>
        <w:rPr>
          <w:rFonts w:hint="eastAsia" w:ascii="宋体" w:hAnsi="宋体" w:cs="宋体"/>
          <w:i/>
          <w:iCs/>
          <w:color w:val="auto"/>
          <w:kern w:val="0"/>
          <w:sz w:val="24"/>
          <w:highlight w:val="none"/>
        </w:rPr>
        <w:t>（厂名）</w:t>
      </w:r>
      <w:r>
        <w:rPr>
          <w:rFonts w:hint="eastAsia" w:ascii="宋体" w:hAnsi="宋体" w:cs="宋体"/>
          <w:color w:val="auto"/>
          <w:kern w:val="0"/>
          <w:sz w:val="24"/>
          <w:highlight w:val="none"/>
        </w:rPr>
        <w:t>，厂址为</w:t>
      </w:r>
      <w:r>
        <w:rPr>
          <w:rFonts w:hint="eastAsia" w:ascii="宋体" w:hAnsi="宋体" w:cs="宋体"/>
          <w:i/>
          <w:iCs/>
          <w:color w:val="auto"/>
          <w:kern w:val="0"/>
          <w:sz w:val="24"/>
          <w:highlight w:val="none"/>
        </w:rPr>
        <w:t>（生产厂址）</w:t>
      </w:r>
      <w:r>
        <w:rPr>
          <w:rFonts w:hint="eastAsia" w:ascii="宋体" w:hAnsi="宋体" w:cs="宋体"/>
          <w:color w:val="auto"/>
          <w:kern w:val="0"/>
          <w:sz w:val="24"/>
          <w:highlight w:val="none"/>
        </w:rPr>
        <w:t>。</w:t>
      </w:r>
      <w:r>
        <w:rPr>
          <w:rFonts w:hint="eastAsia" w:ascii="宋体" w:hAnsi="宋体" w:cs="宋体"/>
          <w:i/>
          <w:iCs/>
          <w:color w:val="auto"/>
          <w:kern w:val="0"/>
          <w:sz w:val="24"/>
          <w:highlight w:val="none"/>
        </w:rPr>
        <w:t>（产品名称2）</w:t>
      </w:r>
      <w:r>
        <w:rPr>
          <w:rFonts w:hint="eastAsia" w:ascii="宋体" w:hAnsi="宋体" w:cs="宋体"/>
          <w:color w:val="auto"/>
          <w:kern w:val="0"/>
          <w:sz w:val="24"/>
          <w:highlight w:val="none"/>
        </w:rPr>
        <w:t>的中国境内生产的组件成本占比≥</w:t>
      </w:r>
      <w:r>
        <w:rPr>
          <w:rFonts w:hint="eastAsia" w:ascii="宋体" w:hAnsi="宋体" w:cs="宋体"/>
          <w:i/>
          <w:iCs/>
          <w:color w:val="auto"/>
          <w:kern w:val="0"/>
          <w:sz w:val="24"/>
          <w:highlight w:val="none"/>
        </w:rPr>
        <w:t>（规定比例）</w:t>
      </w:r>
      <w:r>
        <w:rPr>
          <w:rFonts w:hint="eastAsia" w:ascii="宋体" w:hAnsi="宋体" w:cs="宋体"/>
          <w:color w:val="auto"/>
          <w:kern w:val="0"/>
          <w:sz w:val="24"/>
          <w:highlight w:val="none"/>
        </w:rPr>
        <w:t>。</w:t>
      </w:r>
      <w:r>
        <w:rPr>
          <w:rFonts w:hint="eastAsia" w:ascii="宋体" w:hAnsi="宋体" w:cs="宋体"/>
          <w:i/>
          <w:iCs/>
          <w:color w:val="auto"/>
          <w:kern w:val="0"/>
          <w:sz w:val="24"/>
          <w:highlight w:val="none"/>
        </w:rPr>
        <w:t>（产品名称2）</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rPr>
        <w:t>（关键组件）</w:t>
      </w:r>
      <w:r>
        <w:rPr>
          <w:rFonts w:hint="eastAsia" w:ascii="宋体" w:hAnsi="宋体" w:cs="宋体"/>
          <w:color w:val="auto"/>
          <w:kern w:val="0"/>
          <w:sz w:val="24"/>
          <w:highlight w:val="none"/>
        </w:rPr>
        <w:t>在中国境内生产。</w:t>
      </w:r>
      <w:r>
        <w:rPr>
          <w:rFonts w:hint="eastAsia" w:ascii="宋体" w:hAnsi="宋体" w:cs="宋体"/>
          <w:i/>
          <w:iCs/>
          <w:color w:val="auto"/>
          <w:kern w:val="0"/>
          <w:sz w:val="24"/>
          <w:highlight w:val="none"/>
        </w:rPr>
        <w:t>（产品名称2）</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rPr>
        <w:t>（关键工序）</w:t>
      </w:r>
      <w:r>
        <w:rPr>
          <w:rFonts w:hint="eastAsia" w:ascii="宋体" w:hAnsi="宋体" w:cs="宋体"/>
          <w:color w:val="auto"/>
          <w:kern w:val="0"/>
          <w:sz w:val="24"/>
          <w:highlight w:val="none"/>
        </w:rPr>
        <w:t>在中国境内完成。</w:t>
      </w:r>
    </w:p>
    <w:p w14:paraId="1F8781DE">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2C8DE636">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本公司（单位）对上述声明内容的真实性负责。如有虚假，愿承担相应法律责任。</w:t>
      </w:r>
    </w:p>
    <w:p w14:paraId="5AC560CF">
      <w:pPr>
        <w:widowControl/>
        <w:shd w:val="clear" w:color="auto" w:fill="FFFFFF"/>
        <w:spacing w:before="30" w:after="3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p w14:paraId="611FD211">
      <w:pPr>
        <w:widowControl/>
        <w:shd w:val="clear" w:color="auto" w:fill="FFFFFF"/>
        <w:spacing w:before="30" w:after="30"/>
        <w:jc w:val="right"/>
        <w:rPr>
          <w:rFonts w:hint="eastAsia" w:ascii="宋体" w:hAnsi="宋体" w:cs="宋体"/>
          <w:color w:val="auto"/>
          <w:kern w:val="0"/>
          <w:sz w:val="24"/>
          <w:highlight w:val="none"/>
        </w:rPr>
      </w:pPr>
      <w:r>
        <w:rPr>
          <w:rFonts w:hint="eastAsia" w:ascii="宋体" w:hAnsi="宋体" w:cs="宋体"/>
          <w:color w:val="auto"/>
          <w:kern w:val="0"/>
          <w:sz w:val="24"/>
          <w:highlight w:val="none"/>
        </w:rPr>
        <w:t>公司（单位）名称（盖章）：　        </w:t>
      </w:r>
    </w:p>
    <w:p w14:paraId="1CCAD375">
      <w:pPr>
        <w:widowControl/>
        <w:shd w:val="clear" w:color="auto" w:fill="FFFFFF"/>
        <w:jc w:val="right"/>
        <w:rPr>
          <w:rFonts w:hint="eastAsia" w:ascii="宋体" w:hAnsi="宋体" w:cs="宋体"/>
          <w:color w:val="auto"/>
          <w:kern w:val="0"/>
          <w:sz w:val="24"/>
          <w:highlight w:val="none"/>
        </w:rPr>
      </w:pPr>
      <w:r>
        <w:rPr>
          <w:rFonts w:hint="eastAsia" w:ascii="宋体" w:hAnsi="宋体" w:cs="宋体"/>
          <w:color w:val="auto"/>
          <w:kern w:val="0"/>
          <w:sz w:val="24"/>
          <w:highlight w:val="none"/>
        </w:rPr>
        <w:t>日期：　     年　  月　  日         </w:t>
      </w:r>
    </w:p>
    <w:p w14:paraId="2C1EFDF5">
      <w:pPr>
        <w:widowControl/>
        <w:shd w:val="clear" w:color="auto" w:fill="FFFFFF"/>
        <w:spacing w:before="30" w:after="30"/>
        <w:jc w:val="left"/>
        <w:rPr>
          <w:rFonts w:hint="eastAsia" w:ascii="宋体" w:hAnsi="宋体" w:cs="宋体"/>
          <w:color w:val="auto"/>
          <w:kern w:val="0"/>
          <w:sz w:val="24"/>
          <w:highlight w:val="none"/>
        </w:rPr>
      </w:pPr>
      <w:r>
        <w:rPr>
          <w:rFonts w:hint="eastAsia" w:ascii="宋体" w:hAnsi="宋体" w:cs="宋体"/>
          <w:color w:val="auto"/>
          <w:kern w:val="0"/>
          <w:sz w:val="24"/>
          <w:highlight w:val="none"/>
        </w:rPr>
        <w:t>__________________</w:t>
      </w:r>
    </w:p>
    <w:p w14:paraId="3C015A4C">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1.产品如有型号，请在“产品名称”栏一并填写。</w:t>
      </w:r>
    </w:p>
    <w:p w14:paraId="1AF1FB97">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2.生产厂名与厂址应与生产厂营业执照载明的相关信息保持一致。</w:t>
      </w:r>
    </w:p>
    <w:p w14:paraId="504D8B7F">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3.该产品的中国境内生产的组件成本占比相关要求实施前，“规定比例”栏可不填，下同。</w:t>
      </w:r>
    </w:p>
    <w:p w14:paraId="49ED7774">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4.该产品的关键组件要求实施前，“关键组件”栏可不填，下同。</w:t>
      </w:r>
    </w:p>
    <w:p w14:paraId="360C81B2">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5.该产品的关键工序要求实施前，“关键工序”栏可不填，下同。</w:t>
      </w:r>
    </w:p>
    <w:p w14:paraId="18D85A5D">
      <w:pPr>
        <w:spacing w:line="360" w:lineRule="auto"/>
        <w:jc w:val="center"/>
        <w:rPr>
          <w:rFonts w:hint="eastAsia" w:ascii="宋体" w:hAnsi="宋体" w:cs="仿宋_GB2312"/>
          <w:color w:val="auto"/>
          <w:sz w:val="24"/>
          <w:highlight w:val="none"/>
        </w:rPr>
      </w:pPr>
    </w:p>
    <w:p w14:paraId="3F0F6D50">
      <w:pPr>
        <w:spacing w:line="360" w:lineRule="auto"/>
        <w:jc w:val="center"/>
        <w:rPr>
          <w:rFonts w:hint="eastAsia" w:ascii="宋体" w:hAnsi="宋体" w:cs="仿宋_GB2312"/>
          <w:color w:val="auto"/>
          <w:sz w:val="24"/>
          <w:highlight w:val="none"/>
        </w:rPr>
      </w:pPr>
    </w:p>
    <w:p w14:paraId="4DE1737F">
      <w:pPr>
        <w:spacing w:line="360" w:lineRule="auto"/>
        <w:jc w:val="center"/>
        <w:rPr>
          <w:rFonts w:hint="eastAsia" w:ascii="宋体" w:hAnsi="宋体"/>
          <w:b/>
          <w:bCs/>
          <w:color w:val="auto"/>
          <w:sz w:val="32"/>
          <w:szCs w:val="32"/>
          <w:highlight w:val="none"/>
        </w:rPr>
      </w:pPr>
      <w:r>
        <w:rPr>
          <w:rFonts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44"/>
          <w:szCs w:val="44"/>
          <w:highlight w:val="none"/>
        </w:rPr>
        <w:t>质疑函（格式）</w:t>
      </w:r>
    </w:p>
    <w:p w14:paraId="5D18BC61">
      <w:pPr>
        <w:pStyle w:val="15"/>
        <w:spacing w:line="360" w:lineRule="auto"/>
        <w:ind w:firstLine="482" w:firstLineChars="200"/>
        <w:contextualSpacing/>
        <w:rPr>
          <w:rFonts w:hint="eastAsia" w:hAnsi="宋体"/>
          <w:b/>
          <w:bCs/>
          <w:color w:val="auto"/>
          <w:sz w:val="24"/>
          <w:szCs w:val="24"/>
          <w:highlight w:val="none"/>
        </w:rPr>
      </w:pPr>
      <w:r>
        <w:rPr>
          <w:rFonts w:hint="eastAsia" w:hAnsi="宋体"/>
          <w:b/>
          <w:bCs/>
          <w:color w:val="auto"/>
          <w:sz w:val="24"/>
          <w:szCs w:val="24"/>
          <w:highlight w:val="none"/>
        </w:rPr>
        <w:t>一、质疑供应商基本信息：</w:t>
      </w:r>
    </w:p>
    <w:p w14:paraId="18FFCF00">
      <w:pPr>
        <w:pStyle w:val="15"/>
        <w:spacing w:line="360" w:lineRule="auto"/>
        <w:ind w:firstLine="480" w:firstLineChars="200"/>
        <w:contextualSpacing/>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8B4ECD9">
      <w:pPr>
        <w:pStyle w:val="15"/>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FEEFD00">
      <w:pPr>
        <w:pStyle w:val="15"/>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4E6CBD5E">
      <w:pPr>
        <w:pStyle w:val="15"/>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3CA9AD38">
      <w:pPr>
        <w:pStyle w:val="15"/>
        <w:spacing w:line="360" w:lineRule="auto"/>
        <w:ind w:firstLine="480" w:firstLineChars="200"/>
        <w:contextualSpacing/>
        <w:rPr>
          <w:rFonts w:hint="eastAsia" w:hAnsi="宋体"/>
          <w:bCs/>
          <w:color w:val="auto"/>
          <w:sz w:val="24"/>
          <w:szCs w:val="24"/>
          <w:highlight w:val="none"/>
          <w:u w:val="single"/>
        </w:rPr>
      </w:pP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546710AA">
      <w:pPr>
        <w:pStyle w:val="15"/>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0F72300">
      <w:pPr>
        <w:pStyle w:val="15"/>
        <w:spacing w:line="360" w:lineRule="auto"/>
        <w:ind w:firstLine="482" w:firstLineChars="200"/>
        <w:contextualSpacing/>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74067749">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371B25E1">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2788F40B">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4C071287">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w:t>
      </w:r>
    </w:p>
    <w:p w14:paraId="465E984A">
      <w:pPr>
        <w:pStyle w:val="15"/>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36052128">
      <w:pPr>
        <w:pStyle w:val="15"/>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7DD5BFF0">
      <w:pPr>
        <w:pStyle w:val="15"/>
        <w:spacing w:line="360" w:lineRule="auto"/>
        <w:ind w:left="25" w:leftChars="12" w:firstLine="352" w:firstLineChars="147"/>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0C31542D">
      <w:pPr>
        <w:pStyle w:val="15"/>
        <w:spacing w:line="360" w:lineRule="auto"/>
        <w:ind w:left="25" w:leftChars="12" w:firstLine="472" w:firstLineChars="196"/>
        <w:contextualSpacing/>
        <w:rPr>
          <w:rFonts w:hint="eastAsia" w:hAnsi="宋体"/>
          <w:b/>
          <w:color w:val="auto"/>
          <w:sz w:val="24"/>
          <w:szCs w:val="24"/>
          <w:highlight w:val="none"/>
        </w:rPr>
      </w:pPr>
      <w:r>
        <w:rPr>
          <w:rFonts w:hint="eastAsia" w:hAnsi="宋体"/>
          <w:b/>
          <w:color w:val="auto"/>
          <w:sz w:val="24"/>
          <w:szCs w:val="24"/>
          <w:highlight w:val="none"/>
        </w:rPr>
        <w:t>三、质疑事项具体内容</w:t>
      </w:r>
    </w:p>
    <w:p w14:paraId="5B76EABC">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7C180476">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40701EB9">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285782CA">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质疑事项2</w:t>
      </w:r>
    </w:p>
    <w:p w14:paraId="40414238">
      <w:pPr>
        <w:pStyle w:val="15"/>
        <w:spacing w:line="360" w:lineRule="auto"/>
        <w:ind w:left="25" w:leftChars="12" w:firstLine="472" w:firstLineChars="197"/>
        <w:contextualSpacing/>
        <w:rPr>
          <w:rFonts w:hint="eastAsia" w:hAnsi="宋体"/>
          <w:color w:val="auto"/>
          <w:sz w:val="24"/>
          <w:szCs w:val="24"/>
          <w:highlight w:val="none"/>
        </w:rPr>
      </w:pPr>
      <w:r>
        <w:rPr>
          <w:rFonts w:hAnsi="宋体"/>
          <w:color w:val="auto"/>
          <w:sz w:val="24"/>
          <w:szCs w:val="24"/>
          <w:highlight w:val="none"/>
        </w:rPr>
        <w:t>……</w:t>
      </w:r>
    </w:p>
    <w:p w14:paraId="22963916">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7818B331">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669F5376">
      <w:pPr>
        <w:pStyle w:val="15"/>
        <w:spacing w:line="360" w:lineRule="auto"/>
        <w:ind w:left="25" w:leftChars="12" w:firstLine="352" w:firstLineChars="147"/>
        <w:contextualSpacing/>
        <w:rPr>
          <w:rFonts w:hint="eastAsia" w:hAnsi="宋体"/>
          <w:color w:val="auto"/>
          <w:sz w:val="24"/>
          <w:szCs w:val="24"/>
          <w:highlight w:val="none"/>
        </w:rPr>
      </w:pPr>
    </w:p>
    <w:p w14:paraId="0951CF08">
      <w:pPr>
        <w:pStyle w:val="1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22800E5F">
      <w:pPr>
        <w:pStyle w:val="15"/>
        <w:spacing w:line="360" w:lineRule="auto"/>
        <w:ind w:firstLine="480" w:firstLineChars="200"/>
        <w:contextualSpacing/>
        <w:rPr>
          <w:rFonts w:hint="eastAsia" w:hAnsi="宋体"/>
          <w:b/>
          <w:color w:val="auto"/>
          <w:sz w:val="24"/>
          <w:szCs w:val="24"/>
          <w:highlight w:val="none"/>
        </w:rPr>
      </w:pPr>
      <w:r>
        <w:rPr>
          <w:rFonts w:hint="eastAsia" w:hAnsi="宋体"/>
          <w:color w:val="auto"/>
          <w:sz w:val="24"/>
          <w:szCs w:val="24"/>
          <w:highlight w:val="none"/>
        </w:rPr>
        <w:t>日期：</w:t>
      </w:r>
    </w:p>
    <w:p w14:paraId="25B40949">
      <w:pPr>
        <w:pStyle w:val="15"/>
        <w:spacing w:line="360" w:lineRule="auto"/>
        <w:contextualSpacing/>
        <w:rPr>
          <w:rFonts w:hint="eastAsia" w:hAnsi="宋体"/>
          <w:b/>
          <w:color w:val="auto"/>
          <w:sz w:val="24"/>
          <w:szCs w:val="24"/>
          <w:highlight w:val="none"/>
        </w:rPr>
      </w:pPr>
      <w:r>
        <w:rPr>
          <w:rFonts w:hint="eastAsia" w:hAnsi="宋体"/>
          <w:b/>
          <w:color w:val="auto"/>
          <w:sz w:val="24"/>
          <w:szCs w:val="24"/>
          <w:highlight w:val="none"/>
        </w:rPr>
        <w:t>说明：</w:t>
      </w:r>
    </w:p>
    <w:p w14:paraId="06D506E5">
      <w:pPr>
        <w:pStyle w:val="15"/>
        <w:spacing w:line="360" w:lineRule="auto"/>
        <w:ind w:left="25" w:leftChars="12" w:firstLine="354" w:firstLineChars="147"/>
        <w:contextualSpacing/>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35763CB5">
      <w:pPr>
        <w:pStyle w:val="15"/>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403CA77">
      <w:pPr>
        <w:pStyle w:val="15"/>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707B017B">
      <w:pPr>
        <w:pStyle w:val="15"/>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39F4CC1D">
      <w:pPr>
        <w:pStyle w:val="15"/>
        <w:spacing w:line="360" w:lineRule="auto"/>
        <w:ind w:left="25" w:leftChars="12" w:firstLine="354" w:firstLineChars="147"/>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7F4734E5">
      <w:pPr>
        <w:pStyle w:val="15"/>
        <w:rPr>
          <w:b/>
          <w:color w:val="auto"/>
          <w:sz w:val="24"/>
          <w:szCs w:val="24"/>
          <w:highlight w:val="none"/>
        </w:rPr>
      </w:pPr>
    </w:p>
    <w:p w14:paraId="69C53684">
      <w:pPr>
        <w:rPr>
          <w:color w:val="auto"/>
          <w:sz w:val="32"/>
          <w:szCs w:val="40"/>
          <w:highlight w:val="none"/>
        </w:rPr>
      </w:pPr>
    </w:p>
    <w:p w14:paraId="4DC95393">
      <w:pPr>
        <w:rPr>
          <w:color w:val="auto"/>
          <w:sz w:val="32"/>
          <w:szCs w:val="40"/>
          <w:highlight w:val="none"/>
        </w:rPr>
      </w:pPr>
    </w:p>
    <w:p w14:paraId="3F97FE47">
      <w:pPr>
        <w:rPr>
          <w:color w:val="auto"/>
          <w:sz w:val="32"/>
          <w:szCs w:val="40"/>
          <w:highlight w:val="none"/>
        </w:rPr>
      </w:pPr>
    </w:p>
    <w:p w14:paraId="4502B565">
      <w:pPr>
        <w:rPr>
          <w:color w:val="auto"/>
          <w:sz w:val="32"/>
          <w:szCs w:val="40"/>
          <w:highlight w:val="none"/>
        </w:rPr>
      </w:pPr>
    </w:p>
    <w:p w14:paraId="13F5C819">
      <w:pPr>
        <w:rPr>
          <w:color w:val="auto"/>
          <w:sz w:val="32"/>
          <w:szCs w:val="40"/>
          <w:highlight w:val="none"/>
        </w:rPr>
      </w:pPr>
    </w:p>
    <w:p w14:paraId="570A29D8">
      <w:pPr>
        <w:rPr>
          <w:color w:val="auto"/>
          <w:sz w:val="32"/>
          <w:szCs w:val="40"/>
          <w:highlight w:val="none"/>
        </w:rPr>
      </w:pPr>
    </w:p>
    <w:p w14:paraId="3BF4173D">
      <w:pPr>
        <w:rPr>
          <w:color w:val="auto"/>
          <w:sz w:val="32"/>
          <w:szCs w:val="40"/>
          <w:highlight w:val="none"/>
        </w:rPr>
      </w:pPr>
    </w:p>
    <w:p w14:paraId="1E2C5BD9">
      <w:pPr>
        <w:rPr>
          <w:color w:val="auto"/>
          <w:sz w:val="32"/>
          <w:szCs w:val="40"/>
          <w:highlight w:val="none"/>
        </w:rPr>
      </w:pPr>
    </w:p>
    <w:p w14:paraId="26CC61C2">
      <w:pPr>
        <w:rPr>
          <w:color w:val="auto"/>
          <w:sz w:val="32"/>
          <w:szCs w:val="40"/>
          <w:highlight w:val="none"/>
        </w:rPr>
      </w:pPr>
    </w:p>
    <w:p w14:paraId="09CF25B9">
      <w:pPr>
        <w:rPr>
          <w:color w:val="auto"/>
          <w:sz w:val="32"/>
          <w:szCs w:val="40"/>
          <w:highlight w:val="none"/>
        </w:rPr>
      </w:pPr>
    </w:p>
    <w:p w14:paraId="6AE6E04E">
      <w:pPr>
        <w:rPr>
          <w:color w:val="auto"/>
          <w:sz w:val="32"/>
          <w:szCs w:val="40"/>
          <w:highlight w:val="none"/>
        </w:rPr>
      </w:pPr>
    </w:p>
    <w:p w14:paraId="3637EFB8">
      <w:pPr>
        <w:rPr>
          <w:color w:val="auto"/>
          <w:sz w:val="32"/>
          <w:szCs w:val="40"/>
          <w:highlight w:val="none"/>
        </w:rPr>
      </w:pPr>
    </w:p>
    <w:p w14:paraId="1AF44887">
      <w:pPr>
        <w:rPr>
          <w:color w:val="auto"/>
          <w:sz w:val="32"/>
          <w:szCs w:val="40"/>
          <w:highlight w:val="none"/>
        </w:rPr>
      </w:pPr>
    </w:p>
    <w:p w14:paraId="288F1EFD">
      <w:pPr>
        <w:rPr>
          <w:color w:val="auto"/>
          <w:sz w:val="32"/>
          <w:szCs w:val="40"/>
          <w:highlight w:val="none"/>
        </w:rPr>
      </w:pPr>
    </w:p>
    <w:p w14:paraId="15A48F61">
      <w:pPr>
        <w:spacing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投诉书（格式）</w:t>
      </w:r>
    </w:p>
    <w:p w14:paraId="651D29F1">
      <w:pPr>
        <w:pStyle w:val="15"/>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一、投诉相关主体基本情况：</w:t>
      </w:r>
    </w:p>
    <w:p w14:paraId="2ADEFB1D">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475444FA">
      <w:pPr>
        <w:pStyle w:val="15"/>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6E70291">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675A1CAF">
      <w:pPr>
        <w:pStyle w:val="15"/>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070B65A1">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5B469539">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3DD78D57">
      <w:pPr>
        <w:pStyle w:val="15"/>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1561016">
      <w:pPr>
        <w:pStyle w:val="15"/>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被投诉人1：</w:t>
      </w:r>
    </w:p>
    <w:p w14:paraId="2DB3C86D">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651CCC6C">
      <w:pPr>
        <w:pStyle w:val="15"/>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CDB285F">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1EA895E3">
      <w:pPr>
        <w:pStyle w:val="15"/>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被投诉人2：</w:t>
      </w:r>
    </w:p>
    <w:p w14:paraId="448AE2FB">
      <w:pPr>
        <w:pStyle w:val="15"/>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w:t>
      </w:r>
    </w:p>
    <w:p w14:paraId="1F3295E5">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72AD3C71">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p>
    <w:p w14:paraId="7AF4BB7A">
      <w:pPr>
        <w:pStyle w:val="15"/>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9C91E0D">
      <w:pPr>
        <w:pStyle w:val="15"/>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53928D65">
      <w:pPr>
        <w:pStyle w:val="1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38475021">
      <w:pPr>
        <w:pStyle w:val="1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22D9E62B">
      <w:pPr>
        <w:pStyle w:val="1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1C5FD3D8">
      <w:pPr>
        <w:pStyle w:val="1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234EBF3E">
      <w:pPr>
        <w:pStyle w:val="15"/>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1F0B62BA">
      <w:pPr>
        <w:pStyle w:val="15"/>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12D72BB3">
      <w:pPr>
        <w:pStyle w:val="1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三、质疑基本情况</w:t>
      </w:r>
    </w:p>
    <w:p w14:paraId="63B4395B">
      <w:pPr>
        <w:pStyle w:val="15"/>
        <w:spacing w:line="360" w:lineRule="auto"/>
        <w:ind w:firstLine="480" w:firstLineChars="20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14095544">
      <w:pPr>
        <w:pStyle w:val="15"/>
        <w:spacing w:line="360" w:lineRule="auto"/>
        <w:ind w:firstLine="241"/>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4518D92F">
      <w:pPr>
        <w:pStyle w:val="15"/>
        <w:spacing w:line="360" w:lineRule="auto"/>
        <w:ind w:firstLine="241"/>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6550C4DA">
      <w:pPr>
        <w:pStyle w:val="15"/>
        <w:spacing w:line="360" w:lineRule="auto"/>
        <w:ind w:firstLine="480" w:firstLineChars="20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669CC4CC">
      <w:pPr>
        <w:pStyle w:val="1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四、投诉事项具体内容</w:t>
      </w:r>
    </w:p>
    <w:p w14:paraId="2736ABA4">
      <w:pPr>
        <w:pStyle w:val="1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77636AC5">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3C04109C">
      <w:pPr>
        <w:pStyle w:val="1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u w:val="single"/>
        </w:rPr>
        <w:t xml:space="preserve">                                                                                        </w:t>
      </w:r>
    </w:p>
    <w:p w14:paraId="02FE130F">
      <w:pPr>
        <w:pStyle w:val="1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682DC684">
      <w:pPr>
        <w:pStyle w:val="15"/>
        <w:spacing w:line="360" w:lineRule="auto"/>
        <w:ind w:left="25" w:leftChars="12" w:firstLine="352" w:firstLineChars="147"/>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3F25AC45">
      <w:pPr>
        <w:pStyle w:val="15"/>
        <w:spacing w:line="360" w:lineRule="auto"/>
        <w:ind w:left="25" w:leftChars="12" w:firstLine="472" w:firstLineChars="197"/>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234E9647">
      <w:pPr>
        <w:pStyle w:val="15"/>
        <w:spacing w:line="360" w:lineRule="auto"/>
        <w:ind w:left="25" w:leftChars="12" w:firstLine="472" w:firstLineChars="197"/>
        <w:rPr>
          <w:rFonts w:hint="eastAsia" w:hAnsi="宋体"/>
          <w:bCs/>
          <w:color w:val="auto"/>
          <w:sz w:val="24"/>
          <w:szCs w:val="24"/>
          <w:highlight w:val="none"/>
        </w:rPr>
      </w:pPr>
      <w:r>
        <w:rPr>
          <w:rFonts w:hAnsi="宋体"/>
          <w:bCs/>
          <w:color w:val="auto"/>
          <w:sz w:val="24"/>
          <w:szCs w:val="24"/>
          <w:highlight w:val="none"/>
        </w:rPr>
        <w:t>……</w:t>
      </w:r>
    </w:p>
    <w:p w14:paraId="18E7F903">
      <w:pPr>
        <w:pStyle w:val="1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1648AC0D">
      <w:pPr>
        <w:pStyle w:val="1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7CFD3EE4">
      <w:pPr>
        <w:pStyle w:val="15"/>
        <w:spacing w:line="360" w:lineRule="auto"/>
        <w:ind w:left="25" w:leftChars="12" w:firstLine="352" w:firstLineChars="147"/>
        <w:rPr>
          <w:rFonts w:hint="eastAsia" w:hAnsi="宋体"/>
          <w:color w:val="auto"/>
          <w:sz w:val="24"/>
          <w:szCs w:val="24"/>
          <w:highlight w:val="none"/>
        </w:rPr>
      </w:pPr>
    </w:p>
    <w:p w14:paraId="1A62BEAC">
      <w:pPr>
        <w:pStyle w:val="1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签字（签章）：                                       公章：</w:t>
      </w:r>
    </w:p>
    <w:p w14:paraId="59397A1D">
      <w:pPr>
        <w:pStyle w:val="15"/>
        <w:spacing w:line="360" w:lineRule="auto"/>
        <w:ind w:left="25" w:leftChars="12" w:firstLine="352" w:firstLineChars="147"/>
        <w:rPr>
          <w:rFonts w:hint="eastAsia" w:hAnsi="宋体"/>
          <w:color w:val="auto"/>
          <w:sz w:val="24"/>
          <w:szCs w:val="24"/>
          <w:highlight w:val="none"/>
        </w:rPr>
      </w:pPr>
    </w:p>
    <w:p w14:paraId="0D0E9C21">
      <w:pPr>
        <w:pStyle w:val="1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日期：</w:t>
      </w:r>
    </w:p>
    <w:p w14:paraId="04885F8E">
      <w:pPr>
        <w:pStyle w:val="15"/>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 xml:space="preserve">                                                                                 </w:t>
      </w:r>
    </w:p>
    <w:p w14:paraId="7EC67B96">
      <w:pPr>
        <w:pStyle w:val="15"/>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1F8021C1">
      <w:pPr>
        <w:pStyle w:val="15"/>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119BB11F">
      <w:pPr>
        <w:pStyle w:val="1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CE6BB18">
      <w:pPr>
        <w:pStyle w:val="1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5AA45079">
      <w:pPr>
        <w:pStyle w:val="1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6CB01A1B">
      <w:pPr>
        <w:pStyle w:val="1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3AE66A15">
      <w:pPr>
        <w:pStyle w:val="1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34806D3D">
      <w:pPr>
        <w:pStyle w:val="15"/>
        <w:spacing w:line="360" w:lineRule="auto"/>
        <w:ind w:left="25" w:leftChars="12" w:firstLine="354" w:firstLineChars="147"/>
        <w:rPr>
          <w:rFonts w:hint="eastAsia" w:hAnsi="宋体"/>
          <w:b/>
          <w:color w:val="auto"/>
          <w:highlight w:val="none"/>
        </w:rPr>
      </w:pPr>
      <w:r>
        <w:rPr>
          <w:rFonts w:hint="eastAsia" w:hAnsi="宋体"/>
          <w:b/>
          <w:color w:val="auto"/>
          <w:sz w:val="24"/>
          <w:szCs w:val="24"/>
          <w:highlight w:val="none"/>
        </w:rPr>
        <w:br w:type="page"/>
      </w:r>
    </w:p>
    <w:p w14:paraId="3DEB8D2F">
      <w:pPr>
        <w:pStyle w:val="2"/>
        <w:jc w:val="center"/>
        <w:rPr>
          <w:color w:val="auto"/>
          <w:highlight w:val="none"/>
        </w:rPr>
      </w:pPr>
      <w:bookmarkStart w:id="197" w:name="_Toc74323461"/>
      <w:r>
        <w:rPr>
          <w:rFonts w:hint="eastAsia"/>
          <w:color w:val="auto"/>
          <w:highlight w:val="none"/>
        </w:rPr>
        <w:t>第六章 合同文本</w:t>
      </w:r>
      <w:bookmarkEnd w:id="197"/>
    </w:p>
    <w:p w14:paraId="10941D9E">
      <w:pPr>
        <w:spacing w:before="120" w:line="360" w:lineRule="auto"/>
        <w:ind w:firstLine="643" w:firstLineChars="200"/>
        <w:jc w:val="center"/>
        <w:outlineLvl w:val="1"/>
        <w:rPr>
          <w:b/>
          <w:bCs/>
          <w:color w:val="auto"/>
          <w:kern w:val="0"/>
          <w:szCs w:val="21"/>
          <w:highlight w:val="none"/>
        </w:rPr>
      </w:pPr>
      <w:r>
        <w:rPr>
          <w:rFonts w:ascii="宋体" w:hAnsi="宋体" w:cs="Courier New"/>
          <w:b/>
          <w:color w:val="auto"/>
          <w:sz w:val="32"/>
          <w:szCs w:val="32"/>
          <w:highlight w:val="none"/>
        </w:rPr>
        <w:br w:type="page"/>
      </w:r>
      <w:r>
        <w:rPr>
          <w:rFonts w:hint="eastAsia"/>
          <w:b/>
          <w:bCs/>
          <w:color w:val="auto"/>
          <w:kern w:val="0"/>
          <w:szCs w:val="21"/>
          <w:highlight w:val="none"/>
        </w:rPr>
        <w:t>广西壮族自治区政府采购合同</w:t>
      </w:r>
    </w:p>
    <w:p w14:paraId="1D40EC33">
      <w:pPr>
        <w:spacing w:line="360" w:lineRule="auto"/>
        <w:ind w:right="480" w:firstLine="5985" w:firstLineChars="2850"/>
        <w:rPr>
          <w:bCs/>
          <w:color w:val="auto"/>
          <w:szCs w:val="21"/>
          <w:highlight w:val="none"/>
        </w:rPr>
      </w:pPr>
    </w:p>
    <w:p w14:paraId="5EB22409">
      <w:pPr>
        <w:spacing w:line="360" w:lineRule="auto"/>
        <w:ind w:right="800"/>
        <w:rPr>
          <w:rFonts w:hint="eastAsia" w:ascii="宋体" w:hAnsi="宋体" w:cs="宋体"/>
          <w:bCs/>
          <w:color w:val="auto"/>
          <w:szCs w:val="21"/>
          <w:highlight w:val="none"/>
          <w:u w:val="single"/>
        </w:rPr>
      </w:pPr>
      <w:r>
        <w:rPr>
          <w:rFonts w:hint="eastAsia" w:ascii="宋体" w:hAnsi="宋体" w:cs="宋体"/>
          <w:color w:val="auto"/>
          <w:szCs w:val="21"/>
          <w:highlight w:val="none"/>
        </w:rPr>
        <w:t>采购计划号：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bCs/>
          <w:color w:val="auto"/>
          <w:szCs w:val="21"/>
          <w:highlight w:val="none"/>
        </w:rPr>
        <w:t>合同编号：</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p>
    <w:p w14:paraId="731D605B">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采购人（甲方）：</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供应商（乙方）：</w:t>
      </w:r>
      <w:r>
        <w:rPr>
          <w:rFonts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9068343">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项目名称：</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项目编号：</w:t>
      </w:r>
      <w:r>
        <w:rPr>
          <w:rFonts w:ascii="宋体" w:hAnsi="宋体" w:cs="宋体"/>
          <w:color w:val="auto"/>
          <w:szCs w:val="21"/>
          <w:highlight w:val="none"/>
          <w:u w:val="single"/>
        </w:rPr>
        <w:t xml:space="preserve">                          </w:t>
      </w:r>
    </w:p>
    <w:p w14:paraId="19E67317">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签订地点：</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签订时间：</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p>
    <w:p w14:paraId="38D9F35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本合同为中小企业预留合同：（是/否）。</w:t>
      </w:r>
    </w:p>
    <w:p w14:paraId="1C598DC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根据《中华人民共和国政府采购法》《中华人民共和国民法典》等法律、法规规定，按照</w:t>
      </w:r>
      <w:r>
        <w:rPr>
          <w:rFonts w:hint="eastAsia" w:ascii="宋体" w:hAnsi="宋体"/>
          <w:color w:val="auto"/>
          <w:szCs w:val="21"/>
          <w:highlight w:val="none"/>
        </w:rPr>
        <w:t>磋商文件规定条款和乙方响应文件及其承诺，甲乙双方签订本合同。</w:t>
      </w:r>
    </w:p>
    <w:p w14:paraId="32A1BD9A">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第一条　合同标的</w:t>
      </w:r>
    </w:p>
    <w:p w14:paraId="01F3856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1、项目一览表</w:t>
      </w:r>
    </w:p>
    <w:tbl>
      <w:tblPr>
        <w:tblStyle w:val="24"/>
        <w:tblW w:w="9360" w:type="dxa"/>
        <w:tblInd w:w="-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1213"/>
        <w:gridCol w:w="2400"/>
        <w:gridCol w:w="1320"/>
        <w:gridCol w:w="1200"/>
        <w:gridCol w:w="1300"/>
        <w:gridCol w:w="1207"/>
      </w:tblGrid>
      <w:tr w14:paraId="74078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20"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76518CB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13" w:type="dxa"/>
            <w:tcBorders>
              <w:top w:val="single" w:color="000000" w:sz="4" w:space="0"/>
              <w:left w:val="single" w:color="000000" w:sz="4" w:space="0"/>
              <w:bottom w:val="single" w:color="000000" w:sz="4" w:space="0"/>
              <w:right w:val="single" w:color="000000" w:sz="4" w:space="0"/>
            </w:tcBorders>
            <w:vAlign w:val="center"/>
          </w:tcPr>
          <w:p w14:paraId="318F5F0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标的名称</w:t>
            </w:r>
          </w:p>
        </w:tc>
        <w:tc>
          <w:tcPr>
            <w:tcW w:w="2400" w:type="dxa"/>
            <w:tcBorders>
              <w:top w:val="single" w:color="000000" w:sz="4" w:space="0"/>
              <w:left w:val="single" w:color="000000" w:sz="4" w:space="0"/>
              <w:bottom w:val="single" w:color="000000" w:sz="4" w:space="0"/>
              <w:right w:val="single" w:color="000000" w:sz="4" w:space="0"/>
            </w:tcBorders>
            <w:vAlign w:val="center"/>
          </w:tcPr>
          <w:p w14:paraId="643E9D7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服务内容</w:t>
            </w:r>
          </w:p>
        </w:tc>
        <w:tc>
          <w:tcPr>
            <w:tcW w:w="1320" w:type="dxa"/>
            <w:tcBorders>
              <w:top w:val="single" w:color="000000" w:sz="4" w:space="0"/>
              <w:left w:val="single" w:color="000000" w:sz="4" w:space="0"/>
              <w:bottom w:val="single" w:color="000000" w:sz="4" w:space="0"/>
              <w:right w:val="single" w:color="000000" w:sz="4" w:space="0"/>
            </w:tcBorders>
            <w:vAlign w:val="center"/>
          </w:tcPr>
          <w:p w14:paraId="512C927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数  量</w:t>
            </w:r>
          </w:p>
        </w:tc>
        <w:tc>
          <w:tcPr>
            <w:tcW w:w="1200" w:type="dxa"/>
            <w:tcBorders>
              <w:top w:val="single" w:color="000000" w:sz="4" w:space="0"/>
              <w:left w:val="single" w:color="000000" w:sz="4" w:space="0"/>
              <w:bottom w:val="single" w:color="000000" w:sz="4" w:space="0"/>
              <w:right w:val="single" w:color="000000" w:sz="4" w:space="0"/>
            </w:tcBorders>
            <w:vAlign w:val="center"/>
          </w:tcPr>
          <w:p w14:paraId="35FC833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1300" w:type="dxa"/>
            <w:tcBorders>
              <w:top w:val="single" w:color="000000" w:sz="4" w:space="0"/>
              <w:left w:val="single" w:color="000000" w:sz="4" w:space="0"/>
              <w:bottom w:val="single" w:color="000000" w:sz="4" w:space="0"/>
              <w:right w:val="single" w:color="000000" w:sz="4" w:space="0"/>
            </w:tcBorders>
            <w:vAlign w:val="center"/>
          </w:tcPr>
          <w:p w14:paraId="33431C4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单  价</w:t>
            </w:r>
          </w:p>
          <w:p w14:paraId="30A1230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（元）</w:t>
            </w:r>
          </w:p>
        </w:tc>
        <w:tc>
          <w:tcPr>
            <w:tcW w:w="1207" w:type="dxa"/>
            <w:tcBorders>
              <w:top w:val="single" w:color="000000" w:sz="4" w:space="0"/>
              <w:left w:val="single" w:color="000000" w:sz="4" w:space="0"/>
              <w:bottom w:val="single" w:color="000000" w:sz="4" w:space="0"/>
              <w:right w:val="single" w:color="000000" w:sz="4" w:space="0"/>
            </w:tcBorders>
            <w:vAlign w:val="center"/>
          </w:tcPr>
          <w:p w14:paraId="30C92C0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总  价</w:t>
            </w:r>
          </w:p>
          <w:p w14:paraId="30AA6DF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（元）</w:t>
            </w:r>
          </w:p>
        </w:tc>
      </w:tr>
      <w:tr w14:paraId="5FF5A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20"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1ED1DBBB">
            <w:pPr>
              <w:spacing w:line="360" w:lineRule="auto"/>
              <w:jc w:val="center"/>
              <w:rPr>
                <w:rFonts w:hint="eastAsia" w:ascii="宋体" w:hAnsi="宋体" w:cs="宋体"/>
                <w:color w:val="auto"/>
                <w:szCs w:val="21"/>
                <w:highlight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3E75C6A">
            <w:pPr>
              <w:spacing w:line="360" w:lineRule="auto"/>
              <w:jc w:val="center"/>
              <w:rPr>
                <w:rFonts w:hint="eastAsia" w:ascii="宋体" w:hAnsi="宋体" w:cs="宋体"/>
                <w:color w:val="auto"/>
                <w:szCs w:val="21"/>
                <w:highlight w:val="none"/>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0DD1334A">
            <w:pPr>
              <w:spacing w:line="360" w:lineRule="auto"/>
              <w:jc w:val="center"/>
              <w:rPr>
                <w:rFonts w:hint="eastAsia" w:ascii="宋体" w:hAnsi="宋体" w:cs="宋体"/>
                <w:color w:val="auto"/>
                <w:szCs w:val="21"/>
                <w:highlight w:val="none"/>
              </w:rPr>
            </w:pPr>
          </w:p>
        </w:tc>
        <w:tc>
          <w:tcPr>
            <w:tcW w:w="1320" w:type="dxa"/>
            <w:tcBorders>
              <w:top w:val="single" w:color="000000" w:sz="4" w:space="0"/>
              <w:left w:val="single" w:color="000000" w:sz="4" w:space="0"/>
              <w:bottom w:val="single" w:color="000000" w:sz="4" w:space="0"/>
              <w:right w:val="single" w:color="000000" w:sz="4" w:space="0"/>
            </w:tcBorders>
            <w:vAlign w:val="center"/>
          </w:tcPr>
          <w:p w14:paraId="2DA95D33">
            <w:pPr>
              <w:spacing w:line="360" w:lineRule="auto"/>
              <w:jc w:val="center"/>
              <w:rPr>
                <w:rFonts w:hint="eastAsia" w:ascii="宋体" w:hAnsi="宋体" w:cs="宋体"/>
                <w:color w:val="auto"/>
                <w:szCs w:val="21"/>
                <w:highlight w:val="none"/>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556933A9">
            <w:pPr>
              <w:spacing w:line="360" w:lineRule="auto"/>
              <w:jc w:val="center"/>
              <w:rPr>
                <w:rFonts w:hint="eastAsia" w:ascii="宋体" w:hAnsi="宋体" w:cs="宋体"/>
                <w:color w:val="auto"/>
                <w:szCs w:val="21"/>
                <w:highlight w:val="none"/>
              </w:rPr>
            </w:pPr>
          </w:p>
        </w:tc>
        <w:tc>
          <w:tcPr>
            <w:tcW w:w="1300" w:type="dxa"/>
            <w:tcBorders>
              <w:top w:val="single" w:color="000000" w:sz="4" w:space="0"/>
              <w:left w:val="single" w:color="000000" w:sz="4" w:space="0"/>
              <w:bottom w:val="single" w:color="000000" w:sz="4" w:space="0"/>
              <w:right w:val="single" w:color="000000" w:sz="4" w:space="0"/>
            </w:tcBorders>
            <w:vAlign w:val="center"/>
          </w:tcPr>
          <w:p w14:paraId="3FEFB4D5">
            <w:pPr>
              <w:spacing w:line="360" w:lineRule="auto"/>
              <w:jc w:val="center"/>
              <w:rPr>
                <w:rFonts w:hint="eastAsia" w:ascii="宋体" w:hAnsi="宋体" w:cs="宋体"/>
                <w:color w:val="auto"/>
                <w:szCs w:val="21"/>
                <w:highlight w:val="none"/>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69F9326F">
            <w:pPr>
              <w:spacing w:line="360" w:lineRule="auto"/>
              <w:jc w:val="center"/>
              <w:rPr>
                <w:rFonts w:hint="eastAsia" w:ascii="宋体" w:hAnsi="宋体" w:cs="宋体"/>
                <w:color w:val="auto"/>
                <w:szCs w:val="21"/>
                <w:highlight w:val="none"/>
              </w:rPr>
            </w:pPr>
          </w:p>
        </w:tc>
      </w:tr>
      <w:tr w14:paraId="6E37D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5" w:hRule="atLeast"/>
        </w:trPr>
        <w:tc>
          <w:tcPr>
            <w:tcW w:w="9360" w:type="dxa"/>
            <w:gridSpan w:val="7"/>
            <w:tcBorders>
              <w:top w:val="single" w:color="000000" w:sz="4" w:space="0"/>
              <w:left w:val="single" w:color="000000" w:sz="4" w:space="0"/>
              <w:bottom w:val="single" w:color="000000" w:sz="4" w:space="0"/>
              <w:right w:val="single" w:color="000000" w:sz="4" w:space="0"/>
            </w:tcBorders>
            <w:vAlign w:val="center"/>
          </w:tcPr>
          <w:p w14:paraId="5281226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详见报价表</w:t>
            </w:r>
          </w:p>
        </w:tc>
      </w:tr>
      <w:tr w14:paraId="704F7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5" w:hRule="atLeast"/>
        </w:trPr>
        <w:tc>
          <w:tcPr>
            <w:tcW w:w="9360" w:type="dxa"/>
            <w:gridSpan w:val="7"/>
            <w:tcBorders>
              <w:top w:val="single" w:color="000000" w:sz="4" w:space="0"/>
              <w:left w:val="single" w:color="000000" w:sz="4" w:space="0"/>
              <w:bottom w:val="single" w:color="000000" w:sz="4" w:space="0"/>
              <w:right w:val="single" w:color="000000" w:sz="4" w:space="0"/>
            </w:tcBorders>
            <w:vAlign w:val="center"/>
          </w:tcPr>
          <w:p w14:paraId="169BF7C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人民币合计金额（大写）：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c>
      </w:tr>
    </w:tbl>
    <w:p w14:paraId="23B5E1B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合同合计金额包括本项目的服务、以及可能需要的设备、随配附件、备品备件、辅助材料、工具、运抵指定交货地点、保险、现场安装、调试及验收、售后服务、培训费、人工费、税金、产品检测费、产品质保期内维护等及其他所有成本费用的总和，合同履行过程中，甲方不再支付合同以外的其他费用。（采购文件采购需求有要求的，以采购文件采购需求为准）</w:t>
      </w:r>
    </w:p>
    <w:p w14:paraId="13A0EC8B">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第二条　质量保证</w:t>
      </w:r>
    </w:p>
    <w:p w14:paraId="1F9F59C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乙方所提供的服务及服务内容必须与响应文件承诺相一致，有国家强制性标准的，还必须符合国家强制性标准的规定，没有国家强制性标准但有其他强制性标准的，必须符合其他强制性标准的规定。</w:t>
      </w:r>
    </w:p>
    <w:p w14:paraId="3F43F37F">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第三条　权利保证</w:t>
      </w:r>
    </w:p>
    <w:p w14:paraId="2CE11E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1、乙方应保证所提供服务在使用时不会侵犯任何第三方的专利权、商标权、工业设计权等知识产权及其他合法权利，且所有权、处分权等没有受到任何限制。</w:t>
      </w:r>
    </w:p>
    <w:p w14:paraId="535E42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6228CC5C">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第四条　交付和验收</w:t>
      </w:r>
    </w:p>
    <w:p w14:paraId="5234CC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1、服务期限： 2027年1月1日起至 2027年12月31日，服务地点：广西壮族自治区内甲方指定地点（全区14个地市，含县及乡镇）。</w:t>
      </w:r>
    </w:p>
    <w:p w14:paraId="4E8E68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2、乙方应按响应文件的承诺向甲方提供相应的服务，并提供所服务内容的相关技术资料。</w:t>
      </w:r>
    </w:p>
    <w:p w14:paraId="484C287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3、乙方提供不符合响应文件和本合同规定的服务成果，甲方有权拒绝接受。</w:t>
      </w:r>
    </w:p>
    <w:p w14:paraId="2CB8D33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498ACB9A">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5、甲乙双方应按照《广西壮族自治区政府采购项目履约验收管理办法》、双方合同、响应文件验收。</w:t>
      </w:r>
    </w:p>
    <w:p w14:paraId="6CB1B3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6、甲方在初步验收或者最终验收过程中如发现乙方提供的服务成果不满足响应文件及本合同规定的，可暂缓向乙方付款，直到乙方及时完善并提交相应的服务成果且经甲方验收合格后，方可办理付款。</w:t>
      </w:r>
    </w:p>
    <w:p w14:paraId="7849C0A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7、甲方验收时以书面形式提出异议的，乙方应自收到甲方书面异议后五个工作日内及时予以解决，否则甲方有权不出具服务验收合格单。</w:t>
      </w:r>
    </w:p>
    <w:p w14:paraId="5157A642">
      <w:pPr>
        <w:spacing w:line="360" w:lineRule="auto"/>
        <w:ind w:firstLine="420" w:firstLineChars="200"/>
        <w:rPr>
          <w:rFonts w:hint="eastAsia" w:ascii="宋体" w:hAnsi="宋体" w:cs="宋体"/>
          <w:color w:val="auto"/>
          <w:szCs w:val="21"/>
          <w:highlight w:val="none"/>
          <w:u w:val="single"/>
        </w:rPr>
      </w:pPr>
      <w:r>
        <w:rPr>
          <w:rFonts w:ascii="宋体" w:hAnsi="宋体" w:cs="宋体"/>
          <w:color w:val="auto"/>
          <w:szCs w:val="21"/>
          <w:highlight w:val="none"/>
          <w:u w:val="single"/>
        </w:rPr>
        <w:t>8</w:t>
      </w:r>
      <w:r>
        <w:rPr>
          <w:rFonts w:hint="eastAsia" w:ascii="宋体" w:hAnsi="宋体" w:cs="宋体"/>
          <w:color w:val="auto"/>
          <w:szCs w:val="21"/>
          <w:highlight w:val="none"/>
          <w:u w:val="single"/>
        </w:rPr>
        <w:t>、在服务期内，由甲方各区域管理处负责对乙方在管理处辖区内的服务情况进行考核（见合同附件:彩票终端机维保服务考核评分表），每三个月考核一次，考核分数取平均分，考核分数在90分（含）以上的，全额支付维保服务费；81分至90分的扣减服务费2万元；71分至80分的扣减服务费5万元；61分至70分的扣减服务费8万元；60分（含）以下的，扣减服务费15万元。</w:t>
      </w:r>
    </w:p>
    <w:p w14:paraId="4071139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第五条  售后服务及培训</w:t>
      </w:r>
    </w:p>
    <w:p w14:paraId="4D09A6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1、乙方应按照国家有关法律法规和本合同所附的《售后服务承诺》要求为甲方提供相应的售后服务。</w:t>
      </w:r>
    </w:p>
    <w:p w14:paraId="063EC4E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2、甲方应提供必要测试条件（如场地、电源、水源等）。</w:t>
      </w:r>
    </w:p>
    <w:p w14:paraId="31138F7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3、乙方负责甲方有关人员的培训。培训时间、地点：</w:t>
      </w:r>
      <w:r>
        <w:rPr>
          <w:rFonts w:hint="eastAsia" w:ascii="宋体" w:hAnsi="宋体" w:cs="宋体"/>
          <w:color w:val="auto"/>
          <w:szCs w:val="21"/>
          <w:highlight w:val="none"/>
          <w:u w:val="single"/>
        </w:rPr>
        <w:t xml:space="preserve"> 根据甲方要求决定 </w:t>
      </w:r>
      <w:r>
        <w:rPr>
          <w:rFonts w:hint="eastAsia" w:ascii="宋体" w:hAnsi="宋体" w:cs="宋体"/>
          <w:color w:val="auto"/>
          <w:szCs w:val="21"/>
          <w:highlight w:val="none"/>
        </w:rPr>
        <w:t>。</w:t>
      </w:r>
    </w:p>
    <w:p w14:paraId="56742DCF">
      <w:pPr>
        <w:spacing w:line="360" w:lineRule="auto"/>
        <w:ind w:firstLine="422" w:firstLineChars="200"/>
        <w:rPr>
          <w:rFonts w:hint="eastAsia" w:ascii="宋体" w:hAnsi="宋体" w:cs="宋体"/>
          <w:color w:val="auto"/>
          <w:szCs w:val="21"/>
          <w:highlight w:val="none"/>
          <w:u w:val="single"/>
        </w:rPr>
      </w:pPr>
      <w:r>
        <w:rPr>
          <w:rFonts w:hint="eastAsia" w:ascii="宋体" w:hAnsi="宋体" w:cs="宋体"/>
          <w:b/>
          <w:color w:val="auto"/>
          <w:szCs w:val="21"/>
          <w:highlight w:val="none"/>
        </w:rPr>
        <w:t>第六条　付款方式</w:t>
      </w:r>
    </w:p>
    <w:p w14:paraId="420E4D05">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u w:val="single"/>
        </w:rPr>
        <w:t>1、第一期：合同签订后的10个工作日内，甲方以转账的方式向乙方支付不超过合同金额40%的预付款（视采购金额及甲方能够支付的金额而定）。</w:t>
      </w:r>
    </w:p>
    <w:p w14:paraId="39AD8518">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u w:val="single"/>
        </w:rPr>
        <w:t>2、第二期：2027年服务期满8个月时，甲方支付到合同金额的85%。</w:t>
      </w:r>
    </w:p>
    <w:p w14:paraId="7FF1DC91">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u w:val="single"/>
        </w:rPr>
        <w:t>3、第三期：2028年服务期满经终验合格后，支付剩余的15%。</w:t>
      </w:r>
    </w:p>
    <w:p w14:paraId="7CA7A42D">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u w:val="single"/>
        </w:rPr>
        <w:t>4、每次转账前，乙方应提供相同金额的正式发票，否则甲方有权拒绝付款，且不承担逾期付款的违约责任，因此产生的一切不利后果由乙方承担。</w:t>
      </w:r>
    </w:p>
    <w:p w14:paraId="43A96682">
      <w:pPr>
        <w:spacing w:line="360" w:lineRule="auto"/>
        <w:ind w:firstLine="420" w:firstLineChars="200"/>
        <w:rPr>
          <w:rFonts w:hint="eastAsia" w:ascii="宋体" w:hAnsi="宋体" w:cs="宋体"/>
          <w:color w:val="auto"/>
          <w:szCs w:val="21"/>
          <w:highlight w:val="none"/>
          <w:u w:val="single"/>
        </w:rPr>
      </w:pPr>
      <w:r>
        <w:rPr>
          <w:rFonts w:ascii="宋体" w:hAnsi="宋体" w:cs="宋体"/>
          <w:color w:val="auto"/>
          <w:szCs w:val="21"/>
          <w:highlight w:val="none"/>
          <w:u w:val="single"/>
        </w:rPr>
        <w:t>5</w:t>
      </w:r>
      <w:r>
        <w:rPr>
          <w:rFonts w:hint="eastAsia" w:ascii="宋体" w:hAnsi="宋体" w:cs="宋体"/>
          <w:color w:val="auto"/>
          <w:szCs w:val="21"/>
          <w:highlight w:val="none"/>
          <w:u w:val="single"/>
        </w:rPr>
        <w:t>、如发生服务费被扣减，在当期或末期服务费中予以扣减。</w:t>
      </w:r>
    </w:p>
    <w:p w14:paraId="46525C2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第七条　履约保证金</w:t>
      </w:r>
    </w:p>
    <w:p w14:paraId="60A5AC6A">
      <w:pPr>
        <w:autoSpaceDE w:val="0"/>
        <w:autoSpaceDN w:val="0"/>
        <w:spacing w:line="360" w:lineRule="auto"/>
        <w:ind w:firstLine="420" w:firstLineChars="200"/>
        <w:rPr>
          <w:color w:val="auto"/>
          <w:highlight w:val="none"/>
        </w:rPr>
      </w:pPr>
      <w:r>
        <w:rPr>
          <w:rFonts w:hint="eastAsia" w:ascii="宋体" w:hAnsi="宋体"/>
          <w:color w:val="auto"/>
          <w:szCs w:val="21"/>
          <w:highlight w:val="none"/>
        </w:rPr>
        <w:t>本项目不收取履约保证金。</w:t>
      </w:r>
    </w:p>
    <w:p w14:paraId="4ED4487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第八条  税费</w:t>
      </w:r>
    </w:p>
    <w:p w14:paraId="40EC84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本合同执行中相关的一切税费均由乙方负担，合同另有约定的除外。</w:t>
      </w:r>
    </w:p>
    <w:p w14:paraId="4C986E3F">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第九条　违约责任</w:t>
      </w:r>
    </w:p>
    <w:p w14:paraId="0ECA38F0">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1、除不可抗力原因外，乙方没有按照合同规定的时间提供服务的，甲方可要求乙方支付违约金。每推迟一天按合同金额的万分之五支付违约金，该违约金累计不超过合同金额的10%。</w:t>
      </w:r>
      <w:r>
        <w:rPr>
          <w:rFonts w:hint="eastAsia" w:ascii="宋体" w:hAnsi="宋体" w:cs="宋体"/>
          <w:color w:val="auto"/>
          <w:szCs w:val="21"/>
          <w:highlight w:val="none"/>
        </w:rPr>
        <w:t xml:space="preserve">                                  </w:t>
      </w:r>
    </w:p>
    <w:p w14:paraId="7EF6FEB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2、乙方提供的服务如侵犯了第三方合法权益而引发的任何纠纷或者诉讼，均由乙方负责交涉并承担全部责任。</w:t>
      </w:r>
    </w:p>
    <w:p w14:paraId="6495AC48">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3、甲方延期付款的，每天向乙方偿付延期款额万分之五违约金，但违约金累计不得超过延期款额5%。</w:t>
      </w:r>
    </w:p>
    <w:p w14:paraId="5CFF3A3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第十条  不可抗力事件处理</w:t>
      </w:r>
    </w:p>
    <w:p w14:paraId="46695E0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1、在合同有效期内，任何一方因不可抗力事件导致不能履行合同，则合同履行期可延长，其延长期与不可抗力影响期相同。</w:t>
      </w:r>
    </w:p>
    <w:p w14:paraId="5349B4D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2、不可抗力事件发生后，应立即通知对方，并寄送有关权威机构出具的证明。</w:t>
      </w:r>
    </w:p>
    <w:p w14:paraId="4DAABA8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3、不可抗力事件延续一百二十天以上，双方应通过友好协商，确定是否继续履行合同。</w:t>
      </w:r>
    </w:p>
    <w:p w14:paraId="29C37A08">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第十一条  合同争议解决</w:t>
      </w:r>
    </w:p>
    <w:p w14:paraId="4B2D51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1、因服务质量问题发生争议的，应邀请国家认可的质量检测机构进行鉴定。服务符合标准的，鉴定费由甲方承担；服务不符合标准的，鉴定费由乙方承担。</w:t>
      </w:r>
    </w:p>
    <w:p w14:paraId="24960E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2、因履行本合同引起的或者与本合同有关的争议，甲乙双方应首先通过友好协商解决，如果协商不能解决，可向甲方所在地有管辖权的人民法院提起诉讼。</w:t>
      </w:r>
    </w:p>
    <w:p w14:paraId="2BABE96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3、诉讼期间，本合同继续履行。</w:t>
      </w:r>
    </w:p>
    <w:p w14:paraId="7D26390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第十二条  合同生效及其它</w:t>
      </w:r>
    </w:p>
    <w:p w14:paraId="3E66EA9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1、合同经双方法定代表人或者授权代表签字并加盖单位公章后生效（委托代理人签字的需后附授权委托书，格式自拟）。</w:t>
      </w:r>
    </w:p>
    <w:p w14:paraId="0D42279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2、合同执行中涉及采购资金和采购内容修改或者补充的，须经财政部门审批，并签书面补充协议报财政部门备案，方可作为主合同不可分割的一部分。</w:t>
      </w:r>
    </w:p>
    <w:p w14:paraId="3DF51D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3、本合同未尽事宜，遵照《中华人民共和国民法典》有关条文执行。</w:t>
      </w:r>
    </w:p>
    <w:p w14:paraId="7F6FFAD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第十三条　合同的变更、终止与转让</w:t>
      </w:r>
    </w:p>
    <w:p w14:paraId="05F6D4B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1、除《中华人民共和国政府采购法》第五十条规定的情形外，本合同一经签订，甲乙双方不得擅自变更、中止或者终止。</w:t>
      </w:r>
    </w:p>
    <w:p w14:paraId="694C06D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2、乙方不得擅自转让其应履行的合同义务。</w:t>
      </w:r>
    </w:p>
    <w:p w14:paraId="24AF3814">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第十四条　签订本合同依据</w:t>
      </w:r>
    </w:p>
    <w:p w14:paraId="710726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olor w:val="auto"/>
          <w:szCs w:val="21"/>
          <w:highlight w:val="none"/>
        </w:rPr>
        <w:t>成交通知书</w:t>
      </w:r>
      <w:r>
        <w:rPr>
          <w:rFonts w:hint="eastAsia" w:ascii="宋体" w:hAnsi="宋体" w:cs="宋体"/>
          <w:color w:val="auto"/>
          <w:szCs w:val="21"/>
          <w:highlight w:val="none"/>
        </w:rPr>
        <w:t>；</w:t>
      </w:r>
    </w:p>
    <w:p w14:paraId="3A4FFD5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2、竞标报价表；</w:t>
      </w:r>
    </w:p>
    <w:p w14:paraId="29B7A60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3、商务要求偏离表和技术要求偏离表；</w:t>
      </w:r>
    </w:p>
    <w:p w14:paraId="05698B8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4、维保服务方案；</w:t>
      </w:r>
    </w:p>
    <w:p w14:paraId="3D1A6ED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5、响应文件中的其他相关文件。</w:t>
      </w:r>
    </w:p>
    <w:p w14:paraId="3A1C16A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6、上述合同文件互相补充和解释。如果合同文件之间存在矛盾或者不一致之处，以上述文件的排列顺序在先者为准。</w:t>
      </w:r>
    </w:p>
    <w:p w14:paraId="629E2D54">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第十五条　</w:t>
      </w:r>
      <w:r>
        <w:rPr>
          <w:rFonts w:hint="eastAsia" w:ascii="宋体" w:hAnsi="宋体" w:cs="宋体"/>
          <w:color w:val="auto"/>
          <w:szCs w:val="21"/>
          <w:highlight w:val="none"/>
        </w:rPr>
        <w:t>本合同一式五份，具有同等法律效力，采购代理机构一份，甲方二份，乙方二份。</w:t>
      </w:r>
    </w:p>
    <w:tbl>
      <w:tblPr>
        <w:tblStyle w:val="24"/>
        <w:tblpPr w:leftFromText="180" w:rightFromText="180" w:vertAnchor="text" w:horzAnchor="margin" w:tblpY="214"/>
        <w:tblW w:w="91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82"/>
        <w:gridCol w:w="4583"/>
      </w:tblGrid>
      <w:tr w14:paraId="03937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08" w:hRule="atLeast"/>
        </w:trPr>
        <w:tc>
          <w:tcPr>
            <w:tcW w:w="4582" w:type="dxa"/>
            <w:tcBorders>
              <w:top w:val="single" w:color="000000" w:sz="4" w:space="0"/>
              <w:left w:val="single" w:color="000000" w:sz="4" w:space="0"/>
              <w:bottom w:val="single" w:color="000000" w:sz="4" w:space="0"/>
              <w:right w:val="single" w:color="000000" w:sz="4" w:space="0"/>
            </w:tcBorders>
            <w:vAlign w:val="center"/>
          </w:tcPr>
          <w:p w14:paraId="693DEAD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甲方：（章）</w:t>
            </w:r>
          </w:p>
          <w:p w14:paraId="07675FED">
            <w:pPr>
              <w:spacing w:line="360" w:lineRule="auto"/>
              <w:rPr>
                <w:rFonts w:hint="eastAsia" w:ascii="宋体" w:hAnsi="宋体" w:cs="宋体"/>
                <w:color w:val="auto"/>
                <w:szCs w:val="21"/>
                <w:highlight w:val="none"/>
              </w:rPr>
            </w:pPr>
          </w:p>
          <w:p w14:paraId="23D7B974">
            <w:pPr>
              <w:spacing w:line="360" w:lineRule="auto"/>
              <w:ind w:firstLine="945" w:firstLineChars="450"/>
              <w:jc w:val="right"/>
              <w:rPr>
                <w:rFonts w:hint="eastAsia" w:ascii="宋体" w:hAnsi="宋体" w:cs="宋体"/>
                <w:color w:val="auto"/>
                <w:szCs w:val="21"/>
                <w:highlight w:val="none"/>
              </w:rPr>
            </w:pPr>
          </w:p>
          <w:p w14:paraId="25F24D04">
            <w:pPr>
              <w:spacing w:line="360" w:lineRule="auto"/>
              <w:ind w:firstLine="945" w:firstLineChars="450"/>
              <w:jc w:val="right"/>
              <w:rPr>
                <w:rFonts w:hint="eastAsia" w:ascii="宋体" w:hAnsi="宋体" w:cs="宋体"/>
                <w:color w:val="auto"/>
                <w:szCs w:val="21"/>
                <w:highlight w:val="none"/>
              </w:rPr>
            </w:pPr>
            <w:r>
              <w:rPr>
                <w:rFonts w:hint="eastAsia" w:ascii="宋体" w:hAnsi="宋体" w:cs="宋体"/>
                <w:color w:val="auto"/>
                <w:szCs w:val="21"/>
                <w:highlight w:val="none"/>
              </w:rPr>
              <w:t>年   月   日</w:t>
            </w:r>
          </w:p>
        </w:tc>
        <w:tc>
          <w:tcPr>
            <w:tcW w:w="4583" w:type="dxa"/>
            <w:tcBorders>
              <w:top w:val="single" w:color="000000" w:sz="4" w:space="0"/>
              <w:left w:val="single" w:color="000000" w:sz="4" w:space="0"/>
              <w:bottom w:val="single" w:color="000000" w:sz="4" w:space="0"/>
              <w:right w:val="single" w:color="000000" w:sz="4" w:space="0"/>
            </w:tcBorders>
            <w:vAlign w:val="center"/>
          </w:tcPr>
          <w:p w14:paraId="5B815CE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乙方：（章）       </w:t>
            </w:r>
          </w:p>
          <w:p w14:paraId="0CD7056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2FF8272D">
            <w:pPr>
              <w:spacing w:line="360" w:lineRule="auto"/>
              <w:jc w:val="right"/>
              <w:rPr>
                <w:rFonts w:hint="eastAsia" w:ascii="宋体" w:hAnsi="宋体" w:cs="宋体"/>
                <w:color w:val="auto"/>
                <w:szCs w:val="21"/>
                <w:highlight w:val="none"/>
              </w:rPr>
            </w:pPr>
          </w:p>
          <w:p w14:paraId="5E03B77F">
            <w:pPr>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tc>
      </w:tr>
      <w:tr w14:paraId="4ADAA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atLeast"/>
        </w:trPr>
        <w:tc>
          <w:tcPr>
            <w:tcW w:w="4582" w:type="dxa"/>
            <w:tcBorders>
              <w:top w:val="single" w:color="000000" w:sz="4" w:space="0"/>
              <w:left w:val="single" w:color="000000" w:sz="4" w:space="0"/>
              <w:bottom w:val="single" w:color="000000" w:sz="4" w:space="0"/>
              <w:right w:val="single" w:color="000000" w:sz="4" w:space="0"/>
            </w:tcBorders>
            <w:vAlign w:val="center"/>
          </w:tcPr>
          <w:p w14:paraId="4BCAB69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单位地址： </w:t>
            </w:r>
          </w:p>
        </w:tc>
        <w:tc>
          <w:tcPr>
            <w:tcW w:w="4583" w:type="dxa"/>
            <w:tcBorders>
              <w:top w:val="single" w:color="000000" w:sz="4" w:space="0"/>
              <w:left w:val="single" w:color="000000" w:sz="4" w:space="0"/>
              <w:bottom w:val="single" w:color="000000" w:sz="4" w:space="0"/>
              <w:right w:val="single" w:color="000000" w:sz="4" w:space="0"/>
            </w:tcBorders>
            <w:vAlign w:val="center"/>
          </w:tcPr>
          <w:p w14:paraId="3ACCABE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单位地址： </w:t>
            </w:r>
          </w:p>
        </w:tc>
      </w:tr>
      <w:tr w14:paraId="414E0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atLeast"/>
        </w:trPr>
        <w:tc>
          <w:tcPr>
            <w:tcW w:w="4582" w:type="dxa"/>
            <w:tcBorders>
              <w:top w:val="single" w:color="000000" w:sz="4" w:space="0"/>
              <w:left w:val="single" w:color="000000" w:sz="4" w:space="0"/>
              <w:bottom w:val="single" w:color="000000" w:sz="4" w:space="0"/>
              <w:right w:val="single" w:color="000000" w:sz="4" w:space="0"/>
            </w:tcBorders>
            <w:vAlign w:val="center"/>
          </w:tcPr>
          <w:p w14:paraId="667E230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4583" w:type="dxa"/>
            <w:tcBorders>
              <w:top w:val="single" w:color="000000" w:sz="4" w:space="0"/>
              <w:left w:val="single" w:color="000000" w:sz="4" w:space="0"/>
              <w:bottom w:val="single" w:color="000000" w:sz="4" w:space="0"/>
              <w:right w:val="single" w:color="000000" w:sz="4" w:space="0"/>
            </w:tcBorders>
            <w:vAlign w:val="center"/>
          </w:tcPr>
          <w:p w14:paraId="1012FFD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w:t>
            </w:r>
          </w:p>
        </w:tc>
      </w:tr>
      <w:tr w14:paraId="696F8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atLeast"/>
        </w:trPr>
        <w:tc>
          <w:tcPr>
            <w:tcW w:w="4582" w:type="dxa"/>
            <w:tcBorders>
              <w:top w:val="single" w:color="000000" w:sz="4" w:space="0"/>
              <w:left w:val="single" w:color="000000" w:sz="4" w:space="0"/>
              <w:bottom w:val="single" w:color="000000" w:sz="4" w:space="0"/>
              <w:right w:val="single" w:color="000000" w:sz="4" w:space="0"/>
            </w:tcBorders>
            <w:vAlign w:val="center"/>
          </w:tcPr>
          <w:p w14:paraId="0E2CFD2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委托代理人：</w:t>
            </w:r>
          </w:p>
        </w:tc>
        <w:tc>
          <w:tcPr>
            <w:tcW w:w="4583" w:type="dxa"/>
            <w:tcBorders>
              <w:top w:val="single" w:color="000000" w:sz="4" w:space="0"/>
              <w:left w:val="single" w:color="000000" w:sz="4" w:space="0"/>
              <w:bottom w:val="single" w:color="000000" w:sz="4" w:space="0"/>
              <w:right w:val="single" w:color="000000" w:sz="4" w:space="0"/>
            </w:tcBorders>
            <w:vAlign w:val="center"/>
          </w:tcPr>
          <w:p w14:paraId="6EF888F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委托代理人：</w:t>
            </w:r>
          </w:p>
        </w:tc>
      </w:tr>
      <w:tr w14:paraId="77B1F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atLeast"/>
        </w:trPr>
        <w:tc>
          <w:tcPr>
            <w:tcW w:w="4582" w:type="dxa"/>
            <w:tcBorders>
              <w:top w:val="single" w:color="000000" w:sz="4" w:space="0"/>
              <w:left w:val="single" w:color="000000" w:sz="4" w:space="0"/>
              <w:bottom w:val="single" w:color="000000" w:sz="4" w:space="0"/>
              <w:right w:val="single" w:color="000000" w:sz="4" w:space="0"/>
            </w:tcBorders>
            <w:vAlign w:val="center"/>
          </w:tcPr>
          <w:p w14:paraId="61AB0BD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4583" w:type="dxa"/>
            <w:tcBorders>
              <w:top w:val="single" w:color="000000" w:sz="4" w:space="0"/>
              <w:left w:val="single" w:color="000000" w:sz="4" w:space="0"/>
              <w:bottom w:val="single" w:color="000000" w:sz="4" w:space="0"/>
              <w:right w:val="single" w:color="000000" w:sz="4" w:space="0"/>
            </w:tcBorders>
            <w:vAlign w:val="center"/>
          </w:tcPr>
          <w:p w14:paraId="79F331A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电话：</w:t>
            </w:r>
          </w:p>
        </w:tc>
      </w:tr>
      <w:tr w14:paraId="01413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atLeast"/>
        </w:trPr>
        <w:tc>
          <w:tcPr>
            <w:tcW w:w="4582" w:type="dxa"/>
            <w:tcBorders>
              <w:top w:val="single" w:color="000000" w:sz="4" w:space="0"/>
              <w:left w:val="single" w:color="000000" w:sz="4" w:space="0"/>
              <w:bottom w:val="single" w:color="000000" w:sz="4" w:space="0"/>
              <w:right w:val="single" w:color="000000" w:sz="4" w:space="0"/>
            </w:tcBorders>
            <w:vAlign w:val="center"/>
          </w:tcPr>
          <w:p w14:paraId="63BC41A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开户银行： </w:t>
            </w:r>
          </w:p>
        </w:tc>
        <w:tc>
          <w:tcPr>
            <w:tcW w:w="4583" w:type="dxa"/>
            <w:tcBorders>
              <w:top w:val="single" w:color="000000" w:sz="4" w:space="0"/>
              <w:left w:val="single" w:color="000000" w:sz="4" w:space="0"/>
              <w:bottom w:val="single" w:color="000000" w:sz="4" w:space="0"/>
              <w:right w:val="single" w:color="000000" w:sz="4" w:space="0"/>
            </w:tcBorders>
            <w:vAlign w:val="center"/>
          </w:tcPr>
          <w:p w14:paraId="48309D7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开户银行： </w:t>
            </w:r>
          </w:p>
        </w:tc>
      </w:tr>
      <w:tr w14:paraId="3D306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atLeast"/>
        </w:trPr>
        <w:tc>
          <w:tcPr>
            <w:tcW w:w="4582" w:type="dxa"/>
            <w:tcBorders>
              <w:top w:val="single" w:color="000000" w:sz="4" w:space="0"/>
              <w:left w:val="single" w:color="000000" w:sz="4" w:space="0"/>
              <w:bottom w:val="single" w:color="000000" w:sz="4" w:space="0"/>
              <w:right w:val="single" w:color="000000" w:sz="4" w:space="0"/>
            </w:tcBorders>
            <w:vAlign w:val="center"/>
          </w:tcPr>
          <w:p w14:paraId="2F3F241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4583" w:type="dxa"/>
            <w:tcBorders>
              <w:top w:val="single" w:color="000000" w:sz="4" w:space="0"/>
              <w:left w:val="single" w:color="000000" w:sz="4" w:space="0"/>
              <w:bottom w:val="single" w:color="000000" w:sz="4" w:space="0"/>
              <w:right w:val="single" w:color="000000" w:sz="4" w:space="0"/>
            </w:tcBorders>
            <w:vAlign w:val="center"/>
          </w:tcPr>
          <w:p w14:paraId="245736C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账号：</w:t>
            </w:r>
          </w:p>
        </w:tc>
      </w:tr>
      <w:tr w14:paraId="05AF1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atLeast"/>
        </w:trPr>
        <w:tc>
          <w:tcPr>
            <w:tcW w:w="4582" w:type="dxa"/>
            <w:tcBorders>
              <w:top w:val="single" w:color="000000" w:sz="4" w:space="0"/>
              <w:left w:val="single" w:color="000000" w:sz="4" w:space="0"/>
              <w:bottom w:val="single" w:color="000000" w:sz="4" w:space="0"/>
              <w:right w:val="single" w:color="000000" w:sz="4" w:space="0"/>
            </w:tcBorders>
            <w:vAlign w:val="center"/>
          </w:tcPr>
          <w:p w14:paraId="2BDB461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4583" w:type="dxa"/>
            <w:tcBorders>
              <w:top w:val="single" w:color="000000" w:sz="4" w:space="0"/>
              <w:left w:val="single" w:color="000000" w:sz="4" w:space="0"/>
              <w:bottom w:val="single" w:color="000000" w:sz="4" w:space="0"/>
              <w:right w:val="single" w:color="000000" w:sz="4" w:space="0"/>
            </w:tcBorders>
            <w:vAlign w:val="center"/>
          </w:tcPr>
          <w:p w14:paraId="161CB7C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邮政编码：</w:t>
            </w:r>
          </w:p>
        </w:tc>
      </w:tr>
    </w:tbl>
    <w:p w14:paraId="045A6BA2">
      <w:pPr>
        <w:spacing w:before="4" w:line="360" w:lineRule="auto"/>
        <w:rPr>
          <w:rFonts w:hint="eastAsia" w:ascii="宋体" w:hAnsi="宋体" w:cs="宋体"/>
          <w:color w:val="auto"/>
          <w:sz w:val="6"/>
          <w:szCs w:val="6"/>
          <w:highlight w:val="none"/>
        </w:rPr>
      </w:pPr>
    </w:p>
    <w:p w14:paraId="1BDFE817">
      <w:pPr>
        <w:spacing w:line="360" w:lineRule="auto"/>
        <w:ind w:firstLine="120" w:firstLineChars="200"/>
        <w:rPr>
          <w:rFonts w:hint="eastAsia" w:ascii="宋体" w:hAnsi="宋体" w:cs="Calibri"/>
          <w:color w:val="auto"/>
          <w:sz w:val="6"/>
          <w:szCs w:val="6"/>
          <w:highlight w:val="none"/>
        </w:rPr>
      </w:pPr>
    </w:p>
    <w:p w14:paraId="77D783B5">
      <w:pPr>
        <w:spacing w:line="360" w:lineRule="auto"/>
        <w:rPr>
          <w:rFonts w:hint="eastAsia" w:ascii="宋体" w:hAnsi="宋体" w:cs="宋体"/>
          <w:color w:val="auto"/>
          <w:sz w:val="6"/>
          <w:szCs w:val="6"/>
          <w:highlight w:val="none"/>
        </w:rPr>
      </w:pPr>
    </w:p>
    <w:sectPr>
      <w:footerReference r:id="rId8" w:type="first"/>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83" w:usb1="288F0000" w:usb2="0000000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B59B4">
    <w:pPr>
      <w:pStyle w:val="18"/>
      <w:tabs>
        <w:tab w:val="center" w:pos="4439"/>
        <w:tab w:val="clear" w:pos="4153"/>
      </w:tabs>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284480"/>
              <wp:effectExtent l="0" t="0" r="0" b="0"/>
              <wp:wrapNone/>
              <wp:docPr id="4" name="000087"/>
              <wp:cNvGraphicFramePr/>
              <a:graphic xmlns:a="http://schemas.openxmlformats.org/drawingml/2006/main">
                <a:graphicData uri="http://schemas.microsoft.com/office/word/2010/wordprocessingShape">
                  <wps:wsp>
                    <wps:cNvSpPr txBox="1">
                      <a:spLocks noChangeArrowheads="1"/>
                    </wps:cNvSpPr>
                    <wps:spPr bwMode="auto">
                      <a:xfrm>
                        <a:off x="0" y="0"/>
                        <a:ext cx="114935" cy="284480"/>
                      </a:xfrm>
                      <a:prstGeom prst="rect">
                        <a:avLst/>
                      </a:prstGeom>
                      <a:noFill/>
                      <a:ln>
                        <a:noFill/>
                      </a:ln>
                    </wps:spPr>
                    <wps:txbx>
                      <w:txbxContent>
                        <w:p w14:paraId="18856142">
                          <w:pPr>
                            <w:pStyle w:val="18"/>
                          </w:pPr>
                          <w:r>
                            <w:fldChar w:fldCharType="begin"/>
                          </w:r>
                          <w:r>
                            <w:instrText xml:space="preserve"> PAGE  \* MERGEFORMAT </w:instrText>
                          </w:r>
                          <w:r>
                            <w:fldChar w:fldCharType="separate"/>
                          </w:r>
                          <w:r>
                            <w:t>47</w:t>
                          </w:r>
                          <w:r>
                            <w:fldChar w:fldCharType="end"/>
                          </w:r>
                        </w:p>
                        <w:p w14:paraId="4FF0D979"/>
                      </w:txbxContent>
                    </wps:txbx>
                    <wps:bodyPr rot="0" vert="horz" wrap="none" lIns="0" tIns="0" rIns="0" bIns="0" anchor="t" anchorCtr="0" upright="1">
                      <a:spAutoFit/>
                    </wps:bodyPr>
                  </wps:wsp>
                </a:graphicData>
              </a:graphic>
            </wp:anchor>
          </w:drawing>
        </mc:Choice>
        <mc:Fallback>
          <w:pict>
            <v:shape id="000087" o:spid="_x0000_s1026" o:spt="202" type="#_x0000_t202" style="position:absolute;left:0pt;margin-top:0pt;height:22.4pt;width:9.05pt;mso-position-horizontal:center;mso-position-horizontal-relative:margin;mso-wrap-style:none;z-index:251661312;mso-width-relative:page;mso-height-relative:page;" filled="f" stroked="f" coordsize="21600,21600" o:gfxdata="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SnTGy0AAAAAMBAAAPAAAAAAAAAAEAIAAAACIAAABkcnMvZG93bnJldi54bWxQSwECFAAU&#10;AAAACACHTuJAiO3WGfkBAAD9AwAADgAAAAAAAAABACAAAAAfAQAAZHJzL2Uyb0RvYy54bWxQSwUG&#10;AAAAAAYABgBZAQAAigUAAAAA&#10;">
              <v:fill on="f" focussize="0,0"/>
              <v:stroke on="f"/>
              <v:imagedata o:title=""/>
              <o:lock v:ext="edit" aspectratio="f"/>
              <v:textbox inset="0mm,0mm,0mm,0mm" style="mso-fit-shape-to-text:t;">
                <w:txbxContent>
                  <w:p w14:paraId="18856142">
                    <w:pPr>
                      <w:pStyle w:val="18"/>
                    </w:pPr>
                    <w:r>
                      <w:fldChar w:fldCharType="begin"/>
                    </w:r>
                    <w:r>
                      <w:instrText xml:space="preserve"> PAGE  \* MERGEFORMAT </w:instrText>
                    </w:r>
                    <w:r>
                      <w:fldChar w:fldCharType="separate"/>
                    </w:r>
                    <w:r>
                      <w:t>47</w:t>
                    </w:r>
                    <w:r>
                      <w:fldChar w:fldCharType="end"/>
                    </w:r>
                  </w:p>
                  <w:p w14:paraId="4FF0D979"/>
                </w:txbxContent>
              </v:textbox>
            </v:shape>
          </w:pict>
        </mc:Fallback>
      </mc:AlternateContent>
    </w:r>
  </w:p>
  <w:p w14:paraId="7470FF73">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91EC3">
    <w:pPr>
      <w:pStyle w:val="18"/>
      <w:tabs>
        <w:tab w:val="center" w:pos="443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306705"/>
              <wp:effectExtent l="0" t="0" r="0" b="0"/>
              <wp:wrapNone/>
              <wp:docPr id="3" name="000085"/>
              <wp:cNvGraphicFramePr/>
              <a:graphic xmlns:a="http://schemas.openxmlformats.org/drawingml/2006/main">
                <a:graphicData uri="http://schemas.microsoft.com/office/word/2010/wordprocessingShape">
                  <wps:wsp>
                    <wps:cNvSpPr txBox="1">
                      <a:spLocks noChangeArrowheads="1"/>
                    </wps:cNvSpPr>
                    <wps:spPr bwMode="auto">
                      <a:xfrm>
                        <a:off x="0" y="0"/>
                        <a:ext cx="114935" cy="306705"/>
                      </a:xfrm>
                      <a:prstGeom prst="rect">
                        <a:avLst/>
                      </a:prstGeom>
                      <a:noFill/>
                      <a:ln>
                        <a:noFill/>
                      </a:ln>
                    </wps:spPr>
                    <wps:txbx>
                      <w:txbxContent>
                        <w:p w14:paraId="6213F9A0"/>
                        <w:p w14:paraId="335C68A9"/>
                      </w:txbxContent>
                    </wps:txbx>
                    <wps:bodyPr rot="0" vert="horz" wrap="none" lIns="0" tIns="0" rIns="0" bIns="0" anchor="t" anchorCtr="0" upright="1">
                      <a:spAutoFit/>
                    </wps:bodyPr>
                  </wps:wsp>
                </a:graphicData>
              </a:graphic>
            </wp:anchor>
          </w:drawing>
        </mc:Choice>
        <mc:Fallback>
          <w:pict>
            <v:shape id="000085" o:spid="_x0000_s1026" o:spt="202" type="#_x0000_t202" style="position:absolute;left:0pt;margin-top:0pt;height:24.15pt;width:9.05pt;mso-position-horizontal:center;mso-position-horizontal-relative:margin;mso-wrap-style:none;z-index:251660288;mso-width-relative:page;mso-height-relative:page;" filled="f" stroked="f" coordsize="21600,21600" o:gfxdata="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Tvwy9EAAAADAQAADwAAAAAAAAABACAAAAAiAAAAZHJzL2Rvd25yZXYueG1sUEsBAhQA&#10;FAAAAAgAh07iQNtdGlL5AQAA/QMAAA4AAAAAAAAAAQAgAAAAIAEAAGRycy9lMm9Eb2MueG1sUEsF&#10;BgAAAAAGAAYAWQEAAIsFAAAAAA==&#10;">
              <v:fill on="f" focussize="0,0"/>
              <v:stroke on="f"/>
              <v:imagedata o:title=""/>
              <o:lock v:ext="edit" aspectratio="f"/>
              <v:textbox inset="0mm,0mm,0mm,0mm" style="mso-fit-shape-to-text:t;">
                <w:txbxContent>
                  <w:p w14:paraId="6213F9A0"/>
                  <w:p w14:paraId="335C68A9"/>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75089">
    <w:pPr>
      <w:pStyle w:val="1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84480"/>
              <wp:effectExtent l="0" t="0" r="0" b="0"/>
              <wp:wrapNone/>
              <wp:docPr id="2" name="000089"/>
              <wp:cNvGraphicFramePr/>
              <a:graphic xmlns:a="http://schemas.openxmlformats.org/drawingml/2006/main">
                <a:graphicData uri="http://schemas.microsoft.com/office/word/2010/wordprocessingShape">
                  <wps:wsp>
                    <wps:cNvSpPr txBox="1">
                      <a:spLocks noChangeArrowheads="1"/>
                    </wps:cNvSpPr>
                    <wps:spPr bwMode="auto">
                      <a:xfrm>
                        <a:off x="0" y="0"/>
                        <a:ext cx="114935" cy="284480"/>
                      </a:xfrm>
                      <a:prstGeom prst="rect">
                        <a:avLst/>
                      </a:prstGeom>
                      <a:noFill/>
                      <a:ln>
                        <a:noFill/>
                      </a:ln>
                    </wps:spPr>
                    <wps:txbx>
                      <w:txbxContent>
                        <w:p w14:paraId="04567217">
                          <w:pPr>
                            <w:pStyle w:val="18"/>
                            <w:jc w:val="center"/>
                          </w:pPr>
                          <w:r>
                            <w:fldChar w:fldCharType="begin"/>
                          </w:r>
                          <w:r>
                            <w:instrText xml:space="preserve"> PAGE  \* MERGEFORMAT </w:instrText>
                          </w:r>
                          <w:r>
                            <w:fldChar w:fldCharType="separate"/>
                          </w:r>
                          <w:r>
                            <w:t>82</w:t>
                          </w:r>
                          <w:r>
                            <w:fldChar w:fldCharType="end"/>
                          </w:r>
                        </w:p>
                        <w:p w14:paraId="03638C3D"/>
                      </w:txbxContent>
                    </wps:txbx>
                    <wps:bodyPr rot="0" vert="horz" wrap="none" lIns="0" tIns="0" rIns="0" bIns="0" anchor="t" anchorCtr="0" upright="1">
                      <a:spAutoFit/>
                    </wps:bodyPr>
                  </wps:wsp>
                </a:graphicData>
              </a:graphic>
            </wp:anchor>
          </w:drawing>
        </mc:Choice>
        <mc:Fallback>
          <w:pict>
            <v:shape id="000089" o:spid="_x0000_s1026" o:spt="202" type="#_x0000_t202" style="position:absolute;left:0pt;margin-top:0pt;height:22.4pt;width:9.05pt;mso-position-horizontal:center;mso-position-horizontal-relative:margin;mso-wrap-style:none;z-index:251659264;mso-width-relative:page;mso-height-relative:page;" filled="f" stroked="f" coordsize="21600,21600" o:gfxdata="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SnTGy0AAAAAMBAAAPAAAAAAAAAAEAIAAAACIAAABkcnMvZG93bnJldi54bWxQSwECFAAU&#10;AAAACACHTuJAPoAAH/kBAAD9AwAADgAAAAAAAAABACAAAAAfAQAAZHJzL2Uyb0RvYy54bWxQSwUG&#10;AAAAAAYABgBZAQAAigUAAAAA&#10;">
              <v:fill on="f" focussize="0,0"/>
              <v:stroke on="f"/>
              <v:imagedata o:title=""/>
              <o:lock v:ext="edit" aspectratio="f"/>
              <v:textbox inset="0mm,0mm,0mm,0mm" style="mso-fit-shape-to-text:t;">
                <w:txbxContent>
                  <w:p w14:paraId="04567217">
                    <w:pPr>
                      <w:pStyle w:val="18"/>
                      <w:jc w:val="center"/>
                    </w:pPr>
                    <w:r>
                      <w:fldChar w:fldCharType="begin"/>
                    </w:r>
                    <w:r>
                      <w:instrText xml:space="preserve"> PAGE  \* MERGEFORMAT </w:instrText>
                    </w:r>
                    <w:r>
                      <w:fldChar w:fldCharType="separate"/>
                    </w:r>
                    <w:r>
                      <w:t>82</w:t>
                    </w:r>
                    <w:r>
                      <w:fldChar w:fldCharType="end"/>
                    </w:r>
                  </w:p>
                  <w:p w14:paraId="03638C3D"/>
                </w:txbxContent>
              </v:textbox>
            </v:shape>
          </w:pict>
        </mc:Fallback>
      </mc:AlternateContent>
    </w:r>
  </w:p>
  <w:p w14:paraId="19BD6908">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BD256">
    <w:pPr>
      <w:pStyle w:val="1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00000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5FAEAE3C">
                          <w:pPr>
                            <w:pStyle w:val="18"/>
                          </w:pPr>
                          <w:r>
                            <w:rPr>
                              <w:rFonts w:hint="eastAsia"/>
                            </w:rPr>
                            <w:fldChar w:fldCharType="begin"/>
                          </w:r>
                          <w:r>
                            <w:rPr>
                              <w:rFonts w:hint="eastAsia"/>
                            </w:rPr>
                            <w:instrText xml:space="preserve"> PAGE  \* MERGEFORMAT </w:instrText>
                          </w:r>
                          <w:r>
                            <w:rPr>
                              <w:rFonts w:hint="eastAsia"/>
                            </w:rPr>
                            <w:fldChar w:fldCharType="separate"/>
                          </w:r>
                          <w:r>
                            <w:t>84</w:t>
                          </w:r>
                          <w:r>
                            <w:rPr>
                              <w:rFonts w:hint="eastAsia"/>
                            </w:rPr>
                            <w:fldChar w:fldCharType="end"/>
                          </w:r>
                        </w:p>
                        <w:p w14:paraId="4B5F2CA8"/>
                      </w:txbxContent>
                    </wps:txbx>
                    <wps:bodyPr rot="0" vert="horz" wrap="none" lIns="0" tIns="0" rIns="0" bIns="0" anchor="t" anchorCtr="0" upright="1">
                      <a:spAutoFit/>
                    </wps:bodyPr>
                  </wps:wsp>
                </a:graphicData>
              </a:graphic>
            </wp:anchor>
          </w:drawing>
        </mc:Choice>
        <mc:Fallback>
          <w:pict>
            <v:shape id="00000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Iwa1DvEBAAD/AwAADgAAAAAAAAABACAAAAAeAQAAZHJzL2Uyb0RvYy54bWxQSwUGAAAAAAYABgBZ&#10;AQAAgQUAAAAA&#10;">
              <v:fill on="f" focussize="0,0"/>
              <v:stroke on="f"/>
              <v:imagedata o:title=""/>
              <o:lock v:ext="edit" aspectratio="f"/>
              <v:textbox inset="0mm,0mm,0mm,0mm" style="mso-fit-shape-to-text:t;">
                <w:txbxContent>
                  <w:p w14:paraId="5FAEAE3C">
                    <w:pPr>
                      <w:pStyle w:val="18"/>
                    </w:pPr>
                    <w:r>
                      <w:rPr>
                        <w:rFonts w:hint="eastAsia"/>
                      </w:rPr>
                      <w:fldChar w:fldCharType="begin"/>
                    </w:r>
                    <w:r>
                      <w:rPr>
                        <w:rFonts w:hint="eastAsia"/>
                      </w:rPr>
                      <w:instrText xml:space="preserve"> PAGE  \* MERGEFORMAT </w:instrText>
                    </w:r>
                    <w:r>
                      <w:rPr>
                        <w:rFonts w:hint="eastAsia"/>
                      </w:rPr>
                      <w:fldChar w:fldCharType="separate"/>
                    </w:r>
                    <w:r>
                      <w:t>84</w:t>
                    </w:r>
                    <w:r>
                      <w:rPr>
                        <w:rFonts w:hint="eastAsia"/>
                      </w:rPr>
                      <w:fldChar w:fldCharType="end"/>
                    </w:r>
                  </w:p>
                  <w:p w14:paraId="4B5F2CA8"/>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B1E6F">
    <w:pPr>
      <w:pStyle w:val="19"/>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04B06">
    <w:pPr>
      <w:pStyle w:val="19"/>
      <w:pBdr>
        <w:bottom w:val="none" w:color="000000"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compressPunctuation"/>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14"/>
    <w:rsid w:val="00030D90"/>
    <w:rsid w:val="00033F88"/>
    <w:rsid w:val="000D610B"/>
    <w:rsid w:val="000E3D3B"/>
    <w:rsid w:val="000F69B0"/>
    <w:rsid w:val="000F6EAD"/>
    <w:rsid w:val="001434AB"/>
    <w:rsid w:val="00150B6C"/>
    <w:rsid w:val="0016064F"/>
    <w:rsid w:val="001A1302"/>
    <w:rsid w:val="001C326D"/>
    <w:rsid w:val="001C385E"/>
    <w:rsid w:val="001F781C"/>
    <w:rsid w:val="002B4440"/>
    <w:rsid w:val="002D1AB5"/>
    <w:rsid w:val="002E1E7A"/>
    <w:rsid w:val="003B2A81"/>
    <w:rsid w:val="003C73BD"/>
    <w:rsid w:val="003E1810"/>
    <w:rsid w:val="00440B3F"/>
    <w:rsid w:val="00474199"/>
    <w:rsid w:val="00485AC1"/>
    <w:rsid w:val="004E7A8C"/>
    <w:rsid w:val="00502B16"/>
    <w:rsid w:val="00571293"/>
    <w:rsid w:val="00591FBA"/>
    <w:rsid w:val="005B6473"/>
    <w:rsid w:val="005C197A"/>
    <w:rsid w:val="006C3B22"/>
    <w:rsid w:val="006D1F3A"/>
    <w:rsid w:val="007262C1"/>
    <w:rsid w:val="00733CBF"/>
    <w:rsid w:val="007539B1"/>
    <w:rsid w:val="007B4FCE"/>
    <w:rsid w:val="007C3DF3"/>
    <w:rsid w:val="00821FDF"/>
    <w:rsid w:val="00842018"/>
    <w:rsid w:val="00852828"/>
    <w:rsid w:val="008611EE"/>
    <w:rsid w:val="008738A5"/>
    <w:rsid w:val="00897AC8"/>
    <w:rsid w:val="008B2253"/>
    <w:rsid w:val="00902F34"/>
    <w:rsid w:val="00903E15"/>
    <w:rsid w:val="009256C1"/>
    <w:rsid w:val="00970AF0"/>
    <w:rsid w:val="009A70A9"/>
    <w:rsid w:val="009D3428"/>
    <w:rsid w:val="00A126F1"/>
    <w:rsid w:val="00A2363C"/>
    <w:rsid w:val="00A27FAC"/>
    <w:rsid w:val="00A317C9"/>
    <w:rsid w:val="00A67A81"/>
    <w:rsid w:val="00A73C12"/>
    <w:rsid w:val="00A763BE"/>
    <w:rsid w:val="00A810F0"/>
    <w:rsid w:val="00B454A2"/>
    <w:rsid w:val="00B679BE"/>
    <w:rsid w:val="00B72CCE"/>
    <w:rsid w:val="00BC7809"/>
    <w:rsid w:val="00C302A9"/>
    <w:rsid w:val="00C460E0"/>
    <w:rsid w:val="00C56100"/>
    <w:rsid w:val="00D049F4"/>
    <w:rsid w:val="00D433CD"/>
    <w:rsid w:val="00D705F2"/>
    <w:rsid w:val="00D85979"/>
    <w:rsid w:val="00D91094"/>
    <w:rsid w:val="00DC2C3D"/>
    <w:rsid w:val="00E15B14"/>
    <w:rsid w:val="00E16578"/>
    <w:rsid w:val="00E210EE"/>
    <w:rsid w:val="00E65D76"/>
    <w:rsid w:val="00E86B49"/>
    <w:rsid w:val="00E95750"/>
    <w:rsid w:val="00EA15F5"/>
    <w:rsid w:val="00EA1C0F"/>
    <w:rsid w:val="00F82699"/>
    <w:rsid w:val="00F840F0"/>
    <w:rsid w:val="00FB1383"/>
    <w:rsid w:val="00FC327A"/>
    <w:rsid w:val="00FD6196"/>
    <w:rsid w:val="01284CA5"/>
    <w:rsid w:val="0700385E"/>
    <w:rsid w:val="0FC524E2"/>
    <w:rsid w:val="2BA10EF9"/>
    <w:rsid w:val="4C8A1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nhideWhenUsed="0" w:uiPriority="9"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semiHidden="0" w:name="toc 1"/>
    <w:lsdException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22"/>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108"/>
    <w:qFormat/>
    <w:uiPriority w:val="0"/>
    <w:pPr>
      <w:keepNext/>
      <w:keepLines/>
      <w:spacing w:before="260" w:after="260" w:line="416" w:lineRule="auto"/>
      <w:outlineLvl w:val="2"/>
    </w:pPr>
    <w:rPr>
      <w:rFonts w:ascii="Calibri" w:hAnsi="Calibri"/>
      <w:b/>
      <w:sz w:val="24"/>
    </w:rPr>
  </w:style>
  <w:style w:type="paragraph" w:styleId="5">
    <w:name w:val="heading 4"/>
    <w:basedOn w:val="1"/>
    <w:next w:val="1"/>
    <w:link w:val="104"/>
    <w:qFormat/>
    <w:uiPriority w:val="0"/>
    <w:pPr>
      <w:spacing w:beforeAutospacing="1" w:afterAutospacing="1"/>
      <w:jc w:val="left"/>
      <w:outlineLvl w:val="3"/>
    </w:pPr>
    <w:rPr>
      <w:rFonts w:hint="eastAsia" w:ascii="宋体" w:hAnsi="宋体"/>
      <w:b/>
      <w:bCs/>
      <w:kern w:val="0"/>
      <w:sz w:val="24"/>
    </w:rPr>
  </w:style>
  <w:style w:type="paragraph" w:styleId="6">
    <w:name w:val="heading 5"/>
    <w:basedOn w:val="1"/>
    <w:next w:val="7"/>
    <w:link w:val="120"/>
    <w:qFormat/>
    <w:uiPriority w:val="9"/>
    <w:pPr>
      <w:keepNext/>
      <w:keepLines/>
      <w:spacing w:before="280" w:after="290" w:line="376" w:lineRule="auto"/>
      <w:outlineLvl w:val="4"/>
    </w:pPr>
    <w:rPr>
      <w:b/>
      <w:bCs/>
      <w:sz w:val="28"/>
      <w:szCs w:val="28"/>
    </w:rPr>
  </w:style>
  <w:style w:type="paragraph" w:styleId="8">
    <w:name w:val="heading 8"/>
    <w:basedOn w:val="1"/>
    <w:next w:val="1"/>
    <w:link w:val="123"/>
    <w:qFormat/>
    <w:uiPriority w:val="9"/>
    <w:pPr>
      <w:keepNext/>
      <w:keepLines/>
      <w:spacing w:before="240" w:after="64" w:line="320" w:lineRule="auto"/>
      <w:outlineLvl w:val="7"/>
    </w:pPr>
    <w:rPr>
      <w:rFonts w:ascii="等线 Light" w:hAnsi="等线 Light" w:eastAsia="等线 Light"/>
      <w:sz w:val="24"/>
    </w:rPr>
  </w:style>
  <w:style w:type="character" w:default="1" w:styleId="26">
    <w:name w:val="Default Paragraph Font"/>
    <w:semiHidden/>
    <w:unhideWhenUsed/>
    <w:uiPriority w:val="1"/>
  </w:style>
  <w:style w:type="table" w:default="1" w:styleId="24">
    <w:name w:val="Normal Table"/>
    <w:semiHidden/>
    <w:unhideWhenUsed/>
    <w:uiPriority w:val="99"/>
    <w:tblPr>
      <w:tblCellMar>
        <w:top w:w="0" w:type="dxa"/>
        <w:left w:w="108" w:type="dxa"/>
        <w:bottom w:w="0" w:type="dxa"/>
        <w:right w:w="108" w:type="dxa"/>
      </w:tblCellMar>
    </w:tblPr>
  </w:style>
  <w:style w:type="paragraph" w:styleId="7">
    <w:name w:val="Normal Indent"/>
    <w:basedOn w:val="1"/>
    <w:uiPriority w:val="0"/>
    <w:pPr>
      <w:ind w:firstLine="420"/>
    </w:pPr>
    <w:rPr>
      <w:szCs w:val="20"/>
    </w:rPr>
  </w:style>
  <w:style w:type="paragraph" w:styleId="9">
    <w:name w:val="List Number"/>
    <w:basedOn w:val="1"/>
    <w:uiPriority w:val="0"/>
    <w:pPr>
      <w:widowControl/>
      <w:tabs>
        <w:tab w:val="left" w:pos="454"/>
        <w:tab w:val="left" w:pos="720"/>
        <w:tab w:val="left" w:pos="840"/>
      </w:tabs>
      <w:spacing w:after="50"/>
      <w:ind w:left="454" w:hanging="284"/>
      <w:jc w:val="left"/>
    </w:pPr>
    <w:rPr>
      <w:kern w:val="0"/>
      <w:sz w:val="24"/>
      <w:szCs w:val="20"/>
    </w:rPr>
  </w:style>
  <w:style w:type="paragraph" w:styleId="10">
    <w:name w:val="annotation text"/>
    <w:basedOn w:val="1"/>
    <w:link w:val="101"/>
    <w:qFormat/>
    <w:uiPriority w:val="0"/>
    <w:pPr>
      <w:jc w:val="left"/>
    </w:pPr>
  </w:style>
  <w:style w:type="paragraph" w:styleId="11">
    <w:name w:val="Body Text 3"/>
    <w:basedOn w:val="1"/>
    <w:link w:val="71"/>
    <w:unhideWhenUsed/>
    <w:uiPriority w:val="99"/>
    <w:pPr>
      <w:spacing w:after="120"/>
    </w:pPr>
    <w:rPr>
      <w:sz w:val="16"/>
      <w:szCs w:val="16"/>
    </w:rPr>
  </w:style>
  <w:style w:type="paragraph" w:styleId="12">
    <w:name w:val="Body Text"/>
    <w:basedOn w:val="1"/>
    <w:link w:val="95"/>
    <w:unhideWhenUsed/>
    <w:qFormat/>
    <w:uiPriority w:val="99"/>
    <w:pPr>
      <w:spacing w:after="120"/>
    </w:pPr>
  </w:style>
  <w:style w:type="paragraph" w:styleId="13">
    <w:name w:val="Body Text Indent"/>
    <w:basedOn w:val="1"/>
    <w:link w:val="86"/>
    <w:uiPriority w:val="0"/>
    <w:pPr>
      <w:ind w:firstLine="830" w:firstLineChars="352"/>
    </w:pPr>
    <w:rPr>
      <w:rFonts w:ascii="仿宋_GB2312" w:eastAsia="仿宋_GB2312"/>
      <w:kern w:val="0"/>
      <w:sz w:val="32"/>
      <w:szCs w:val="20"/>
    </w:rPr>
  </w:style>
  <w:style w:type="paragraph" w:styleId="14">
    <w:name w:val="List 2"/>
    <w:basedOn w:val="1"/>
    <w:unhideWhenUsed/>
    <w:uiPriority w:val="99"/>
    <w:pPr>
      <w:ind w:left="100" w:leftChars="200" w:hanging="200" w:hangingChars="200"/>
      <w:contextualSpacing/>
    </w:pPr>
  </w:style>
  <w:style w:type="paragraph" w:styleId="15">
    <w:name w:val="Plain Text"/>
    <w:basedOn w:val="1"/>
    <w:link w:val="57"/>
    <w:qFormat/>
    <w:uiPriority w:val="0"/>
    <w:rPr>
      <w:rFonts w:ascii="宋体" w:hAnsi="Courier New"/>
      <w:kern w:val="0"/>
      <w:sz w:val="20"/>
      <w:szCs w:val="21"/>
    </w:rPr>
  </w:style>
  <w:style w:type="paragraph" w:styleId="16">
    <w:name w:val="Date"/>
    <w:basedOn w:val="1"/>
    <w:next w:val="1"/>
    <w:link w:val="68"/>
    <w:unhideWhenUsed/>
    <w:uiPriority w:val="99"/>
    <w:pPr>
      <w:ind w:left="100" w:leftChars="2500"/>
    </w:pPr>
  </w:style>
  <w:style w:type="paragraph" w:styleId="17">
    <w:name w:val="Balloon Text"/>
    <w:basedOn w:val="1"/>
    <w:semiHidden/>
    <w:uiPriority w:val="0"/>
    <w:rPr>
      <w:sz w:val="18"/>
      <w:szCs w:val="18"/>
    </w:rPr>
  </w:style>
  <w:style w:type="paragraph" w:styleId="18">
    <w:name w:val="footer"/>
    <w:basedOn w:val="1"/>
    <w:link w:val="96"/>
    <w:unhideWhenUsed/>
    <w:qFormat/>
    <w:uiPriority w:val="99"/>
    <w:pPr>
      <w:tabs>
        <w:tab w:val="center" w:pos="4153"/>
        <w:tab w:val="right" w:pos="8306"/>
      </w:tabs>
      <w:jc w:val="left"/>
    </w:pPr>
    <w:rPr>
      <w:kern w:val="0"/>
      <w:sz w:val="18"/>
      <w:szCs w:val="18"/>
    </w:rPr>
  </w:style>
  <w:style w:type="paragraph" w:styleId="19">
    <w:name w:val="header"/>
    <w:basedOn w:val="1"/>
    <w:link w:val="48"/>
    <w:unhideWhenUsed/>
    <w:uiPriority w:val="0"/>
    <w:pPr>
      <w:pBdr>
        <w:bottom w:val="single" w:color="000000" w:sz="6" w:space="1"/>
      </w:pBdr>
      <w:tabs>
        <w:tab w:val="center" w:pos="4153"/>
        <w:tab w:val="right" w:pos="8306"/>
      </w:tabs>
      <w:jc w:val="center"/>
    </w:pPr>
    <w:rPr>
      <w:kern w:val="0"/>
      <w:sz w:val="18"/>
      <w:szCs w:val="18"/>
    </w:rPr>
  </w:style>
  <w:style w:type="paragraph" w:styleId="20">
    <w:name w:val="toc 1"/>
    <w:basedOn w:val="1"/>
    <w:next w:val="1"/>
    <w:unhideWhenUsed/>
    <w:uiPriority w:val="39"/>
  </w:style>
  <w:style w:type="paragraph" w:styleId="21">
    <w:name w:val="toc 2"/>
    <w:basedOn w:val="1"/>
    <w:next w:val="1"/>
    <w:unhideWhenUsed/>
    <w:uiPriority w:val="39"/>
    <w:pPr>
      <w:tabs>
        <w:tab w:val="right" w:leader="dot" w:pos="8296"/>
      </w:tabs>
      <w:ind w:left="420" w:leftChars="200"/>
    </w:pPr>
  </w:style>
  <w:style w:type="paragraph" w:styleId="22">
    <w:name w:val="Normal (Web)"/>
    <w:basedOn w:val="1"/>
    <w:unhideWhenUsed/>
    <w:uiPriority w:val="99"/>
    <w:rPr>
      <w:rFonts w:ascii="Calibri" w:hAnsi="Calibri"/>
      <w:kern w:val="0"/>
      <w:sz w:val="24"/>
    </w:rPr>
  </w:style>
  <w:style w:type="paragraph" w:styleId="23">
    <w:name w:val="annotation subject"/>
    <w:basedOn w:val="10"/>
    <w:next w:val="10"/>
    <w:link w:val="67"/>
    <w:uiPriority w:val="99"/>
    <w:rPr>
      <w:b/>
      <w:bCs/>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endnote reference"/>
    <w:unhideWhenUsed/>
    <w:uiPriority w:val="99"/>
    <w:rPr>
      <w:vertAlign w:val="superscript"/>
    </w:rPr>
  </w:style>
  <w:style w:type="character" w:styleId="29">
    <w:name w:val="FollowedHyperlink"/>
    <w:unhideWhenUsed/>
    <w:uiPriority w:val="99"/>
    <w:rPr>
      <w:color w:val="800080"/>
      <w:u w:val="single"/>
    </w:rPr>
  </w:style>
  <w:style w:type="character" w:styleId="30">
    <w:name w:val="Emphasis"/>
    <w:qFormat/>
    <w:uiPriority w:val="20"/>
    <w:rPr>
      <w:i/>
      <w:iCs/>
    </w:rPr>
  </w:style>
  <w:style w:type="character" w:styleId="31">
    <w:name w:val="Hyperlink"/>
    <w:unhideWhenUsed/>
    <w:uiPriority w:val="99"/>
    <w:rPr>
      <w:color w:val="0000FF"/>
      <w:u w:val="single"/>
    </w:rPr>
  </w:style>
  <w:style w:type="character" w:styleId="32">
    <w:name w:val="annotation reference"/>
    <w:uiPriority w:val="0"/>
    <w:rPr>
      <w:sz w:val="21"/>
      <w:szCs w:val="21"/>
    </w:rPr>
  </w:style>
  <w:style w:type="paragraph" w:customStyle="1" w:styleId="33">
    <w:name w:val="xl72"/>
    <w:basedOn w:val="1"/>
    <w:uiPriority w:val="0"/>
    <w:pPr>
      <w:widowControl/>
      <w:spacing w:before="100" w:beforeAutospacing="1" w:after="100" w:afterAutospacing="1"/>
      <w:jc w:val="left"/>
    </w:pPr>
    <w:rPr>
      <w:rFonts w:ascii="Calibri" w:hAnsi="Calibri" w:cs="Calibri"/>
      <w:kern w:val="0"/>
      <w:sz w:val="24"/>
    </w:rPr>
  </w:style>
  <w:style w:type="character" w:customStyle="1" w:styleId="34">
    <w:name w:val="font101"/>
    <w:qFormat/>
    <w:uiPriority w:val="0"/>
    <w:rPr>
      <w:rFonts w:hint="eastAsia" w:ascii="宋体" w:hAnsi="宋体" w:eastAsia="宋体" w:cs="宋体"/>
      <w:color w:val="000000"/>
      <w:sz w:val="24"/>
      <w:szCs w:val="24"/>
      <w:u w:val="none"/>
    </w:rPr>
  </w:style>
  <w:style w:type="paragraph" w:customStyle="1" w:styleId="35">
    <w:name w:val="正文1"/>
    <w:basedOn w:val="1"/>
    <w:qFormat/>
    <w:uiPriority w:val="0"/>
    <w:pPr>
      <w:spacing w:line="318" w:lineRule="atLeast"/>
      <w:ind w:left="369" w:firstLine="369"/>
    </w:pPr>
    <w:rPr>
      <w:rFonts w:ascii="宋体"/>
      <w:szCs w:val="20"/>
    </w:rPr>
  </w:style>
  <w:style w:type="paragraph" w:customStyle="1" w:styleId="36">
    <w:name w:val="xl68"/>
    <w:basedOn w:val="1"/>
    <w:uiPriority w:val="0"/>
    <w:pPr>
      <w:widowControl/>
      <w:spacing w:before="100" w:beforeAutospacing="1" w:after="100" w:afterAutospacing="1"/>
      <w:jc w:val="left"/>
    </w:pPr>
    <w:rPr>
      <w:rFonts w:ascii="Calibri" w:hAnsi="Calibri" w:cs="Calibri"/>
      <w:kern w:val="0"/>
      <w:sz w:val="24"/>
    </w:rPr>
  </w:style>
  <w:style w:type="paragraph" w:customStyle="1" w:styleId="37">
    <w:name w:val="xl75"/>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4"/>
    </w:rPr>
  </w:style>
  <w:style w:type="paragraph" w:customStyle="1" w:styleId="38">
    <w:name w:val="msonormal"/>
    <w:basedOn w:val="1"/>
    <w:uiPriority w:val="0"/>
    <w:pPr>
      <w:widowControl/>
      <w:spacing w:before="100" w:beforeAutospacing="1" w:after="100" w:afterAutospacing="1"/>
      <w:jc w:val="left"/>
    </w:pPr>
    <w:rPr>
      <w:rFonts w:ascii="宋体" w:hAnsi="宋体" w:cs="宋体"/>
      <w:kern w:val="0"/>
      <w:sz w:val="24"/>
    </w:rPr>
  </w:style>
  <w:style w:type="character" w:customStyle="1" w:styleId="39">
    <w:name w:val="未处理的提及1"/>
    <w:unhideWhenUsed/>
    <w:uiPriority w:val="99"/>
    <w:rPr>
      <w:color w:val="605E5C"/>
      <w:shd w:val="clear" w:color="auto" w:fill="E1DFDD"/>
    </w:rPr>
  </w:style>
  <w:style w:type="character" w:customStyle="1" w:styleId="40">
    <w:name w:val="textcontents"/>
    <w:uiPriority w:val="0"/>
  </w:style>
  <w:style w:type="character" w:customStyle="1" w:styleId="41">
    <w:name w:val="纯文本 字符1"/>
    <w:qFormat/>
    <w:uiPriority w:val="0"/>
    <w:rPr>
      <w:rFonts w:ascii="宋体" w:hAnsi="Courier New"/>
    </w:rPr>
  </w:style>
  <w:style w:type="paragraph" w:customStyle="1" w:styleId="42">
    <w:name w:val="xl92"/>
    <w:basedOn w:val="1"/>
    <w:uiPriority w:val="0"/>
    <w:pPr>
      <w:widowControl/>
      <w:pBdr>
        <w:left w:val="single" w:color="000000" w:sz="4" w:space="0"/>
      </w:pBdr>
      <w:spacing w:before="100" w:beforeAutospacing="1" w:after="100" w:afterAutospacing="1"/>
      <w:jc w:val="center"/>
    </w:pPr>
    <w:rPr>
      <w:rFonts w:ascii="宋体" w:hAnsi="宋体" w:cs="宋体"/>
      <w:kern w:val="0"/>
      <w:sz w:val="32"/>
      <w:szCs w:val="32"/>
    </w:rPr>
  </w:style>
  <w:style w:type="paragraph" w:customStyle="1" w:styleId="43">
    <w:name w:val="xl7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4"/>
    </w:rPr>
  </w:style>
  <w:style w:type="paragraph" w:customStyle="1" w:styleId="44">
    <w:name w:val="xl7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alibri" w:hAnsi="Calibri" w:cs="Calibri"/>
      <w:kern w:val="0"/>
      <w:sz w:val="24"/>
    </w:rPr>
  </w:style>
  <w:style w:type="paragraph" w:customStyle="1" w:styleId="45">
    <w:name w:val="表内文字"/>
    <w:basedOn w:val="1"/>
    <w:uiPriority w:val="0"/>
    <w:pPr>
      <w:spacing w:before="50" w:after="50"/>
      <w:jc w:val="center"/>
    </w:pPr>
    <w:rPr>
      <w:rFonts w:ascii="仿宋_GB2312" w:hAnsi="宋体" w:eastAsia="仿宋_GB2312"/>
      <w:b/>
      <w:color w:val="000000"/>
      <w:sz w:val="32"/>
      <w:szCs w:val="32"/>
    </w:rPr>
  </w:style>
  <w:style w:type="paragraph" w:customStyle="1" w:styleId="46">
    <w:name w:val="xl7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alibri" w:hAnsi="Calibri" w:cs="Calibri"/>
      <w:kern w:val="0"/>
      <w:sz w:val="24"/>
    </w:rPr>
  </w:style>
  <w:style w:type="character" w:customStyle="1" w:styleId="47">
    <w:name w:val="标题 2 Char"/>
    <w:uiPriority w:val="9"/>
    <w:rPr>
      <w:rFonts w:ascii="Cambria" w:hAnsi="Cambria" w:eastAsia="宋体" w:cs="Times New Roman"/>
      <w:b/>
      <w:bCs/>
      <w:kern w:val="2"/>
      <w:sz w:val="32"/>
      <w:szCs w:val="32"/>
    </w:rPr>
  </w:style>
  <w:style w:type="character" w:customStyle="1" w:styleId="48">
    <w:name w:val="页眉 字符"/>
    <w:link w:val="19"/>
    <w:uiPriority w:val="0"/>
    <w:rPr>
      <w:sz w:val="18"/>
      <w:szCs w:val="18"/>
    </w:rPr>
  </w:style>
  <w:style w:type="paragraph" w:customStyle="1" w:styleId="49">
    <w:name w:val="xl69"/>
    <w:basedOn w:val="1"/>
    <w:uiPriority w:val="0"/>
    <w:pPr>
      <w:widowControl/>
      <w:spacing w:before="100" w:beforeAutospacing="1" w:after="100" w:afterAutospacing="1"/>
      <w:jc w:val="center"/>
    </w:pPr>
    <w:rPr>
      <w:rFonts w:ascii="Calibri" w:hAnsi="Calibri" w:cs="Calibri"/>
      <w:kern w:val="0"/>
      <w:sz w:val="24"/>
    </w:rPr>
  </w:style>
  <w:style w:type="character" w:customStyle="1" w:styleId="50">
    <w:name w:val="fontstyle01"/>
    <w:qFormat/>
    <w:uiPriority w:val="0"/>
    <w:rPr>
      <w:rFonts w:ascii="仿宋_GB2312" w:hAnsi="仿宋_GB2312" w:eastAsia="仿宋_GB2312" w:cs="仿宋_GB2312"/>
      <w:color w:val="000000"/>
      <w:sz w:val="22"/>
      <w:szCs w:val="22"/>
    </w:rPr>
  </w:style>
  <w:style w:type="paragraph" w:customStyle="1" w:styleId="51">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4"/>
    </w:rPr>
  </w:style>
  <w:style w:type="character" w:customStyle="1" w:styleId="52">
    <w:name w:val="标题 1 字符1"/>
    <w:uiPriority w:val="0"/>
    <w:rPr>
      <w:b/>
      <w:bCs/>
      <w:kern w:val="44"/>
      <w:sz w:val="44"/>
      <w:szCs w:val="44"/>
    </w:rPr>
  </w:style>
  <w:style w:type="paragraph" w:customStyle="1" w:styleId="53">
    <w:name w:val="xl9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color w:val="000000"/>
      <w:kern w:val="0"/>
      <w:szCs w:val="21"/>
    </w:rPr>
  </w:style>
  <w:style w:type="paragraph" w:customStyle="1" w:styleId="54">
    <w:name w:val="xl94"/>
    <w:basedOn w:val="1"/>
    <w:uiPriority w:val="0"/>
    <w:pPr>
      <w:widowControl/>
      <w:spacing w:before="100" w:beforeAutospacing="1" w:after="100" w:afterAutospacing="1"/>
      <w:jc w:val="center"/>
    </w:pPr>
    <w:rPr>
      <w:rFonts w:ascii="宋体" w:hAnsi="宋体" w:cs="宋体"/>
      <w:kern w:val="0"/>
      <w:sz w:val="32"/>
      <w:szCs w:val="32"/>
    </w:rPr>
  </w:style>
  <w:style w:type="table" w:customStyle="1" w:styleId="55">
    <w:name w:val="Table Normal"/>
    <w:unhideWhenUsed/>
    <w:qFormat/>
    <w:uiPriority w:val="0"/>
    <w:tblPr>
      <w:tblCellMar>
        <w:top w:w="0" w:type="dxa"/>
        <w:left w:w="0" w:type="dxa"/>
        <w:bottom w:w="0" w:type="dxa"/>
        <w:right w:w="0" w:type="dxa"/>
      </w:tblCellMar>
    </w:tblPr>
  </w:style>
  <w:style w:type="paragraph" w:customStyle="1" w:styleId="56">
    <w:name w:val="默认段落字体 Para Char Char Char Char Char Char Char Char Char1 Char Char Char Char"/>
    <w:basedOn w:val="1"/>
    <w:uiPriority w:val="0"/>
    <w:rPr>
      <w:rFonts w:ascii="Tahoma" w:hAnsi="Tahoma"/>
      <w:sz w:val="24"/>
      <w:szCs w:val="20"/>
    </w:rPr>
  </w:style>
  <w:style w:type="character" w:customStyle="1" w:styleId="57">
    <w:name w:val="纯文本 字符4"/>
    <w:link w:val="15"/>
    <w:qFormat/>
    <w:uiPriority w:val="0"/>
    <w:rPr>
      <w:rFonts w:ascii="宋体" w:hAnsi="Courier New" w:eastAsia="宋体" w:cs="Courier New"/>
      <w:szCs w:val="21"/>
    </w:rPr>
  </w:style>
  <w:style w:type="paragraph" w:customStyle="1" w:styleId="58">
    <w:name w:val="xl8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alibri" w:hAnsi="Calibri" w:cs="Calibri"/>
      <w:kern w:val="0"/>
      <w:sz w:val="24"/>
    </w:rPr>
  </w:style>
  <w:style w:type="paragraph" w:customStyle="1" w:styleId="59">
    <w:name w:val="列出段落1"/>
    <w:basedOn w:val="1"/>
    <w:qFormat/>
    <w:uiPriority w:val="0"/>
    <w:pPr>
      <w:ind w:firstLine="420" w:firstLineChars="200"/>
    </w:pPr>
    <w:rPr>
      <w:szCs w:val="21"/>
    </w:rPr>
  </w:style>
  <w:style w:type="paragraph" w:customStyle="1" w:styleId="60">
    <w:name w:val="xl86"/>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alibri" w:hAnsi="Calibri" w:cs="Calibri"/>
      <w:kern w:val="0"/>
      <w:sz w:val="24"/>
    </w:rPr>
  </w:style>
  <w:style w:type="character" w:customStyle="1" w:styleId="61">
    <w:name w:val="标题 1 字符"/>
    <w:link w:val="2"/>
    <w:uiPriority w:val="0"/>
    <w:rPr>
      <w:b/>
      <w:bCs/>
      <w:kern w:val="44"/>
      <w:sz w:val="44"/>
      <w:szCs w:val="44"/>
    </w:rPr>
  </w:style>
  <w:style w:type="character" w:customStyle="1" w:styleId="62">
    <w:name w:val="批注文字 字符1"/>
    <w:uiPriority w:val="0"/>
    <w:rPr>
      <w:rFonts w:ascii="Times New Roman" w:hAnsi="Times New Roman"/>
      <w:kern w:val="2"/>
      <w:sz w:val="21"/>
      <w:szCs w:val="24"/>
    </w:rPr>
  </w:style>
  <w:style w:type="paragraph" w:customStyle="1" w:styleId="63">
    <w:name w:val="正文2"/>
    <w:basedOn w:val="1"/>
    <w:link w:val="107"/>
    <w:qFormat/>
    <w:uiPriority w:val="0"/>
    <w:pPr>
      <w:spacing w:before="156" w:line="360" w:lineRule="auto"/>
      <w:ind w:firstLine="510" w:firstLineChars="200"/>
    </w:pPr>
    <w:rPr>
      <w:sz w:val="24"/>
      <w:szCs w:val="20"/>
    </w:rPr>
  </w:style>
  <w:style w:type="paragraph" w:customStyle="1" w:styleId="64">
    <w:name w:val="font5"/>
    <w:basedOn w:val="1"/>
    <w:uiPriority w:val="0"/>
    <w:pPr>
      <w:widowControl/>
      <w:spacing w:before="100" w:beforeAutospacing="1" w:after="100" w:afterAutospacing="1"/>
      <w:jc w:val="left"/>
    </w:pPr>
    <w:rPr>
      <w:rFonts w:ascii="Calibri" w:hAnsi="Calibri" w:cs="Calibri"/>
      <w:kern w:val="0"/>
      <w:sz w:val="22"/>
      <w:szCs w:val="22"/>
    </w:rPr>
  </w:style>
  <w:style w:type="paragraph" w:customStyle="1" w:styleId="65">
    <w:name w:val="xl96"/>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alibri" w:hAnsi="Calibri" w:cs="Calibri"/>
      <w:kern w:val="0"/>
      <w:sz w:val="24"/>
    </w:rPr>
  </w:style>
  <w:style w:type="paragraph" w:customStyle="1" w:styleId="66">
    <w:name w:val="修订1"/>
    <w:unhideWhenUsed/>
    <w:uiPriority w:val="99"/>
    <w:rPr>
      <w:rFonts w:ascii="Times New Roman" w:hAnsi="Times New Roman" w:eastAsia="宋体" w:cs="Times New Roman"/>
      <w:kern w:val="2"/>
      <w:sz w:val="21"/>
      <w:szCs w:val="24"/>
      <w:lang w:val="en-US" w:eastAsia="zh-CN" w:bidi="ar-SA"/>
    </w:rPr>
  </w:style>
  <w:style w:type="character" w:customStyle="1" w:styleId="67">
    <w:name w:val="批注主题 字符"/>
    <w:link w:val="23"/>
    <w:uiPriority w:val="99"/>
    <w:rPr>
      <w:rFonts w:ascii="Times New Roman" w:hAnsi="Times New Roman"/>
      <w:b/>
      <w:bCs/>
      <w:kern w:val="2"/>
      <w:sz w:val="21"/>
      <w:szCs w:val="24"/>
    </w:rPr>
  </w:style>
  <w:style w:type="character" w:customStyle="1" w:styleId="68">
    <w:name w:val="日期 字符"/>
    <w:link w:val="16"/>
    <w:semiHidden/>
    <w:uiPriority w:val="99"/>
    <w:rPr>
      <w:rFonts w:ascii="Times New Roman" w:hAnsi="Times New Roman"/>
      <w:kern w:val="2"/>
      <w:sz w:val="21"/>
      <w:szCs w:val="24"/>
    </w:rPr>
  </w:style>
  <w:style w:type="character" w:customStyle="1" w:styleId="69">
    <w:name w:val="批注文字 字符"/>
    <w:uiPriority w:val="0"/>
    <w:rPr>
      <w:rFonts w:ascii="Times New Roman" w:hAnsi="Times New Roman"/>
      <w:kern w:val="2"/>
      <w:sz w:val="21"/>
      <w:szCs w:val="24"/>
    </w:rPr>
  </w:style>
  <w:style w:type="table" w:customStyle="1" w:styleId="70">
    <w:name w:val="网格型1"/>
    <w:basedOn w:val="24"/>
    <w:qFormat/>
    <w:uiPriority w:val="0"/>
    <w:pPr>
      <w:widowControl w:val="0"/>
      <w:jc w:val="both"/>
    </w:pPr>
  </w:style>
  <w:style w:type="character" w:customStyle="1" w:styleId="71">
    <w:name w:val="正文文本 3 字符"/>
    <w:link w:val="11"/>
    <w:semiHidden/>
    <w:uiPriority w:val="99"/>
    <w:rPr>
      <w:kern w:val="2"/>
      <w:sz w:val="16"/>
      <w:szCs w:val="16"/>
    </w:rPr>
  </w:style>
  <w:style w:type="paragraph" w:customStyle="1" w:styleId="72">
    <w:name w:val="xl83"/>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alibri" w:hAnsi="Calibri" w:cs="Calibri"/>
      <w:kern w:val="0"/>
      <w:sz w:val="24"/>
    </w:rPr>
  </w:style>
  <w:style w:type="paragraph" w:customStyle="1" w:styleId="73">
    <w:name w:val="Table Text"/>
    <w:basedOn w:val="1"/>
    <w:semiHidden/>
    <w:qFormat/>
    <w:uiPriority w:val="0"/>
    <w:rPr>
      <w:rFonts w:ascii="新宋体" w:hAnsi="新宋体" w:eastAsia="新宋体" w:cs="新宋体"/>
      <w:sz w:val="20"/>
      <w:szCs w:val="20"/>
      <w:lang w:eastAsia="en-US"/>
    </w:rPr>
  </w:style>
  <w:style w:type="paragraph" w:customStyle="1" w:styleId="74">
    <w:name w:val="Table Paragraph"/>
    <w:basedOn w:val="1"/>
    <w:qFormat/>
    <w:uiPriority w:val="1"/>
    <w:pPr>
      <w:jc w:val="left"/>
    </w:pPr>
    <w:rPr>
      <w:rFonts w:ascii="Calibri" w:hAnsi="Calibri"/>
      <w:kern w:val="0"/>
      <w:sz w:val="22"/>
      <w:szCs w:val="22"/>
      <w:lang w:eastAsia="en-US"/>
    </w:rPr>
  </w:style>
  <w:style w:type="paragraph" w:customStyle="1" w:styleId="75">
    <w:name w:val="font6"/>
    <w:basedOn w:val="1"/>
    <w:uiPriority w:val="0"/>
    <w:pPr>
      <w:widowControl/>
      <w:spacing w:before="100" w:beforeAutospacing="1" w:after="100" w:afterAutospacing="1"/>
      <w:jc w:val="left"/>
    </w:pPr>
    <w:rPr>
      <w:rFonts w:ascii="宋体" w:hAnsi="宋体" w:cs="宋体"/>
      <w:kern w:val="0"/>
      <w:sz w:val="22"/>
      <w:szCs w:val="22"/>
    </w:rPr>
  </w:style>
  <w:style w:type="character" w:customStyle="1" w:styleId="76">
    <w:name w:val="纯文本 Char1"/>
    <w:qFormat/>
    <w:uiPriority w:val="0"/>
    <w:rPr>
      <w:rFonts w:ascii="宋体" w:hAnsi="Courier New"/>
      <w:szCs w:val="21"/>
    </w:rPr>
  </w:style>
  <w:style w:type="character" w:customStyle="1" w:styleId="77">
    <w:name w:val="apple-style-span"/>
    <w:uiPriority w:val="0"/>
  </w:style>
  <w:style w:type="character" w:customStyle="1" w:styleId="78">
    <w:name w:val="正文文本 字符"/>
    <w:uiPriority w:val="99"/>
    <w:rPr>
      <w:rFonts w:ascii="Times New Roman" w:hAnsi="Times New Roman"/>
      <w:kern w:val="2"/>
      <w:sz w:val="21"/>
      <w:szCs w:val="24"/>
    </w:rPr>
  </w:style>
  <w:style w:type="character" w:customStyle="1" w:styleId="79">
    <w:name w:val="font51"/>
    <w:qFormat/>
    <w:uiPriority w:val="0"/>
    <w:rPr>
      <w:rFonts w:hint="eastAsia" w:ascii="宋体" w:hAnsi="宋体" w:eastAsia="宋体" w:cs="宋体"/>
      <w:color w:val="000000"/>
      <w:sz w:val="21"/>
      <w:szCs w:val="21"/>
      <w:u w:val="none"/>
    </w:rPr>
  </w:style>
  <w:style w:type="paragraph" w:customStyle="1" w:styleId="80">
    <w:name w:val="xl76"/>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4"/>
    </w:rPr>
  </w:style>
  <w:style w:type="paragraph" w:customStyle="1" w:styleId="81">
    <w:name w:val="xl85"/>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rPr>
  </w:style>
  <w:style w:type="paragraph" w:customStyle="1" w:styleId="82">
    <w:name w:val="xl93"/>
    <w:basedOn w:val="1"/>
    <w:uiPriority w:val="0"/>
    <w:pPr>
      <w:widowControl/>
      <w:spacing w:before="100" w:beforeAutospacing="1" w:after="100" w:afterAutospacing="1"/>
      <w:jc w:val="center"/>
    </w:pPr>
    <w:rPr>
      <w:rFonts w:ascii="宋体" w:hAnsi="宋体" w:cs="宋体"/>
      <w:kern w:val="0"/>
      <w:sz w:val="32"/>
      <w:szCs w:val="32"/>
    </w:rPr>
  </w:style>
  <w:style w:type="paragraph" w:customStyle="1" w:styleId="83">
    <w:name w:val="xl67"/>
    <w:basedOn w:val="1"/>
    <w:uiPriority w:val="0"/>
    <w:pPr>
      <w:widowControl/>
      <w:spacing w:before="100" w:beforeAutospacing="1" w:after="100" w:afterAutospacing="1"/>
      <w:jc w:val="center"/>
    </w:pPr>
    <w:rPr>
      <w:rFonts w:ascii="宋体" w:hAnsi="宋体" w:cs="宋体"/>
      <w:b/>
      <w:bCs/>
      <w:kern w:val="0"/>
      <w:sz w:val="24"/>
    </w:rPr>
  </w:style>
  <w:style w:type="paragraph" w:customStyle="1" w:styleId="84">
    <w:name w:val="标题 31"/>
    <w:basedOn w:val="1"/>
    <w:next w:val="1"/>
    <w:unhideWhenUsed/>
    <w:qFormat/>
    <w:uiPriority w:val="0"/>
    <w:pPr>
      <w:keepNext/>
      <w:keepLines/>
      <w:spacing w:before="260" w:after="260"/>
      <w:jc w:val="left"/>
      <w:outlineLvl w:val="2"/>
    </w:pPr>
    <w:rPr>
      <w:rFonts w:ascii="Calibri" w:hAnsi="Calibri"/>
      <w:b/>
      <w:sz w:val="24"/>
    </w:rPr>
  </w:style>
  <w:style w:type="paragraph" w:customStyle="1" w:styleId="85">
    <w:name w:val="xl7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alibri" w:hAnsi="Calibri" w:cs="Calibri"/>
      <w:kern w:val="0"/>
      <w:sz w:val="24"/>
    </w:rPr>
  </w:style>
  <w:style w:type="character" w:customStyle="1" w:styleId="86">
    <w:name w:val="正文文本缩进 字符"/>
    <w:link w:val="13"/>
    <w:qFormat/>
    <w:uiPriority w:val="0"/>
    <w:rPr>
      <w:rFonts w:ascii="仿宋_GB2312" w:hAnsi="Times New Roman" w:eastAsia="仿宋_GB2312" w:cs="Times New Roman"/>
      <w:sz w:val="32"/>
      <w:szCs w:val="20"/>
    </w:rPr>
  </w:style>
  <w:style w:type="paragraph" w:customStyle="1" w:styleId="87">
    <w:name w:val="xl8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alibri" w:hAnsi="Calibri" w:cs="Calibri"/>
      <w:kern w:val="0"/>
      <w:sz w:val="24"/>
    </w:rPr>
  </w:style>
  <w:style w:type="character" w:customStyle="1" w:styleId="88">
    <w:name w:val="正文文本 Char"/>
    <w:uiPriority w:val="99"/>
    <w:rPr>
      <w:rFonts w:ascii="Times New Roman" w:hAnsi="Times New Roman"/>
      <w:kern w:val="2"/>
      <w:sz w:val="21"/>
      <w:szCs w:val="24"/>
    </w:rPr>
  </w:style>
  <w:style w:type="paragraph" w:customStyle="1" w:styleId="89">
    <w:name w:val="font7"/>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90">
    <w:name w:val="xl82"/>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alibri" w:hAnsi="Calibri" w:cs="Calibri"/>
      <w:kern w:val="0"/>
      <w:sz w:val="24"/>
    </w:rPr>
  </w:style>
  <w:style w:type="character" w:customStyle="1" w:styleId="91">
    <w:name w:val="font121"/>
    <w:qFormat/>
    <w:uiPriority w:val="0"/>
    <w:rPr>
      <w:rFonts w:ascii="Arial Unicode MS" w:hAnsi="Arial Unicode MS" w:eastAsia="Arial Unicode MS" w:cs="Arial Unicode MS"/>
      <w:color w:val="000000"/>
      <w:sz w:val="24"/>
      <w:szCs w:val="24"/>
      <w:u w:val="none"/>
    </w:rPr>
  </w:style>
  <w:style w:type="paragraph" w:customStyle="1" w:styleId="92">
    <w:name w:val="xl8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rPr>
  </w:style>
  <w:style w:type="character" w:customStyle="1" w:styleId="93">
    <w:name w:val="纯文本 字符"/>
    <w:qFormat/>
    <w:uiPriority w:val="0"/>
    <w:rPr>
      <w:rFonts w:ascii="宋体" w:hAnsi="Courier New" w:eastAsia="宋体" w:cs="Courier New"/>
      <w:szCs w:val="21"/>
    </w:rPr>
  </w:style>
  <w:style w:type="paragraph" w:customStyle="1" w:styleId="94">
    <w:name w:val="列表段落1"/>
    <w:basedOn w:val="1"/>
    <w:qFormat/>
    <w:uiPriority w:val="34"/>
    <w:pPr>
      <w:ind w:firstLine="420" w:firstLineChars="200"/>
    </w:pPr>
  </w:style>
  <w:style w:type="character" w:customStyle="1" w:styleId="95">
    <w:name w:val="正文文本 字符1"/>
    <w:link w:val="12"/>
    <w:uiPriority w:val="0"/>
    <w:rPr>
      <w:rFonts w:ascii="Times New Roman" w:hAnsi="Times New Roman"/>
      <w:kern w:val="2"/>
      <w:sz w:val="21"/>
      <w:szCs w:val="24"/>
    </w:rPr>
  </w:style>
  <w:style w:type="character" w:customStyle="1" w:styleId="96">
    <w:name w:val="页脚 字符"/>
    <w:link w:val="18"/>
    <w:uiPriority w:val="99"/>
    <w:rPr>
      <w:sz w:val="18"/>
      <w:szCs w:val="18"/>
    </w:rPr>
  </w:style>
  <w:style w:type="paragraph" w:customStyle="1" w:styleId="97">
    <w:name w:val="xl8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rPr>
  </w:style>
  <w:style w:type="paragraph" w:customStyle="1" w:styleId="98">
    <w:name w:val="xl9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alibri" w:hAnsi="Calibri" w:cs="Calibri"/>
      <w:kern w:val="0"/>
      <w:sz w:val="24"/>
    </w:rPr>
  </w:style>
  <w:style w:type="paragraph" w:customStyle="1" w:styleId="99">
    <w:name w:val="AONormal"/>
    <w:qFormat/>
    <w:uiPriority w:val="0"/>
    <w:pPr>
      <w:autoSpaceDE w:val="0"/>
      <w:autoSpaceDN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00">
    <w:name w:val="xl70"/>
    <w:basedOn w:val="1"/>
    <w:uiPriority w:val="0"/>
    <w:pPr>
      <w:widowControl/>
      <w:spacing w:before="100" w:beforeAutospacing="1" w:after="100" w:afterAutospacing="1"/>
      <w:jc w:val="center"/>
    </w:pPr>
    <w:rPr>
      <w:rFonts w:ascii="Calibri" w:hAnsi="Calibri" w:cs="Calibri"/>
      <w:kern w:val="0"/>
      <w:sz w:val="24"/>
    </w:rPr>
  </w:style>
  <w:style w:type="character" w:customStyle="1" w:styleId="101">
    <w:name w:val="批注文字 字符2"/>
    <w:link w:val="10"/>
    <w:uiPriority w:val="0"/>
    <w:rPr>
      <w:rFonts w:ascii="Times New Roman" w:hAnsi="Times New Roman"/>
      <w:kern w:val="2"/>
      <w:sz w:val="21"/>
      <w:szCs w:val="24"/>
    </w:rPr>
  </w:style>
  <w:style w:type="character" w:customStyle="1" w:styleId="102">
    <w:name w:val="批注文字 Char2"/>
    <w:uiPriority w:val="0"/>
    <w:rPr>
      <w:rFonts w:ascii="Times New Roman" w:hAnsi="Times New Roman"/>
      <w:kern w:val="2"/>
      <w:sz w:val="21"/>
      <w:szCs w:val="24"/>
    </w:rPr>
  </w:style>
  <w:style w:type="paragraph" w:customStyle="1" w:styleId="103">
    <w:name w:val="xl95"/>
    <w:basedOn w:val="1"/>
    <w:uiPriority w:val="0"/>
    <w:pPr>
      <w:widowControl/>
      <w:spacing w:before="100" w:beforeAutospacing="1" w:after="100" w:afterAutospacing="1"/>
      <w:jc w:val="center"/>
    </w:pPr>
    <w:rPr>
      <w:rFonts w:ascii="Calibri" w:hAnsi="Calibri" w:cs="Calibri"/>
      <w:kern w:val="0"/>
      <w:sz w:val="24"/>
    </w:rPr>
  </w:style>
  <w:style w:type="character" w:customStyle="1" w:styleId="104">
    <w:name w:val="标题 4 字符"/>
    <w:link w:val="5"/>
    <w:semiHidden/>
    <w:uiPriority w:val="0"/>
    <w:rPr>
      <w:rFonts w:ascii="宋体" w:hAnsi="宋体"/>
      <w:b/>
      <w:bCs/>
      <w:sz w:val="24"/>
      <w:szCs w:val="24"/>
    </w:rPr>
  </w:style>
  <w:style w:type="paragraph" w:customStyle="1" w:styleId="105">
    <w:name w:val="Default"/>
    <w:qFormat/>
    <w:uiPriority w:val="0"/>
    <w:pPr>
      <w:widowControl w:val="0"/>
      <w:autoSpaceDE w:val="0"/>
      <w:autoSpaceDN w:val="0"/>
      <w:spacing w:line="360" w:lineRule="auto"/>
      <w:ind w:firstLine="480" w:firstLineChars="200"/>
    </w:pPr>
    <w:rPr>
      <w:rFonts w:ascii="宋体" w:hAnsi="宋体" w:eastAsia="宋体" w:cs="等线"/>
      <w:kern w:val="2"/>
      <w:sz w:val="24"/>
      <w:szCs w:val="24"/>
      <w:lang w:val="en-US" w:eastAsia="zh-CN" w:bidi="ar-SA"/>
    </w:rPr>
  </w:style>
  <w:style w:type="character" w:customStyle="1" w:styleId="106">
    <w:name w:val="纯文本 字符3"/>
    <w:qFormat/>
    <w:uiPriority w:val="0"/>
    <w:rPr>
      <w:rFonts w:ascii="Calibri" w:hAnsi="Cambria" w:eastAsia="Calibri" w:cs="Times New Roman"/>
      <w:szCs w:val="21"/>
      <w:lang w:val="zh-CN"/>
    </w:rPr>
  </w:style>
  <w:style w:type="character" w:customStyle="1" w:styleId="107">
    <w:name w:val="正文2 Char Char"/>
    <w:link w:val="63"/>
    <w:qFormat/>
    <w:uiPriority w:val="0"/>
    <w:rPr>
      <w:kern w:val="2"/>
      <w:sz w:val="24"/>
    </w:rPr>
  </w:style>
  <w:style w:type="character" w:customStyle="1" w:styleId="108">
    <w:name w:val="标题 3 字符1"/>
    <w:link w:val="4"/>
    <w:semiHidden/>
    <w:uiPriority w:val="9"/>
    <w:rPr>
      <w:b/>
      <w:bCs/>
      <w:kern w:val="2"/>
      <w:sz w:val="32"/>
      <w:szCs w:val="32"/>
    </w:rPr>
  </w:style>
  <w:style w:type="character" w:customStyle="1" w:styleId="109">
    <w:name w:val="font41"/>
    <w:qFormat/>
    <w:uiPriority w:val="0"/>
    <w:rPr>
      <w:rFonts w:hint="eastAsia" w:ascii="宋体" w:hAnsi="宋体" w:eastAsia="宋体" w:cs="宋体"/>
      <w:color w:val="000000"/>
      <w:sz w:val="21"/>
      <w:szCs w:val="21"/>
      <w:u w:val="none"/>
    </w:rPr>
  </w:style>
  <w:style w:type="character" w:customStyle="1" w:styleId="110">
    <w:name w:val="批注文字 Char"/>
    <w:uiPriority w:val="0"/>
    <w:rPr>
      <w:rFonts w:ascii="Times New Roman" w:hAnsi="Times New Roman"/>
      <w:kern w:val="2"/>
      <w:sz w:val="21"/>
      <w:szCs w:val="24"/>
    </w:rPr>
  </w:style>
  <w:style w:type="paragraph" w:customStyle="1" w:styleId="111">
    <w:name w:val="xl8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rPr>
  </w:style>
  <w:style w:type="paragraph" w:customStyle="1" w:styleId="112">
    <w:name w:val="xl71"/>
    <w:basedOn w:val="1"/>
    <w:uiPriority w:val="0"/>
    <w:pPr>
      <w:widowControl/>
      <w:spacing w:before="100" w:beforeAutospacing="1" w:after="100" w:afterAutospacing="1"/>
      <w:jc w:val="left"/>
    </w:pPr>
    <w:rPr>
      <w:rFonts w:ascii="Calibri" w:hAnsi="Calibri" w:cs="Calibri"/>
      <w:kern w:val="0"/>
      <w:sz w:val="24"/>
    </w:rPr>
  </w:style>
  <w:style w:type="paragraph" w:customStyle="1" w:styleId="113">
    <w:name w:val="List Paragraph1"/>
    <w:basedOn w:val="1"/>
    <w:qFormat/>
    <w:uiPriority w:val="99"/>
    <w:pPr>
      <w:ind w:firstLine="420" w:firstLineChars="200"/>
    </w:pPr>
  </w:style>
  <w:style w:type="character" w:customStyle="1" w:styleId="114">
    <w:name w:val="标题 8 Char"/>
    <w:uiPriority w:val="0"/>
    <w:rPr>
      <w:rFonts w:ascii="Arial" w:hAnsi="Arial" w:eastAsia="黑体"/>
      <w:kern w:val="2"/>
      <w:sz w:val="24"/>
      <w:szCs w:val="24"/>
    </w:rPr>
  </w:style>
  <w:style w:type="character" w:customStyle="1" w:styleId="115">
    <w:name w:val="标题 3 字符"/>
    <w:semiHidden/>
    <w:uiPriority w:val="0"/>
    <w:rPr>
      <w:rFonts w:ascii="Calibri" w:hAnsi="Calibri"/>
      <w:b/>
      <w:kern w:val="2"/>
      <w:sz w:val="24"/>
      <w:szCs w:val="24"/>
    </w:rPr>
  </w:style>
  <w:style w:type="paragraph" w:customStyle="1" w:styleId="116">
    <w:name w:val="正文-公1"/>
    <w:qFormat/>
    <w:uiPriority w:val="0"/>
    <w:pPr>
      <w:widowControl w:val="0"/>
      <w:ind w:firstLine="200" w:firstLineChars="200"/>
      <w:jc w:val="both"/>
    </w:pPr>
    <w:rPr>
      <w:rFonts w:ascii="Times New Roman" w:hAnsi="Times New Roman" w:eastAsia="宋体" w:cs="Times New Roman"/>
      <w:color w:val="000000"/>
      <w:kern w:val="2"/>
      <w:sz w:val="21"/>
      <w:lang w:val="en-US" w:eastAsia="zh-CN" w:bidi="ar-SA"/>
    </w:rPr>
  </w:style>
  <w:style w:type="character" w:customStyle="1" w:styleId="117">
    <w:name w:val="正文文本 (26) + 间距 0 pt"/>
    <w:uiPriority w:val="0"/>
    <w:rPr>
      <w:rFonts w:ascii="宋体" w:hAnsi="宋体" w:eastAsia="宋体" w:cs="宋体"/>
      <w:color w:val="000000"/>
      <w:spacing w:val="0"/>
      <w:w w:val="100"/>
      <w:position w:val="0"/>
      <w:sz w:val="22"/>
      <w:szCs w:val="22"/>
      <w:u w:val="none"/>
      <w:lang w:val="zh-CN" w:eastAsia="zh-CN" w:bidi="zh-CN"/>
    </w:rPr>
  </w:style>
  <w:style w:type="character" w:customStyle="1" w:styleId="118">
    <w:name w:val="纯文本 Char"/>
    <w:qFormat/>
    <w:uiPriority w:val="0"/>
    <w:rPr>
      <w:rFonts w:ascii="宋体" w:hAnsi="Courier New" w:eastAsia="宋体" w:cs="Courier New"/>
      <w:szCs w:val="21"/>
    </w:rPr>
  </w:style>
  <w:style w:type="character" w:customStyle="1" w:styleId="119">
    <w:name w:val="纯文本 字符2"/>
    <w:qFormat/>
    <w:uiPriority w:val="0"/>
    <w:rPr>
      <w:rFonts w:ascii="宋体" w:hAnsi="Courier New" w:eastAsia="宋体" w:cs="Courier New"/>
      <w:szCs w:val="21"/>
    </w:rPr>
  </w:style>
  <w:style w:type="character" w:customStyle="1" w:styleId="120">
    <w:name w:val="标题 5 字符"/>
    <w:link w:val="6"/>
    <w:semiHidden/>
    <w:uiPriority w:val="9"/>
    <w:rPr>
      <w:rFonts w:ascii="Times New Roman" w:hAnsi="Times New Roman"/>
      <w:b/>
      <w:bCs/>
      <w:kern w:val="2"/>
      <w:sz w:val="28"/>
      <w:szCs w:val="28"/>
    </w:rPr>
  </w:style>
  <w:style w:type="paragraph" w:customStyle="1" w:styleId="121">
    <w:name w:val="xl8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rPr>
  </w:style>
  <w:style w:type="character" w:customStyle="1" w:styleId="122">
    <w:name w:val="标题 2 字符"/>
    <w:link w:val="3"/>
    <w:qFormat/>
    <w:uiPriority w:val="0"/>
    <w:rPr>
      <w:rFonts w:ascii="Cambria" w:hAnsi="Cambria" w:eastAsia="宋体" w:cs="Times New Roman"/>
      <w:b/>
      <w:bCs/>
      <w:kern w:val="2"/>
      <w:sz w:val="32"/>
      <w:szCs w:val="32"/>
    </w:rPr>
  </w:style>
  <w:style w:type="character" w:customStyle="1" w:styleId="123">
    <w:name w:val="标题 8 字符"/>
    <w:link w:val="8"/>
    <w:semiHidden/>
    <w:uiPriority w:val="9"/>
    <w:rPr>
      <w:rFonts w:ascii="等线 Light" w:hAnsi="等线 Light" w:eastAsia="等线 Light" w:cs="Times New Roman"/>
      <w:kern w:val="2"/>
      <w:sz w:val="24"/>
      <w:szCs w:val="24"/>
    </w:rPr>
  </w:style>
  <w:style w:type="paragraph" w:customStyle="1" w:styleId="124">
    <w:name w:val="Revision"/>
    <w:hidden/>
    <w:semiHidden/>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Dianaless</Company>
  <Pages>81</Pages>
  <Words>22417</Words>
  <Characters>24652</Characters>
  <Lines>404</Lines>
  <Paragraphs>113</Paragraphs>
  <TotalTime>13</TotalTime>
  <ScaleCrop>false</ScaleCrop>
  <LinksUpToDate>false</LinksUpToDate>
  <CharactersWithSpaces>25077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2026-10-20T01:11:00Z</dcterms:created>
  <dc:creator>hxf</dc:creator>
  <cp:lastModifiedBy>WPS_1602214612</cp:lastModifiedBy>
  <dcterms:modified xsi:type="dcterms:W3CDTF">2026-10-22T08:40:46Z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eyJoZGlkIjoiYzYyZDllODYwZmNjMmI1MzcyZGY0ODk5ZTE1MjMzZTIiLCJ1c2VySWQiOiIxMTI4ODcwMzU0In0=</vt:lpwstr>
  </property>
  <property fmtid="{D5CDD505-2E9C-101B-9397-08002B2CF9AE}" pid="3" name="KSOProductBuildVer">
    <vt:lpwstr>2052-12.1.0.29161</vt:lpwstr>
  </property>
  <property fmtid="{D5CDD505-2E9C-101B-9397-08002B2CF9AE}" pid="4" name="ICV">
    <vt:lpwstr>5FC262037CE345AB91029F2DCC34F7B4_12</vt:lpwstr>
  </property>
</Properties>
</file>