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3C1B43C">
      <w:pPr>
        <w:pStyle w:val="2"/>
        <w:keepNext w:val="0"/>
        <w:keepLines w:val="0"/>
        <w:tabs>
          <w:tab w:val="left" w:pos="0"/>
          <w:tab w:val="left" w:pos="3165"/>
          <w:tab w:val="center" w:pos="4153"/>
        </w:tabs>
        <w:autoSpaceDE w:val="0"/>
        <w:autoSpaceDN w:val="0"/>
        <w:adjustRightInd w:val="0"/>
        <w:spacing w:before="0" w:after="0" w:line="360" w:lineRule="auto"/>
        <w:jc w:val="center"/>
        <w:rPr>
          <w:rFonts w:hint="eastAsia"/>
          <w:sz w:val="36"/>
          <w:szCs w:val="36"/>
        </w:rPr>
      </w:pPr>
      <w:bookmarkStart w:id="34" w:name="_GoBack"/>
      <w:r>
        <w:rPr>
          <w:rFonts w:hint="eastAsia"/>
          <w:sz w:val="36"/>
          <w:szCs w:val="36"/>
        </w:rPr>
        <w:t>云之龙咨询集团有限公司国家核和辐射突发事件卫生应急队伍建设项目</w:t>
      </w:r>
      <w:r>
        <w:rPr>
          <w:rFonts w:hint="eastAsia"/>
          <w:sz w:val="36"/>
          <w:szCs w:val="36"/>
          <w:lang w:eastAsia="zh-CN"/>
        </w:rPr>
        <w:t>（GXZC2026-G1-000536-YZLZ）</w:t>
      </w:r>
      <w:r>
        <w:rPr>
          <w:rFonts w:hint="eastAsia"/>
          <w:sz w:val="36"/>
          <w:szCs w:val="36"/>
        </w:rPr>
        <w:t>招标公告</w:t>
      </w:r>
    </w:p>
    <w:p w14:paraId="5655748C">
      <w:pPr>
        <w:spacing w:line="360" w:lineRule="auto"/>
        <w:rPr>
          <w:rFonts w:ascii="宋体" w:hAnsi="宋体"/>
          <w:szCs w:val="21"/>
        </w:rPr>
      </w:pPr>
    </w:p>
    <w:p w14:paraId="454537E5">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r>
        <w:rPr>
          <w:rFonts w:hint="eastAsia" w:ascii="宋体" w:hAnsi="宋体"/>
          <w:szCs w:val="21"/>
        </w:rPr>
        <w:t>项目概况</w:t>
      </w:r>
    </w:p>
    <w:p w14:paraId="14251EAB">
      <w:pPr>
        <w:pBdr>
          <w:top w:val="single" w:color="auto" w:sz="4" w:space="1"/>
          <w:left w:val="single" w:color="auto" w:sz="4" w:space="4"/>
          <w:bottom w:val="single" w:color="auto" w:sz="4" w:space="1"/>
          <w:right w:val="single" w:color="auto" w:sz="4" w:space="4"/>
        </w:pBdr>
        <w:spacing w:line="360" w:lineRule="auto"/>
        <w:ind w:firstLine="420" w:firstLineChars="200"/>
        <w:rPr>
          <w:rFonts w:ascii="宋体" w:hAnsi="宋体"/>
          <w:szCs w:val="21"/>
        </w:rPr>
      </w:pPr>
      <w:r>
        <w:rPr>
          <w:rFonts w:hint="eastAsia" w:ascii="宋体" w:hAnsi="宋体"/>
          <w:szCs w:val="21"/>
          <w:u w:val="single"/>
        </w:rPr>
        <w:t>国家核和辐射突发事件卫生应急队伍建设项目</w:t>
      </w:r>
      <w:r>
        <w:rPr>
          <w:rFonts w:hint="eastAsia" w:ascii="宋体" w:hAnsi="宋体"/>
          <w:szCs w:val="21"/>
        </w:rPr>
        <w:t>的潜在投标人应在广西政府采购云平台（</w:t>
      </w:r>
      <w:r>
        <w:rPr>
          <w:rFonts w:hint="eastAsia" w:ascii="宋体" w:hAnsi="宋体"/>
          <w:bCs/>
          <w:szCs w:val="21"/>
        </w:rPr>
        <w:t>https://www.gcy.zfcg.gxzf.gov.cn/</w:t>
      </w:r>
      <w:r>
        <w:rPr>
          <w:rFonts w:hint="eastAsia" w:ascii="宋体" w:hAnsi="宋体"/>
          <w:szCs w:val="21"/>
        </w:rPr>
        <w:t>）获取（下载）招标文件，并于</w:t>
      </w:r>
      <w:r>
        <w:rPr>
          <w:rFonts w:ascii="宋体" w:hAnsi="宋体"/>
          <w:szCs w:val="21"/>
        </w:rPr>
        <w:t>2026</w:t>
      </w:r>
      <w:r>
        <w:rPr>
          <w:rFonts w:hint="eastAsia" w:ascii="宋体" w:hAnsi="宋体"/>
          <w:bCs/>
          <w:szCs w:val="21"/>
        </w:rPr>
        <w:t>年5月</w:t>
      </w:r>
      <w:r>
        <w:rPr>
          <w:rFonts w:hint="eastAsia" w:ascii="宋体" w:hAnsi="宋体"/>
          <w:bCs/>
          <w:szCs w:val="21"/>
          <w:u w:val="single"/>
        </w:rPr>
        <w:t>19日</w:t>
      </w:r>
      <w:r>
        <w:rPr>
          <w:rFonts w:ascii="宋体" w:hAnsi="宋体"/>
          <w:bCs/>
          <w:szCs w:val="21"/>
          <w:u w:val="single"/>
        </w:rPr>
        <w:t>9</w:t>
      </w:r>
      <w:r>
        <w:rPr>
          <w:rFonts w:hint="eastAsia" w:ascii="宋体" w:hAnsi="宋体"/>
          <w:bCs/>
          <w:szCs w:val="21"/>
          <w:u w:val="single"/>
        </w:rPr>
        <w:t>时</w:t>
      </w:r>
      <w:r>
        <w:rPr>
          <w:rFonts w:ascii="宋体" w:hAnsi="宋体"/>
          <w:bCs/>
          <w:szCs w:val="21"/>
          <w:u w:val="single"/>
        </w:rPr>
        <w:t>30</w:t>
      </w:r>
      <w:r>
        <w:rPr>
          <w:rFonts w:hint="eastAsia" w:ascii="宋体" w:hAnsi="宋体"/>
          <w:bCs/>
          <w:szCs w:val="21"/>
          <w:u w:val="single"/>
        </w:rPr>
        <w:t>分（</w:t>
      </w:r>
      <w:r>
        <w:rPr>
          <w:rFonts w:hint="eastAsia" w:ascii="宋体" w:hAnsi="宋体"/>
          <w:bCs/>
          <w:szCs w:val="21"/>
        </w:rPr>
        <w:t>北京时间）前按要求递交（上传）投标</w:t>
      </w:r>
      <w:r>
        <w:rPr>
          <w:rFonts w:ascii="宋体" w:hAnsi="宋体"/>
          <w:bCs/>
          <w:szCs w:val="21"/>
        </w:rPr>
        <w:t>文件</w:t>
      </w:r>
      <w:r>
        <w:rPr>
          <w:rFonts w:hint="eastAsia" w:ascii="宋体" w:hAnsi="宋体"/>
          <w:szCs w:val="21"/>
        </w:rPr>
        <w:t>。</w:t>
      </w:r>
    </w:p>
    <w:p w14:paraId="222A39EA">
      <w:pPr>
        <w:spacing w:line="360" w:lineRule="auto"/>
        <w:rPr>
          <w:rFonts w:ascii="宋体" w:hAnsi="宋体"/>
          <w:szCs w:val="21"/>
        </w:rPr>
      </w:pPr>
    </w:p>
    <w:p w14:paraId="3DDC94A2">
      <w:pPr>
        <w:spacing w:line="360" w:lineRule="auto"/>
        <w:rPr>
          <w:rFonts w:ascii="黑体" w:hAnsi="黑体" w:eastAsia="黑体"/>
          <w:b/>
          <w:bCs/>
          <w:sz w:val="24"/>
        </w:rPr>
      </w:pPr>
      <w:bookmarkStart w:id="0" w:name="_Toc35393621"/>
      <w:bookmarkStart w:id="1" w:name="_Toc28359079"/>
      <w:bookmarkStart w:id="2" w:name="_Toc28359002"/>
      <w:bookmarkStart w:id="3" w:name="_Toc35393790"/>
      <w:bookmarkStart w:id="4" w:name="_Hlk24379207"/>
      <w:r>
        <w:rPr>
          <w:rFonts w:hint="eastAsia" w:ascii="黑体" w:hAnsi="黑体" w:eastAsia="黑体"/>
          <w:b/>
          <w:bCs/>
          <w:sz w:val="24"/>
        </w:rPr>
        <w:t>一、项目基本情况</w:t>
      </w:r>
      <w:bookmarkEnd w:id="0"/>
      <w:bookmarkEnd w:id="1"/>
      <w:bookmarkEnd w:id="2"/>
      <w:bookmarkEnd w:id="3"/>
    </w:p>
    <w:bookmarkEnd w:id="4"/>
    <w:p w14:paraId="5D98BC94">
      <w:pPr>
        <w:spacing w:line="360" w:lineRule="auto"/>
        <w:ind w:firstLine="420" w:firstLineChars="200"/>
        <w:rPr>
          <w:rFonts w:hint="eastAsia" w:ascii="宋体" w:hAnsi="宋体"/>
          <w:szCs w:val="21"/>
        </w:rPr>
      </w:pPr>
      <w:r>
        <w:rPr>
          <w:rFonts w:hint="eastAsia" w:ascii="宋体" w:hAnsi="宋体"/>
          <w:szCs w:val="21"/>
        </w:rPr>
        <w:t>项目编号：</w:t>
      </w:r>
      <w:r>
        <w:rPr>
          <w:rFonts w:ascii="宋体" w:hAnsi="宋体"/>
          <w:szCs w:val="21"/>
        </w:rPr>
        <w:t>GXZC2026-G1-000536-YZLZ；采购计划编号：</w:t>
      </w:r>
      <w:r>
        <w:rPr>
          <w:rFonts w:hint="eastAsia" w:ascii="宋体" w:hAnsi="宋体"/>
          <w:szCs w:val="21"/>
        </w:rPr>
        <w:t>广西政采[2026]3843号</w:t>
      </w:r>
    </w:p>
    <w:p w14:paraId="3856D47E">
      <w:pPr>
        <w:spacing w:line="360" w:lineRule="auto"/>
        <w:ind w:firstLine="420" w:firstLineChars="200"/>
        <w:rPr>
          <w:rFonts w:ascii="宋体" w:hAnsi="宋体"/>
          <w:szCs w:val="21"/>
        </w:rPr>
      </w:pPr>
      <w:r>
        <w:rPr>
          <w:rFonts w:hint="eastAsia" w:ascii="宋体" w:hAnsi="宋体"/>
          <w:szCs w:val="21"/>
        </w:rPr>
        <w:t>项目名称：国家核和辐射突发事件卫生应急队伍建设项目</w:t>
      </w:r>
    </w:p>
    <w:p w14:paraId="477E77BD">
      <w:pPr>
        <w:spacing w:line="360" w:lineRule="auto"/>
        <w:ind w:firstLine="420" w:firstLineChars="200"/>
        <w:rPr>
          <w:rFonts w:hint="eastAsia"/>
        </w:rPr>
      </w:pPr>
      <w:r>
        <w:rPr>
          <w:rFonts w:hint="eastAsia"/>
        </w:rPr>
        <w:t>预算总金额：1497.35万元。其中，分标1：</w:t>
      </w:r>
      <w:r>
        <w:t>265.4</w:t>
      </w:r>
      <w:r>
        <w:rPr>
          <w:rFonts w:hint="eastAsia"/>
        </w:rPr>
        <w:t>万元；分标2：</w:t>
      </w:r>
      <w:r>
        <w:t>230</w:t>
      </w:r>
      <w:r>
        <w:rPr>
          <w:rFonts w:hint="eastAsia"/>
        </w:rPr>
        <w:t>万元；分标3：</w:t>
      </w:r>
      <w:r>
        <w:t>133.8</w:t>
      </w:r>
      <w:r>
        <w:rPr>
          <w:rFonts w:hint="eastAsia"/>
        </w:rPr>
        <w:t>万元；分标4：</w:t>
      </w:r>
      <w:r>
        <w:t>204.8</w:t>
      </w:r>
      <w:r>
        <w:rPr>
          <w:rFonts w:hint="eastAsia"/>
        </w:rPr>
        <w:t>万元；分标5：</w:t>
      </w:r>
      <w:r>
        <w:t>299</w:t>
      </w:r>
      <w:r>
        <w:rPr>
          <w:rFonts w:hint="eastAsia"/>
        </w:rPr>
        <w:t>万元；分标6：</w:t>
      </w:r>
      <w:r>
        <w:t>190</w:t>
      </w:r>
      <w:r>
        <w:rPr>
          <w:rFonts w:hint="eastAsia"/>
        </w:rPr>
        <w:t>万元；分标7：</w:t>
      </w:r>
      <w:r>
        <w:t>174.35</w:t>
      </w:r>
      <w:r>
        <w:rPr>
          <w:rFonts w:hint="eastAsia"/>
        </w:rPr>
        <w:t>万元。</w:t>
      </w:r>
    </w:p>
    <w:p w14:paraId="0879D5E0">
      <w:pPr>
        <w:spacing w:line="360" w:lineRule="auto"/>
        <w:ind w:firstLine="420" w:firstLineChars="200"/>
      </w:pPr>
      <w:r>
        <w:rPr>
          <w:rFonts w:hint="eastAsia"/>
        </w:rPr>
        <w:t>最高限价：1497.35万元。其中，分标1：265.4万元；分标2：230万元；分标3：133.8万元；分标4：204.8万元；分标5：299万元；分标6：190万元；分标7：174.35万元。</w:t>
      </w:r>
    </w:p>
    <w:p w14:paraId="570ED58D">
      <w:pPr>
        <w:spacing w:line="360" w:lineRule="auto"/>
        <w:ind w:firstLine="420" w:firstLineChars="200"/>
        <w:rPr>
          <w:rFonts w:ascii="宋体" w:hAnsi="宋体"/>
          <w:szCs w:val="21"/>
        </w:rPr>
      </w:pPr>
      <w:r>
        <w:rPr>
          <w:rFonts w:hint="eastAsia" w:ascii="宋体" w:hAnsi="宋体"/>
          <w:szCs w:val="21"/>
        </w:rPr>
        <w:t>采购需求：</w:t>
      </w:r>
    </w:p>
    <w:p w14:paraId="0946CEAA">
      <w:pPr>
        <w:spacing w:line="360" w:lineRule="auto"/>
        <w:ind w:firstLine="420" w:firstLineChars="200"/>
        <w:rPr>
          <w:rFonts w:ascii="宋体" w:hAnsi="宋体"/>
          <w:szCs w:val="21"/>
        </w:rPr>
      </w:pPr>
      <w:r>
        <w:rPr>
          <w:rFonts w:hint="eastAsia" w:ascii="宋体" w:hAnsi="宋体"/>
          <w:szCs w:val="21"/>
        </w:rPr>
        <w:t>分标1</w:t>
      </w:r>
      <w:r>
        <w:rPr>
          <w:rFonts w:ascii="宋体" w:hAnsi="宋体"/>
          <w:szCs w:val="21"/>
        </w:rPr>
        <w:t xml:space="preserve"> </w:t>
      </w:r>
    </w:p>
    <w:tbl>
      <w:tblPr>
        <w:tblStyle w:val="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0"/>
        <w:gridCol w:w="1595"/>
        <w:gridCol w:w="1116"/>
        <w:gridCol w:w="5051"/>
      </w:tblGrid>
      <w:tr w14:paraId="2F9A97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46" w:type="pct"/>
            <w:tcBorders>
              <w:top w:val="single" w:color="auto" w:sz="4" w:space="0"/>
              <w:left w:val="single" w:color="auto" w:sz="4" w:space="0"/>
              <w:bottom w:val="single" w:color="auto" w:sz="4" w:space="0"/>
              <w:right w:val="single" w:color="auto" w:sz="4" w:space="0"/>
            </w:tcBorders>
            <w:noWrap w:val="0"/>
            <w:vAlign w:val="center"/>
          </w:tcPr>
          <w:p w14:paraId="2AE5D578">
            <w:pPr>
              <w:snapToGrid w:val="0"/>
              <w:spacing w:line="360" w:lineRule="auto"/>
              <w:jc w:val="center"/>
              <w:rPr>
                <w:rFonts w:ascii="宋体" w:hAnsi="宋体"/>
                <w:szCs w:val="21"/>
              </w:rPr>
            </w:pPr>
            <w:r>
              <w:rPr>
                <w:rFonts w:hint="eastAsia" w:ascii="宋体" w:hAnsi="宋体"/>
                <w:szCs w:val="21"/>
              </w:rPr>
              <w:t>序号</w:t>
            </w:r>
          </w:p>
        </w:tc>
        <w:tc>
          <w:tcPr>
            <w:tcW w:w="936" w:type="pct"/>
            <w:tcBorders>
              <w:top w:val="single" w:color="auto" w:sz="4" w:space="0"/>
              <w:left w:val="single" w:color="auto" w:sz="4" w:space="0"/>
              <w:bottom w:val="single" w:color="auto" w:sz="4" w:space="0"/>
              <w:right w:val="single" w:color="auto" w:sz="4" w:space="0"/>
            </w:tcBorders>
            <w:noWrap w:val="0"/>
            <w:vAlign w:val="center"/>
          </w:tcPr>
          <w:p w14:paraId="3D991BFA">
            <w:pPr>
              <w:snapToGrid w:val="0"/>
              <w:spacing w:line="360" w:lineRule="auto"/>
              <w:jc w:val="center"/>
              <w:rPr>
                <w:rFonts w:ascii="宋体" w:hAnsi="宋体"/>
                <w:szCs w:val="21"/>
              </w:rPr>
            </w:pPr>
            <w:r>
              <w:rPr>
                <w:rFonts w:hint="eastAsia" w:ascii="宋体" w:hAnsi="宋体"/>
                <w:szCs w:val="21"/>
              </w:rPr>
              <w:t>标的的名称</w:t>
            </w:r>
          </w:p>
        </w:tc>
        <w:tc>
          <w:tcPr>
            <w:tcW w:w="655" w:type="pct"/>
            <w:tcBorders>
              <w:top w:val="single" w:color="auto" w:sz="4" w:space="0"/>
              <w:left w:val="single" w:color="auto" w:sz="4" w:space="0"/>
              <w:bottom w:val="single" w:color="auto" w:sz="4" w:space="0"/>
              <w:right w:val="single" w:color="auto" w:sz="4" w:space="0"/>
            </w:tcBorders>
            <w:noWrap w:val="0"/>
            <w:vAlign w:val="center"/>
          </w:tcPr>
          <w:p w14:paraId="775356C9">
            <w:pPr>
              <w:snapToGrid w:val="0"/>
              <w:spacing w:line="360" w:lineRule="auto"/>
              <w:jc w:val="center"/>
              <w:rPr>
                <w:rFonts w:ascii="宋体" w:hAnsi="宋体"/>
                <w:szCs w:val="21"/>
              </w:rPr>
            </w:pPr>
            <w:r>
              <w:rPr>
                <w:rFonts w:hint="eastAsia" w:ascii="宋体" w:hAnsi="宋体"/>
                <w:szCs w:val="21"/>
              </w:rPr>
              <w:t>数量及</w:t>
            </w:r>
          </w:p>
          <w:p w14:paraId="7FFBEE5F">
            <w:pPr>
              <w:snapToGrid w:val="0"/>
              <w:spacing w:line="360" w:lineRule="auto"/>
              <w:jc w:val="center"/>
              <w:rPr>
                <w:rFonts w:ascii="宋体" w:hAnsi="宋体"/>
                <w:szCs w:val="21"/>
              </w:rPr>
            </w:pPr>
            <w:r>
              <w:rPr>
                <w:rFonts w:hint="eastAsia" w:ascii="宋体" w:hAnsi="宋体"/>
                <w:szCs w:val="21"/>
              </w:rPr>
              <w:t>单位</w:t>
            </w:r>
          </w:p>
        </w:tc>
        <w:tc>
          <w:tcPr>
            <w:tcW w:w="2964" w:type="pct"/>
            <w:tcBorders>
              <w:top w:val="single" w:color="auto" w:sz="4" w:space="0"/>
              <w:left w:val="single" w:color="auto" w:sz="4" w:space="0"/>
              <w:bottom w:val="single" w:color="auto" w:sz="4" w:space="0"/>
              <w:right w:val="single" w:color="auto" w:sz="4" w:space="0"/>
            </w:tcBorders>
            <w:noWrap w:val="0"/>
            <w:vAlign w:val="center"/>
          </w:tcPr>
          <w:p w14:paraId="40A8F348">
            <w:pPr>
              <w:snapToGrid w:val="0"/>
              <w:spacing w:line="360" w:lineRule="auto"/>
              <w:jc w:val="center"/>
              <w:rPr>
                <w:rFonts w:ascii="宋体" w:hAnsi="宋体"/>
                <w:szCs w:val="21"/>
              </w:rPr>
            </w:pPr>
            <w:r>
              <w:rPr>
                <w:rFonts w:hint="eastAsia" w:ascii="宋体" w:hAnsi="宋体"/>
                <w:szCs w:val="21"/>
              </w:rPr>
              <w:t>简要技术需求或者服务要求</w:t>
            </w:r>
          </w:p>
        </w:tc>
      </w:tr>
      <w:tr w14:paraId="10437A5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46" w:type="pct"/>
            <w:tcBorders>
              <w:top w:val="single" w:color="auto" w:sz="4" w:space="0"/>
              <w:left w:val="single" w:color="auto" w:sz="4" w:space="0"/>
              <w:bottom w:val="single" w:color="auto" w:sz="4" w:space="0"/>
              <w:right w:val="single" w:color="auto" w:sz="4" w:space="0"/>
            </w:tcBorders>
            <w:noWrap w:val="0"/>
            <w:vAlign w:val="center"/>
          </w:tcPr>
          <w:p w14:paraId="23850BE7">
            <w:pPr>
              <w:snapToGrid w:val="0"/>
              <w:spacing w:line="360" w:lineRule="auto"/>
              <w:jc w:val="center"/>
              <w:rPr>
                <w:rFonts w:ascii="宋体" w:hAnsi="宋体"/>
                <w:szCs w:val="21"/>
              </w:rPr>
            </w:pPr>
            <w:bookmarkStart w:id="5" w:name="_Hlk192499057"/>
            <w:r>
              <w:rPr>
                <w:rFonts w:hint="eastAsia" w:ascii="宋体" w:hAnsi="宋体"/>
                <w:szCs w:val="21"/>
              </w:rPr>
              <w:t>1</w:t>
            </w:r>
          </w:p>
        </w:tc>
        <w:tc>
          <w:tcPr>
            <w:tcW w:w="936" w:type="pct"/>
            <w:tcBorders>
              <w:top w:val="single" w:color="auto" w:sz="4" w:space="0"/>
              <w:left w:val="single" w:color="auto" w:sz="4" w:space="0"/>
              <w:bottom w:val="single" w:color="auto" w:sz="4" w:space="0"/>
              <w:right w:val="single" w:color="auto" w:sz="4" w:space="0"/>
            </w:tcBorders>
            <w:noWrap w:val="0"/>
            <w:vAlign w:val="center"/>
          </w:tcPr>
          <w:p w14:paraId="0CAFE212">
            <w:pPr>
              <w:tabs>
                <w:tab w:val="left" w:pos="180"/>
                <w:tab w:val="left" w:pos="1620"/>
              </w:tabs>
              <w:spacing w:line="360" w:lineRule="exact"/>
              <w:jc w:val="center"/>
              <w:rPr>
                <w:rFonts w:ascii="宋体" w:hAnsi="宋体" w:cs="微软雅黑"/>
                <w:szCs w:val="21"/>
              </w:rPr>
            </w:pPr>
            <w:r>
              <w:rPr>
                <w:rFonts w:hint="eastAsia" w:ascii="宋体" w:hAnsi="宋体"/>
                <w:szCs w:val="21"/>
              </w:rPr>
              <w:t>全自动血细胞分析流水线</w:t>
            </w:r>
          </w:p>
        </w:tc>
        <w:tc>
          <w:tcPr>
            <w:tcW w:w="655" w:type="pct"/>
            <w:tcBorders>
              <w:top w:val="single" w:color="auto" w:sz="4" w:space="0"/>
              <w:left w:val="single" w:color="auto" w:sz="4" w:space="0"/>
              <w:bottom w:val="single" w:color="auto" w:sz="4" w:space="0"/>
              <w:right w:val="single" w:color="auto" w:sz="4" w:space="0"/>
            </w:tcBorders>
            <w:noWrap w:val="0"/>
            <w:vAlign w:val="center"/>
          </w:tcPr>
          <w:p w14:paraId="0AE43080">
            <w:pPr>
              <w:tabs>
                <w:tab w:val="left" w:pos="180"/>
                <w:tab w:val="left" w:pos="1620"/>
              </w:tabs>
              <w:spacing w:line="360" w:lineRule="exact"/>
              <w:jc w:val="center"/>
              <w:rPr>
                <w:rFonts w:ascii="宋体" w:hAnsi="宋体" w:cs="微软雅黑"/>
                <w:szCs w:val="21"/>
              </w:rPr>
            </w:pPr>
            <w:r>
              <w:rPr>
                <w:rFonts w:hint="eastAsia" w:ascii="宋体" w:hAnsi="宋体" w:cs="微软雅黑"/>
                <w:szCs w:val="21"/>
              </w:rPr>
              <w:t>1套</w:t>
            </w:r>
          </w:p>
        </w:tc>
        <w:tc>
          <w:tcPr>
            <w:tcW w:w="2964" w:type="pct"/>
            <w:tcBorders>
              <w:top w:val="single" w:color="auto" w:sz="4" w:space="0"/>
              <w:left w:val="single" w:color="auto" w:sz="4" w:space="0"/>
              <w:bottom w:val="single" w:color="auto" w:sz="4" w:space="0"/>
              <w:right w:val="single" w:color="auto" w:sz="4" w:space="0"/>
            </w:tcBorders>
            <w:noWrap w:val="0"/>
            <w:vAlign w:val="center"/>
          </w:tcPr>
          <w:p w14:paraId="580C3225">
            <w:pPr>
              <w:tabs>
                <w:tab w:val="left" w:pos="180"/>
                <w:tab w:val="left" w:pos="1620"/>
              </w:tabs>
              <w:spacing w:line="360" w:lineRule="exact"/>
              <w:jc w:val="left"/>
              <w:rPr>
                <w:rFonts w:hint="eastAsia" w:ascii="宋体" w:hAnsi="宋体" w:cs="微软雅黑"/>
                <w:szCs w:val="21"/>
              </w:rPr>
            </w:pPr>
            <w:r>
              <w:rPr>
                <w:rFonts w:hint="eastAsia" w:ascii="宋体" w:hAnsi="宋体" w:cs="微软雅黑"/>
                <w:szCs w:val="21"/>
              </w:rPr>
              <w:t>一、血细胞分析流水线配置要求</w:t>
            </w:r>
          </w:p>
          <w:p w14:paraId="10B56638">
            <w:pPr>
              <w:tabs>
                <w:tab w:val="left" w:pos="180"/>
                <w:tab w:val="left" w:pos="1620"/>
              </w:tabs>
              <w:spacing w:line="360" w:lineRule="exact"/>
              <w:jc w:val="left"/>
              <w:rPr>
                <w:rFonts w:hint="eastAsia" w:ascii="宋体" w:hAnsi="宋体" w:cs="微软雅黑"/>
                <w:szCs w:val="21"/>
              </w:rPr>
            </w:pPr>
            <w:r>
              <w:rPr>
                <w:rFonts w:hint="eastAsia" w:ascii="宋体" w:hAnsi="宋体" w:cs="微软雅黑"/>
                <w:szCs w:val="21"/>
              </w:rPr>
              <w:t>流水线上具有血液分析仪、推染片一体机、CRP/SAA模块、糖化模块等；且以上各模块可根据实验室场地要求实现连轨或独立放置</w:t>
            </w:r>
            <w:r>
              <w:rPr>
                <w:rFonts w:ascii="宋体" w:hAnsi="宋体" w:cs="微软雅黑"/>
                <w:szCs w:val="21"/>
              </w:rPr>
              <w:t>……</w:t>
            </w:r>
          </w:p>
        </w:tc>
      </w:tr>
      <w:tr w14:paraId="51A4A9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46" w:type="pct"/>
            <w:tcBorders>
              <w:top w:val="single" w:color="auto" w:sz="4" w:space="0"/>
              <w:left w:val="single" w:color="auto" w:sz="4" w:space="0"/>
              <w:bottom w:val="single" w:color="auto" w:sz="4" w:space="0"/>
              <w:right w:val="single" w:color="auto" w:sz="4" w:space="0"/>
            </w:tcBorders>
            <w:noWrap w:val="0"/>
            <w:vAlign w:val="center"/>
          </w:tcPr>
          <w:p w14:paraId="35E99F2E">
            <w:pPr>
              <w:snapToGrid w:val="0"/>
              <w:spacing w:line="360" w:lineRule="auto"/>
              <w:jc w:val="center"/>
              <w:rPr>
                <w:rFonts w:hint="eastAsia" w:ascii="宋体" w:hAnsi="宋体"/>
                <w:szCs w:val="21"/>
              </w:rPr>
            </w:pPr>
            <w:r>
              <w:rPr>
                <w:rFonts w:hint="eastAsia" w:ascii="宋体" w:hAnsi="宋体"/>
                <w:szCs w:val="21"/>
              </w:rPr>
              <w:t>2</w:t>
            </w:r>
          </w:p>
        </w:tc>
        <w:tc>
          <w:tcPr>
            <w:tcW w:w="936" w:type="pct"/>
            <w:tcBorders>
              <w:top w:val="single" w:color="auto" w:sz="4" w:space="0"/>
              <w:left w:val="single" w:color="auto" w:sz="4" w:space="0"/>
              <w:bottom w:val="single" w:color="auto" w:sz="4" w:space="0"/>
              <w:right w:val="single" w:color="auto" w:sz="4" w:space="0"/>
            </w:tcBorders>
            <w:noWrap w:val="0"/>
            <w:vAlign w:val="center"/>
          </w:tcPr>
          <w:p w14:paraId="74C8B49E">
            <w:pPr>
              <w:tabs>
                <w:tab w:val="left" w:pos="180"/>
                <w:tab w:val="left" w:pos="1620"/>
              </w:tabs>
              <w:spacing w:line="360" w:lineRule="exact"/>
              <w:jc w:val="center"/>
              <w:rPr>
                <w:rFonts w:ascii="宋体" w:hAnsi="宋体" w:cs="微软雅黑"/>
                <w:szCs w:val="21"/>
              </w:rPr>
            </w:pPr>
            <w:r>
              <w:rPr>
                <w:rFonts w:hint="eastAsia" w:ascii="宋体" w:hAnsi="宋体"/>
                <w:szCs w:val="21"/>
              </w:rPr>
              <w:t>全自动血液流变分析仪</w:t>
            </w:r>
          </w:p>
        </w:tc>
        <w:tc>
          <w:tcPr>
            <w:tcW w:w="655" w:type="pct"/>
            <w:tcBorders>
              <w:top w:val="single" w:color="auto" w:sz="4" w:space="0"/>
              <w:left w:val="single" w:color="auto" w:sz="4" w:space="0"/>
              <w:bottom w:val="single" w:color="auto" w:sz="4" w:space="0"/>
              <w:right w:val="single" w:color="auto" w:sz="4" w:space="0"/>
            </w:tcBorders>
            <w:noWrap w:val="0"/>
            <w:vAlign w:val="center"/>
          </w:tcPr>
          <w:p w14:paraId="4AF87947">
            <w:pPr>
              <w:tabs>
                <w:tab w:val="left" w:pos="180"/>
                <w:tab w:val="left" w:pos="1620"/>
              </w:tabs>
              <w:spacing w:line="360" w:lineRule="exact"/>
              <w:jc w:val="center"/>
              <w:rPr>
                <w:rFonts w:ascii="宋体" w:hAnsi="宋体" w:cs="微软雅黑"/>
                <w:szCs w:val="21"/>
              </w:rPr>
            </w:pPr>
            <w:r>
              <w:rPr>
                <w:rFonts w:hint="eastAsia" w:ascii="宋体" w:hAnsi="宋体" w:cs="微软雅黑"/>
                <w:szCs w:val="21"/>
              </w:rPr>
              <w:t>1台</w:t>
            </w:r>
          </w:p>
        </w:tc>
        <w:tc>
          <w:tcPr>
            <w:tcW w:w="2964" w:type="pct"/>
            <w:tcBorders>
              <w:top w:val="single" w:color="auto" w:sz="4" w:space="0"/>
              <w:left w:val="single" w:color="auto" w:sz="4" w:space="0"/>
              <w:bottom w:val="single" w:color="auto" w:sz="4" w:space="0"/>
              <w:right w:val="single" w:color="auto" w:sz="4" w:space="0"/>
            </w:tcBorders>
            <w:noWrap w:val="0"/>
            <w:vAlign w:val="center"/>
          </w:tcPr>
          <w:p w14:paraId="602CD8D4">
            <w:pPr>
              <w:tabs>
                <w:tab w:val="left" w:pos="180"/>
                <w:tab w:val="left" w:pos="1620"/>
              </w:tabs>
              <w:spacing w:line="360" w:lineRule="exact"/>
              <w:jc w:val="left"/>
              <w:rPr>
                <w:rFonts w:hint="eastAsia" w:ascii="宋体" w:hAnsi="宋体" w:cs="微软雅黑"/>
                <w:szCs w:val="21"/>
              </w:rPr>
            </w:pPr>
            <w:r>
              <w:rPr>
                <w:rFonts w:hint="eastAsia" w:ascii="宋体" w:hAnsi="宋体" w:cs="微软雅黑"/>
                <w:szCs w:val="21"/>
              </w:rPr>
              <w:t>1.测试原理：旋转法（锥板法）；</w:t>
            </w:r>
          </w:p>
          <w:p w14:paraId="1829AFB0">
            <w:pPr>
              <w:tabs>
                <w:tab w:val="left" w:pos="180"/>
                <w:tab w:val="left" w:pos="1620"/>
              </w:tabs>
              <w:spacing w:line="360" w:lineRule="exact"/>
              <w:jc w:val="left"/>
              <w:rPr>
                <w:rFonts w:hint="eastAsia" w:ascii="宋体" w:hAnsi="宋体" w:cs="微软雅黑"/>
                <w:szCs w:val="21"/>
              </w:rPr>
            </w:pPr>
            <w:r>
              <w:rPr>
                <w:rFonts w:hint="eastAsia" w:ascii="宋体" w:hAnsi="宋体" w:cs="微软雅黑"/>
                <w:szCs w:val="21"/>
              </w:rPr>
              <w:t>2.测量方式：锥板法采用快速、全量程、逐点、稳态测量方式；</w:t>
            </w:r>
          </w:p>
          <w:p w14:paraId="0A5AA0E1">
            <w:pPr>
              <w:tabs>
                <w:tab w:val="left" w:pos="180"/>
                <w:tab w:val="left" w:pos="1620"/>
              </w:tabs>
              <w:spacing w:line="360" w:lineRule="exact"/>
              <w:jc w:val="left"/>
              <w:rPr>
                <w:rFonts w:hint="eastAsia" w:ascii="宋体" w:hAnsi="宋体" w:cs="微软雅黑"/>
                <w:szCs w:val="21"/>
              </w:rPr>
            </w:pPr>
            <w:r>
              <w:rPr>
                <w:rFonts w:hint="eastAsia" w:ascii="宋体" w:hAnsi="宋体" w:cs="微软雅黑"/>
                <w:szCs w:val="21"/>
              </w:rPr>
              <w:t>3.▲信号采集方式：采用光栅细分技术</w:t>
            </w:r>
            <w:r>
              <w:rPr>
                <w:rFonts w:ascii="宋体" w:hAnsi="宋体" w:cs="微软雅黑"/>
                <w:szCs w:val="21"/>
              </w:rPr>
              <w:t>……</w:t>
            </w:r>
          </w:p>
        </w:tc>
      </w:tr>
      <w:tr w14:paraId="6EEDE7A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46" w:type="pct"/>
            <w:tcBorders>
              <w:top w:val="single" w:color="auto" w:sz="4" w:space="0"/>
              <w:left w:val="single" w:color="auto" w:sz="4" w:space="0"/>
              <w:bottom w:val="single" w:color="auto" w:sz="4" w:space="0"/>
              <w:right w:val="single" w:color="auto" w:sz="4" w:space="0"/>
            </w:tcBorders>
            <w:noWrap w:val="0"/>
            <w:vAlign w:val="center"/>
          </w:tcPr>
          <w:p w14:paraId="4BAEBEBE">
            <w:pPr>
              <w:snapToGrid w:val="0"/>
              <w:spacing w:line="360" w:lineRule="auto"/>
              <w:jc w:val="center"/>
              <w:rPr>
                <w:rFonts w:hint="eastAsia" w:ascii="宋体" w:hAnsi="宋体"/>
                <w:szCs w:val="21"/>
              </w:rPr>
            </w:pPr>
            <w:r>
              <w:rPr>
                <w:rFonts w:hint="eastAsia" w:ascii="宋体" w:hAnsi="宋体"/>
                <w:szCs w:val="21"/>
              </w:rPr>
              <w:t>……</w:t>
            </w:r>
          </w:p>
        </w:tc>
        <w:tc>
          <w:tcPr>
            <w:tcW w:w="936" w:type="pct"/>
            <w:tcBorders>
              <w:top w:val="single" w:color="auto" w:sz="4" w:space="0"/>
              <w:left w:val="single" w:color="auto" w:sz="4" w:space="0"/>
              <w:bottom w:val="single" w:color="auto" w:sz="4" w:space="0"/>
              <w:right w:val="single" w:color="auto" w:sz="4" w:space="0"/>
            </w:tcBorders>
            <w:noWrap w:val="0"/>
            <w:vAlign w:val="bottom"/>
          </w:tcPr>
          <w:p w14:paraId="5416C784">
            <w:pPr>
              <w:tabs>
                <w:tab w:val="left" w:pos="180"/>
                <w:tab w:val="left" w:pos="1620"/>
              </w:tabs>
              <w:spacing w:line="360" w:lineRule="exact"/>
              <w:jc w:val="center"/>
              <w:rPr>
                <w:rFonts w:hint="eastAsia" w:ascii="宋体" w:hAnsi="宋体" w:cs="微软雅黑"/>
                <w:szCs w:val="21"/>
              </w:rPr>
            </w:pPr>
            <w:r>
              <w:rPr>
                <w:rFonts w:hint="eastAsia" w:ascii="宋体" w:hAnsi="宋体" w:cs="微软雅黑"/>
                <w:szCs w:val="21"/>
              </w:rPr>
              <w:t>……</w:t>
            </w:r>
          </w:p>
        </w:tc>
        <w:tc>
          <w:tcPr>
            <w:tcW w:w="655" w:type="pct"/>
            <w:tcBorders>
              <w:top w:val="single" w:color="auto" w:sz="4" w:space="0"/>
              <w:left w:val="single" w:color="auto" w:sz="4" w:space="0"/>
              <w:bottom w:val="single" w:color="auto" w:sz="4" w:space="0"/>
              <w:right w:val="single" w:color="auto" w:sz="4" w:space="0"/>
            </w:tcBorders>
            <w:noWrap w:val="0"/>
            <w:vAlign w:val="center"/>
          </w:tcPr>
          <w:p w14:paraId="5340B6A7">
            <w:pPr>
              <w:tabs>
                <w:tab w:val="left" w:pos="180"/>
                <w:tab w:val="left" w:pos="1620"/>
              </w:tabs>
              <w:spacing w:line="360" w:lineRule="exact"/>
              <w:jc w:val="center"/>
              <w:rPr>
                <w:rFonts w:hint="eastAsia" w:ascii="宋体" w:hAnsi="宋体" w:cs="微软雅黑"/>
                <w:szCs w:val="21"/>
              </w:rPr>
            </w:pPr>
            <w:r>
              <w:rPr>
                <w:rFonts w:hint="eastAsia" w:ascii="宋体" w:hAnsi="宋体" w:cs="微软雅黑"/>
                <w:szCs w:val="21"/>
              </w:rPr>
              <w:t>……</w:t>
            </w:r>
          </w:p>
        </w:tc>
        <w:tc>
          <w:tcPr>
            <w:tcW w:w="2964" w:type="pct"/>
            <w:tcBorders>
              <w:top w:val="single" w:color="auto" w:sz="4" w:space="0"/>
              <w:left w:val="single" w:color="auto" w:sz="4" w:space="0"/>
              <w:bottom w:val="single" w:color="auto" w:sz="4" w:space="0"/>
              <w:right w:val="single" w:color="auto" w:sz="4" w:space="0"/>
            </w:tcBorders>
            <w:noWrap w:val="0"/>
            <w:vAlign w:val="center"/>
          </w:tcPr>
          <w:p w14:paraId="07FD8902">
            <w:pPr>
              <w:tabs>
                <w:tab w:val="left" w:pos="180"/>
                <w:tab w:val="left" w:pos="1620"/>
              </w:tabs>
              <w:spacing w:line="360" w:lineRule="exact"/>
              <w:jc w:val="left"/>
              <w:rPr>
                <w:rFonts w:hint="eastAsia" w:ascii="宋体" w:hAnsi="宋体" w:cs="微软雅黑"/>
                <w:szCs w:val="21"/>
              </w:rPr>
            </w:pPr>
            <w:r>
              <w:rPr>
                <w:rFonts w:hint="eastAsia" w:ascii="宋体" w:hAnsi="宋体" w:cs="微软雅黑"/>
                <w:szCs w:val="21"/>
              </w:rPr>
              <w:t>……</w:t>
            </w:r>
          </w:p>
        </w:tc>
      </w:tr>
      <w:bookmarkEnd w:id="5"/>
    </w:tbl>
    <w:p w14:paraId="5F3AECE3">
      <w:pPr>
        <w:spacing w:line="360" w:lineRule="auto"/>
        <w:ind w:firstLine="420" w:firstLineChars="200"/>
        <w:rPr>
          <w:rFonts w:ascii="宋体" w:hAnsi="宋体"/>
          <w:szCs w:val="21"/>
          <w:u w:val="single"/>
        </w:rPr>
      </w:pPr>
      <w:r>
        <w:rPr>
          <w:rFonts w:hint="eastAsia" w:ascii="宋体" w:hAnsi="宋体"/>
          <w:szCs w:val="21"/>
        </w:rPr>
        <w:t>合同履行期限：自签订合同之日起 45 日历日内，安装调试完毕并交付使用。</w:t>
      </w:r>
    </w:p>
    <w:p w14:paraId="32F1DB6F">
      <w:pPr>
        <w:spacing w:line="360" w:lineRule="auto"/>
        <w:ind w:firstLine="420" w:firstLineChars="200"/>
        <w:rPr>
          <w:rFonts w:ascii="宋体" w:hAnsi="宋体"/>
          <w:szCs w:val="21"/>
        </w:rPr>
      </w:pPr>
      <w:r>
        <w:rPr>
          <w:rFonts w:hint="eastAsia" w:ascii="宋体" w:hAnsi="宋体"/>
          <w:szCs w:val="21"/>
        </w:rPr>
        <w:t>分标2</w:t>
      </w:r>
      <w:r>
        <w:rPr>
          <w:rFonts w:ascii="宋体" w:hAnsi="宋体"/>
          <w:szCs w:val="21"/>
        </w:rPr>
        <w:t xml:space="preserve"> </w:t>
      </w:r>
    </w:p>
    <w:tbl>
      <w:tblPr>
        <w:tblStyle w:val="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58"/>
        <w:gridCol w:w="1595"/>
        <w:gridCol w:w="1116"/>
        <w:gridCol w:w="5053"/>
      </w:tblGrid>
      <w:tr w14:paraId="589340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45" w:type="pct"/>
            <w:tcBorders>
              <w:top w:val="single" w:color="auto" w:sz="4" w:space="0"/>
              <w:left w:val="single" w:color="auto" w:sz="4" w:space="0"/>
              <w:bottom w:val="single" w:color="auto" w:sz="4" w:space="0"/>
              <w:right w:val="single" w:color="auto" w:sz="4" w:space="0"/>
            </w:tcBorders>
            <w:noWrap w:val="0"/>
            <w:vAlign w:val="center"/>
          </w:tcPr>
          <w:p w14:paraId="02AAD635">
            <w:pPr>
              <w:snapToGrid w:val="0"/>
              <w:spacing w:line="360" w:lineRule="auto"/>
              <w:jc w:val="center"/>
              <w:rPr>
                <w:rFonts w:ascii="宋体" w:hAnsi="宋体"/>
                <w:szCs w:val="21"/>
              </w:rPr>
            </w:pPr>
            <w:r>
              <w:rPr>
                <w:rFonts w:hint="eastAsia" w:ascii="宋体" w:hAnsi="宋体"/>
                <w:szCs w:val="21"/>
              </w:rPr>
              <w:t>序号</w:t>
            </w:r>
          </w:p>
        </w:tc>
        <w:tc>
          <w:tcPr>
            <w:tcW w:w="936" w:type="pct"/>
            <w:tcBorders>
              <w:top w:val="single" w:color="auto" w:sz="4" w:space="0"/>
              <w:left w:val="single" w:color="auto" w:sz="4" w:space="0"/>
              <w:bottom w:val="single" w:color="auto" w:sz="4" w:space="0"/>
              <w:right w:val="single" w:color="auto" w:sz="4" w:space="0"/>
            </w:tcBorders>
            <w:noWrap w:val="0"/>
            <w:vAlign w:val="center"/>
          </w:tcPr>
          <w:p w14:paraId="5954F490">
            <w:pPr>
              <w:snapToGrid w:val="0"/>
              <w:spacing w:line="360" w:lineRule="auto"/>
              <w:jc w:val="center"/>
              <w:rPr>
                <w:rFonts w:ascii="宋体" w:hAnsi="宋体"/>
                <w:szCs w:val="21"/>
              </w:rPr>
            </w:pPr>
            <w:r>
              <w:rPr>
                <w:rFonts w:hint="eastAsia" w:ascii="宋体" w:hAnsi="宋体"/>
                <w:szCs w:val="21"/>
              </w:rPr>
              <w:t>标的的名称</w:t>
            </w:r>
          </w:p>
        </w:tc>
        <w:tc>
          <w:tcPr>
            <w:tcW w:w="655" w:type="pct"/>
            <w:tcBorders>
              <w:top w:val="single" w:color="auto" w:sz="4" w:space="0"/>
              <w:left w:val="single" w:color="auto" w:sz="4" w:space="0"/>
              <w:bottom w:val="single" w:color="auto" w:sz="4" w:space="0"/>
              <w:right w:val="single" w:color="auto" w:sz="4" w:space="0"/>
            </w:tcBorders>
            <w:noWrap w:val="0"/>
            <w:vAlign w:val="center"/>
          </w:tcPr>
          <w:p w14:paraId="1652B801">
            <w:pPr>
              <w:snapToGrid w:val="0"/>
              <w:spacing w:line="360" w:lineRule="auto"/>
              <w:jc w:val="center"/>
              <w:rPr>
                <w:rFonts w:ascii="宋体" w:hAnsi="宋体"/>
                <w:szCs w:val="21"/>
              </w:rPr>
            </w:pPr>
            <w:r>
              <w:rPr>
                <w:rFonts w:hint="eastAsia" w:ascii="宋体" w:hAnsi="宋体"/>
                <w:szCs w:val="21"/>
              </w:rPr>
              <w:t>数量及</w:t>
            </w:r>
          </w:p>
          <w:p w14:paraId="5024798A">
            <w:pPr>
              <w:snapToGrid w:val="0"/>
              <w:spacing w:line="360" w:lineRule="auto"/>
              <w:jc w:val="center"/>
              <w:rPr>
                <w:rFonts w:ascii="宋体" w:hAnsi="宋体"/>
                <w:szCs w:val="21"/>
              </w:rPr>
            </w:pPr>
            <w:r>
              <w:rPr>
                <w:rFonts w:hint="eastAsia" w:ascii="宋体" w:hAnsi="宋体"/>
                <w:szCs w:val="21"/>
              </w:rPr>
              <w:t>单位</w:t>
            </w:r>
          </w:p>
        </w:tc>
        <w:tc>
          <w:tcPr>
            <w:tcW w:w="2965" w:type="pct"/>
            <w:tcBorders>
              <w:top w:val="single" w:color="auto" w:sz="4" w:space="0"/>
              <w:left w:val="single" w:color="auto" w:sz="4" w:space="0"/>
              <w:bottom w:val="single" w:color="auto" w:sz="4" w:space="0"/>
              <w:right w:val="single" w:color="auto" w:sz="4" w:space="0"/>
            </w:tcBorders>
            <w:noWrap w:val="0"/>
            <w:vAlign w:val="center"/>
          </w:tcPr>
          <w:p w14:paraId="41047317">
            <w:pPr>
              <w:snapToGrid w:val="0"/>
              <w:spacing w:line="360" w:lineRule="auto"/>
              <w:jc w:val="center"/>
              <w:rPr>
                <w:rFonts w:ascii="宋体" w:hAnsi="宋体"/>
                <w:szCs w:val="21"/>
              </w:rPr>
            </w:pPr>
            <w:r>
              <w:rPr>
                <w:rFonts w:hint="eastAsia" w:ascii="宋体" w:hAnsi="宋体"/>
                <w:szCs w:val="21"/>
              </w:rPr>
              <w:t>简要技术需求或者服务要求</w:t>
            </w:r>
          </w:p>
        </w:tc>
      </w:tr>
      <w:tr w14:paraId="7FC0FA5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45" w:type="pct"/>
            <w:tcBorders>
              <w:top w:val="single" w:color="auto" w:sz="4" w:space="0"/>
              <w:left w:val="single" w:color="auto" w:sz="4" w:space="0"/>
              <w:bottom w:val="single" w:color="auto" w:sz="4" w:space="0"/>
              <w:right w:val="single" w:color="auto" w:sz="4" w:space="0"/>
            </w:tcBorders>
            <w:noWrap w:val="0"/>
            <w:vAlign w:val="center"/>
          </w:tcPr>
          <w:p w14:paraId="025307D8">
            <w:pPr>
              <w:snapToGrid w:val="0"/>
              <w:spacing w:line="360" w:lineRule="auto"/>
              <w:jc w:val="center"/>
              <w:rPr>
                <w:rFonts w:ascii="宋体" w:hAnsi="宋体"/>
                <w:szCs w:val="21"/>
              </w:rPr>
            </w:pPr>
            <w:r>
              <w:rPr>
                <w:rFonts w:hint="eastAsia" w:ascii="宋体" w:hAnsi="宋体"/>
                <w:szCs w:val="21"/>
              </w:rPr>
              <w:t>1</w:t>
            </w:r>
          </w:p>
        </w:tc>
        <w:tc>
          <w:tcPr>
            <w:tcW w:w="936" w:type="pct"/>
            <w:tcBorders>
              <w:top w:val="single" w:color="auto" w:sz="4" w:space="0"/>
              <w:left w:val="single" w:color="auto" w:sz="4" w:space="0"/>
              <w:bottom w:val="single" w:color="auto" w:sz="4" w:space="0"/>
              <w:right w:val="single" w:color="auto" w:sz="4" w:space="0"/>
            </w:tcBorders>
            <w:noWrap w:val="0"/>
            <w:vAlign w:val="center"/>
          </w:tcPr>
          <w:p w14:paraId="797D0DDB">
            <w:pPr>
              <w:snapToGrid w:val="0"/>
              <w:spacing w:line="360" w:lineRule="auto"/>
              <w:jc w:val="center"/>
              <w:rPr>
                <w:rFonts w:ascii="宋体" w:hAnsi="宋体"/>
                <w:szCs w:val="21"/>
              </w:rPr>
            </w:pPr>
            <w:bookmarkStart w:id="6" w:name="OLE_LINK3"/>
            <w:r>
              <w:rPr>
                <w:rFonts w:hint="eastAsia" w:ascii="宋体" w:hAnsi="宋体"/>
                <w:szCs w:val="21"/>
              </w:rPr>
              <w:t>核化伤员去污洗消移动设备</w:t>
            </w:r>
            <w:bookmarkEnd w:id="6"/>
          </w:p>
        </w:tc>
        <w:tc>
          <w:tcPr>
            <w:tcW w:w="655" w:type="pct"/>
            <w:tcBorders>
              <w:top w:val="single" w:color="auto" w:sz="4" w:space="0"/>
              <w:left w:val="single" w:color="auto" w:sz="4" w:space="0"/>
              <w:bottom w:val="single" w:color="auto" w:sz="4" w:space="0"/>
              <w:right w:val="single" w:color="auto" w:sz="4" w:space="0"/>
            </w:tcBorders>
            <w:noWrap w:val="0"/>
            <w:vAlign w:val="center"/>
          </w:tcPr>
          <w:p w14:paraId="1DCCAF13">
            <w:pPr>
              <w:snapToGrid w:val="0"/>
              <w:spacing w:line="360" w:lineRule="auto"/>
              <w:jc w:val="center"/>
              <w:rPr>
                <w:rFonts w:hint="eastAsia" w:ascii="宋体" w:hAnsi="宋体"/>
                <w:szCs w:val="21"/>
              </w:rPr>
            </w:pPr>
            <w:r>
              <w:rPr>
                <w:rFonts w:hint="eastAsia" w:ascii="宋体" w:hAnsi="宋体"/>
                <w:szCs w:val="21"/>
              </w:rPr>
              <w:t>1台</w:t>
            </w:r>
          </w:p>
        </w:tc>
        <w:tc>
          <w:tcPr>
            <w:tcW w:w="2965" w:type="pct"/>
            <w:tcBorders>
              <w:top w:val="single" w:color="auto" w:sz="4" w:space="0"/>
              <w:left w:val="single" w:color="auto" w:sz="4" w:space="0"/>
              <w:bottom w:val="single" w:color="auto" w:sz="4" w:space="0"/>
              <w:right w:val="single" w:color="auto" w:sz="4" w:space="0"/>
            </w:tcBorders>
            <w:noWrap w:val="0"/>
            <w:vAlign w:val="center"/>
          </w:tcPr>
          <w:p w14:paraId="4EADC97C">
            <w:pPr>
              <w:tabs>
                <w:tab w:val="left" w:pos="180"/>
                <w:tab w:val="left" w:pos="1620"/>
              </w:tabs>
              <w:spacing w:line="360" w:lineRule="exact"/>
              <w:jc w:val="left"/>
              <w:rPr>
                <w:rFonts w:hint="eastAsia" w:ascii="宋体" w:hAnsi="宋体" w:cs="微软雅黑"/>
                <w:szCs w:val="21"/>
              </w:rPr>
            </w:pPr>
            <w:r>
              <w:rPr>
                <w:rFonts w:hint="eastAsia" w:ascii="宋体" w:hAnsi="宋体" w:cs="微软雅黑"/>
                <w:szCs w:val="21"/>
              </w:rPr>
              <w:t>一、整体要求</w:t>
            </w:r>
          </w:p>
          <w:p w14:paraId="0F0633DF">
            <w:pPr>
              <w:tabs>
                <w:tab w:val="left" w:pos="180"/>
                <w:tab w:val="left" w:pos="1620"/>
              </w:tabs>
              <w:spacing w:line="360" w:lineRule="exact"/>
              <w:jc w:val="left"/>
              <w:rPr>
                <w:rFonts w:hint="eastAsia" w:ascii="宋体" w:hAnsi="宋体" w:cs="微软雅黑"/>
                <w:szCs w:val="21"/>
              </w:rPr>
            </w:pPr>
            <w:r>
              <w:rPr>
                <w:rFonts w:hint="eastAsia" w:ascii="宋体" w:hAnsi="宋体" w:cs="微软雅黑"/>
                <w:szCs w:val="21"/>
              </w:rPr>
              <w:t>核化伤员去污洗消移动设备不仅需自带水箱和洗消液箱，还可外接水源供水和外接电源供电，并可实时补充洗消液</w:t>
            </w:r>
            <w:r>
              <w:rPr>
                <w:rFonts w:ascii="宋体" w:hAnsi="宋体" w:cs="微软雅黑"/>
                <w:szCs w:val="21"/>
              </w:rPr>
              <w:t>……</w:t>
            </w:r>
          </w:p>
        </w:tc>
      </w:tr>
    </w:tbl>
    <w:p w14:paraId="278D2549">
      <w:pPr>
        <w:spacing w:line="360" w:lineRule="auto"/>
        <w:ind w:firstLine="420" w:firstLineChars="200"/>
        <w:rPr>
          <w:rFonts w:ascii="宋体" w:hAnsi="宋体"/>
          <w:szCs w:val="21"/>
          <w:u w:val="single"/>
        </w:rPr>
      </w:pPr>
      <w:r>
        <w:rPr>
          <w:rFonts w:hint="eastAsia" w:ascii="宋体" w:hAnsi="宋体"/>
          <w:szCs w:val="21"/>
        </w:rPr>
        <w:t>合同履行期限：自签订合同之日起 45 日历日内，安装调试完毕并交付使用。</w:t>
      </w:r>
    </w:p>
    <w:p w14:paraId="4827C4F1">
      <w:pPr>
        <w:spacing w:line="360" w:lineRule="auto"/>
        <w:ind w:firstLine="420" w:firstLineChars="200"/>
        <w:rPr>
          <w:rFonts w:ascii="宋体" w:hAnsi="宋体"/>
          <w:szCs w:val="21"/>
        </w:rPr>
      </w:pPr>
      <w:r>
        <w:rPr>
          <w:rFonts w:hint="eastAsia" w:ascii="宋体" w:hAnsi="宋体"/>
          <w:szCs w:val="21"/>
        </w:rPr>
        <w:t>分标3</w:t>
      </w:r>
      <w:r>
        <w:rPr>
          <w:rFonts w:ascii="宋体" w:hAnsi="宋体"/>
          <w:szCs w:val="21"/>
        </w:rPr>
        <w:t xml:space="preserve"> </w:t>
      </w:r>
    </w:p>
    <w:tbl>
      <w:tblPr>
        <w:tblStyle w:val="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0"/>
        <w:gridCol w:w="1595"/>
        <w:gridCol w:w="1116"/>
        <w:gridCol w:w="5051"/>
      </w:tblGrid>
      <w:tr w14:paraId="73A806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46" w:type="pct"/>
            <w:tcBorders>
              <w:top w:val="single" w:color="auto" w:sz="4" w:space="0"/>
              <w:left w:val="single" w:color="auto" w:sz="4" w:space="0"/>
              <w:bottom w:val="single" w:color="auto" w:sz="4" w:space="0"/>
              <w:right w:val="single" w:color="auto" w:sz="4" w:space="0"/>
            </w:tcBorders>
            <w:noWrap w:val="0"/>
            <w:vAlign w:val="center"/>
          </w:tcPr>
          <w:p w14:paraId="332990D7">
            <w:pPr>
              <w:snapToGrid w:val="0"/>
              <w:spacing w:line="360" w:lineRule="auto"/>
              <w:jc w:val="center"/>
              <w:rPr>
                <w:rFonts w:ascii="宋体" w:hAnsi="宋体"/>
                <w:szCs w:val="21"/>
              </w:rPr>
            </w:pPr>
            <w:r>
              <w:rPr>
                <w:rFonts w:hint="eastAsia" w:ascii="宋体" w:hAnsi="宋体"/>
                <w:szCs w:val="21"/>
              </w:rPr>
              <w:t>序号</w:t>
            </w:r>
          </w:p>
        </w:tc>
        <w:tc>
          <w:tcPr>
            <w:tcW w:w="936" w:type="pct"/>
            <w:tcBorders>
              <w:top w:val="single" w:color="auto" w:sz="4" w:space="0"/>
              <w:left w:val="single" w:color="auto" w:sz="4" w:space="0"/>
              <w:bottom w:val="single" w:color="auto" w:sz="4" w:space="0"/>
              <w:right w:val="single" w:color="auto" w:sz="4" w:space="0"/>
            </w:tcBorders>
            <w:noWrap w:val="0"/>
            <w:vAlign w:val="center"/>
          </w:tcPr>
          <w:p w14:paraId="367D5E74">
            <w:pPr>
              <w:snapToGrid w:val="0"/>
              <w:spacing w:line="360" w:lineRule="auto"/>
              <w:jc w:val="center"/>
              <w:rPr>
                <w:rFonts w:ascii="宋体" w:hAnsi="宋体"/>
                <w:szCs w:val="21"/>
              </w:rPr>
            </w:pPr>
            <w:r>
              <w:rPr>
                <w:rFonts w:hint="eastAsia" w:ascii="宋体" w:hAnsi="宋体"/>
                <w:szCs w:val="21"/>
              </w:rPr>
              <w:t>标的的名称</w:t>
            </w:r>
          </w:p>
        </w:tc>
        <w:tc>
          <w:tcPr>
            <w:tcW w:w="655" w:type="pct"/>
            <w:tcBorders>
              <w:top w:val="single" w:color="auto" w:sz="4" w:space="0"/>
              <w:left w:val="single" w:color="auto" w:sz="4" w:space="0"/>
              <w:bottom w:val="single" w:color="auto" w:sz="4" w:space="0"/>
              <w:right w:val="single" w:color="auto" w:sz="4" w:space="0"/>
            </w:tcBorders>
            <w:noWrap w:val="0"/>
            <w:vAlign w:val="center"/>
          </w:tcPr>
          <w:p w14:paraId="7222B14B">
            <w:pPr>
              <w:snapToGrid w:val="0"/>
              <w:spacing w:line="360" w:lineRule="auto"/>
              <w:jc w:val="center"/>
              <w:rPr>
                <w:rFonts w:ascii="宋体" w:hAnsi="宋体"/>
                <w:szCs w:val="21"/>
              </w:rPr>
            </w:pPr>
            <w:r>
              <w:rPr>
                <w:rFonts w:hint="eastAsia" w:ascii="宋体" w:hAnsi="宋体"/>
                <w:szCs w:val="21"/>
              </w:rPr>
              <w:t>数量及</w:t>
            </w:r>
          </w:p>
          <w:p w14:paraId="433F6AD9">
            <w:pPr>
              <w:snapToGrid w:val="0"/>
              <w:spacing w:line="360" w:lineRule="auto"/>
              <w:jc w:val="center"/>
              <w:rPr>
                <w:rFonts w:ascii="宋体" w:hAnsi="宋体"/>
                <w:szCs w:val="21"/>
              </w:rPr>
            </w:pPr>
            <w:r>
              <w:rPr>
                <w:rFonts w:hint="eastAsia" w:ascii="宋体" w:hAnsi="宋体"/>
                <w:szCs w:val="21"/>
              </w:rPr>
              <w:t>单位</w:t>
            </w:r>
          </w:p>
        </w:tc>
        <w:tc>
          <w:tcPr>
            <w:tcW w:w="2964" w:type="pct"/>
            <w:tcBorders>
              <w:top w:val="single" w:color="auto" w:sz="4" w:space="0"/>
              <w:left w:val="single" w:color="auto" w:sz="4" w:space="0"/>
              <w:bottom w:val="single" w:color="auto" w:sz="4" w:space="0"/>
              <w:right w:val="single" w:color="auto" w:sz="4" w:space="0"/>
            </w:tcBorders>
            <w:noWrap w:val="0"/>
            <w:vAlign w:val="center"/>
          </w:tcPr>
          <w:p w14:paraId="63BE29A5">
            <w:pPr>
              <w:snapToGrid w:val="0"/>
              <w:spacing w:line="360" w:lineRule="auto"/>
              <w:jc w:val="center"/>
              <w:rPr>
                <w:rFonts w:ascii="宋体" w:hAnsi="宋体"/>
                <w:szCs w:val="21"/>
              </w:rPr>
            </w:pPr>
            <w:r>
              <w:rPr>
                <w:rFonts w:hint="eastAsia" w:ascii="宋体" w:hAnsi="宋体"/>
                <w:szCs w:val="21"/>
              </w:rPr>
              <w:t>简要技术需求或者服务要求</w:t>
            </w:r>
          </w:p>
        </w:tc>
      </w:tr>
      <w:tr w14:paraId="74825E3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46" w:type="pct"/>
            <w:tcBorders>
              <w:top w:val="single" w:color="auto" w:sz="4" w:space="0"/>
              <w:left w:val="single" w:color="auto" w:sz="4" w:space="0"/>
              <w:bottom w:val="single" w:color="auto" w:sz="4" w:space="0"/>
              <w:right w:val="single" w:color="auto" w:sz="4" w:space="0"/>
            </w:tcBorders>
            <w:noWrap w:val="0"/>
            <w:vAlign w:val="center"/>
          </w:tcPr>
          <w:p w14:paraId="5EEE5C7B">
            <w:pPr>
              <w:snapToGrid w:val="0"/>
              <w:spacing w:line="360" w:lineRule="auto"/>
              <w:jc w:val="center"/>
              <w:rPr>
                <w:rFonts w:ascii="宋体" w:hAnsi="宋体"/>
                <w:szCs w:val="21"/>
              </w:rPr>
            </w:pPr>
            <w:r>
              <w:rPr>
                <w:rFonts w:hint="eastAsia" w:ascii="宋体" w:hAnsi="宋体"/>
                <w:szCs w:val="21"/>
              </w:rPr>
              <w:t>1</w:t>
            </w:r>
          </w:p>
        </w:tc>
        <w:tc>
          <w:tcPr>
            <w:tcW w:w="936" w:type="pct"/>
            <w:tcBorders>
              <w:top w:val="single" w:color="auto" w:sz="4" w:space="0"/>
              <w:left w:val="single" w:color="auto" w:sz="4" w:space="0"/>
              <w:bottom w:val="single" w:color="auto" w:sz="4" w:space="0"/>
              <w:right w:val="single" w:color="auto" w:sz="4" w:space="0"/>
            </w:tcBorders>
            <w:noWrap w:val="0"/>
            <w:vAlign w:val="bottom"/>
          </w:tcPr>
          <w:p w14:paraId="0A02A6E9">
            <w:pPr>
              <w:snapToGrid w:val="0"/>
              <w:spacing w:line="360" w:lineRule="auto"/>
              <w:jc w:val="center"/>
              <w:rPr>
                <w:rFonts w:ascii="宋体" w:hAnsi="宋体"/>
                <w:szCs w:val="21"/>
              </w:rPr>
            </w:pPr>
            <w:r>
              <w:rPr>
                <w:rFonts w:hint="eastAsia" w:ascii="宋体" w:hAnsi="宋体"/>
                <w:szCs w:val="21"/>
              </w:rPr>
              <w:t>带屏蔽污染物运输箱</w:t>
            </w:r>
          </w:p>
        </w:tc>
        <w:tc>
          <w:tcPr>
            <w:tcW w:w="655" w:type="pct"/>
            <w:tcBorders>
              <w:top w:val="single" w:color="auto" w:sz="4" w:space="0"/>
              <w:left w:val="single" w:color="auto" w:sz="4" w:space="0"/>
              <w:bottom w:val="single" w:color="auto" w:sz="4" w:space="0"/>
              <w:right w:val="single" w:color="auto" w:sz="4" w:space="0"/>
            </w:tcBorders>
            <w:noWrap w:val="0"/>
            <w:vAlign w:val="center"/>
          </w:tcPr>
          <w:p w14:paraId="2C591F64">
            <w:pPr>
              <w:tabs>
                <w:tab w:val="left" w:pos="180"/>
                <w:tab w:val="left" w:pos="1620"/>
              </w:tabs>
              <w:spacing w:line="360" w:lineRule="exact"/>
              <w:jc w:val="center"/>
              <w:rPr>
                <w:rFonts w:ascii="宋体" w:hAnsi="宋体" w:cs="微软雅黑"/>
                <w:szCs w:val="21"/>
              </w:rPr>
            </w:pPr>
            <w:r>
              <w:rPr>
                <w:rFonts w:hint="eastAsia" w:ascii="宋体" w:hAnsi="宋体" w:cs="微软雅黑"/>
                <w:szCs w:val="21"/>
              </w:rPr>
              <w:t>2个</w:t>
            </w:r>
          </w:p>
        </w:tc>
        <w:tc>
          <w:tcPr>
            <w:tcW w:w="2964" w:type="pct"/>
            <w:tcBorders>
              <w:top w:val="single" w:color="auto" w:sz="4" w:space="0"/>
              <w:left w:val="single" w:color="auto" w:sz="4" w:space="0"/>
              <w:bottom w:val="single" w:color="auto" w:sz="4" w:space="0"/>
              <w:right w:val="single" w:color="auto" w:sz="4" w:space="0"/>
            </w:tcBorders>
            <w:noWrap w:val="0"/>
            <w:vAlign w:val="center"/>
          </w:tcPr>
          <w:p w14:paraId="5F344D1B">
            <w:pPr>
              <w:tabs>
                <w:tab w:val="left" w:pos="180"/>
                <w:tab w:val="left" w:pos="1620"/>
              </w:tabs>
              <w:spacing w:line="360" w:lineRule="exact"/>
              <w:jc w:val="left"/>
              <w:rPr>
                <w:rFonts w:hint="eastAsia" w:ascii="宋体" w:hAnsi="宋体" w:cs="微软雅黑"/>
                <w:szCs w:val="21"/>
              </w:rPr>
            </w:pPr>
            <w:r>
              <w:rPr>
                <w:rFonts w:hint="eastAsia" w:ascii="宋体" w:hAnsi="宋体" w:cs="微软雅黑"/>
                <w:szCs w:val="21"/>
              </w:rPr>
              <w:t>（一）技术指标要求</w:t>
            </w:r>
          </w:p>
          <w:p w14:paraId="0A68711C">
            <w:pPr>
              <w:tabs>
                <w:tab w:val="left" w:pos="180"/>
                <w:tab w:val="left" w:pos="1620"/>
              </w:tabs>
              <w:spacing w:line="360" w:lineRule="exact"/>
              <w:jc w:val="left"/>
              <w:rPr>
                <w:rFonts w:hint="eastAsia" w:ascii="宋体" w:hAnsi="宋体" w:cs="微软雅黑"/>
                <w:szCs w:val="21"/>
              </w:rPr>
            </w:pPr>
            <w:r>
              <w:rPr>
                <w:rFonts w:hint="eastAsia" w:ascii="宋体" w:hAnsi="宋体" w:cs="微软雅黑"/>
                <w:szCs w:val="21"/>
              </w:rPr>
              <w:t>放射性屏蔽运输箱</w:t>
            </w:r>
          </w:p>
          <w:p w14:paraId="2A1EB233">
            <w:pPr>
              <w:tabs>
                <w:tab w:val="left" w:pos="180"/>
                <w:tab w:val="left" w:pos="1620"/>
              </w:tabs>
              <w:spacing w:line="360" w:lineRule="exact"/>
              <w:jc w:val="left"/>
              <w:rPr>
                <w:rFonts w:hint="eastAsia" w:ascii="宋体" w:hAnsi="宋体" w:cs="微软雅黑"/>
                <w:szCs w:val="21"/>
              </w:rPr>
            </w:pPr>
            <w:r>
              <w:rPr>
                <w:rFonts w:hint="eastAsia" w:ascii="宋体" w:hAnsi="宋体" w:cs="微软雅黑"/>
                <w:szCs w:val="21"/>
              </w:rPr>
              <w:t>1.铅罐内外腔表层材质为304不锈钢</w:t>
            </w:r>
            <w:r>
              <w:rPr>
                <w:rFonts w:ascii="宋体" w:hAnsi="宋体" w:cs="微软雅黑"/>
                <w:szCs w:val="21"/>
              </w:rPr>
              <w:t>……</w:t>
            </w:r>
          </w:p>
        </w:tc>
      </w:tr>
      <w:tr w14:paraId="5682F66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46" w:type="pct"/>
            <w:tcBorders>
              <w:top w:val="single" w:color="auto" w:sz="4" w:space="0"/>
              <w:left w:val="single" w:color="auto" w:sz="4" w:space="0"/>
              <w:bottom w:val="single" w:color="auto" w:sz="4" w:space="0"/>
              <w:right w:val="single" w:color="auto" w:sz="4" w:space="0"/>
            </w:tcBorders>
            <w:noWrap w:val="0"/>
            <w:vAlign w:val="center"/>
          </w:tcPr>
          <w:p w14:paraId="18D28990">
            <w:pPr>
              <w:snapToGrid w:val="0"/>
              <w:spacing w:line="360" w:lineRule="auto"/>
              <w:jc w:val="center"/>
              <w:rPr>
                <w:rFonts w:hint="eastAsia" w:ascii="宋体" w:hAnsi="宋体"/>
                <w:szCs w:val="21"/>
              </w:rPr>
            </w:pPr>
            <w:r>
              <w:rPr>
                <w:rFonts w:hint="eastAsia" w:ascii="宋体" w:hAnsi="宋体"/>
                <w:szCs w:val="21"/>
              </w:rPr>
              <w:t>2</w:t>
            </w:r>
          </w:p>
        </w:tc>
        <w:tc>
          <w:tcPr>
            <w:tcW w:w="936" w:type="pct"/>
            <w:tcBorders>
              <w:top w:val="single" w:color="auto" w:sz="4" w:space="0"/>
              <w:left w:val="single" w:color="auto" w:sz="4" w:space="0"/>
              <w:bottom w:val="single" w:color="auto" w:sz="4" w:space="0"/>
              <w:right w:val="single" w:color="auto" w:sz="4" w:space="0"/>
            </w:tcBorders>
            <w:noWrap w:val="0"/>
            <w:vAlign w:val="bottom"/>
          </w:tcPr>
          <w:p w14:paraId="2CF89570">
            <w:pPr>
              <w:snapToGrid w:val="0"/>
              <w:spacing w:line="360" w:lineRule="auto"/>
              <w:jc w:val="center"/>
              <w:rPr>
                <w:rFonts w:ascii="宋体" w:hAnsi="宋体"/>
                <w:szCs w:val="21"/>
              </w:rPr>
            </w:pPr>
            <w:r>
              <w:rPr>
                <w:rFonts w:hint="eastAsia" w:ascii="宋体" w:hAnsi="宋体"/>
                <w:szCs w:val="21"/>
              </w:rPr>
              <w:t>伤员去污洗消装置</w:t>
            </w:r>
          </w:p>
        </w:tc>
        <w:tc>
          <w:tcPr>
            <w:tcW w:w="655" w:type="pct"/>
            <w:tcBorders>
              <w:top w:val="single" w:color="auto" w:sz="4" w:space="0"/>
              <w:left w:val="single" w:color="auto" w:sz="4" w:space="0"/>
              <w:bottom w:val="single" w:color="auto" w:sz="4" w:space="0"/>
              <w:right w:val="single" w:color="auto" w:sz="4" w:space="0"/>
            </w:tcBorders>
            <w:noWrap w:val="0"/>
            <w:vAlign w:val="center"/>
          </w:tcPr>
          <w:p w14:paraId="08724267">
            <w:pPr>
              <w:tabs>
                <w:tab w:val="left" w:pos="180"/>
                <w:tab w:val="left" w:pos="1620"/>
              </w:tabs>
              <w:spacing w:line="360" w:lineRule="exact"/>
              <w:jc w:val="center"/>
              <w:rPr>
                <w:rFonts w:ascii="宋体" w:hAnsi="宋体" w:cs="微软雅黑"/>
                <w:szCs w:val="21"/>
              </w:rPr>
            </w:pPr>
            <w:r>
              <w:rPr>
                <w:rFonts w:hint="eastAsia" w:ascii="宋体" w:hAnsi="宋体" w:cs="微软雅黑"/>
                <w:szCs w:val="21"/>
              </w:rPr>
              <w:t>2个</w:t>
            </w:r>
          </w:p>
        </w:tc>
        <w:tc>
          <w:tcPr>
            <w:tcW w:w="2964" w:type="pct"/>
            <w:tcBorders>
              <w:top w:val="single" w:color="auto" w:sz="4" w:space="0"/>
              <w:left w:val="single" w:color="auto" w:sz="4" w:space="0"/>
              <w:bottom w:val="single" w:color="auto" w:sz="4" w:space="0"/>
              <w:right w:val="single" w:color="auto" w:sz="4" w:space="0"/>
            </w:tcBorders>
            <w:noWrap w:val="0"/>
            <w:vAlign w:val="center"/>
          </w:tcPr>
          <w:p w14:paraId="534E4AAC">
            <w:pPr>
              <w:tabs>
                <w:tab w:val="left" w:pos="180"/>
                <w:tab w:val="left" w:pos="1620"/>
              </w:tabs>
              <w:spacing w:line="360" w:lineRule="exact"/>
              <w:jc w:val="left"/>
              <w:rPr>
                <w:rFonts w:hint="eastAsia" w:ascii="宋体" w:hAnsi="宋体" w:cs="微软雅黑"/>
                <w:szCs w:val="21"/>
              </w:rPr>
            </w:pPr>
            <w:r>
              <w:rPr>
                <w:rFonts w:hint="eastAsia" w:ascii="宋体" w:hAnsi="宋体" w:cs="微软雅黑"/>
                <w:szCs w:val="21"/>
              </w:rPr>
              <w:t>（一）伤员去污洗消机性能指标</w:t>
            </w:r>
            <w:r>
              <w:rPr>
                <w:rFonts w:hint="eastAsia" w:ascii="宋体" w:hAnsi="宋体" w:cs="微软雅黑"/>
                <w:szCs w:val="21"/>
              </w:rPr>
              <w:tab/>
            </w:r>
          </w:p>
          <w:p w14:paraId="07D448A1">
            <w:pPr>
              <w:tabs>
                <w:tab w:val="left" w:pos="180"/>
                <w:tab w:val="left" w:pos="1620"/>
              </w:tabs>
              <w:spacing w:line="360" w:lineRule="exact"/>
              <w:jc w:val="left"/>
              <w:rPr>
                <w:rFonts w:hint="eastAsia" w:ascii="宋体" w:hAnsi="宋体" w:cs="微软雅黑"/>
                <w:szCs w:val="21"/>
              </w:rPr>
            </w:pPr>
            <w:r>
              <w:rPr>
                <w:rFonts w:hint="eastAsia" w:ascii="宋体" w:hAnsi="宋体" w:cs="微软雅黑"/>
                <w:szCs w:val="21"/>
              </w:rPr>
              <w:t xml:space="preserve">1.使用电压/频率：220 V/50 Hz </w:t>
            </w:r>
          </w:p>
          <w:p w14:paraId="67CF8B8F">
            <w:pPr>
              <w:tabs>
                <w:tab w:val="left" w:pos="180"/>
                <w:tab w:val="left" w:pos="1620"/>
              </w:tabs>
              <w:spacing w:line="360" w:lineRule="exact"/>
              <w:jc w:val="left"/>
              <w:rPr>
                <w:rFonts w:hint="eastAsia" w:ascii="宋体" w:hAnsi="宋体" w:cs="微软雅黑"/>
                <w:szCs w:val="21"/>
              </w:rPr>
            </w:pPr>
            <w:r>
              <w:rPr>
                <w:rFonts w:hint="eastAsia" w:ascii="宋体" w:hAnsi="宋体" w:cs="微软雅黑"/>
                <w:szCs w:val="21"/>
              </w:rPr>
              <w:t>2.整机功率：≥2600 W，其中：水泵≥250 W，风泵≥1350 W，加热器≥1000 W</w:t>
            </w:r>
            <w:r>
              <w:rPr>
                <w:rFonts w:ascii="宋体" w:hAnsi="宋体" w:cs="微软雅黑"/>
                <w:szCs w:val="21"/>
              </w:rPr>
              <w:t>……</w:t>
            </w:r>
          </w:p>
        </w:tc>
      </w:tr>
      <w:tr w14:paraId="63DBCD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46" w:type="pct"/>
            <w:tcBorders>
              <w:top w:val="single" w:color="auto" w:sz="4" w:space="0"/>
              <w:left w:val="single" w:color="auto" w:sz="4" w:space="0"/>
              <w:bottom w:val="single" w:color="auto" w:sz="4" w:space="0"/>
              <w:right w:val="single" w:color="auto" w:sz="4" w:space="0"/>
            </w:tcBorders>
            <w:noWrap w:val="0"/>
            <w:vAlign w:val="center"/>
          </w:tcPr>
          <w:p w14:paraId="7874EEE8">
            <w:pPr>
              <w:snapToGrid w:val="0"/>
              <w:spacing w:line="360" w:lineRule="auto"/>
              <w:jc w:val="center"/>
              <w:rPr>
                <w:rFonts w:hint="eastAsia" w:ascii="宋体" w:hAnsi="宋体"/>
                <w:szCs w:val="21"/>
              </w:rPr>
            </w:pPr>
            <w:r>
              <w:rPr>
                <w:rFonts w:hint="eastAsia" w:ascii="宋体" w:hAnsi="宋体"/>
                <w:szCs w:val="21"/>
              </w:rPr>
              <w:t>……</w:t>
            </w:r>
          </w:p>
        </w:tc>
        <w:tc>
          <w:tcPr>
            <w:tcW w:w="936" w:type="pct"/>
            <w:tcBorders>
              <w:top w:val="single" w:color="auto" w:sz="4" w:space="0"/>
              <w:left w:val="single" w:color="auto" w:sz="4" w:space="0"/>
              <w:bottom w:val="single" w:color="auto" w:sz="4" w:space="0"/>
              <w:right w:val="single" w:color="auto" w:sz="4" w:space="0"/>
            </w:tcBorders>
            <w:noWrap w:val="0"/>
            <w:vAlign w:val="bottom"/>
          </w:tcPr>
          <w:p w14:paraId="0F4755D2">
            <w:pPr>
              <w:snapToGrid w:val="0"/>
              <w:spacing w:line="360" w:lineRule="auto"/>
              <w:jc w:val="center"/>
              <w:rPr>
                <w:rFonts w:hint="eastAsia" w:ascii="宋体" w:hAnsi="宋体"/>
                <w:szCs w:val="21"/>
              </w:rPr>
            </w:pPr>
            <w:r>
              <w:rPr>
                <w:rFonts w:hint="eastAsia" w:ascii="宋体" w:hAnsi="宋体"/>
                <w:szCs w:val="21"/>
              </w:rPr>
              <w:t>……</w:t>
            </w:r>
          </w:p>
        </w:tc>
        <w:tc>
          <w:tcPr>
            <w:tcW w:w="655" w:type="pct"/>
            <w:tcBorders>
              <w:top w:val="single" w:color="auto" w:sz="4" w:space="0"/>
              <w:left w:val="single" w:color="auto" w:sz="4" w:space="0"/>
              <w:bottom w:val="single" w:color="auto" w:sz="4" w:space="0"/>
              <w:right w:val="single" w:color="auto" w:sz="4" w:space="0"/>
            </w:tcBorders>
            <w:noWrap w:val="0"/>
            <w:vAlign w:val="center"/>
          </w:tcPr>
          <w:p w14:paraId="22633D0E">
            <w:pPr>
              <w:tabs>
                <w:tab w:val="left" w:pos="180"/>
                <w:tab w:val="left" w:pos="1620"/>
              </w:tabs>
              <w:spacing w:line="360" w:lineRule="exact"/>
              <w:jc w:val="center"/>
              <w:rPr>
                <w:rFonts w:hint="eastAsia" w:ascii="宋体" w:hAnsi="宋体" w:cs="微软雅黑"/>
                <w:szCs w:val="21"/>
              </w:rPr>
            </w:pPr>
            <w:r>
              <w:rPr>
                <w:rFonts w:hint="eastAsia" w:ascii="宋体" w:hAnsi="宋体" w:cs="微软雅黑"/>
                <w:szCs w:val="21"/>
              </w:rPr>
              <w:t>……</w:t>
            </w:r>
          </w:p>
        </w:tc>
        <w:tc>
          <w:tcPr>
            <w:tcW w:w="2964" w:type="pct"/>
            <w:tcBorders>
              <w:top w:val="single" w:color="auto" w:sz="4" w:space="0"/>
              <w:left w:val="single" w:color="auto" w:sz="4" w:space="0"/>
              <w:bottom w:val="single" w:color="auto" w:sz="4" w:space="0"/>
              <w:right w:val="single" w:color="auto" w:sz="4" w:space="0"/>
            </w:tcBorders>
            <w:noWrap w:val="0"/>
            <w:vAlign w:val="center"/>
          </w:tcPr>
          <w:p w14:paraId="71B90829">
            <w:pPr>
              <w:tabs>
                <w:tab w:val="left" w:pos="180"/>
                <w:tab w:val="left" w:pos="1620"/>
              </w:tabs>
              <w:spacing w:line="360" w:lineRule="exact"/>
              <w:jc w:val="left"/>
              <w:rPr>
                <w:rFonts w:hint="eastAsia" w:ascii="宋体" w:hAnsi="宋体" w:cs="微软雅黑"/>
                <w:szCs w:val="21"/>
              </w:rPr>
            </w:pPr>
            <w:r>
              <w:rPr>
                <w:rFonts w:hint="eastAsia" w:ascii="宋体" w:hAnsi="宋体" w:cs="微软雅黑"/>
                <w:szCs w:val="21"/>
              </w:rPr>
              <w:t>……</w:t>
            </w:r>
          </w:p>
        </w:tc>
      </w:tr>
    </w:tbl>
    <w:p w14:paraId="0764403E">
      <w:pPr>
        <w:spacing w:line="360" w:lineRule="auto"/>
        <w:ind w:firstLine="420" w:firstLineChars="200"/>
        <w:rPr>
          <w:rFonts w:ascii="宋体" w:hAnsi="宋体"/>
          <w:szCs w:val="21"/>
          <w:u w:val="single"/>
        </w:rPr>
      </w:pPr>
      <w:r>
        <w:rPr>
          <w:rFonts w:hint="eastAsia" w:ascii="宋体" w:hAnsi="宋体"/>
          <w:szCs w:val="21"/>
        </w:rPr>
        <w:t>合同履行期限：自签订合同之日起 45 日历日内，安装调试完毕并交付使用。</w:t>
      </w:r>
    </w:p>
    <w:p w14:paraId="67DFD646">
      <w:pPr>
        <w:spacing w:line="360" w:lineRule="auto"/>
        <w:ind w:firstLine="420" w:firstLineChars="200"/>
        <w:rPr>
          <w:rFonts w:ascii="宋体" w:hAnsi="宋体"/>
          <w:szCs w:val="21"/>
        </w:rPr>
      </w:pPr>
      <w:r>
        <w:rPr>
          <w:rFonts w:hint="eastAsia" w:ascii="宋体" w:hAnsi="宋体"/>
          <w:szCs w:val="21"/>
        </w:rPr>
        <w:t>分标4</w:t>
      </w:r>
      <w:r>
        <w:rPr>
          <w:rFonts w:ascii="宋体" w:hAnsi="宋体"/>
          <w:szCs w:val="21"/>
        </w:rPr>
        <w:t xml:space="preserve"> </w:t>
      </w:r>
    </w:p>
    <w:tbl>
      <w:tblPr>
        <w:tblStyle w:val="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60"/>
        <w:gridCol w:w="1595"/>
        <w:gridCol w:w="1116"/>
        <w:gridCol w:w="5051"/>
      </w:tblGrid>
      <w:tr w14:paraId="451C66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46" w:type="pct"/>
            <w:tcBorders>
              <w:top w:val="single" w:color="auto" w:sz="4" w:space="0"/>
              <w:left w:val="single" w:color="auto" w:sz="4" w:space="0"/>
              <w:bottom w:val="single" w:color="auto" w:sz="4" w:space="0"/>
              <w:right w:val="single" w:color="auto" w:sz="4" w:space="0"/>
            </w:tcBorders>
            <w:noWrap w:val="0"/>
            <w:vAlign w:val="center"/>
          </w:tcPr>
          <w:p w14:paraId="341BB7E3">
            <w:pPr>
              <w:snapToGrid w:val="0"/>
              <w:spacing w:line="360" w:lineRule="auto"/>
              <w:jc w:val="center"/>
              <w:rPr>
                <w:rFonts w:ascii="宋体" w:hAnsi="宋体"/>
                <w:szCs w:val="21"/>
              </w:rPr>
            </w:pPr>
            <w:r>
              <w:rPr>
                <w:rFonts w:hint="eastAsia" w:ascii="宋体" w:hAnsi="宋体"/>
                <w:szCs w:val="21"/>
              </w:rPr>
              <w:t>序号</w:t>
            </w:r>
          </w:p>
        </w:tc>
        <w:tc>
          <w:tcPr>
            <w:tcW w:w="936" w:type="pct"/>
            <w:tcBorders>
              <w:top w:val="single" w:color="auto" w:sz="4" w:space="0"/>
              <w:left w:val="single" w:color="auto" w:sz="4" w:space="0"/>
              <w:bottom w:val="single" w:color="auto" w:sz="4" w:space="0"/>
              <w:right w:val="single" w:color="auto" w:sz="4" w:space="0"/>
            </w:tcBorders>
            <w:noWrap w:val="0"/>
            <w:vAlign w:val="center"/>
          </w:tcPr>
          <w:p w14:paraId="6DD54D64">
            <w:pPr>
              <w:snapToGrid w:val="0"/>
              <w:spacing w:line="360" w:lineRule="auto"/>
              <w:jc w:val="center"/>
              <w:rPr>
                <w:rFonts w:ascii="宋体" w:hAnsi="宋体"/>
                <w:szCs w:val="21"/>
              </w:rPr>
            </w:pPr>
            <w:r>
              <w:rPr>
                <w:rFonts w:hint="eastAsia" w:ascii="宋体" w:hAnsi="宋体"/>
                <w:szCs w:val="21"/>
              </w:rPr>
              <w:t>标的的名称</w:t>
            </w:r>
          </w:p>
        </w:tc>
        <w:tc>
          <w:tcPr>
            <w:tcW w:w="655" w:type="pct"/>
            <w:tcBorders>
              <w:top w:val="single" w:color="auto" w:sz="4" w:space="0"/>
              <w:left w:val="single" w:color="auto" w:sz="4" w:space="0"/>
              <w:bottom w:val="single" w:color="auto" w:sz="4" w:space="0"/>
              <w:right w:val="single" w:color="auto" w:sz="4" w:space="0"/>
            </w:tcBorders>
            <w:noWrap w:val="0"/>
            <w:vAlign w:val="center"/>
          </w:tcPr>
          <w:p w14:paraId="7B980C42">
            <w:pPr>
              <w:snapToGrid w:val="0"/>
              <w:spacing w:line="360" w:lineRule="auto"/>
              <w:jc w:val="center"/>
              <w:rPr>
                <w:rFonts w:ascii="宋体" w:hAnsi="宋体"/>
                <w:szCs w:val="21"/>
              </w:rPr>
            </w:pPr>
            <w:r>
              <w:rPr>
                <w:rFonts w:hint="eastAsia" w:ascii="宋体" w:hAnsi="宋体"/>
                <w:szCs w:val="21"/>
              </w:rPr>
              <w:t>数量及</w:t>
            </w:r>
          </w:p>
          <w:p w14:paraId="4315EAF5">
            <w:pPr>
              <w:snapToGrid w:val="0"/>
              <w:spacing w:line="360" w:lineRule="auto"/>
              <w:jc w:val="center"/>
              <w:rPr>
                <w:rFonts w:ascii="宋体" w:hAnsi="宋体"/>
                <w:szCs w:val="21"/>
              </w:rPr>
            </w:pPr>
            <w:r>
              <w:rPr>
                <w:rFonts w:hint="eastAsia" w:ascii="宋体" w:hAnsi="宋体"/>
                <w:szCs w:val="21"/>
              </w:rPr>
              <w:t>单位</w:t>
            </w:r>
          </w:p>
        </w:tc>
        <w:tc>
          <w:tcPr>
            <w:tcW w:w="2964" w:type="pct"/>
            <w:tcBorders>
              <w:top w:val="single" w:color="auto" w:sz="4" w:space="0"/>
              <w:left w:val="single" w:color="auto" w:sz="4" w:space="0"/>
              <w:bottom w:val="single" w:color="auto" w:sz="4" w:space="0"/>
              <w:right w:val="single" w:color="auto" w:sz="4" w:space="0"/>
            </w:tcBorders>
            <w:noWrap w:val="0"/>
            <w:vAlign w:val="center"/>
          </w:tcPr>
          <w:p w14:paraId="05A6C479">
            <w:pPr>
              <w:snapToGrid w:val="0"/>
              <w:spacing w:line="360" w:lineRule="auto"/>
              <w:jc w:val="center"/>
              <w:rPr>
                <w:rFonts w:ascii="宋体" w:hAnsi="宋体"/>
                <w:szCs w:val="21"/>
              </w:rPr>
            </w:pPr>
            <w:r>
              <w:rPr>
                <w:rFonts w:hint="eastAsia" w:ascii="宋体" w:hAnsi="宋体"/>
                <w:szCs w:val="21"/>
              </w:rPr>
              <w:t>简要技术需求或者服务要求</w:t>
            </w:r>
          </w:p>
        </w:tc>
      </w:tr>
      <w:tr w14:paraId="7D2407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446" w:type="pct"/>
            <w:tcBorders>
              <w:top w:val="single" w:color="auto" w:sz="4" w:space="0"/>
              <w:left w:val="single" w:color="auto" w:sz="4" w:space="0"/>
              <w:bottom w:val="single" w:color="auto" w:sz="4" w:space="0"/>
              <w:right w:val="single" w:color="auto" w:sz="4" w:space="0"/>
            </w:tcBorders>
            <w:noWrap w:val="0"/>
            <w:vAlign w:val="center"/>
          </w:tcPr>
          <w:p w14:paraId="72BB9602">
            <w:pPr>
              <w:snapToGrid w:val="0"/>
              <w:spacing w:line="360" w:lineRule="auto"/>
              <w:jc w:val="center"/>
              <w:rPr>
                <w:rFonts w:ascii="宋体" w:hAnsi="宋体"/>
                <w:szCs w:val="21"/>
              </w:rPr>
            </w:pPr>
            <w:r>
              <w:rPr>
                <w:rFonts w:hint="eastAsia" w:ascii="宋体" w:hAnsi="宋体"/>
                <w:szCs w:val="21"/>
              </w:rPr>
              <w:t>1</w:t>
            </w:r>
          </w:p>
        </w:tc>
        <w:tc>
          <w:tcPr>
            <w:tcW w:w="936" w:type="pct"/>
            <w:tcBorders>
              <w:top w:val="single" w:color="auto" w:sz="4" w:space="0"/>
              <w:left w:val="single" w:color="auto" w:sz="4" w:space="0"/>
              <w:bottom w:val="single" w:color="auto" w:sz="4" w:space="0"/>
              <w:right w:val="single" w:color="auto" w:sz="4" w:space="0"/>
            </w:tcBorders>
            <w:noWrap w:val="0"/>
            <w:vAlign w:val="center"/>
          </w:tcPr>
          <w:p w14:paraId="17D0AEF7">
            <w:pPr>
              <w:tabs>
                <w:tab w:val="left" w:pos="180"/>
                <w:tab w:val="left" w:pos="1620"/>
              </w:tabs>
              <w:spacing w:line="360" w:lineRule="exact"/>
              <w:jc w:val="center"/>
              <w:rPr>
                <w:rFonts w:ascii="宋体" w:hAnsi="宋体" w:cs="微软雅黑"/>
                <w:szCs w:val="21"/>
              </w:rPr>
            </w:pPr>
            <w:r>
              <w:rPr>
                <w:rFonts w:hint="eastAsia"/>
                <w:szCs w:val="21"/>
              </w:rPr>
              <w:t>除颤仪</w:t>
            </w:r>
          </w:p>
        </w:tc>
        <w:tc>
          <w:tcPr>
            <w:tcW w:w="655" w:type="pct"/>
            <w:tcBorders>
              <w:top w:val="single" w:color="auto" w:sz="4" w:space="0"/>
              <w:left w:val="single" w:color="auto" w:sz="4" w:space="0"/>
              <w:bottom w:val="single" w:color="auto" w:sz="4" w:space="0"/>
              <w:right w:val="single" w:color="auto" w:sz="4" w:space="0"/>
            </w:tcBorders>
            <w:noWrap w:val="0"/>
            <w:vAlign w:val="center"/>
          </w:tcPr>
          <w:p w14:paraId="53F1F933">
            <w:pPr>
              <w:tabs>
                <w:tab w:val="left" w:pos="180"/>
                <w:tab w:val="left" w:pos="1620"/>
              </w:tabs>
              <w:spacing w:line="360" w:lineRule="exact"/>
              <w:jc w:val="center"/>
              <w:rPr>
                <w:rFonts w:ascii="宋体" w:hAnsi="宋体" w:cs="微软雅黑"/>
                <w:szCs w:val="21"/>
              </w:rPr>
            </w:pPr>
            <w:r>
              <w:rPr>
                <w:rFonts w:hint="eastAsia" w:ascii="宋体" w:hAnsi="宋体" w:cs="微软雅黑"/>
                <w:szCs w:val="21"/>
              </w:rPr>
              <w:t>2台</w:t>
            </w:r>
          </w:p>
        </w:tc>
        <w:tc>
          <w:tcPr>
            <w:tcW w:w="2964" w:type="pct"/>
            <w:tcBorders>
              <w:top w:val="single" w:color="auto" w:sz="4" w:space="0"/>
              <w:left w:val="single" w:color="auto" w:sz="4" w:space="0"/>
              <w:bottom w:val="single" w:color="auto" w:sz="4" w:space="0"/>
              <w:right w:val="single" w:color="auto" w:sz="4" w:space="0"/>
            </w:tcBorders>
            <w:noWrap w:val="0"/>
            <w:vAlign w:val="center"/>
          </w:tcPr>
          <w:p w14:paraId="2CC0BAC4">
            <w:pPr>
              <w:tabs>
                <w:tab w:val="left" w:pos="180"/>
                <w:tab w:val="left" w:pos="1620"/>
              </w:tabs>
              <w:spacing w:line="360" w:lineRule="exact"/>
              <w:jc w:val="left"/>
              <w:rPr>
                <w:rFonts w:hint="eastAsia" w:ascii="宋体" w:hAnsi="宋体" w:cs="微软雅黑"/>
                <w:szCs w:val="21"/>
              </w:rPr>
            </w:pPr>
            <w:r>
              <w:rPr>
                <w:rFonts w:hint="eastAsia" w:ascii="宋体" w:hAnsi="宋体" w:cs="微软雅黑"/>
                <w:szCs w:val="21"/>
              </w:rPr>
              <w:t>1. 重量：≤4.2kg（标配，含电池）。</w:t>
            </w:r>
          </w:p>
          <w:p w14:paraId="1D9A28B8">
            <w:pPr>
              <w:tabs>
                <w:tab w:val="left" w:pos="180"/>
                <w:tab w:val="left" w:pos="1620"/>
              </w:tabs>
              <w:spacing w:line="360" w:lineRule="exact"/>
              <w:jc w:val="left"/>
              <w:rPr>
                <w:rFonts w:hint="eastAsia" w:ascii="宋体" w:hAnsi="宋体" w:cs="微软雅黑"/>
                <w:szCs w:val="21"/>
              </w:rPr>
            </w:pPr>
            <w:r>
              <w:rPr>
                <w:rFonts w:hint="eastAsia" w:ascii="宋体" w:hAnsi="宋体" w:cs="微软雅黑"/>
                <w:szCs w:val="21"/>
              </w:rPr>
              <w:t>●2. 彩色电容触摸屏≥8英寸, 分辨率1024×768像素，可显示≥5通道监护参数波形，支持手势操作、自动亮度调节</w:t>
            </w:r>
            <w:r>
              <w:rPr>
                <w:rFonts w:ascii="宋体" w:hAnsi="宋体" w:cs="微软雅黑"/>
                <w:szCs w:val="21"/>
              </w:rPr>
              <w:t>……</w:t>
            </w:r>
          </w:p>
        </w:tc>
      </w:tr>
      <w:tr w14:paraId="0DFF485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46" w:type="pct"/>
            <w:tcBorders>
              <w:top w:val="single" w:color="auto" w:sz="4" w:space="0"/>
              <w:left w:val="single" w:color="auto" w:sz="4" w:space="0"/>
              <w:bottom w:val="single" w:color="auto" w:sz="4" w:space="0"/>
              <w:right w:val="single" w:color="auto" w:sz="4" w:space="0"/>
            </w:tcBorders>
            <w:noWrap w:val="0"/>
            <w:vAlign w:val="center"/>
          </w:tcPr>
          <w:p w14:paraId="215AECEB">
            <w:pPr>
              <w:snapToGrid w:val="0"/>
              <w:spacing w:line="360" w:lineRule="auto"/>
              <w:jc w:val="center"/>
              <w:rPr>
                <w:rFonts w:hint="eastAsia" w:ascii="宋体" w:hAnsi="宋体"/>
                <w:szCs w:val="21"/>
              </w:rPr>
            </w:pPr>
            <w:r>
              <w:rPr>
                <w:rFonts w:hint="eastAsia" w:ascii="宋体" w:hAnsi="宋体"/>
                <w:szCs w:val="21"/>
              </w:rPr>
              <w:t>2</w:t>
            </w:r>
          </w:p>
        </w:tc>
        <w:tc>
          <w:tcPr>
            <w:tcW w:w="936" w:type="pct"/>
            <w:tcBorders>
              <w:top w:val="single" w:color="auto" w:sz="4" w:space="0"/>
              <w:left w:val="single" w:color="auto" w:sz="4" w:space="0"/>
              <w:bottom w:val="single" w:color="auto" w:sz="4" w:space="0"/>
              <w:right w:val="single" w:color="auto" w:sz="4" w:space="0"/>
            </w:tcBorders>
            <w:noWrap w:val="0"/>
            <w:vAlign w:val="center"/>
          </w:tcPr>
          <w:p w14:paraId="5FD6EAD6">
            <w:pPr>
              <w:tabs>
                <w:tab w:val="left" w:pos="180"/>
                <w:tab w:val="left" w:pos="1620"/>
              </w:tabs>
              <w:spacing w:line="360" w:lineRule="exact"/>
              <w:jc w:val="center"/>
              <w:rPr>
                <w:rFonts w:ascii="宋体" w:hAnsi="宋体" w:cs="微软雅黑"/>
                <w:szCs w:val="21"/>
              </w:rPr>
            </w:pPr>
            <w:r>
              <w:rPr>
                <w:rFonts w:hint="eastAsia"/>
                <w:szCs w:val="21"/>
              </w:rPr>
              <w:t>输血泵</w:t>
            </w:r>
          </w:p>
        </w:tc>
        <w:tc>
          <w:tcPr>
            <w:tcW w:w="655" w:type="pct"/>
            <w:tcBorders>
              <w:top w:val="single" w:color="auto" w:sz="4" w:space="0"/>
              <w:left w:val="single" w:color="auto" w:sz="4" w:space="0"/>
              <w:bottom w:val="single" w:color="auto" w:sz="4" w:space="0"/>
              <w:right w:val="single" w:color="auto" w:sz="4" w:space="0"/>
            </w:tcBorders>
            <w:noWrap w:val="0"/>
            <w:vAlign w:val="center"/>
          </w:tcPr>
          <w:p w14:paraId="3C796B26">
            <w:pPr>
              <w:tabs>
                <w:tab w:val="left" w:pos="180"/>
                <w:tab w:val="left" w:pos="1620"/>
              </w:tabs>
              <w:spacing w:line="360" w:lineRule="exact"/>
              <w:jc w:val="center"/>
              <w:rPr>
                <w:rFonts w:ascii="宋体" w:hAnsi="宋体" w:cs="微软雅黑"/>
                <w:szCs w:val="21"/>
              </w:rPr>
            </w:pPr>
            <w:r>
              <w:rPr>
                <w:rFonts w:hint="eastAsia" w:ascii="宋体" w:hAnsi="宋体" w:cs="微软雅黑"/>
                <w:szCs w:val="21"/>
              </w:rPr>
              <w:t>6台</w:t>
            </w:r>
          </w:p>
        </w:tc>
        <w:tc>
          <w:tcPr>
            <w:tcW w:w="2964" w:type="pct"/>
            <w:tcBorders>
              <w:top w:val="single" w:color="auto" w:sz="4" w:space="0"/>
              <w:left w:val="single" w:color="auto" w:sz="4" w:space="0"/>
              <w:bottom w:val="single" w:color="auto" w:sz="4" w:space="0"/>
              <w:right w:val="single" w:color="auto" w:sz="4" w:space="0"/>
            </w:tcBorders>
            <w:noWrap w:val="0"/>
            <w:vAlign w:val="center"/>
          </w:tcPr>
          <w:p w14:paraId="091C35BF">
            <w:pPr>
              <w:tabs>
                <w:tab w:val="left" w:pos="180"/>
                <w:tab w:val="left" w:pos="1620"/>
              </w:tabs>
              <w:spacing w:line="360" w:lineRule="exact"/>
              <w:jc w:val="left"/>
              <w:rPr>
                <w:rFonts w:hint="eastAsia" w:ascii="宋体" w:hAnsi="宋体" w:cs="微软雅黑"/>
                <w:szCs w:val="21"/>
              </w:rPr>
            </w:pPr>
            <w:r>
              <w:rPr>
                <w:rFonts w:hint="eastAsia" w:ascii="宋体" w:hAnsi="宋体" w:cs="微软雅黑"/>
                <w:szCs w:val="21"/>
              </w:rPr>
              <w:t>（一）技术参数</w:t>
            </w:r>
          </w:p>
          <w:p w14:paraId="07A0FC9F">
            <w:pPr>
              <w:tabs>
                <w:tab w:val="left" w:pos="180"/>
                <w:tab w:val="left" w:pos="1620"/>
              </w:tabs>
              <w:spacing w:line="360" w:lineRule="exact"/>
              <w:jc w:val="left"/>
              <w:rPr>
                <w:rFonts w:hint="eastAsia" w:ascii="宋体" w:hAnsi="宋体" w:cs="微软雅黑"/>
                <w:szCs w:val="21"/>
              </w:rPr>
            </w:pPr>
            <w:r>
              <w:rPr>
                <w:rFonts w:hint="eastAsia" w:ascii="宋体" w:hAnsi="宋体" w:cs="微软雅黑"/>
                <w:szCs w:val="21"/>
              </w:rPr>
              <w:t>1.输注模式：输血专用蠕动挤压式，支持红细胞、血浆、血小板、冷沉淀全品类血制品</w:t>
            </w:r>
            <w:r>
              <w:rPr>
                <w:rFonts w:ascii="宋体" w:hAnsi="宋体" w:cs="微软雅黑"/>
                <w:szCs w:val="21"/>
              </w:rPr>
              <w:t>……</w:t>
            </w:r>
          </w:p>
        </w:tc>
      </w:tr>
      <w:tr w14:paraId="7CC43B4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46" w:type="pct"/>
            <w:tcBorders>
              <w:top w:val="single" w:color="auto" w:sz="4" w:space="0"/>
              <w:left w:val="single" w:color="auto" w:sz="4" w:space="0"/>
              <w:bottom w:val="single" w:color="auto" w:sz="4" w:space="0"/>
              <w:right w:val="single" w:color="auto" w:sz="4" w:space="0"/>
            </w:tcBorders>
            <w:noWrap w:val="0"/>
            <w:vAlign w:val="center"/>
          </w:tcPr>
          <w:p w14:paraId="1317F9F4">
            <w:pPr>
              <w:snapToGrid w:val="0"/>
              <w:spacing w:line="360" w:lineRule="auto"/>
              <w:jc w:val="center"/>
              <w:rPr>
                <w:rFonts w:hint="eastAsia" w:ascii="宋体" w:hAnsi="宋体"/>
                <w:szCs w:val="21"/>
              </w:rPr>
            </w:pPr>
            <w:r>
              <w:rPr>
                <w:rFonts w:hint="eastAsia" w:ascii="宋体" w:hAnsi="宋体"/>
                <w:szCs w:val="21"/>
              </w:rPr>
              <w:t>……</w:t>
            </w:r>
          </w:p>
        </w:tc>
        <w:tc>
          <w:tcPr>
            <w:tcW w:w="936" w:type="pct"/>
            <w:tcBorders>
              <w:top w:val="single" w:color="auto" w:sz="4" w:space="0"/>
              <w:left w:val="single" w:color="auto" w:sz="4" w:space="0"/>
              <w:bottom w:val="single" w:color="auto" w:sz="4" w:space="0"/>
              <w:right w:val="single" w:color="auto" w:sz="4" w:space="0"/>
            </w:tcBorders>
            <w:noWrap w:val="0"/>
            <w:vAlign w:val="bottom"/>
          </w:tcPr>
          <w:p w14:paraId="5BF81A77">
            <w:pPr>
              <w:tabs>
                <w:tab w:val="left" w:pos="180"/>
                <w:tab w:val="left" w:pos="1620"/>
              </w:tabs>
              <w:spacing w:line="360" w:lineRule="exact"/>
              <w:jc w:val="center"/>
              <w:rPr>
                <w:rFonts w:hint="eastAsia" w:ascii="宋体" w:hAnsi="宋体" w:cs="微软雅黑"/>
                <w:szCs w:val="21"/>
              </w:rPr>
            </w:pPr>
            <w:r>
              <w:rPr>
                <w:rFonts w:hint="eastAsia" w:ascii="宋体" w:hAnsi="宋体" w:cs="微软雅黑"/>
                <w:szCs w:val="21"/>
              </w:rPr>
              <w:t>……</w:t>
            </w:r>
          </w:p>
        </w:tc>
        <w:tc>
          <w:tcPr>
            <w:tcW w:w="655" w:type="pct"/>
            <w:tcBorders>
              <w:top w:val="single" w:color="auto" w:sz="4" w:space="0"/>
              <w:left w:val="single" w:color="auto" w:sz="4" w:space="0"/>
              <w:bottom w:val="single" w:color="auto" w:sz="4" w:space="0"/>
              <w:right w:val="single" w:color="auto" w:sz="4" w:space="0"/>
            </w:tcBorders>
            <w:noWrap w:val="0"/>
            <w:vAlign w:val="center"/>
          </w:tcPr>
          <w:p w14:paraId="4BD58754">
            <w:pPr>
              <w:tabs>
                <w:tab w:val="left" w:pos="180"/>
                <w:tab w:val="left" w:pos="1620"/>
              </w:tabs>
              <w:spacing w:line="360" w:lineRule="exact"/>
              <w:jc w:val="center"/>
              <w:rPr>
                <w:rFonts w:hint="eastAsia" w:ascii="宋体" w:hAnsi="宋体" w:cs="微软雅黑"/>
                <w:szCs w:val="21"/>
              </w:rPr>
            </w:pPr>
            <w:r>
              <w:rPr>
                <w:rFonts w:hint="eastAsia" w:ascii="宋体" w:hAnsi="宋体" w:cs="微软雅黑"/>
                <w:szCs w:val="21"/>
              </w:rPr>
              <w:t>……</w:t>
            </w:r>
          </w:p>
        </w:tc>
        <w:tc>
          <w:tcPr>
            <w:tcW w:w="2964" w:type="pct"/>
            <w:tcBorders>
              <w:top w:val="single" w:color="auto" w:sz="4" w:space="0"/>
              <w:left w:val="single" w:color="auto" w:sz="4" w:space="0"/>
              <w:bottom w:val="single" w:color="auto" w:sz="4" w:space="0"/>
              <w:right w:val="single" w:color="auto" w:sz="4" w:space="0"/>
            </w:tcBorders>
            <w:noWrap w:val="0"/>
            <w:vAlign w:val="center"/>
          </w:tcPr>
          <w:p w14:paraId="05A0C61D">
            <w:pPr>
              <w:tabs>
                <w:tab w:val="left" w:pos="180"/>
                <w:tab w:val="left" w:pos="1620"/>
              </w:tabs>
              <w:spacing w:line="360" w:lineRule="exact"/>
              <w:jc w:val="left"/>
              <w:rPr>
                <w:rFonts w:hint="eastAsia" w:ascii="宋体" w:hAnsi="宋体" w:cs="微软雅黑"/>
                <w:szCs w:val="21"/>
              </w:rPr>
            </w:pPr>
            <w:r>
              <w:rPr>
                <w:rFonts w:hint="eastAsia" w:ascii="宋体" w:hAnsi="宋体" w:cs="微软雅黑"/>
                <w:szCs w:val="21"/>
              </w:rPr>
              <w:t>……</w:t>
            </w:r>
          </w:p>
        </w:tc>
      </w:tr>
    </w:tbl>
    <w:p w14:paraId="4BAD1B9F">
      <w:pPr>
        <w:spacing w:line="360" w:lineRule="auto"/>
        <w:ind w:firstLine="420" w:firstLineChars="200"/>
        <w:rPr>
          <w:rFonts w:ascii="宋体" w:hAnsi="宋体"/>
          <w:szCs w:val="21"/>
          <w:u w:val="single"/>
        </w:rPr>
      </w:pPr>
      <w:r>
        <w:rPr>
          <w:rFonts w:hint="eastAsia" w:ascii="宋体" w:hAnsi="宋体"/>
          <w:szCs w:val="21"/>
        </w:rPr>
        <w:t>合同履行期限：自签订合同之日起 45 日历日内，安装调试完毕并交付使用。</w:t>
      </w:r>
    </w:p>
    <w:p w14:paraId="39766A93">
      <w:pPr>
        <w:spacing w:line="360" w:lineRule="auto"/>
        <w:ind w:firstLine="420" w:firstLineChars="200"/>
        <w:rPr>
          <w:rFonts w:ascii="宋体" w:hAnsi="宋体"/>
          <w:szCs w:val="21"/>
        </w:rPr>
      </w:pPr>
      <w:r>
        <w:rPr>
          <w:rFonts w:hint="eastAsia" w:ascii="宋体" w:hAnsi="宋体"/>
          <w:szCs w:val="21"/>
        </w:rPr>
        <w:t>分标5</w:t>
      </w:r>
      <w:r>
        <w:rPr>
          <w:rFonts w:ascii="宋体" w:hAnsi="宋体"/>
          <w:szCs w:val="21"/>
        </w:rPr>
        <w:t xml:space="preserve"> </w:t>
      </w:r>
    </w:p>
    <w:tbl>
      <w:tblPr>
        <w:tblStyle w:val="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58"/>
        <w:gridCol w:w="1595"/>
        <w:gridCol w:w="1116"/>
        <w:gridCol w:w="5053"/>
      </w:tblGrid>
      <w:tr w14:paraId="5F9FB7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45" w:type="pct"/>
            <w:tcBorders>
              <w:top w:val="single" w:color="auto" w:sz="4" w:space="0"/>
              <w:left w:val="single" w:color="auto" w:sz="4" w:space="0"/>
              <w:bottom w:val="single" w:color="auto" w:sz="4" w:space="0"/>
              <w:right w:val="single" w:color="auto" w:sz="4" w:space="0"/>
            </w:tcBorders>
            <w:noWrap w:val="0"/>
            <w:vAlign w:val="center"/>
          </w:tcPr>
          <w:p w14:paraId="41F0CB78">
            <w:pPr>
              <w:snapToGrid w:val="0"/>
              <w:spacing w:line="360" w:lineRule="auto"/>
              <w:jc w:val="center"/>
              <w:rPr>
                <w:rFonts w:ascii="宋体" w:hAnsi="宋体"/>
                <w:szCs w:val="21"/>
              </w:rPr>
            </w:pPr>
            <w:r>
              <w:rPr>
                <w:rFonts w:hint="eastAsia" w:ascii="宋体" w:hAnsi="宋体"/>
                <w:szCs w:val="21"/>
              </w:rPr>
              <w:t>序号</w:t>
            </w:r>
          </w:p>
        </w:tc>
        <w:tc>
          <w:tcPr>
            <w:tcW w:w="936" w:type="pct"/>
            <w:tcBorders>
              <w:top w:val="single" w:color="auto" w:sz="4" w:space="0"/>
              <w:left w:val="single" w:color="auto" w:sz="4" w:space="0"/>
              <w:bottom w:val="single" w:color="auto" w:sz="4" w:space="0"/>
              <w:right w:val="single" w:color="auto" w:sz="4" w:space="0"/>
            </w:tcBorders>
            <w:noWrap w:val="0"/>
            <w:vAlign w:val="center"/>
          </w:tcPr>
          <w:p w14:paraId="172518E8">
            <w:pPr>
              <w:snapToGrid w:val="0"/>
              <w:spacing w:line="360" w:lineRule="auto"/>
              <w:jc w:val="center"/>
              <w:rPr>
                <w:rFonts w:ascii="宋体" w:hAnsi="宋体"/>
                <w:szCs w:val="21"/>
              </w:rPr>
            </w:pPr>
            <w:r>
              <w:rPr>
                <w:rFonts w:hint="eastAsia" w:ascii="宋体" w:hAnsi="宋体"/>
                <w:szCs w:val="21"/>
              </w:rPr>
              <w:t>标的的名称</w:t>
            </w:r>
          </w:p>
        </w:tc>
        <w:tc>
          <w:tcPr>
            <w:tcW w:w="655" w:type="pct"/>
            <w:tcBorders>
              <w:top w:val="single" w:color="auto" w:sz="4" w:space="0"/>
              <w:left w:val="single" w:color="auto" w:sz="4" w:space="0"/>
              <w:bottom w:val="single" w:color="auto" w:sz="4" w:space="0"/>
              <w:right w:val="single" w:color="auto" w:sz="4" w:space="0"/>
            </w:tcBorders>
            <w:noWrap w:val="0"/>
            <w:vAlign w:val="center"/>
          </w:tcPr>
          <w:p w14:paraId="0FFC6DB9">
            <w:pPr>
              <w:snapToGrid w:val="0"/>
              <w:spacing w:line="360" w:lineRule="auto"/>
              <w:jc w:val="center"/>
              <w:rPr>
                <w:rFonts w:ascii="宋体" w:hAnsi="宋体"/>
                <w:szCs w:val="21"/>
              </w:rPr>
            </w:pPr>
            <w:r>
              <w:rPr>
                <w:rFonts w:hint="eastAsia" w:ascii="宋体" w:hAnsi="宋体"/>
                <w:szCs w:val="21"/>
              </w:rPr>
              <w:t>数量及</w:t>
            </w:r>
          </w:p>
          <w:p w14:paraId="549ECE51">
            <w:pPr>
              <w:snapToGrid w:val="0"/>
              <w:spacing w:line="360" w:lineRule="auto"/>
              <w:jc w:val="center"/>
              <w:rPr>
                <w:rFonts w:ascii="宋体" w:hAnsi="宋体"/>
                <w:szCs w:val="21"/>
              </w:rPr>
            </w:pPr>
            <w:r>
              <w:rPr>
                <w:rFonts w:hint="eastAsia" w:ascii="宋体" w:hAnsi="宋体"/>
                <w:szCs w:val="21"/>
              </w:rPr>
              <w:t>单位</w:t>
            </w:r>
          </w:p>
        </w:tc>
        <w:tc>
          <w:tcPr>
            <w:tcW w:w="2965" w:type="pct"/>
            <w:tcBorders>
              <w:top w:val="single" w:color="auto" w:sz="4" w:space="0"/>
              <w:left w:val="single" w:color="auto" w:sz="4" w:space="0"/>
              <w:bottom w:val="single" w:color="auto" w:sz="4" w:space="0"/>
              <w:right w:val="single" w:color="auto" w:sz="4" w:space="0"/>
            </w:tcBorders>
            <w:noWrap w:val="0"/>
            <w:vAlign w:val="center"/>
          </w:tcPr>
          <w:p w14:paraId="6B79E9A4">
            <w:pPr>
              <w:snapToGrid w:val="0"/>
              <w:spacing w:line="360" w:lineRule="auto"/>
              <w:jc w:val="center"/>
              <w:rPr>
                <w:rFonts w:ascii="宋体" w:hAnsi="宋体"/>
                <w:szCs w:val="21"/>
              </w:rPr>
            </w:pPr>
            <w:r>
              <w:rPr>
                <w:rFonts w:hint="eastAsia" w:ascii="宋体" w:hAnsi="宋体"/>
                <w:szCs w:val="21"/>
              </w:rPr>
              <w:t>简要技术需求或者服务要求</w:t>
            </w:r>
          </w:p>
        </w:tc>
      </w:tr>
      <w:tr w14:paraId="7934E3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45" w:type="pct"/>
            <w:tcBorders>
              <w:top w:val="single" w:color="auto" w:sz="4" w:space="0"/>
              <w:left w:val="single" w:color="auto" w:sz="4" w:space="0"/>
              <w:bottom w:val="single" w:color="auto" w:sz="4" w:space="0"/>
              <w:right w:val="single" w:color="auto" w:sz="4" w:space="0"/>
            </w:tcBorders>
            <w:noWrap w:val="0"/>
            <w:vAlign w:val="center"/>
          </w:tcPr>
          <w:p w14:paraId="4B6E5AF9">
            <w:pPr>
              <w:snapToGrid w:val="0"/>
              <w:spacing w:line="360" w:lineRule="auto"/>
              <w:jc w:val="center"/>
              <w:rPr>
                <w:rFonts w:ascii="宋体" w:hAnsi="宋体"/>
                <w:szCs w:val="21"/>
              </w:rPr>
            </w:pPr>
            <w:r>
              <w:rPr>
                <w:rFonts w:hint="eastAsia" w:ascii="宋体" w:hAnsi="宋体"/>
                <w:szCs w:val="21"/>
              </w:rPr>
              <w:t>1</w:t>
            </w:r>
          </w:p>
        </w:tc>
        <w:tc>
          <w:tcPr>
            <w:tcW w:w="936" w:type="pct"/>
            <w:tcBorders>
              <w:top w:val="single" w:color="auto" w:sz="4" w:space="0"/>
              <w:left w:val="single" w:color="auto" w:sz="4" w:space="0"/>
              <w:bottom w:val="single" w:color="auto" w:sz="4" w:space="0"/>
              <w:right w:val="single" w:color="auto" w:sz="4" w:space="0"/>
            </w:tcBorders>
            <w:noWrap w:val="0"/>
            <w:vAlign w:val="center"/>
          </w:tcPr>
          <w:p w14:paraId="7F9E816D">
            <w:pPr>
              <w:tabs>
                <w:tab w:val="left" w:pos="180"/>
                <w:tab w:val="left" w:pos="1620"/>
              </w:tabs>
              <w:spacing w:line="360" w:lineRule="exact"/>
              <w:jc w:val="center"/>
              <w:rPr>
                <w:rFonts w:ascii="宋体" w:hAnsi="宋体" w:cs="微软雅黑"/>
                <w:szCs w:val="21"/>
              </w:rPr>
            </w:pPr>
            <w:r>
              <w:rPr>
                <w:rFonts w:hint="eastAsia"/>
                <w:sz w:val="22"/>
                <w:szCs w:val="22"/>
              </w:rPr>
              <w:t>高端彩色多普勒超声诊断仪</w:t>
            </w:r>
          </w:p>
        </w:tc>
        <w:tc>
          <w:tcPr>
            <w:tcW w:w="655" w:type="pct"/>
            <w:tcBorders>
              <w:top w:val="single" w:color="auto" w:sz="4" w:space="0"/>
              <w:left w:val="single" w:color="auto" w:sz="4" w:space="0"/>
              <w:bottom w:val="single" w:color="auto" w:sz="4" w:space="0"/>
              <w:right w:val="single" w:color="auto" w:sz="4" w:space="0"/>
            </w:tcBorders>
            <w:noWrap w:val="0"/>
            <w:vAlign w:val="center"/>
          </w:tcPr>
          <w:p w14:paraId="24AA9344">
            <w:pPr>
              <w:tabs>
                <w:tab w:val="left" w:pos="180"/>
                <w:tab w:val="left" w:pos="1620"/>
              </w:tabs>
              <w:spacing w:line="360" w:lineRule="exact"/>
              <w:jc w:val="center"/>
              <w:rPr>
                <w:rFonts w:ascii="宋体" w:hAnsi="宋体" w:cs="微软雅黑"/>
                <w:szCs w:val="21"/>
              </w:rPr>
            </w:pPr>
            <w:r>
              <w:rPr>
                <w:rFonts w:hint="eastAsia" w:ascii="宋体" w:hAnsi="宋体" w:cs="微软雅黑"/>
                <w:szCs w:val="21"/>
              </w:rPr>
              <w:t>1台</w:t>
            </w:r>
          </w:p>
        </w:tc>
        <w:tc>
          <w:tcPr>
            <w:tcW w:w="2965" w:type="pct"/>
            <w:tcBorders>
              <w:top w:val="single" w:color="auto" w:sz="4" w:space="0"/>
              <w:left w:val="single" w:color="auto" w:sz="4" w:space="0"/>
              <w:bottom w:val="single" w:color="auto" w:sz="4" w:space="0"/>
              <w:right w:val="single" w:color="auto" w:sz="4" w:space="0"/>
            </w:tcBorders>
            <w:noWrap w:val="0"/>
            <w:vAlign w:val="center"/>
          </w:tcPr>
          <w:p w14:paraId="7113995A">
            <w:pPr>
              <w:tabs>
                <w:tab w:val="left" w:pos="180"/>
                <w:tab w:val="left" w:pos="1620"/>
              </w:tabs>
              <w:spacing w:line="360" w:lineRule="exact"/>
              <w:jc w:val="left"/>
              <w:rPr>
                <w:rFonts w:hint="eastAsia" w:ascii="宋体" w:hAnsi="宋体" w:cs="微软雅黑"/>
                <w:szCs w:val="21"/>
              </w:rPr>
            </w:pPr>
            <w:r>
              <w:rPr>
                <w:rFonts w:hint="eastAsia" w:ascii="宋体" w:hAnsi="宋体" w:cs="微软雅黑"/>
                <w:szCs w:val="21"/>
              </w:rPr>
              <w:t>一、设备用途及说明：</w:t>
            </w:r>
          </w:p>
          <w:p w14:paraId="2138C6FD">
            <w:pPr>
              <w:tabs>
                <w:tab w:val="left" w:pos="180"/>
                <w:tab w:val="left" w:pos="1620"/>
              </w:tabs>
              <w:spacing w:line="360" w:lineRule="exact"/>
              <w:jc w:val="left"/>
              <w:rPr>
                <w:rFonts w:hint="eastAsia" w:ascii="宋体" w:hAnsi="宋体" w:cs="微软雅黑"/>
                <w:szCs w:val="21"/>
              </w:rPr>
            </w:pPr>
            <w:r>
              <w:rPr>
                <w:rFonts w:hint="eastAsia" w:ascii="宋体" w:hAnsi="宋体" w:cs="微软雅黑"/>
                <w:szCs w:val="21"/>
              </w:rPr>
              <w:t>主要用于成人心脏、小儿心脏、腹部、泌尿科、血管、浅表组织与小器官、儿科、肌骨神经、介入诊疗及临床学术研究。具有先进水平，具备持续升级能力，能满足开展新的临床应用需求</w:t>
            </w:r>
            <w:r>
              <w:rPr>
                <w:rFonts w:ascii="宋体" w:hAnsi="宋体" w:cs="微软雅黑"/>
                <w:szCs w:val="21"/>
              </w:rPr>
              <w:t>……</w:t>
            </w:r>
          </w:p>
        </w:tc>
      </w:tr>
      <w:tr w14:paraId="7A906A9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45" w:type="pct"/>
            <w:tcBorders>
              <w:top w:val="single" w:color="auto" w:sz="4" w:space="0"/>
              <w:left w:val="single" w:color="auto" w:sz="4" w:space="0"/>
              <w:bottom w:val="single" w:color="auto" w:sz="4" w:space="0"/>
              <w:right w:val="single" w:color="auto" w:sz="4" w:space="0"/>
            </w:tcBorders>
            <w:noWrap w:val="0"/>
            <w:vAlign w:val="center"/>
          </w:tcPr>
          <w:p w14:paraId="5ED9BB02">
            <w:pPr>
              <w:snapToGrid w:val="0"/>
              <w:spacing w:line="360" w:lineRule="auto"/>
              <w:jc w:val="center"/>
              <w:rPr>
                <w:rFonts w:hint="eastAsia" w:ascii="宋体" w:hAnsi="宋体"/>
                <w:szCs w:val="21"/>
              </w:rPr>
            </w:pPr>
            <w:r>
              <w:rPr>
                <w:rFonts w:hint="eastAsia" w:ascii="宋体" w:hAnsi="宋体"/>
                <w:szCs w:val="21"/>
              </w:rPr>
              <w:t>2</w:t>
            </w:r>
          </w:p>
        </w:tc>
        <w:tc>
          <w:tcPr>
            <w:tcW w:w="936" w:type="pct"/>
            <w:tcBorders>
              <w:top w:val="single" w:color="auto" w:sz="4" w:space="0"/>
              <w:left w:val="single" w:color="auto" w:sz="4" w:space="0"/>
              <w:bottom w:val="single" w:color="auto" w:sz="4" w:space="0"/>
              <w:right w:val="single" w:color="auto" w:sz="4" w:space="0"/>
            </w:tcBorders>
            <w:noWrap w:val="0"/>
            <w:vAlign w:val="center"/>
          </w:tcPr>
          <w:p w14:paraId="233B5045">
            <w:pPr>
              <w:tabs>
                <w:tab w:val="left" w:pos="180"/>
                <w:tab w:val="left" w:pos="1620"/>
              </w:tabs>
              <w:spacing w:line="360" w:lineRule="exact"/>
              <w:jc w:val="center"/>
              <w:rPr>
                <w:rFonts w:ascii="宋体" w:hAnsi="宋体" w:cs="微软雅黑"/>
                <w:szCs w:val="21"/>
              </w:rPr>
            </w:pPr>
            <w:r>
              <w:rPr>
                <w:rFonts w:hint="eastAsia"/>
                <w:sz w:val="22"/>
                <w:szCs w:val="22"/>
              </w:rPr>
              <w:t>便携式彩色多普勒超声诊断仪</w:t>
            </w:r>
          </w:p>
        </w:tc>
        <w:tc>
          <w:tcPr>
            <w:tcW w:w="655" w:type="pct"/>
            <w:tcBorders>
              <w:top w:val="single" w:color="auto" w:sz="4" w:space="0"/>
              <w:left w:val="single" w:color="auto" w:sz="4" w:space="0"/>
              <w:bottom w:val="single" w:color="auto" w:sz="4" w:space="0"/>
              <w:right w:val="single" w:color="auto" w:sz="4" w:space="0"/>
            </w:tcBorders>
            <w:noWrap w:val="0"/>
            <w:vAlign w:val="center"/>
          </w:tcPr>
          <w:p w14:paraId="11EDE83F">
            <w:pPr>
              <w:tabs>
                <w:tab w:val="left" w:pos="180"/>
                <w:tab w:val="left" w:pos="1620"/>
              </w:tabs>
              <w:spacing w:line="360" w:lineRule="exact"/>
              <w:jc w:val="center"/>
              <w:rPr>
                <w:rFonts w:ascii="宋体" w:hAnsi="宋体" w:cs="微软雅黑"/>
                <w:szCs w:val="21"/>
              </w:rPr>
            </w:pPr>
            <w:r>
              <w:rPr>
                <w:rFonts w:hint="eastAsia" w:ascii="宋体" w:hAnsi="宋体" w:cs="微软雅黑"/>
                <w:szCs w:val="21"/>
              </w:rPr>
              <w:t>2台</w:t>
            </w:r>
          </w:p>
        </w:tc>
        <w:tc>
          <w:tcPr>
            <w:tcW w:w="2965" w:type="pct"/>
            <w:tcBorders>
              <w:top w:val="single" w:color="auto" w:sz="4" w:space="0"/>
              <w:left w:val="single" w:color="auto" w:sz="4" w:space="0"/>
              <w:bottom w:val="single" w:color="auto" w:sz="4" w:space="0"/>
              <w:right w:val="single" w:color="auto" w:sz="4" w:space="0"/>
            </w:tcBorders>
            <w:noWrap w:val="0"/>
            <w:vAlign w:val="center"/>
          </w:tcPr>
          <w:p w14:paraId="7B626E02">
            <w:pPr>
              <w:tabs>
                <w:tab w:val="left" w:pos="180"/>
                <w:tab w:val="left" w:pos="1620"/>
              </w:tabs>
              <w:spacing w:line="360" w:lineRule="exact"/>
              <w:jc w:val="left"/>
              <w:rPr>
                <w:rFonts w:hint="eastAsia" w:ascii="宋体" w:hAnsi="宋体" w:cs="微软雅黑"/>
                <w:szCs w:val="21"/>
              </w:rPr>
            </w:pPr>
            <w:r>
              <w:rPr>
                <w:rFonts w:hint="eastAsia" w:ascii="宋体" w:hAnsi="宋体" w:cs="微软雅黑"/>
                <w:szCs w:val="21"/>
              </w:rPr>
              <w:t>一、产品用途说明：满足腹部、妇科、产科、心脏、小器官与浅表组织、血管、颅脑, 泌尿、介入性超声、儿科、急诊、麻醉、等全身应用</w:t>
            </w:r>
            <w:r>
              <w:rPr>
                <w:rFonts w:ascii="宋体" w:hAnsi="宋体" w:cs="微软雅黑"/>
                <w:szCs w:val="21"/>
              </w:rPr>
              <w:t>……</w:t>
            </w:r>
          </w:p>
        </w:tc>
      </w:tr>
    </w:tbl>
    <w:p w14:paraId="39F41E23">
      <w:pPr>
        <w:spacing w:line="360" w:lineRule="auto"/>
        <w:ind w:firstLine="420" w:firstLineChars="200"/>
        <w:rPr>
          <w:rFonts w:ascii="宋体" w:hAnsi="宋体"/>
          <w:szCs w:val="21"/>
          <w:u w:val="single"/>
        </w:rPr>
      </w:pPr>
      <w:r>
        <w:rPr>
          <w:rFonts w:hint="eastAsia" w:ascii="宋体" w:hAnsi="宋体"/>
          <w:szCs w:val="21"/>
        </w:rPr>
        <w:t>合同履行期限：自签订合同之日起 45 日历日内，安装调试完毕并交付使用。</w:t>
      </w:r>
    </w:p>
    <w:p w14:paraId="0E84026B">
      <w:pPr>
        <w:spacing w:line="360" w:lineRule="auto"/>
        <w:ind w:firstLine="420" w:firstLineChars="200"/>
        <w:rPr>
          <w:rFonts w:ascii="宋体" w:hAnsi="宋体"/>
          <w:szCs w:val="21"/>
        </w:rPr>
      </w:pPr>
      <w:r>
        <w:rPr>
          <w:rFonts w:hint="eastAsia" w:ascii="宋体" w:hAnsi="宋体"/>
          <w:szCs w:val="21"/>
        </w:rPr>
        <w:t>分标6</w:t>
      </w:r>
      <w:r>
        <w:rPr>
          <w:rFonts w:ascii="宋体" w:hAnsi="宋体"/>
          <w:szCs w:val="21"/>
        </w:rPr>
        <w:t xml:space="preserve"> </w:t>
      </w:r>
    </w:p>
    <w:tbl>
      <w:tblPr>
        <w:tblStyle w:val="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58"/>
        <w:gridCol w:w="1595"/>
        <w:gridCol w:w="1116"/>
        <w:gridCol w:w="5053"/>
      </w:tblGrid>
      <w:tr w14:paraId="1C40B3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45" w:type="pct"/>
            <w:tcBorders>
              <w:top w:val="single" w:color="auto" w:sz="4" w:space="0"/>
              <w:left w:val="single" w:color="auto" w:sz="4" w:space="0"/>
              <w:bottom w:val="single" w:color="auto" w:sz="4" w:space="0"/>
              <w:right w:val="single" w:color="auto" w:sz="4" w:space="0"/>
            </w:tcBorders>
            <w:noWrap w:val="0"/>
            <w:vAlign w:val="center"/>
          </w:tcPr>
          <w:p w14:paraId="384CE335">
            <w:pPr>
              <w:snapToGrid w:val="0"/>
              <w:spacing w:line="360" w:lineRule="auto"/>
              <w:jc w:val="center"/>
              <w:rPr>
                <w:rFonts w:ascii="宋体" w:hAnsi="宋体"/>
                <w:szCs w:val="21"/>
              </w:rPr>
            </w:pPr>
            <w:r>
              <w:rPr>
                <w:rFonts w:hint="eastAsia" w:ascii="宋体" w:hAnsi="宋体"/>
                <w:szCs w:val="21"/>
              </w:rPr>
              <w:t>序号</w:t>
            </w:r>
          </w:p>
        </w:tc>
        <w:tc>
          <w:tcPr>
            <w:tcW w:w="936" w:type="pct"/>
            <w:tcBorders>
              <w:top w:val="single" w:color="auto" w:sz="4" w:space="0"/>
              <w:left w:val="single" w:color="auto" w:sz="4" w:space="0"/>
              <w:bottom w:val="single" w:color="auto" w:sz="4" w:space="0"/>
              <w:right w:val="single" w:color="auto" w:sz="4" w:space="0"/>
            </w:tcBorders>
            <w:noWrap w:val="0"/>
            <w:vAlign w:val="center"/>
          </w:tcPr>
          <w:p w14:paraId="302EFF72">
            <w:pPr>
              <w:snapToGrid w:val="0"/>
              <w:spacing w:line="360" w:lineRule="auto"/>
              <w:jc w:val="center"/>
              <w:rPr>
                <w:rFonts w:ascii="宋体" w:hAnsi="宋体"/>
                <w:szCs w:val="21"/>
              </w:rPr>
            </w:pPr>
            <w:r>
              <w:rPr>
                <w:rFonts w:hint="eastAsia" w:ascii="宋体" w:hAnsi="宋体"/>
                <w:szCs w:val="21"/>
              </w:rPr>
              <w:t>标的的名称</w:t>
            </w:r>
          </w:p>
        </w:tc>
        <w:tc>
          <w:tcPr>
            <w:tcW w:w="655" w:type="pct"/>
            <w:tcBorders>
              <w:top w:val="single" w:color="auto" w:sz="4" w:space="0"/>
              <w:left w:val="single" w:color="auto" w:sz="4" w:space="0"/>
              <w:bottom w:val="single" w:color="auto" w:sz="4" w:space="0"/>
              <w:right w:val="single" w:color="auto" w:sz="4" w:space="0"/>
            </w:tcBorders>
            <w:noWrap w:val="0"/>
            <w:vAlign w:val="center"/>
          </w:tcPr>
          <w:p w14:paraId="370F2706">
            <w:pPr>
              <w:snapToGrid w:val="0"/>
              <w:spacing w:line="360" w:lineRule="auto"/>
              <w:jc w:val="center"/>
              <w:rPr>
                <w:rFonts w:ascii="宋体" w:hAnsi="宋体"/>
                <w:szCs w:val="21"/>
              </w:rPr>
            </w:pPr>
            <w:r>
              <w:rPr>
                <w:rFonts w:hint="eastAsia" w:ascii="宋体" w:hAnsi="宋体"/>
                <w:szCs w:val="21"/>
              </w:rPr>
              <w:t>数量及</w:t>
            </w:r>
          </w:p>
          <w:p w14:paraId="68735958">
            <w:pPr>
              <w:snapToGrid w:val="0"/>
              <w:spacing w:line="360" w:lineRule="auto"/>
              <w:jc w:val="center"/>
              <w:rPr>
                <w:rFonts w:ascii="宋体" w:hAnsi="宋体"/>
                <w:szCs w:val="21"/>
              </w:rPr>
            </w:pPr>
            <w:r>
              <w:rPr>
                <w:rFonts w:hint="eastAsia" w:ascii="宋体" w:hAnsi="宋体"/>
                <w:szCs w:val="21"/>
              </w:rPr>
              <w:t>单位</w:t>
            </w:r>
          </w:p>
        </w:tc>
        <w:tc>
          <w:tcPr>
            <w:tcW w:w="2965" w:type="pct"/>
            <w:tcBorders>
              <w:top w:val="single" w:color="auto" w:sz="4" w:space="0"/>
              <w:left w:val="single" w:color="auto" w:sz="4" w:space="0"/>
              <w:bottom w:val="single" w:color="auto" w:sz="4" w:space="0"/>
              <w:right w:val="single" w:color="auto" w:sz="4" w:space="0"/>
            </w:tcBorders>
            <w:noWrap w:val="0"/>
            <w:vAlign w:val="center"/>
          </w:tcPr>
          <w:p w14:paraId="7CE7ACE0">
            <w:pPr>
              <w:snapToGrid w:val="0"/>
              <w:spacing w:line="360" w:lineRule="auto"/>
              <w:jc w:val="center"/>
              <w:rPr>
                <w:rFonts w:ascii="宋体" w:hAnsi="宋体"/>
                <w:szCs w:val="21"/>
              </w:rPr>
            </w:pPr>
            <w:r>
              <w:rPr>
                <w:rFonts w:hint="eastAsia" w:ascii="宋体" w:hAnsi="宋体"/>
                <w:szCs w:val="21"/>
              </w:rPr>
              <w:t>简要技术需求或者服务要求</w:t>
            </w:r>
          </w:p>
        </w:tc>
      </w:tr>
      <w:tr w14:paraId="32F162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45" w:type="pct"/>
            <w:tcBorders>
              <w:top w:val="single" w:color="auto" w:sz="4" w:space="0"/>
              <w:left w:val="single" w:color="auto" w:sz="4" w:space="0"/>
              <w:bottom w:val="single" w:color="auto" w:sz="4" w:space="0"/>
              <w:right w:val="single" w:color="auto" w:sz="4" w:space="0"/>
            </w:tcBorders>
            <w:noWrap w:val="0"/>
            <w:vAlign w:val="center"/>
          </w:tcPr>
          <w:p w14:paraId="396062A0">
            <w:pPr>
              <w:snapToGrid w:val="0"/>
              <w:spacing w:line="360" w:lineRule="auto"/>
              <w:jc w:val="center"/>
              <w:rPr>
                <w:rFonts w:ascii="宋体" w:hAnsi="宋体"/>
                <w:szCs w:val="21"/>
              </w:rPr>
            </w:pPr>
            <w:r>
              <w:rPr>
                <w:rFonts w:hint="eastAsia" w:ascii="宋体" w:hAnsi="宋体"/>
                <w:szCs w:val="21"/>
              </w:rPr>
              <w:t>1</w:t>
            </w:r>
          </w:p>
        </w:tc>
        <w:tc>
          <w:tcPr>
            <w:tcW w:w="936" w:type="pct"/>
            <w:tcBorders>
              <w:top w:val="single" w:color="auto" w:sz="4" w:space="0"/>
              <w:left w:val="single" w:color="auto" w:sz="4" w:space="0"/>
              <w:bottom w:val="single" w:color="auto" w:sz="4" w:space="0"/>
              <w:right w:val="single" w:color="auto" w:sz="4" w:space="0"/>
            </w:tcBorders>
            <w:noWrap w:val="0"/>
            <w:vAlign w:val="center"/>
          </w:tcPr>
          <w:p w14:paraId="0EFAE1E1">
            <w:pPr>
              <w:tabs>
                <w:tab w:val="left" w:pos="180"/>
                <w:tab w:val="left" w:pos="1620"/>
              </w:tabs>
              <w:spacing w:line="360" w:lineRule="exact"/>
              <w:jc w:val="center"/>
              <w:rPr>
                <w:rFonts w:ascii="宋体" w:hAnsi="宋体" w:cs="微软雅黑"/>
                <w:szCs w:val="21"/>
              </w:rPr>
            </w:pPr>
            <w:r>
              <w:rPr>
                <w:rFonts w:hint="eastAsia" w:ascii="宋体" w:hAnsi="宋体" w:cs="微软雅黑"/>
                <w:szCs w:val="21"/>
              </w:rPr>
              <w:t>自动外周血淋巴细胞收获系统</w:t>
            </w:r>
          </w:p>
        </w:tc>
        <w:tc>
          <w:tcPr>
            <w:tcW w:w="655" w:type="pct"/>
            <w:tcBorders>
              <w:top w:val="single" w:color="auto" w:sz="4" w:space="0"/>
              <w:left w:val="single" w:color="auto" w:sz="4" w:space="0"/>
              <w:bottom w:val="single" w:color="auto" w:sz="4" w:space="0"/>
              <w:right w:val="single" w:color="auto" w:sz="4" w:space="0"/>
            </w:tcBorders>
            <w:noWrap w:val="0"/>
            <w:vAlign w:val="center"/>
          </w:tcPr>
          <w:p w14:paraId="3B5363CD">
            <w:pPr>
              <w:tabs>
                <w:tab w:val="left" w:pos="180"/>
                <w:tab w:val="left" w:pos="1620"/>
              </w:tabs>
              <w:spacing w:line="360" w:lineRule="exact"/>
              <w:jc w:val="center"/>
              <w:rPr>
                <w:rFonts w:ascii="宋体" w:hAnsi="宋体" w:cs="微软雅黑"/>
                <w:szCs w:val="21"/>
              </w:rPr>
            </w:pPr>
            <w:r>
              <w:rPr>
                <w:rFonts w:hint="eastAsia" w:ascii="宋体" w:hAnsi="宋体" w:cs="微软雅黑"/>
                <w:szCs w:val="21"/>
              </w:rPr>
              <w:t>1套</w:t>
            </w:r>
          </w:p>
        </w:tc>
        <w:tc>
          <w:tcPr>
            <w:tcW w:w="2965" w:type="pct"/>
            <w:tcBorders>
              <w:top w:val="single" w:color="auto" w:sz="4" w:space="0"/>
              <w:left w:val="single" w:color="auto" w:sz="4" w:space="0"/>
              <w:bottom w:val="single" w:color="auto" w:sz="4" w:space="0"/>
              <w:right w:val="single" w:color="auto" w:sz="4" w:space="0"/>
            </w:tcBorders>
            <w:noWrap w:val="0"/>
            <w:vAlign w:val="center"/>
          </w:tcPr>
          <w:p w14:paraId="5E56FBE2">
            <w:pPr>
              <w:tabs>
                <w:tab w:val="left" w:pos="180"/>
                <w:tab w:val="left" w:pos="1620"/>
              </w:tabs>
              <w:spacing w:line="360" w:lineRule="exact"/>
              <w:jc w:val="left"/>
              <w:rPr>
                <w:rFonts w:hint="eastAsia" w:ascii="宋体" w:hAnsi="宋体" w:cs="微软雅黑"/>
                <w:szCs w:val="21"/>
              </w:rPr>
            </w:pPr>
            <w:r>
              <w:rPr>
                <w:rFonts w:hint="eastAsia" w:ascii="宋体" w:hAnsi="宋体" w:cs="微软雅黑"/>
                <w:szCs w:val="21"/>
              </w:rPr>
              <w:t>1.▲配置外周血细胞自动接种模块，实现外周血淋巴细胞样品接种过程的完全自动化和信息化，应用于染色体核型分析、染色体畸变分析和细胞微核分析，自动化样品接种批处理通量≥96个，多孔板≥2块</w:t>
            </w:r>
            <w:r>
              <w:rPr>
                <w:rFonts w:ascii="宋体" w:hAnsi="宋体" w:cs="微软雅黑"/>
                <w:szCs w:val="21"/>
              </w:rPr>
              <w:t>……</w:t>
            </w:r>
          </w:p>
        </w:tc>
      </w:tr>
    </w:tbl>
    <w:p w14:paraId="0AAB3BAF">
      <w:pPr>
        <w:spacing w:line="360" w:lineRule="auto"/>
        <w:ind w:firstLine="420" w:firstLineChars="200"/>
        <w:rPr>
          <w:rFonts w:ascii="宋体" w:hAnsi="宋体"/>
          <w:szCs w:val="21"/>
          <w:u w:val="single"/>
        </w:rPr>
      </w:pPr>
      <w:r>
        <w:rPr>
          <w:rFonts w:hint="eastAsia" w:ascii="宋体" w:hAnsi="宋体"/>
          <w:szCs w:val="21"/>
        </w:rPr>
        <w:t>合同履行期限：自签订合同之日起 45 日历日内，安装调试完毕并交付使用。</w:t>
      </w:r>
    </w:p>
    <w:p w14:paraId="04F72E33">
      <w:pPr>
        <w:spacing w:line="360" w:lineRule="auto"/>
        <w:ind w:firstLine="420" w:firstLineChars="200"/>
        <w:rPr>
          <w:rFonts w:ascii="宋体" w:hAnsi="宋体"/>
          <w:szCs w:val="21"/>
        </w:rPr>
      </w:pPr>
      <w:r>
        <w:rPr>
          <w:rFonts w:hint="eastAsia" w:ascii="宋体" w:hAnsi="宋体"/>
          <w:szCs w:val="21"/>
        </w:rPr>
        <w:t>分标7</w:t>
      </w:r>
      <w:r>
        <w:rPr>
          <w:rFonts w:ascii="宋体" w:hAnsi="宋体"/>
          <w:szCs w:val="21"/>
        </w:rPr>
        <w:t xml:space="preserve"> </w:t>
      </w:r>
    </w:p>
    <w:tbl>
      <w:tblPr>
        <w:tblStyle w:val="3"/>
        <w:tblW w:w="5000"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597"/>
        <w:gridCol w:w="2059"/>
        <w:gridCol w:w="951"/>
        <w:gridCol w:w="4915"/>
      </w:tblGrid>
      <w:tr w14:paraId="32A13E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350" w:type="pct"/>
            <w:tcBorders>
              <w:top w:val="single" w:color="auto" w:sz="4" w:space="0"/>
              <w:left w:val="single" w:color="auto" w:sz="4" w:space="0"/>
              <w:bottom w:val="single" w:color="auto" w:sz="4" w:space="0"/>
              <w:right w:val="single" w:color="auto" w:sz="4" w:space="0"/>
            </w:tcBorders>
            <w:noWrap w:val="0"/>
            <w:vAlign w:val="center"/>
          </w:tcPr>
          <w:p w14:paraId="086E241A">
            <w:pPr>
              <w:snapToGrid w:val="0"/>
              <w:spacing w:line="360" w:lineRule="auto"/>
              <w:jc w:val="center"/>
              <w:rPr>
                <w:rFonts w:ascii="宋体" w:hAnsi="宋体"/>
                <w:szCs w:val="21"/>
              </w:rPr>
            </w:pPr>
            <w:r>
              <w:rPr>
                <w:rFonts w:hint="eastAsia" w:ascii="宋体" w:hAnsi="宋体"/>
                <w:szCs w:val="21"/>
              </w:rPr>
              <w:t>序号</w:t>
            </w:r>
          </w:p>
        </w:tc>
        <w:tc>
          <w:tcPr>
            <w:tcW w:w="1208" w:type="pct"/>
            <w:tcBorders>
              <w:top w:val="single" w:color="auto" w:sz="4" w:space="0"/>
              <w:left w:val="single" w:color="auto" w:sz="4" w:space="0"/>
              <w:bottom w:val="single" w:color="auto" w:sz="4" w:space="0"/>
              <w:right w:val="single" w:color="auto" w:sz="4" w:space="0"/>
            </w:tcBorders>
            <w:noWrap w:val="0"/>
            <w:vAlign w:val="center"/>
          </w:tcPr>
          <w:p w14:paraId="63D7C242">
            <w:pPr>
              <w:snapToGrid w:val="0"/>
              <w:spacing w:line="360" w:lineRule="auto"/>
              <w:jc w:val="center"/>
              <w:rPr>
                <w:rFonts w:ascii="宋体" w:hAnsi="宋体"/>
                <w:szCs w:val="21"/>
              </w:rPr>
            </w:pPr>
            <w:r>
              <w:rPr>
                <w:rFonts w:hint="eastAsia" w:ascii="宋体" w:hAnsi="宋体"/>
                <w:szCs w:val="21"/>
              </w:rPr>
              <w:t>标的的名称</w:t>
            </w:r>
          </w:p>
        </w:tc>
        <w:tc>
          <w:tcPr>
            <w:tcW w:w="558" w:type="pct"/>
            <w:tcBorders>
              <w:top w:val="single" w:color="auto" w:sz="4" w:space="0"/>
              <w:left w:val="single" w:color="auto" w:sz="4" w:space="0"/>
              <w:bottom w:val="single" w:color="auto" w:sz="4" w:space="0"/>
              <w:right w:val="single" w:color="auto" w:sz="4" w:space="0"/>
            </w:tcBorders>
            <w:noWrap w:val="0"/>
            <w:vAlign w:val="center"/>
          </w:tcPr>
          <w:p w14:paraId="270DDD36">
            <w:pPr>
              <w:snapToGrid w:val="0"/>
              <w:spacing w:line="360" w:lineRule="auto"/>
              <w:jc w:val="center"/>
              <w:rPr>
                <w:rFonts w:ascii="宋体" w:hAnsi="宋体"/>
                <w:szCs w:val="21"/>
              </w:rPr>
            </w:pPr>
            <w:r>
              <w:rPr>
                <w:rFonts w:hint="eastAsia" w:ascii="宋体" w:hAnsi="宋体"/>
                <w:szCs w:val="21"/>
              </w:rPr>
              <w:t>数量及</w:t>
            </w:r>
          </w:p>
          <w:p w14:paraId="29AA284C">
            <w:pPr>
              <w:snapToGrid w:val="0"/>
              <w:spacing w:line="360" w:lineRule="auto"/>
              <w:jc w:val="center"/>
              <w:rPr>
                <w:rFonts w:ascii="宋体" w:hAnsi="宋体"/>
                <w:szCs w:val="21"/>
              </w:rPr>
            </w:pPr>
            <w:r>
              <w:rPr>
                <w:rFonts w:hint="eastAsia" w:ascii="宋体" w:hAnsi="宋体"/>
                <w:szCs w:val="21"/>
              </w:rPr>
              <w:t>单位</w:t>
            </w:r>
          </w:p>
        </w:tc>
        <w:tc>
          <w:tcPr>
            <w:tcW w:w="2884" w:type="pct"/>
            <w:tcBorders>
              <w:top w:val="single" w:color="auto" w:sz="4" w:space="0"/>
              <w:left w:val="single" w:color="auto" w:sz="4" w:space="0"/>
              <w:bottom w:val="single" w:color="auto" w:sz="4" w:space="0"/>
              <w:right w:val="single" w:color="auto" w:sz="4" w:space="0"/>
            </w:tcBorders>
            <w:noWrap w:val="0"/>
            <w:vAlign w:val="center"/>
          </w:tcPr>
          <w:p w14:paraId="37585010">
            <w:pPr>
              <w:snapToGrid w:val="0"/>
              <w:spacing w:line="360" w:lineRule="auto"/>
              <w:jc w:val="center"/>
              <w:rPr>
                <w:rFonts w:ascii="宋体" w:hAnsi="宋体"/>
                <w:szCs w:val="21"/>
              </w:rPr>
            </w:pPr>
            <w:r>
              <w:rPr>
                <w:rFonts w:hint="eastAsia" w:ascii="宋体" w:hAnsi="宋体"/>
                <w:szCs w:val="21"/>
              </w:rPr>
              <w:t>简要技术需求或者服务要求</w:t>
            </w:r>
          </w:p>
        </w:tc>
      </w:tr>
      <w:tr w14:paraId="1DC902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000" w:type="pct"/>
            <w:gridSpan w:val="4"/>
            <w:tcBorders>
              <w:top w:val="single" w:color="auto" w:sz="4" w:space="0"/>
              <w:left w:val="single" w:color="auto" w:sz="4" w:space="0"/>
              <w:bottom w:val="single" w:color="auto" w:sz="4" w:space="0"/>
              <w:right w:val="single" w:color="auto" w:sz="4" w:space="0"/>
            </w:tcBorders>
            <w:noWrap w:val="0"/>
            <w:vAlign w:val="center"/>
          </w:tcPr>
          <w:p w14:paraId="6897FEAA">
            <w:pPr>
              <w:snapToGrid w:val="0"/>
              <w:spacing w:line="360" w:lineRule="auto"/>
              <w:rPr>
                <w:rFonts w:hint="eastAsia" w:ascii="宋体" w:hAnsi="宋体"/>
                <w:szCs w:val="21"/>
              </w:rPr>
            </w:pPr>
            <w:r>
              <w:rPr>
                <w:rFonts w:hint="eastAsia" w:ascii="宋体" w:hAnsi="宋体"/>
                <w:szCs w:val="21"/>
              </w:rPr>
              <w:t>一、营地帐篷</w:t>
            </w:r>
          </w:p>
        </w:tc>
      </w:tr>
      <w:tr w14:paraId="63FF99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noWrap w:val="0"/>
            <w:vAlign w:val="center"/>
          </w:tcPr>
          <w:p w14:paraId="6C6766CF">
            <w:pPr>
              <w:snapToGrid w:val="0"/>
              <w:spacing w:line="360" w:lineRule="auto"/>
              <w:jc w:val="center"/>
              <w:rPr>
                <w:rFonts w:ascii="宋体" w:hAnsi="宋体"/>
                <w:szCs w:val="21"/>
              </w:rPr>
            </w:pPr>
            <w:r>
              <w:rPr>
                <w:rFonts w:hint="eastAsia" w:ascii="宋体" w:hAnsi="宋体" w:cs="仿宋"/>
                <w:kern w:val="0"/>
                <w:szCs w:val="21"/>
                <w:lang w:bidi="ar"/>
              </w:rPr>
              <w:t>1</w:t>
            </w:r>
          </w:p>
        </w:tc>
        <w:tc>
          <w:tcPr>
            <w:tcW w:w="1208" w:type="pct"/>
            <w:tcBorders>
              <w:top w:val="single" w:color="auto" w:sz="4" w:space="0"/>
              <w:left w:val="single" w:color="auto" w:sz="4" w:space="0"/>
              <w:bottom w:val="single" w:color="auto" w:sz="4" w:space="0"/>
              <w:right w:val="single" w:color="auto" w:sz="4" w:space="0"/>
            </w:tcBorders>
            <w:noWrap w:val="0"/>
            <w:vAlign w:val="center"/>
          </w:tcPr>
          <w:p w14:paraId="557BFFC3">
            <w:pPr>
              <w:tabs>
                <w:tab w:val="left" w:pos="180"/>
                <w:tab w:val="left" w:pos="1620"/>
              </w:tabs>
              <w:spacing w:line="360" w:lineRule="exact"/>
              <w:jc w:val="center"/>
              <w:rPr>
                <w:rFonts w:ascii="宋体" w:hAnsi="宋体" w:cs="微软雅黑"/>
                <w:szCs w:val="21"/>
              </w:rPr>
            </w:pPr>
            <w:r>
              <w:rPr>
                <w:rFonts w:hint="eastAsia" w:ascii="宋体" w:hAnsi="宋体" w:cs="仿宋"/>
                <w:kern w:val="0"/>
                <w:szCs w:val="21"/>
                <w:lang w:bidi="ar"/>
              </w:rPr>
              <w:t>指挥帐篷（40㎡充气帐篷）</w:t>
            </w:r>
          </w:p>
        </w:tc>
        <w:tc>
          <w:tcPr>
            <w:tcW w:w="558" w:type="pct"/>
            <w:tcBorders>
              <w:top w:val="single" w:color="auto" w:sz="4" w:space="0"/>
              <w:left w:val="single" w:color="auto" w:sz="4" w:space="0"/>
              <w:bottom w:val="single" w:color="auto" w:sz="4" w:space="0"/>
              <w:right w:val="single" w:color="auto" w:sz="4" w:space="0"/>
            </w:tcBorders>
            <w:noWrap w:val="0"/>
            <w:vAlign w:val="center"/>
          </w:tcPr>
          <w:p w14:paraId="1CAD9C97">
            <w:pPr>
              <w:tabs>
                <w:tab w:val="left" w:pos="180"/>
                <w:tab w:val="left" w:pos="1620"/>
              </w:tabs>
              <w:spacing w:line="360" w:lineRule="exact"/>
              <w:jc w:val="center"/>
              <w:rPr>
                <w:rFonts w:ascii="宋体" w:hAnsi="宋体" w:cs="微软雅黑"/>
                <w:szCs w:val="21"/>
              </w:rPr>
            </w:pPr>
            <w:r>
              <w:rPr>
                <w:rFonts w:hint="eastAsia" w:ascii="宋体" w:hAnsi="宋体" w:cs="仿宋"/>
                <w:kern w:val="0"/>
                <w:szCs w:val="21"/>
                <w:lang w:bidi="ar"/>
              </w:rPr>
              <w:t>1套</w:t>
            </w:r>
          </w:p>
        </w:tc>
        <w:tc>
          <w:tcPr>
            <w:tcW w:w="2884" w:type="pct"/>
            <w:tcBorders>
              <w:top w:val="single" w:color="auto" w:sz="4" w:space="0"/>
              <w:left w:val="single" w:color="auto" w:sz="4" w:space="0"/>
              <w:bottom w:val="single" w:color="auto" w:sz="4" w:space="0"/>
              <w:right w:val="single" w:color="auto" w:sz="4" w:space="0"/>
            </w:tcBorders>
            <w:noWrap w:val="0"/>
            <w:vAlign w:val="center"/>
          </w:tcPr>
          <w:p w14:paraId="6EBA0665">
            <w:pPr>
              <w:tabs>
                <w:tab w:val="left" w:pos="180"/>
                <w:tab w:val="left" w:pos="1620"/>
              </w:tabs>
              <w:spacing w:line="360" w:lineRule="exact"/>
              <w:jc w:val="left"/>
              <w:rPr>
                <w:rFonts w:hint="eastAsia" w:ascii="宋体" w:hAnsi="宋体" w:cs="微软雅黑"/>
                <w:szCs w:val="21"/>
              </w:rPr>
            </w:pPr>
            <w:r>
              <w:rPr>
                <w:rFonts w:hint="eastAsia" w:ascii="宋体" w:hAnsi="宋体" w:cs="微软雅黑"/>
                <w:szCs w:val="21"/>
              </w:rPr>
              <w:t>1.用途及结构形式：帐篷为野外救援提供指挥调度场所用；采用充气式双层篷布帐篷，外篷布采用高强耐磨牛津布复合材料，颜色为白色，内篷布采用150D高强高密材料</w:t>
            </w:r>
            <w:r>
              <w:rPr>
                <w:rFonts w:ascii="宋体" w:hAnsi="宋体" w:cs="微软雅黑"/>
                <w:szCs w:val="21"/>
              </w:rPr>
              <w:t>……</w:t>
            </w:r>
          </w:p>
        </w:tc>
      </w:tr>
      <w:tr w14:paraId="0707B93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50" w:type="pct"/>
            <w:tcBorders>
              <w:top w:val="single" w:color="auto" w:sz="4" w:space="0"/>
              <w:left w:val="single" w:color="auto" w:sz="4" w:space="0"/>
              <w:bottom w:val="single" w:color="auto" w:sz="4" w:space="0"/>
              <w:right w:val="single" w:color="auto" w:sz="4" w:space="0"/>
            </w:tcBorders>
            <w:noWrap w:val="0"/>
            <w:vAlign w:val="center"/>
          </w:tcPr>
          <w:p w14:paraId="30F9FC1F">
            <w:pPr>
              <w:snapToGrid w:val="0"/>
              <w:spacing w:line="360" w:lineRule="auto"/>
              <w:jc w:val="center"/>
              <w:rPr>
                <w:rFonts w:hint="eastAsia" w:ascii="宋体" w:hAnsi="宋体"/>
                <w:szCs w:val="21"/>
              </w:rPr>
            </w:pPr>
            <w:r>
              <w:rPr>
                <w:rFonts w:hint="eastAsia" w:ascii="宋体" w:hAnsi="宋体" w:cs="仿宋"/>
                <w:kern w:val="0"/>
                <w:szCs w:val="21"/>
                <w:lang w:bidi="ar"/>
              </w:rPr>
              <w:t>2</w:t>
            </w:r>
          </w:p>
        </w:tc>
        <w:tc>
          <w:tcPr>
            <w:tcW w:w="1208" w:type="pct"/>
            <w:tcBorders>
              <w:top w:val="single" w:color="auto" w:sz="4" w:space="0"/>
              <w:left w:val="single" w:color="auto" w:sz="4" w:space="0"/>
              <w:bottom w:val="single" w:color="auto" w:sz="4" w:space="0"/>
              <w:right w:val="single" w:color="auto" w:sz="4" w:space="0"/>
            </w:tcBorders>
            <w:noWrap w:val="0"/>
            <w:vAlign w:val="center"/>
          </w:tcPr>
          <w:p w14:paraId="0CD60E23">
            <w:pPr>
              <w:tabs>
                <w:tab w:val="left" w:pos="180"/>
                <w:tab w:val="left" w:pos="1620"/>
              </w:tabs>
              <w:spacing w:line="360" w:lineRule="exact"/>
              <w:jc w:val="center"/>
              <w:rPr>
                <w:rFonts w:ascii="宋体" w:hAnsi="宋体" w:cs="微软雅黑"/>
                <w:szCs w:val="21"/>
              </w:rPr>
            </w:pPr>
            <w:r>
              <w:rPr>
                <w:rFonts w:hint="eastAsia" w:ascii="宋体" w:hAnsi="宋体" w:cs="仿宋"/>
                <w:kern w:val="0"/>
                <w:szCs w:val="21"/>
                <w:lang w:bidi="ar"/>
              </w:rPr>
              <w:t>工作帐篷（含住宿、物资）（30㎡充气帐篷）</w:t>
            </w:r>
          </w:p>
        </w:tc>
        <w:tc>
          <w:tcPr>
            <w:tcW w:w="558" w:type="pct"/>
            <w:tcBorders>
              <w:top w:val="single" w:color="auto" w:sz="4" w:space="0"/>
              <w:left w:val="single" w:color="auto" w:sz="4" w:space="0"/>
              <w:bottom w:val="single" w:color="auto" w:sz="4" w:space="0"/>
              <w:right w:val="single" w:color="auto" w:sz="4" w:space="0"/>
            </w:tcBorders>
            <w:noWrap w:val="0"/>
            <w:vAlign w:val="center"/>
          </w:tcPr>
          <w:p w14:paraId="474C4FF3">
            <w:pPr>
              <w:tabs>
                <w:tab w:val="left" w:pos="180"/>
                <w:tab w:val="left" w:pos="1620"/>
              </w:tabs>
              <w:spacing w:line="360" w:lineRule="exact"/>
              <w:jc w:val="center"/>
              <w:rPr>
                <w:rFonts w:ascii="宋体" w:hAnsi="宋体" w:cs="微软雅黑"/>
                <w:szCs w:val="21"/>
              </w:rPr>
            </w:pPr>
            <w:r>
              <w:rPr>
                <w:rFonts w:hint="eastAsia" w:ascii="宋体" w:hAnsi="宋体" w:cs="仿宋"/>
                <w:kern w:val="0"/>
                <w:szCs w:val="21"/>
                <w:lang w:bidi="ar"/>
              </w:rPr>
              <w:t>16套</w:t>
            </w:r>
          </w:p>
        </w:tc>
        <w:tc>
          <w:tcPr>
            <w:tcW w:w="2884" w:type="pct"/>
            <w:tcBorders>
              <w:top w:val="single" w:color="auto" w:sz="4" w:space="0"/>
              <w:left w:val="single" w:color="auto" w:sz="4" w:space="0"/>
              <w:bottom w:val="single" w:color="auto" w:sz="4" w:space="0"/>
              <w:right w:val="single" w:color="auto" w:sz="4" w:space="0"/>
            </w:tcBorders>
            <w:noWrap w:val="0"/>
            <w:vAlign w:val="center"/>
          </w:tcPr>
          <w:p w14:paraId="33AE05B5">
            <w:pPr>
              <w:tabs>
                <w:tab w:val="left" w:pos="180"/>
                <w:tab w:val="left" w:pos="1620"/>
              </w:tabs>
              <w:spacing w:line="360" w:lineRule="exact"/>
              <w:jc w:val="left"/>
              <w:rPr>
                <w:rFonts w:hint="eastAsia" w:ascii="宋体" w:hAnsi="宋体" w:cs="微软雅黑"/>
                <w:szCs w:val="21"/>
              </w:rPr>
            </w:pPr>
            <w:r>
              <w:rPr>
                <w:rFonts w:hint="eastAsia" w:ascii="宋体" w:hAnsi="宋体" w:cs="微软雅黑"/>
                <w:szCs w:val="21"/>
              </w:rPr>
              <w:t>1.用途及结构形式：为野外救援时的现场工作，辐射检测、生物检测、伤员救治场所用；采用充气式双层篷布帐篷，外篷布采用高强耐磨牛津布复合材料，颜色为白色</w:t>
            </w:r>
            <w:r>
              <w:rPr>
                <w:rFonts w:ascii="宋体" w:hAnsi="宋体" w:cs="微软雅黑"/>
                <w:szCs w:val="21"/>
              </w:rPr>
              <w:t>……</w:t>
            </w:r>
          </w:p>
        </w:tc>
      </w:tr>
    </w:tbl>
    <w:p w14:paraId="3183D4A8">
      <w:pPr>
        <w:spacing w:line="360" w:lineRule="auto"/>
        <w:ind w:firstLine="420" w:firstLineChars="200"/>
        <w:rPr>
          <w:rFonts w:ascii="宋体" w:hAnsi="宋体"/>
          <w:szCs w:val="21"/>
          <w:u w:val="single"/>
        </w:rPr>
      </w:pPr>
      <w:r>
        <w:rPr>
          <w:rFonts w:hint="eastAsia" w:ascii="宋体" w:hAnsi="宋体"/>
          <w:szCs w:val="21"/>
        </w:rPr>
        <w:t>合同履行期限：自签订合同之日起 45 日历日内，安装调试完毕并交付使用。</w:t>
      </w:r>
    </w:p>
    <w:p w14:paraId="30EFAF03">
      <w:pPr>
        <w:spacing w:line="360" w:lineRule="auto"/>
        <w:ind w:firstLine="420" w:firstLineChars="200"/>
        <w:rPr>
          <w:rFonts w:ascii="宋体" w:hAnsi="宋体"/>
          <w:szCs w:val="21"/>
        </w:rPr>
      </w:pPr>
      <w:r>
        <w:rPr>
          <w:rFonts w:hint="eastAsia" w:ascii="宋体" w:hAnsi="宋体"/>
          <w:szCs w:val="21"/>
        </w:rPr>
        <w:t>本项目不接受联合体投标。</w:t>
      </w:r>
    </w:p>
    <w:p w14:paraId="22B3C794">
      <w:pPr>
        <w:spacing w:line="360" w:lineRule="auto"/>
        <w:rPr>
          <w:rFonts w:ascii="黑体" w:hAnsi="黑体" w:eastAsia="黑体"/>
          <w:b/>
          <w:bCs/>
          <w:sz w:val="24"/>
        </w:rPr>
      </w:pPr>
      <w:bookmarkStart w:id="7" w:name="_Toc35393791"/>
      <w:bookmarkStart w:id="8" w:name="_Toc28359003"/>
      <w:bookmarkStart w:id="9" w:name="_Toc35393622"/>
      <w:bookmarkStart w:id="10" w:name="_Toc28359080"/>
      <w:r>
        <w:rPr>
          <w:rFonts w:hint="eastAsia" w:ascii="黑体" w:hAnsi="黑体" w:eastAsia="黑体"/>
          <w:b/>
          <w:bCs/>
          <w:sz w:val="24"/>
        </w:rPr>
        <w:t>二、申请人的资格要求：</w:t>
      </w:r>
      <w:bookmarkEnd w:id="7"/>
      <w:bookmarkEnd w:id="8"/>
      <w:bookmarkEnd w:id="9"/>
      <w:bookmarkEnd w:id="10"/>
    </w:p>
    <w:p w14:paraId="237905E6">
      <w:pPr>
        <w:spacing w:line="360" w:lineRule="auto"/>
        <w:ind w:firstLine="420" w:firstLineChars="200"/>
        <w:rPr>
          <w:rFonts w:ascii="宋体" w:hAnsi="宋体"/>
          <w:szCs w:val="21"/>
        </w:rPr>
      </w:pPr>
      <w:bookmarkStart w:id="11" w:name="_Hlk51746371"/>
      <w:bookmarkStart w:id="12" w:name="_Toc28359081"/>
      <w:bookmarkStart w:id="13" w:name="_Toc28359004"/>
      <w:r>
        <w:rPr>
          <w:rFonts w:hint="eastAsia" w:ascii="宋体" w:hAnsi="宋体"/>
          <w:szCs w:val="21"/>
        </w:rPr>
        <w:t>1.满足《中华人民共和国政府采购法》第二十二条规定；</w:t>
      </w:r>
    </w:p>
    <w:p w14:paraId="51D36BC1">
      <w:pPr>
        <w:spacing w:line="360" w:lineRule="auto"/>
        <w:ind w:firstLine="420" w:firstLineChars="200"/>
        <w:rPr>
          <w:rFonts w:ascii="宋体" w:hAnsi="宋体"/>
          <w:szCs w:val="21"/>
        </w:rPr>
      </w:pPr>
      <w:r>
        <w:rPr>
          <w:rFonts w:ascii="宋体" w:hAnsi="宋体"/>
          <w:szCs w:val="21"/>
        </w:rPr>
        <w:t>2</w:t>
      </w:r>
      <w:r>
        <w:rPr>
          <w:rFonts w:hint="eastAsia" w:ascii="宋体" w:hAnsi="宋体"/>
          <w:szCs w:val="21"/>
        </w:rPr>
        <w:t>.落实政府采购政策需满足的资格要求：无。</w:t>
      </w:r>
    </w:p>
    <w:p w14:paraId="114EADBA">
      <w:pPr>
        <w:spacing w:line="360" w:lineRule="auto"/>
        <w:ind w:firstLine="420" w:firstLineChars="200"/>
        <w:rPr>
          <w:rFonts w:ascii="宋体" w:hAnsi="宋体"/>
          <w:szCs w:val="21"/>
        </w:rPr>
      </w:pPr>
      <w:r>
        <w:rPr>
          <w:rFonts w:hint="eastAsia" w:ascii="宋体" w:hAnsi="宋体"/>
          <w:szCs w:val="21"/>
        </w:rPr>
        <w:t>3.本项目的特定资格要求：</w:t>
      </w:r>
    </w:p>
    <w:p w14:paraId="2187BEFA">
      <w:pPr>
        <w:spacing w:line="360" w:lineRule="auto"/>
        <w:ind w:firstLine="420" w:firstLineChars="200"/>
        <w:rPr>
          <w:rFonts w:hint="eastAsia" w:ascii="宋体" w:hAnsi="宋体"/>
          <w:szCs w:val="21"/>
        </w:rPr>
      </w:pPr>
      <w:r>
        <w:rPr>
          <w:rFonts w:hint="eastAsia" w:ascii="宋体" w:hAnsi="宋体"/>
          <w:szCs w:val="21"/>
        </w:rPr>
        <w:t>分标1、分标4至分标6投标人按《医疗器械监督管理条例》（国务院令第739号）医疗器械分类管理要求具备有效的医疗器械经营备案凭证或者经营许可证，且经营范围必须包含相关的标的【符合《医疗器械监督管理条例》第四十一条第二款规定的除外】；或者投标人为《医疗器械监督管理条例》第四十三条规定的注册人。</w:t>
      </w:r>
    </w:p>
    <w:bookmarkEnd w:id="11"/>
    <w:p w14:paraId="25E3A8F0">
      <w:pPr>
        <w:spacing w:line="360" w:lineRule="auto"/>
        <w:rPr>
          <w:rFonts w:ascii="黑体" w:hAnsi="黑体" w:eastAsia="黑体"/>
          <w:b/>
          <w:bCs/>
          <w:sz w:val="24"/>
        </w:rPr>
      </w:pPr>
      <w:bookmarkStart w:id="14" w:name="_Toc35393792"/>
      <w:bookmarkStart w:id="15" w:name="_Toc35393623"/>
      <w:r>
        <w:rPr>
          <w:rFonts w:hint="eastAsia" w:ascii="黑体" w:hAnsi="黑体" w:eastAsia="黑体"/>
          <w:b/>
          <w:bCs/>
          <w:sz w:val="24"/>
        </w:rPr>
        <w:t>三、获取招标文件</w:t>
      </w:r>
      <w:bookmarkEnd w:id="12"/>
      <w:bookmarkEnd w:id="13"/>
      <w:bookmarkEnd w:id="14"/>
      <w:bookmarkEnd w:id="15"/>
    </w:p>
    <w:p w14:paraId="538B4738">
      <w:pPr>
        <w:spacing w:line="360" w:lineRule="auto"/>
        <w:ind w:firstLine="540"/>
        <w:rPr>
          <w:rFonts w:hint="eastAsia" w:ascii="宋体" w:hAnsi="宋体" w:cs="宋体"/>
          <w:bCs/>
          <w:kern w:val="0"/>
          <w:szCs w:val="21"/>
        </w:rPr>
      </w:pPr>
      <w:r>
        <w:rPr>
          <w:rFonts w:hint="eastAsia" w:ascii="宋体" w:hAnsi="宋体" w:cs="宋体"/>
          <w:bCs/>
          <w:kern w:val="0"/>
          <w:szCs w:val="21"/>
        </w:rPr>
        <w:t>时间：</w:t>
      </w:r>
      <w:r>
        <w:rPr>
          <w:rFonts w:ascii="宋体" w:hAnsi="宋体" w:cs="宋体"/>
          <w:bCs/>
          <w:kern w:val="0"/>
          <w:szCs w:val="21"/>
          <w:u w:val="single"/>
        </w:rPr>
        <w:t>2026</w:t>
      </w:r>
      <w:r>
        <w:rPr>
          <w:rFonts w:hint="eastAsia" w:ascii="宋体" w:hAnsi="宋体" w:cs="宋体"/>
          <w:bCs/>
          <w:kern w:val="0"/>
          <w:szCs w:val="21"/>
          <w:u w:val="single"/>
        </w:rPr>
        <w:t>年4月27日</w:t>
      </w:r>
      <w:r>
        <w:rPr>
          <w:rFonts w:hint="eastAsia" w:ascii="宋体" w:hAnsi="宋体" w:cs="宋体"/>
          <w:bCs/>
          <w:kern w:val="0"/>
          <w:szCs w:val="21"/>
        </w:rPr>
        <w:t>至</w:t>
      </w:r>
      <w:r>
        <w:rPr>
          <w:rFonts w:ascii="宋体" w:hAnsi="宋体" w:cs="宋体"/>
          <w:bCs/>
          <w:kern w:val="0"/>
          <w:szCs w:val="21"/>
          <w:u w:val="single"/>
        </w:rPr>
        <w:t>2026</w:t>
      </w:r>
      <w:r>
        <w:rPr>
          <w:rFonts w:hint="eastAsia" w:ascii="宋体" w:hAnsi="宋体" w:cs="宋体"/>
          <w:bCs/>
          <w:kern w:val="0"/>
          <w:szCs w:val="21"/>
          <w:u w:val="single"/>
        </w:rPr>
        <w:t>年5月7日</w:t>
      </w:r>
      <w:r>
        <w:rPr>
          <w:rFonts w:hint="eastAsia" w:ascii="宋体" w:hAnsi="宋体" w:cs="宋体"/>
          <w:bCs/>
          <w:kern w:val="0"/>
          <w:szCs w:val="21"/>
        </w:rPr>
        <w:t>，每天上午</w:t>
      </w:r>
      <w:r>
        <w:rPr>
          <w:rFonts w:hint="eastAsia" w:ascii="宋体" w:hAnsi="宋体" w:cs="宋体"/>
          <w:bCs/>
          <w:kern w:val="0"/>
          <w:szCs w:val="21"/>
          <w:u w:val="single"/>
        </w:rPr>
        <w:t>0:00至12:00，下午12:00至23:59</w:t>
      </w:r>
      <w:r>
        <w:rPr>
          <w:rFonts w:hint="eastAsia" w:ascii="宋体" w:hAnsi="宋体" w:cs="宋体"/>
          <w:bCs/>
          <w:kern w:val="0"/>
          <w:szCs w:val="21"/>
        </w:rPr>
        <w:t>（北京时间，法定节假日除外）</w:t>
      </w:r>
    </w:p>
    <w:p w14:paraId="07394667">
      <w:pPr>
        <w:spacing w:line="360" w:lineRule="auto"/>
        <w:ind w:firstLine="540"/>
        <w:rPr>
          <w:rFonts w:hint="eastAsia" w:ascii="宋体" w:hAnsi="宋体" w:cs="宋体"/>
          <w:bCs/>
          <w:kern w:val="0"/>
          <w:szCs w:val="21"/>
        </w:rPr>
      </w:pPr>
      <w:r>
        <w:rPr>
          <w:rFonts w:hint="eastAsia" w:ascii="宋体" w:hAnsi="宋体" w:cs="宋体"/>
          <w:bCs/>
          <w:kern w:val="0"/>
          <w:szCs w:val="21"/>
        </w:rPr>
        <w:t>地点：</w:t>
      </w:r>
      <w:r>
        <w:rPr>
          <w:rFonts w:hint="eastAsia" w:ascii="宋体" w:hAnsi="宋体"/>
          <w:szCs w:val="21"/>
        </w:rPr>
        <w:t>广西政府采购云平台（</w:t>
      </w:r>
      <w:r>
        <w:rPr>
          <w:rFonts w:hint="eastAsia" w:ascii="宋体" w:hAnsi="宋体"/>
          <w:bCs/>
          <w:szCs w:val="21"/>
        </w:rPr>
        <w:t>https://www.gcy.zfcg.gxzf.gov.cn/</w:t>
      </w:r>
      <w:r>
        <w:rPr>
          <w:rFonts w:hint="eastAsia" w:ascii="宋体" w:hAnsi="宋体"/>
          <w:szCs w:val="21"/>
        </w:rPr>
        <w:t>）</w:t>
      </w:r>
    </w:p>
    <w:p w14:paraId="76773F42">
      <w:pPr>
        <w:spacing w:line="360" w:lineRule="auto"/>
        <w:ind w:firstLine="540"/>
        <w:rPr>
          <w:rFonts w:ascii="宋体" w:hAnsi="宋体" w:cs="宋体"/>
          <w:bCs/>
          <w:kern w:val="0"/>
          <w:szCs w:val="21"/>
        </w:rPr>
      </w:pPr>
      <w:r>
        <w:rPr>
          <w:rFonts w:hint="eastAsia" w:ascii="宋体" w:hAnsi="宋体" w:cs="宋体"/>
          <w:bCs/>
          <w:kern w:val="0"/>
          <w:szCs w:val="21"/>
        </w:rPr>
        <w:t>方式：网上下载。本项目不提供纸质文件，潜在供应商需在</w:t>
      </w:r>
      <w:r>
        <w:rPr>
          <w:rFonts w:hint="eastAsia" w:ascii="宋体" w:hAnsi="宋体"/>
          <w:szCs w:val="21"/>
        </w:rPr>
        <w:t>广西政府采购云平台（</w:t>
      </w:r>
      <w:r>
        <w:rPr>
          <w:rFonts w:hint="eastAsia" w:ascii="宋体" w:hAnsi="宋体"/>
          <w:bCs/>
          <w:szCs w:val="21"/>
        </w:rPr>
        <w:t>https://www.gcy.zfcg.gxzf.gov.cn/</w:t>
      </w:r>
      <w:r>
        <w:rPr>
          <w:rFonts w:hint="eastAsia" w:ascii="宋体" w:hAnsi="宋体"/>
          <w:szCs w:val="21"/>
        </w:rPr>
        <w:t>）</w:t>
      </w:r>
      <w:r>
        <w:rPr>
          <w:rFonts w:hint="eastAsia" w:ascii="宋体" w:hAnsi="宋体" w:cs="宋体"/>
          <w:bCs/>
          <w:kern w:val="0"/>
          <w:szCs w:val="21"/>
        </w:rPr>
        <w:t>-进入“项目采购”应用，在获取采购文件菜单中选择项目，获取招标文件。</w:t>
      </w:r>
      <w:r>
        <w:rPr>
          <w:rFonts w:hint="eastAsia" w:ascii="宋体" w:hAnsi="宋体"/>
          <w:szCs w:val="21"/>
        </w:rPr>
        <w:t>电子投标文件制作需要基于广西政府采购云平台获取的招标文件编制，</w:t>
      </w:r>
      <w:r>
        <w:rPr>
          <w:rFonts w:hint="eastAsia" w:ascii="宋体" w:hAnsi="宋体" w:cs="宋体"/>
          <w:bCs/>
          <w:kern w:val="0"/>
          <w:szCs w:val="21"/>
        </w:rPr>
        <w:t>通过其他方式获取招标文件的，将有可能导致供应商无法在</w:t>
      </w:r>
      <w:r>
        <w:rPr>
          <w:rFonts w:hint="eastAsia" w:ascii="宋体" w:hAnsi="宋体"/>
          <w:szCs w:val="21"/>
        </w:rPr>
        <w:t>广西政府采购云平台</w:t>
      </w:r>
      <w:r>
        <w:rPr>
          <w:rFonts w:hint="eastAsia" w:ascii="宋体" w:hAnsi="宋体" w:cs="宋体"/>
          <w:bCs/>
          <w:kern w:val="0"/>
          <w:szCs w:val="21"/>
        </w:rPr>
        <w:t>编制及上传投标文件。</w:t>
      </w:r>
    </w:p>
    <w:p w14:paraId="50116749">
      <w:pPr>
        <w:spacing w:line="360" w:lineRule="auto"/>
        <w:ind w:firstLine="540"/>
        <w:rPr>
          <w:rFonts w:ascii="宋体" w:hAnsi="宋体" w:cs="宋体"/>
          <w:szCs w:val="21"/>
        </w:rPr>
      </w:pPr>
      <w:r>
        <w:rPr>
          <w:rFonts w:hint="eastAsia" w:ascii="宋体" w:hAnsi="宋体" w:cs="宋体"/>
          <w:bCs/>
          <w:kern w:val="0"/>
          <w:szCs w:val="21"/>
        </w:rPr>
        <w:t>售价：</w:t>
      </w:r>
      <w:r>
        <w:rPr>
          <w:rFonts w:hint="eastAsia" w:ascii="宋体" w:hAnsi="宋体" w:cs="宋体"/>
          <w:i/>
          <w:szCs w:val="21"/>
          <w:u w:val="single"/>
        </w:rPr>
        <w:t>0</w:t>
      </w:r>
      <w:r>
        <w:rPr>
          <w:rFonts w:hint="eastAsia" w:ascii="宋体" w:hAnsi="宋体" w:cs="宋体"/>
          <w:szCs w:val="21"/>
        </w:rPr>
        <w:t>元</w:t>
      </w:r>
    </w:p>
    <w:p w14:paraId="748D05C1">
      <w:pPr>
        <w:spacing w:line="360" w:lineRule="auto"/>
        <w:rPr>
          <w:rFonts w:ascii="黑体" w:hAnsi="黑体" w:eastAsia="黑体"/>
          <w:b/>
          <w:bCs/>
          <w:sz w:val="24"/>
        </w:rPr>
      </w:pPr>
      <w:bookmarkStart w:id="16" w:name="_Toc28359082"/>
      <w:bookmarkStart w:id="17" w:name="_Toc28359005"/>
      <w:bookmarkStart w:id="18" w:name="_Toc35393624"/>
      <w:bookmarkStart w:id="19" w:name="_Toc35393793"/>
      <w:r>
        <w:rPr>
          <w:rFonts w:hint="eastAsia" w:ascii="黑体" w:hAnsi="黑体" w:eastAsia="黑体"/>
          <w:b/>
          <w:bCs/>
          <w:sz w:val="24"/>
        </w:rPr>
        <w:t>四、提交投标文件</w:t>
      </w:r>
      <w:bookmarkEnd w:id="16"/>
      <w:bookmarkEnd w:id="17"/>
      <w:r>
        <w:rPr>
          <w:rFonts w:hint="eastAsia" w:ascii="黑体" w:hAnsi="黑体" w:eastAsia="黑体"/>
          <w:b/>
          <w:bCs/>
          <w:sz w:val="24"/>
        </w:rPr>
        <w:t>截止时间、开标时间和地点</w:t>
      </w:r>
      <w:bookmarkEnd w:id="18"/>
      <w:bookmarkEnd w:id="19"/>
    </w:p>
    <w:p w14:paraId="22D56FD9">
      <w:pPr>
        <w:spacing w:line="360" w:lineRule="auto"/>
        <w:ind w:firstLine="420" w:firstLineChars="200"/>
        <w:rPr>
          <w:rFonts w:ascii="宋体" w:hAnsi="宋体" w:cs="宋体"/>
          <w:szCs w:val="21"/>
          <w:u w:val="single"/>
        </w:rPr>
      </w:pPr>
      <w:bookmarkStart w:id="20" w:name="_Toc28359084"/>
      <w:bookmarkStart w:id="21" w:name="_Toc35393625"/>
      <w:bookmarkStart w:id="22" w:name="_Toc35393794"/>
      <w:bookmarkStart w:id="23" w:name="_Toc28359007"/>
      <w:r>
        <w:rPr>
          <w:rFonts w:ascii="宋体" w:hAnsi="宋体"/>
          <w:bCs/>
          <w:szCs w:val="21"/>
          <w:u w:val="single"/>
        </w:rPr>
        <w:t>2026</w:t>
      </w:r>
      <w:r>
        <w:rPr>
          <w:rFonts w:hint="eastAsia" w:ascii="宋体" w:hAnsi="宋体"/>
          <w:bCs/>
          <w:szCs w:val="21"/>
          <w:u w:val="single"/>
        </w:rPr>
        <w:t>年5月19日</w:t>
      </w:r>
      <w:r>
        <w:rPr>
          <w:rFonts w:ascii="宋体" w:hAnsi="宋体"/>
          <w:bCs/>
          <w:szCs w:val="21"/>
          <w:u w:val="single"/>
        </w:rPr>
        <w:t>9</w:t>
      </w:r>
      <w:r>
        <w:rPr>
          <w:rFonts w:hint="eastAsia" w:ascii="宋体" w:hAnsi="宋体"/>
          <w:bCs/>
          <w:szCs w:val="21"/>
          <w:u w:val="single"/>
        </w:rPr>
        <w:t>时</w:t>
      </w:r>
      <w:r>
        <w:rPr>
          <w:rFonts w:ascii="宋体" w:hAnsi="宋体"/>
          <w:bCs/>
          <w:szCs w:val="21"/>
          <w:u w:val="single"/>
        </w:rPr>
        <w:t>30</w:t>
      </w:r>
      <w:r>
        <w:rPr>
          <w:rFonts w:hint="eastAsia" w:ascii="宋体" w:hAnsi="宋体"/>
          <w:bCs/>
          <w:szCs w:val="21"/>
          <w:u w:val="single"/>
        </w:rPr>
        <w:t>分</w:t>
      </w:r>
      <w:r>
        <w:rPr>
          <w:rFonts w:hint="eastAsia" w:ascii="宋体" w:hAnsi="宋体"/>
          <w:bCs/>
          <w:szCs w:val="21"/>
        </w:rPr>
        <w:t>（北京时间）</w:t>
      </w:r>
    </w:p>
    <w:p w14:paraId="7D43990E">
      <w:pPr>
        <w:spacing w:line="360" w:lineRule="auto"/>
        <w:ind w:firstLine="420" w:firstLineChars="200"/>
        <w:rPr>
          <w:rFonts w:hint="eastAsia" w:ascii="宋体" w:hAnsi="宋体"/>
          <w:szCs w:val="21"/>
        </w:rPr>
      </w:pPr>
      <w:r>
        <w:rPr>
          <w:rFonts w:hint="eastAsia" w:ascii="宋体" w:hAnsi="宋体"/>
          <w:szCs w:val="21"/>
        </w:rPr>
        <w:t>地点：</w:t>
      </w:r>
    </w:p>
    <w:p w14:paraId="17A442B9">
      <w:pPr>
        <w:spacing w:line="360" w:lineRule="auto"/>
        <w:ind w:firstLine="420" w:firstLineChars="200"/>
        <w:rPr>
          <w:rFonts w:ascii="宋体" w:hAnsi="宋体"/>
          <w:szCs w:val="21"/>
        </w:rPr>
      </w:pPr>
      <w:r>
        <w:rPr>
          <w:rFonts w:hint="eastAsia" w:ascii="宋体" w:hAnsi="宋体"/>
          <w:szCs w:val="21"/>
        </w:rPr>
        <w:t>投标地点：广西政府采购云平台（</w:t>
      </w:r>
      <w:r>
        <w:rPr>
          <w:rFonts w:hint="eastAsia" w:ascii="宋体" w:hAnsi="宋体"/>
          <w:bCs/>
          <w:szCs w:val="21"/>
        </w:rPr>
        <w:t>https://www.gcy.zfcg.gxzf.gov.cn/</w:t>
      </w:r>
      <w:r>
        <w:rPr>
          <w:rFonts w:hint="eastAsia" w:ascii="宋体" w:hAnsi="宋体"/>
          <w:szCs w:val="21"/>
        </w:rPr>
        <w:t>）</w:t>
      </w:r>
    </w:p>
    <w:p w14:paraId="01C3A824">
      <w:pPr>
        <w:spacing w:line="360" w:lineRule="auto"/>
        <w:ind w:firstLine="420" w:firstLineChars="200"/>
        <w:rPr>
          <w:rFonts w:hint="eastAsia" w:ascii="宋体" w:hAnsi="宋体"/>
          <w:szCs w:val="21"/>
        </w:rPr>
      </w:pPr>
      <w:r>
        <w:rPr>
          <w:rFonts w:hint="eastAsia" w:ascii="宋体" w:hAnsi="宋体"/>
          <w:szCs w:val="21"/>
        </w:rPr>
        <w:t>开标地点：广西政府采购云平台电子开标大厅</w:t>
      </w:r>
    </w:p>
    <w:p w14:paraId="6A4D078C">
      <w:pPr>
        <w:spacing w:line="360" w:lineRule="auto"/>
        <w:rPr>
          <w:rFonts w:ascii="黑体" w:hAnsi="黑体" w:eastAsia="黑体"/>
          <w:b/>
          <w:bCs/>
          <w:sz w:val="24"/>
        </w:rPr>
      </w:pPr>
      <w:r>
        <w:rPr>
          <w:rFonts w:hint="eastAsia" w:ascii="黑体" w:hAnsi="黑体" w:eastAsia="黑体"/>
          <w:b/>
          <w:bCs/>
          <w:sz w:val="24"/>
        </w:rPr>
        <w:t>五、公告期限</w:t>
      </w:r>
      <w:bookmarkEnd w:id="20"/>
      <w:bookmarkEnd w:id="21"/>
      <w:bookmarkEnd w:id="22"/>
      <w:bookmarkEnd w:id="23"/>
    </w:p>
    <w:p w14:paraId="0416F2C8">
      <w:pPr>
        <w:spacing w:line="360" w:lineRule="auto"/>
        <w:ind w:firstLine="420" w:firstLineChars="200"/>
        <w:rPr>
          <w:rFonts w:ascii="宋体" w:hAnsi="宋体" w:cs="宋体"/>
          <w:kern w:val="0"/>
          <w:szCs w:val="21"/>
        </w:rPr>
      </w:pPr>
      <w:r>
        <w:rPr>
          <w:rFonts w:hint="eastAsia" w:ascii="宋体" w:hAnsi="宋体" w:cs="宋体"/>
          <w:kern w:val="0"/>
          <w:szCs w:val="21"/>
        </w:rPr>
        <w:t>自本公告发布之日起5个工作日。</w:t>
      </w:r>
    </w:p>
    <w:p w14:paraId="7C8AFABC">
      <w:pPr>
        <w:spacing w:line="360" w:lineRule="auto"/>
        <w:rPr>
          <w:rFonts w:ascii="黑体" w:hAnsi="黑体" w:eastAsia="黑体"/>
          <w:b/>
          <w:bCs/>
          <w:sz w:val="24"/>
        </w:rPr>
      </w:pPr>
      <w:bookmarkStart w:id="24" w:name="_Toc35393626"/>
      <w:bookmarkStart w:id="25" w:name="_Toc35393795"/>
      <w:r>
        <w:rPr>
          <w:rFonts w:hint="eastAsia" w:ascii="黑体" w:hAnsi="黑体" w:eastAsia="黑体"/>
          <w:b/>
          <w:bCs/>
          <w:sz w:val="24"/>
        </w:rPr>
        <w:t>六、其他补充事宜</w:t>
      </w:r>
      <w:bookmarkEnd w:id="24"/>
      <w:bookmarkEnd w:id="25"/>
    </w:p>
    <w:p w14:paraId="4B34E43C">
      <w:pPr>
        <w:spacing w:line="360" w:lineRule="auto"/>
        <w:ind w:firstLine="420" w:firstLineChars="200"/>
        <w:rPr>
          <w:rFonts w:hint="eastAsia" w:ascii="宋体" w:hAnsi="宋体" w:cs="宋体"/>
          <w:kern w:val="0"/>
          <w:szCs w:val="21"/>
        </w:rPr>
      </w:pPr>
      <w:bookmarkStart w:id="26" w:name="_Hlk37429585"/>
      <w:bookmarkStart w:id="27" w:name="_Hlk37429595"/>
      <w:r>
        <w:rPr>
          <w:rFonts w:hint="eastAsia" w:ascii="宋体" w:hAnsi="宋体" w:cs="宋体"/>
          <w:kern w:val="0"/>
          <w:szCs w:val="21"/>
        </w:rPr>
        <w:t>1.网上查询地址</w:t>
      </w:r>
    </w:p>
    <w:bookmarkEnd w:id="26"/>
    <w:p w14:paraId="75FA7985">
      <w:pPr>
        <w:spacing w:line="360" w:lineRule="auto"/>
        <w:ind w:firstLine="424" w:firstLineChars="202"/>
        <w:rPr>
          <w:rFonts w:ascii="宋体" w:hAnsi="宋体" w:cs="宋体"/>
          <w:i/>
          <w:kern w:val="0"/>
          <w:szCs w:val="21"/>
        </w:rPr>
      </w:pPr>
      <w:r>
        <w:rPr>
          <w:rFonts w:ascii="宋体" w:hAnsi="宋体" w:cs="宋体"/>
          <w:kern w:val="0"/>
          <w:szCs w:val="21"/>
        </w:rPr>
        <w:t>http：</w:t>
      </w:r>
      <w:r>
        <w:rPr>
          <w:rFonts w:hint="eastAsia" w:ascii="宋体" w:hAnsi="宋体" w:cs="宋体"/>
          <w:kern w:val="0"/>
          <w:szCs w:val="21"/>
        </w:rPr>
        <w:t>//www.ccgp.gov.cn（中国政府采购网）、</w:t>
      </w:r>
      <w:r>
        <w:rPr>
          <w:rFonts w:ascii="宋体" w:hAnsi="宋体" w:cs="宋体"/>
          <w:kern w:val="0"/>
          <w:szCs w:val="21"/>
        </w:rPr>
        <w:t>http：</w:t>
      </w:r>
      <w:r>
        <w:rPr>
          <w:rFonts w:hint="eastAsia" w:ascii="宋体" w:hAnsi="宋体" w:cs="宋体"/>
          <w:kern w:val="0"/>
          <w:szCs w:val="21"/>
        </w:rPr>
        <w:t>//zfcg.gxzf.gov.cn（广西壮族自治区政府采购网）、广西壮族自治区公共资源交易中心（http://gxggzy.gxzf.gov.cn/）</w:t>
      </w:r>
    </w:p>
    <w:bookmarkEnd w:id="27"/>
    <w:p w14:paraId="0AE125BB">
      <w:pPr>
        <w:spacing w:line="360" w:lineRule="auto"/>
        <w:ind w:firstLine="424" w:firstLineChars="202"/>
        <w:rPr>
          <w:rFonts w:hint="eastAsia" w:ascii="宋体" w:hAnsi="宋体" w:cs="宋体"/>
          <w:kern w:val="0"/>
          <w:szCs w:val="21"/>
        </w:rPr>
      </w:pPr>
      <w:bookmarkStart w:id="28" w:name="_Hlk37429674"/>
      <w:r>
        <w:rPr>
          <w:rFonts w:hint="eastAsia" w:ascii="宋体" w:hAnsi="宋体"/>
          <w:szCs w:val="21"/>
        </w:rPr>
        <w:t>2</w:t>
      </w:r>
      <w:r>
        <w:rPr>
          <w:rFonts w:ascii="宋体" w:hAnsi="宋体"/>
          <w:szCs w:val="21"/>
        </w:rPr>
        <w:t>.</w:t>
      </w:r>
      <w:r>
        <w:rPr>
          <w:rFonts w:hint="eastAsia" w:ascii="宋体" w:hAnsi="宋体" w:cs="宋体"/>
          <w:kern w:val="0"/>
          <w:szCs w:val="21"/>
        </w:rPr>
        <w:t>本项目需要落实的政府采购政策：</w:t>
      </w:r>
    </w:p>
    <w:p w14:paraId="426A9A51">
      <w:pPr>
        <w:spacing w:line="360" w:lineRule="auto"/>
        <w:ind w:firstLine="420" w:firstLineChars="200"/>
        <w:rPr>
          <w:rFonts w:ascii="宋体" w:hAnsi="宋体" w:cs="宋体"/>
          <w:kern w:val="0"/>
          <w:szCs w:val="21"/>
        </w:rPr>
      </w:pPr>
      <w:r>
        <w:rPr>
          <w:rFonts w:hint="eastAsia" w:ascii="宋体" w:hAnsi="宋体" w:cs="宋体"/>
          <w:kern w:val="0"/>
          <w:szCs w:val="21"/>
        </w:rPr>
        <w:t>（1）政府采购促进中小企业发展。</w:t>
      </w:r>
    </w:p>
    <w:p w14:paraId="57D681C9">
      <w:pPr>
        <w:spacing w:line="360" w:lineRule="auto"/>
        <w:ind w:firstLine="420" w:firstLineChars="200"/>
        <w:rPr>
          <w:rFonts w:ascii="宋体" w:hAnsi="宋体" w:cs="宋体"/>
          <w:kern w:val="0"/>
          <w:szCs w:val="21"/>
        </w:rPr>
      </w:pPr>
      <w:r>
        <w:rPr>
          <w:rFonts w:hint="eastAsia" w:ascii="宋体" w:hAnsi="宋体" w:cs="宋体"/>
          <w:kern w:val="0"/>
          <w:szCs w:val="21"/>
        </w:rPr>
        <w:t>（2）政府采购支持采用本国产品的政策。</w:t>
      </w:r>
    </w:p>
    <w:p w14:paraId="5AA3E6EF">
      <w:pPr>
        <w:spacing w:line="360" w:lineRule="auto"/>
        <w:ind w:firstLine="420" w:firstLineChars="200"/>
        <w:rPr>
          <w:rFonts w:ascii="宋体" w:hAnsi="宋体" w:cs="宋体"/>
          <w:kern w:val="0"/>
          <w:szCs w:val="21"/>
        </w:rPr>
      </w:pPr>
      <w:r>
        <w:rPr>
          <w:rFonts w:hint="eastAsia" w:ascii="宋体" w:hAnsi="宋体" w:cs="宋体"/>
          <w:kern w:val="0"/>
          <w:szCs w:val="21"/>
        </w:rPr>
        <w:t>（3）强制采购节能产品；优先采购节能产品、环境标志产品。</w:t>
      </w:r>
    </w:p>
    <w:p w14:paraId="23E23531">
      <w:pPr>
        <w:spacing w:line="360" w:lineRule="auto"/>
        <w:ind w:firstLine="420" w:firstLineChars="200"/>
        <w:rPr>
          <w:rFonts w:ascii="宋体" w:hAnsi="宋体" w:cs="宋体"/>
          <w:kern w:val="0"/>
          <w:szCs w:val="21"/>
        </w:rPr>
      </w:pPr>
      <w:r>
        <w:rPr>
          <w:rFonts w:hint="eastAsia" w:ascii="宋体" w:hAnsi="宋体" w:cs="宋体"/>
          <w:kern w:val="0"/>
          <w:szCs w:val="21"/>
        </w:rPr>
        <w:t>（4）政府采购促进残疾人就业政策。</w:t>
      </w:r>
    </w:p>
    <w:p w14:paraId="3924FD27">
      <w:pPr>
        <w:spacing w:line="360" w:lineRule="auto"/>
        <w:ind w:firstLine="420" w:firstLineChars="200"/>
        <w:rPr>
          <w:rFonts w:hint="eastAsia" w:ascii="宋体" w:hAnsi="宋体" w:cs="宋体"/>
          <w:kern w:val="0"/>
          <w:szCs w:val="21"/>
        </w:rPr>
      </w:pPr>
      <w:r>
        <w:rPr>
          <w:rFonts w:hint="eastAsia" w:ascii="宋体" w:hAnsi="宋体" w:cs="宋体"/>
          <w:kern w:val="0"/>
          <w:szCs w:val="21"/>
        </w:rPr>
        <w:t>（5）政府采购支持监狱企业发展。</w:t>
      </w:r>
    </w:p>
    <w:p w14:paraId="4943504C">
      <w:pPr>
        <w:widowControl/>
        <w:spacing w:line="360" w:lineRule="auto"/>
        <w:ind w:firstLine="420" w:firstLineChars="200"/>
        <w:jc w:val="left"/>
        <w:rPr>
          <w:rFonts w:hint="eastAsia" w:ascii="宋体" w:hAnsi="宋体"/>
          <w:szCs w:val="21"/>
        </w:rPr>
      </w:pPr>
      <w:r>
        <w:rPr>
          <w:rFonts w:hint="eastAsia" w:ascii="宋体" w:hAnsi="宋体" w:cs="宋体"/>
          <w:kern w:val="0"/>
          <w:szCs w:val="21"/>
        </w:rPr>
        <w:t>3.</w:t>
      </w:r>
      <w:bookmarkEnd w:id="28"/>
      <w:bookmarkStart w:id="29" w:name="_Toc28359085"/>
      <w:bookmarkStart w:id="30" w:name="_Toc35393627"/>
      <w:bookmarkStart w:id="31" w:name="_Toc28359008"/>
      <w:bookmarkStart w:id="32" w:name="_Toc35393796"/>
      <w:r>
        <w:rPr>
          <w:rFonts w:hint="eastAsia" w:ascii="宋体" w:hAnsi="宋体" w:cs="宋体"/>
          <w:kern w:val="0"/>
          <w:szCs w:val="21"/>
        </w:rPr>
        <w:t>投标人</w:t>
      </w:r>
      <w:r>
        <w:rPr>
          <w:rFonts w:hint="eastAsia" w:ascii="宋体" w:hAnsi="宋体"/>
          <w:szCs w:val="21"/>
        </w:rPr>
        <w:t>投标注意事项</w:t>
      </w:r>
    </w:p>
    <w:p w14:paraId="7FC0E1CA">
      <w:pPr>
        <w:widowControl/>
        <w:spacing w:line="360" w:lineRule="auto"/>
        <w:ind w:firstLine="420" w:firstLineChars="200"/>
        <w:jc w:val="left"/>
        <w:rPr>
          <w:rFonts w:hint="eastAsia" w:ascii="宋体" w:hAnsi="宋体"/>
          <w:szCs w:val="21"/>
        </w:rPr>
      </w:pPr>
      <w:r>
        <w:rPr>
          <w:rFonts w:hint="eastAsia" w:ascii="宋体" w:hAnsi="宋体"/>
          <w:szCs w:val="21"/>
        </w:rPr>
        <w:t>（1）本项目为全流程电子化采购项目，通过广西政府采购云平台（</w:t>
      </w:r>
      <w:r>
        <w:rPr>
          <w:rFonts w:hint="eastAsia" w:ascii="宋体" w:hAnsi="宋体"/>
          <w:bCs/>
          <w:szCs w:val="21"/>
        </w:rPr>
        <w:t>https://www.gcy.zfcg.gxzf.gov.cn/</w:t>
      </w:r>
      <w:r>
        <w:rPr>
          <w:rFonts w:hint="eastAsia" w:ascii="宋体" w:hAnsi="宋体"/>
          <w:szCs w:val="21"/>
        </w:rPr>
        <w:t>）实行在线电子投标，投标人应按照本项目招标文件和广西政府采购云平台的要求编制、加密后在投标截止时间前通过网络上传至广西政府采购云平台（加密的电子投标文件是指</w:t>
      </w:r>
      <w:r>
        <w:rPr>
          <w:rFonts w:hint="eastAsia"/>
        </w:rPr>
        <w:t>后缀名为“</w:t>
      </w:r>
      <w:r>
        <w:t>jmbs</w:t>
      </w:r>
      <w:r>
        <w:rPr>
          <w:rFonts w:hint="eastAsia"/>
        </w:rPr>
        <w:t>”的文件</w:t>
      </w:r>
      <w:r>
        <w:rPr>
          <w:rFonts w:hint="eastAsia" w:ascii="宋体" w:hAnsi="宋体"/>
          <w:szCs w:val="21"/>
        </w:rPr>
        <w:t>），</w:t>
      </w:r>
      <w:r>
        <w:rPr>
          <w:rFonts w:hint="eastAsia" w:ascii="宋体" w:hAnsi="宋体"/>
          <w:b/>
          <w:szCs w:val="21"/>
        </w:rPr>
        <w:t>投标人在广西政府采购云平台提交电子投标文件时，请填写参加远程开标活动经办人联系方式。</w:t>
      </w:r>
      <w:r>
        <w:rPr>
          <w:rFonts w:hint="eastAsia" w:ascii="宋体" w:hAnsi="宋体"/>
          <w:szCs w:val="21"/>
        </w:rPr>
        <w:t>投标人登录广西政府采购云平台，依次进入“服务中心-项目采购-操作流程-电子招投标-</w:t>
      </w:r>
      <w:r>
        <w:rPr>
          <w:rFonts w:hint="eastAsia"/>
        </w:rPr>
        <w:t>政府采购项目电子交易管理操作指南</w:t>
      </w:r>
      <w:r>
        <w:t>-</w:t>
      </w:r>
      <w:r>
        <w:rPr>
          <w:rFonts w:hint="eastAsia"/>
        </w:rPr>
        <w:t>供应商</w:t>
      </w:r>
      <w:r>
        <w:rPr>
          <w:rFonts w:hint="eastAsia" w:ascii="宋体" w:hAnsi="宋体"/>
          <w:szCs w:val="21"/>
        </w:rPr>
        <w:t>”查看电子投标具体操作流程。</w:t>
      </w:r>
    </w:p>
    <w:p w14:paraId="24B82334">
      <w:pPr>
        <w:widowControl/>
        <w:spacing w:line="360" w:lineRule="auto"/>
        <w:ind w:firstLine="420" w:firstLineChars="200"/>
        <w:jc w:val="left"/>
        <w:rPr>
          <w:rFonts w:hint="eastAsia" w:ascii="宋体" w:hAnsi="宋体"/>
          <w:szCs w:val="21"/>
        </w:rPr>
      </w:pPr>
      <w:r>
        <w:rPr>
          <w:rFonts w:hint="eastAsia" w:ascii="宋体" w:hAnsi="宋体"/>
          <w:szCs w:val="21"/>
        </w:rPr>
        <w:t>（2）未进行网上注册并办理数字证书（CA认证）的投标人将无法参与本项目政府采购活动，投标人应当在投标截止时间前，完成电子交易平台上的CA数字证书办理及投标文件的提交（投标人可登录“广西政府采购网”，依次进入“办事服务-下载专区”或者登录广西政府采购云平台</w:t>
      </w:r>
      <w:r>
        <w:rPr>
          <w:rFonts w:hint="eastAsia" w:ascii="宋体" w:hAnsi="宋体" w:cs="宋体"/>
          <w:kern w:val="0"/>
          <w:szCs w:val="21"/>
        </w:rPr>
        <w:t>，</w:t>
      </w:r>
      <w:r>
        <w:rPr>
          <w:rFonts w:hint="eastAsia" w:ascii="宋体" w:hAnsi="宋体"/>
          <w:szCs w:val="21"/>
        </w:rPr>
        <w:t>依次进入“服务中心-入驻与配置”中查看CA数字证书办理操作流程。</w:t>
      </w:r>
      <w:r>
        <w:rPr>
          <w:rFonts w:hint="eastAsia" w:ascii="宋体" w:hAnsi="宋体" w:cs="宋体"/>
          <w:bCs/>
          <w:kern w:val="0"/>
          <w:szCs w:val="21"/>
        </w:rPr>
        <w:t>如在操作过程中遇到问题或者需要技术支持，请致电客服热线：95763或者0771-3381253</w:t>
      </w:r>
      <w:r>
        <w:rPr>
          <w:rFonts w:hint="eastAsia" w:ascii="宋体" w:hAnsi="宋体"/>
          <w:szCs w:val="21"/>
        </w:rPr>
        <w:t>）。</w:t>
      </w:r>
    </w:p>
    <w:p w14:paraId="50826EA2">
      <w:pPr>
        <w:snapToGrid w:val="0"/>
        <w:spacing w:line="360" w:lineRule="auto"/>
        <w:ind w:firstLine="420" w:firstLineChars="200"/>
        <w:rPr>
          <w:rFonts w:hint="eastAsia" w:ascii="宋体" w:hAnsi="宋体" w:cs="宋体"/>
          <w:kern w:val="0"/>
          <w:szCs w:val="21"/>
        </w:rPr>
      </w:pPr>
      <w:r>
        <w:rPr>
          <w:rFonts w:hint="eastAsia" w:ascii="宋体" w:hAnsi="宋体" w:cs="宋体"/>
          <w:kern w:val="0"/>
          <w:szCs w:val="21"/>
        </w:rPr>
        <w:t>（3）CA证书在线解密：投标人投标时，需凭制作投标文件时用来加密的有效数字证书（CA认证）登录</w:t>
      </w:r>
      <w:r>
        <w:rPr>
          <w:rFonts w:hint="eastAsia" w:ascii="宋体" w:hAnsi="宋体"/>
          <w:szCs w:val="21"/>
        </w:rPr>
        <w:t>广西政府采购云平台</w:t>
      </w:r>
      <w:r>
        <w:rPr>
          <w:rFonts w:hint="eastAsia" w:ascii="宋体" w:hAnsi="宋体" w:cs="宋体"/>
          <w:kern w:val="0"/>
          <w:szCs w:val="21"/>
        </w:rPr>
        <w:t>电子开标大厅现场按规定时间对加密的投标文件进行解密，否则后果自负。</w:t>
      </w:r>
    </w:p>
    <w:p w14:paraId="23328DC4">
      <w:pPr>
        <w:spacing w:line="360" w:lineRule="auto"/>
        <w:ind w:firstLine="424" w:firstLineChars="202"/>
        <w:rPr>
          <w:rFonts w:hint="eastAsia" w:ascii="宋体" w:hAnsi="宋体" w:cs="宋体"/>
          <w:kern w:val="0"/>
          <w:szCs w:val="21"/>
        </w:rPr>
      </w:pPr>
      <w:r>
        <w:rPr>
          <w:rFonts w:hint="eastAsia" w:ascii="宋体" w:hAnsi="宋体"/>
          <w:szCs w:val="21"/>
        </w:rPr>
        <w:t>注：1）为确保网上操作合法、有效和安全，请投标人确保在电子投标过程中能够对相关数据电文进行加密和使用电子签章，妥善保管CA数字证书并使用有效的CA数字证书参与整个招标活动。2）</w:t>
      </w:r>
      <w:r>
        <w:rPr>
          <w:rFonts w:hint="eastAsia" w:ascii="宋体" w:hAnsi="宋体"/>
          <w:bCs/>
          <w:szCs w:val="21"/>
        </w:rPr>
        <w:t>投标人应当在投标截止时间前完成电子投标文件的上传、提交，投标截止时间前可以补充、修改或者撤回投标文件。补充或者修改投标文件的，应当先行撤回原投标文件，补充、修改后重新上传、提交，投标截止时间前未完成上传、提交的，视为撤回投标文件。投标截止时间以后上传递交的投标文件，</w:t>
      </w:r>
      <w:r>
        <w:rPr>
          <w:rFonts w:hint="eastAsia" w:ascii="宋体" w:hAnsi="宋体"/>
          <w:szCs w:val="21"/>
        </w:rPr>
        <w:t>广西政府采购云平台</w:t>
      </w:r>
      <w:r>
        <w:rPr>
          <w:rFonts w:hint="eastAsia" w:ascii="宋体" w:hAnsi="宋体"/>
          <w:bCs/>
          <w:szCs w:val="21"/>
        </w:rPr>
        <w:t>将予以拒收。</w:t>
      </w:r>
    </w:p>
    <w:p w14:paraId="0ADEF1B9">
      <w:pPr>
        <w:spacing w:line="360" w:lineRule="auto"/>
        <w:ind w:firstLine="482" w:firstLineChars="200"/>
        <w:rPr>
          <w:rFonts w:ascii="黑体" w:hAnsi="黑体" w:eastAsia="黑体"/>
          <w:b/>
          <w:bCs/>
          <w:sz w:val="24"/>
        </w:rPr>
      </w:pPr>
      <w:r>
        <w:rPr>
          <w:rFonts w:hint="eastAsia" w:ascii="黑体" w:hAnsi="黑体" w:eastAsia="黑体"/>
          <w:b/>
          <w:bCs/>
          <w:sz w:val="24"/>
        </w:rPr>
        <w:t>七、对本次招标提出询问，请按</w:t>
      </w:r>
      <w:r>
        <w:rPr>
          <w:rFonts w:ascii="黑体" w:hAnsi="黑体" w:eastAsia="黑体"/>
          <w:b/>
          <w:bCs/>
          <w:sz w:val="24"/>
        </w:rPr>
        <w:t>以下方式</w:t>
      </w:r>
      <w:r>
        <w:rPr>
          <w:rFonts w:hint="eastAsia" w:ascii="黑体" w:hAnsi="黑体" w:eastAsia="黑体"/>
          <w:b/>
          <w:bCs/>
          <w:sz w:val="24"/>
        </w:rPr>
        <w:t>联系。</w:t>
      </w:r>
      <w:bookmarkEnd w:id="29"/>
      <w:bookmarkEnd w:id="30"/>
      <w:bookmarkEnd w:id="31"/>
      <w:bookmarkEnd w:id="32"/>
    </w:p>
    <w:p w14:paraId="5EAD41A0">
      <w:pPr>
        <w:spacing w:line="360" w:lineRule="auto"/>
        <w:ind w:firstLine="567" w:firstLineChars="270"/>
        <w:rPr>
          <w:rFonts w:hint="eastAsia" w:ascii="宋体" w:hAnsi="宋体" w:cs="宋体"/>
          <w:szCs w:val="21"/>
        </w:rPr>
      </w:pPr>
      <w:r>
        <w:rPr>
          <w:rFonts w:hint="eastAsia" w:ascii="宋体" w:hAnsi="宋体" w:cs="宋体"/>
          <w:szCs w:val="21"/>
        </w:rPr>
        <w:t>1.采购人信息</w:t>
      </w:r>
    </w:p>
    <w:p w14:paraId="0FEEA6BD">
      <w:pPr>
        <w:spacing w:line="360" w:lineRule="auto"/>
        <w:ind w:firstLine="567" w:firstLineChars="270"/>
        <w:rPr>
          <w:rFonts w:hint="eastAsia" w:ascii="宋体" w:hAnsi="宋体" w:cs="宋体"/>
          <w:szCs w:val="21"/>
        </w:rPr>
      </w:pPr>
      <w:r>
        <w:rPr>
          <w:rFonts w:hint="eastAsia" w:ascii="宋体" w:hAnsi="宋体" w:cs="宋体"/>
          <w:szCs w:val="21"/>
        </w:rPr>
        <w:t>名 称：广西壮族自治区职业病防治研究院</w:t>
      </w:r>
    </w:p>
    <w:p w14:paraId="1BB3C1A2">
      <w:pPr>
        <w:spacing w:line="360" w:lineRule="auto"/>
        <w:ind w:firstLine="567" w:firstLineChars="270"/>
        <w:rPr>
          <w:rFonts w:hint="eastAsia" w:ascii="宋体" w:hAnsi="宋体" w:cs="宋体"/>
          <w:szCs w:val="21"/>
        </w:rPr>
      </w:pPr>
      <w:r>
        <w:rPr>
          <w:rFonts w:hint="eastAsia" w:ascii="宋体" w:hAnsi="宋体" w:cs="宋体"/>
          <w:szCs w:val="21"/>
        </w:rPr>
        <w:t>地址：广西南宁市青秀区柳沙路2号</w:t>
      </w:r>
    </w:p>
    <w:p w14:paraId="4881F310">
      <w:pPr>
        <w:spacing w:line="360" w:lineRule="auto"/>
        <w:ind w:firstLine="567" w:firstLineChars="270"/>
        <w:rPr>
          <w:rFonts w:hint="eastAsia" w:ascii="宋体" w:hAnsi="宋体" w:cs="宋体"/>
          <w:szCs w:val="21"/>
        </w:rPr>
      </w:pPr>
      <w:r>
        <w:rPr>
          <w:rFonts w:hint="eastAsia" w:ascii="宋体" w:hAnsi="宋体" w:cs="宋体"/>
          <w:szCs w:val="21"/>
        </w:rPr>
        <w:t>项目联系人：蒋琼</w:t>
      </w:r>
    </w:p>
    <w:p w14:paraId="0B8D67CF">
      <w:pPr>
        <w:spacing w:line="360" w:lineRule="auto"/>
        <w:ind w:firstLine="567" w:firstLineChars="270"/>
        <w:rPr>
          <w:rFonts w:hint="eastAsia" w:ascii="宋体" w:hAnsi="宋体" w:cs="宋体"/>
          <w:szCs w:val="21"/>
        </w:rPr>
      </w:pPr>
      <w:r>
        <w:rPr>
          <w:rFonts w:hint="eastAsia" w:ascii="宋体" w:hAnsi="宋体" w:cs="宋体"/>
          <w:szCs w:val="21"/>
        </w:rPr>
        <w:t>项目联系方式：</w:t>
      </w:r>
      <w:bookmarkStart w:id="33" w:name="OLE_LINK9"/>
      <w:r>
        <w:rPr>
          <w:rFonts w:hint="eastAsia" w:ascii="宋体" w:hAnsi="宋体" w:cs="宋体"/>
          <w:szCs w:val="21"/>
        </w:rPr>
        <w:t>0771-5719960</w:t>
      </w:r>
      <w:bookmarkEnd w:id="33"/>
    </w:p>
    <w:p w14:paraId="0F01491A">
      <w:pPr>
        <w:spacing w:line="360" w:lineRule="auto"/>
        <w:ind w:firstLine="567" w:firstLineChars="270"/>
        <w:rPr>
          <w:rFonts w:hint="eastAsia" w:ascii="宋体" w:hAnsi="宋体" w:cs="宋体"/>
          <w:szCs w:val="21"/>
        </w:rPr>
      </w:pPr>
      <w:r>
        <w:rPr>
          <w:rFonts w:hint="eastAsia" w:ascii="宋体" w:hAnsi="宋体" w:cs="宋体"/>
          <w:szCs w:val="21"/>
        </w:rPr>
        <w:t>2.采购代理机构信息</w:t>
      </w:r>
    </w:p>
    <w:p w14:paraId="647BB6D7">
      <w:pPr>
        <w:spacing w:line="360" w:lineRule="auto"/>
        <w:ind w:firstLine="567" w:firstLineChars="270"/>
        <w:rPr>
          <w:rFonts w:hint="eastAsia" w:ascii="宋体" w:hAnsi="宋体" w:cs="宋体"/>
          <w:szCs w:val="21"/>
        </w:rPr>
      </w:pPr>
      <w:r>
        <w:rPr>
          <w:rFonts w:hint="eastAsia" w:ascii="宋体" w:hAnsi="宋体" w:cs="宋体"/>
          <w:szCs w:val="21"/>
        </w:rPr>
        <w:t>名 称：　云之龙咨询集团有限公司　　</w:t>
      </w:r>
    </w:p>
    <w:p w14:paraId="2EA9B2FA">
      <w:pPr>
        <w:spacing w:line="360" w:lineRule="auto"/>
        <w:ind w:firstLine="567" w:firstLineChars="270"/>
        <w:rPr>
          <w:rFonts w:hint="eastAsia" w:ascii="宋体" w:hAnsi="宋体" w:cs="宋体"/>
          <w:szCs w:val="21"/>
        </w:rPr>
      </w:pPr>
      <w:r>
        <w:rPr>
          <w:rFonts w:hint="eastAsia" w:ascii="宋体" w:hAnsi="宋体" w:cs="宋体"/>
          <w:szCs w:val="21"/>
        </w:rPr>
        <w:t>地　址：南宁市良庆区云英路15号3号楼云之龙咨询集团大厦6楼/530201　　</w:t>
      </w:r>
    </w:p>
    <w:p w14:paraId="37F095B1">
      <w:pPr>
        <w:spacing w:line="360" w:lineRule="auto"/>
        <w:ind w:firstLine="567" w:firstLineChars="270"/>
        <w:rPr>
          <w:rFonts w:hint="eastAsia" w:ascii="宋体" w:hAnsi="宋体" w:cs="宋体"/>
          <w:szCs w:val="21"/>
        </w:rPr>
      </w:pPr>
      <w:r>
        <w:rPr>
          <w:rFonts w:hint="eastAsia" w:ascii="宋体" w:hAnsi="宋体" w:cs="宋体"/>
          <w:szCs w:val="21"/>
        </w:rPr>
        <w:t>联系方式：0771-2611898、2618118、2618199</w:t>
      </w:r>
    </w:p>
    <w:p w14:paraId="2D72601F">
      <w:pPr>
        <w:spacing w:line="360" w:lineRule="auto"/>
        <w:ind w:firstLine="567" w:firstLineChars="270"/>
        <w:rPr>
          <w:rFonts w:hint="eastAsia" w:ascii="宋体" w:hAnsi="宋体" w:cs="宋体"/>
          <w:szCs w:val="21"/>
        </w:rPr>
      </w:pPr>
      <w:r>
        <w:rPr>
          <w:rFonts w:hint="eastAsia" w:ascii="宋体" w:hAnsi="宋体" w:cs="宋体"/>
          <w:szCs w:val="21"/>
        </w:rPr>
        <w:t>3.项目联系方式</w:t>
      </w:r>
    </w:p>
    <w:p w14:paraId="4A526F48">
      <w:pPr>
        <w:spacing w:line="360" w:lineRule="auto"/>
        <w:ind w:firstLine="567" w:firstLineChars="270"/>
        <w:rPr>
          <w:rFonts w:hint="eastAsia" w:ascii="宋体" w:hAnsi="宋体" w:eastAsia="宋体" w:cs="宋体"/>
          <w:szCs w:val="21"/>
          <w:lang w:eastAsia="zh-CN"/>
        </w:rPr>
      </w:pPr>
      <w:r>
        <w:rPr>
          <w:rFonts w:hint="eastAsia" w:ascii="宋体" w:hAnsi="宋体" w:cs="宋体"/>
          <w:szCs w:val="21"/>
        </w:rPr>
        <w:t>项目联系人：李鸿海、</w:t>
      </w:r>
      <w:r>
        <w:rPr>
          <w:rFonts w:hint="eastAsia" w:ascii="宋体" w:hAnsi="宋体" w:cs="宋体"/>
          <w:szCs w:val="21"/>
          <w:lang w:val="en-US" w:eastAsia="zh-CN"/>
        </w:rPr>
        <w:t>梁俏英</w:t>
      </w:r>
    </w:p>
    <w:p w14:paraId="55CFFBE0">
      <w:pPr>
        <w:spacing w:line="360" w:lineRule="auto"/>
        <w:ind w:firstLine="567" w:firstLineChars="270"/>
        <w:rPr>
          <w:rFonts w:ascii="宋体" w:hAnsi="宋体"/>
          <w:szCs w:val="21"/>
          <w:u w:val="single"/>
        </w:rPr>
      </w:pPr>
      <w:r>
        <w:rPr>
          <w:rFonts w:hint="eastAsia" w:ascii="宋体" w:hAnsi="宋体" w:cs="宋体"/>
          <w:szCs w:val="21"/>
        </w:rPr>
        <w:t>电　话：　0771-2611898、2618118、2618199</w:t>
      </w:r>
    </w:p>
    <w:p w14:paraId="121C9760"/>
    <w:bookmarkEnd w:id="3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D6629C1"/>
    <w:rsid w:val="58607961"/>
    <w:rsid w:val="67FB1A94"/>
    <w:rsid w:val="6BBF40F1"/>
    <w:rsid w:val="7BAE26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CCE8C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2025-10-28T10:38:00Z</dcterms:created>
  <dc:creator>Administrator</dc:creator>
  <cp:lastModifiedBy>WPS_1602214612</cp:lastModifiedBy>
  <cp:lastPrinted>2026-04-27T07:28:02Z</cp:lastPrinted>
  <dcterms:modified xsi:type="dcterms:W3CDTF">2026-04-27T07:28:50Z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BCD27B52A63B459E89DEC36C3C906F09_12</vt:lpwstr>
  </property>
  <property fmtid="{D5CDD505-2E9C-101B-9397-08002B2CF9AE}" pid="4" name="KSOTemplateDocerSaveRecord">
    <vt:lpwstr>eyJoZGlkIjoiYWRhMWIxZWQ5OTg5NmZlOWNhNTA2NTI5YTIzMjg0OWEiLCJ1c2VySWQiOiIxMTI4ODcwMzU0In0=</vt:lpwstr>
  </property>
</Properties>
</file>