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DB15C4">
      <w:pPr>
        <w:spacing w:line="400" w:lineRule="exact"/>
        <w:jc w:val="center"/>
        <w:rPr>
          <w:rFonts w:hint="eastAsia" w:ascii="宋体" w:hAnsi="宋体"/>
          <w:b/>
          <w:bCs/>
          <w:color w:val="auto"/>
          <w:sz w:val="32"/>
          <w:szCs w:val="32"/>
        </w:rPr>
      </w:pPr>
      <w:r>
        <w:rPr>
          <w:rFonts w:hint="eastAsia" w:ascii="宋体" w:hAnsi="宋体"/>
          <w:b/>
          <w:bCs/>
          <w:color w:val="auto"/>
          <w:sz w:val="32"/>
          <w:szCs w:val="32"/>
        </w:rPr>
        <w:t>云之龙咨询集团有限公司广</w:t>
      </w:r>
      <w:bookmarkStart w:id="47" w:name="_GoBack"/>
      <w:bookmarkEnd w:id="47"/>
      <w:r>
        <w:rPr>
          <w:rFonts w:hint="eastAsia" w:ascii="宋体" w:hAnsi="宋体"/>
          <w:b/>
          <w:bCs/>
          <w:color w:val="auto"/>
          <w:sz w:val="32"/>
          <w:szCs w:val="32"/>
        </w:rPr>
        <w:t>西福彩即开票系统运维服务</w:t>
      </w:r>
      <w:r>
        <w:rPr>
          <w:rFonts w:hint="eastAsia" w:ascii="宋体" w:hAnsi="宋体"/>
          <w:b/>
          <w:bCs/>
          <w:color w:val="auto"/>
          <w:sz w:val="32"/>
          <w:szCs w:val="32"/>
          <w:lang w:eastAsia="zh-CN"/>
        </w:rPr>
        <w:t>（GXZC2026-C3-002369-YZLZ）</w:t>
      </w:r>
      <w:r>
        <w:rPr>
          <w:rFonts w:hint="eastAsia" w:ascii="宋体" w:hAnsi="宋体"/>
          <w:b/>
          <w:bCs/>
          <w:color w:val="auto"/>
          <w:sz w:val="32"/>
          <w:szCs w:val="32"/>
        </w:rPr>
        <w:t>竞争性磋商公告</w:t>
      </w:r>
    </w:p>
    <w:p w14:paraId="63D8888C">
      <w:pPr>
        <w:spacing w:line="360" w:lineRule="auto"/>
        <w:rPr>
          <w:rFonts w:ascii="宋体" w:hAnsi="宋体"/>
          <w:color w:val="auto"/>
          <w:szCs w:val="21"/>
        </w:rPr>
      </w:pPr>
    </w:p>
    <w:p w14:paraId="5B448D70">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auto"/>
          <w:szCs w:val="21"/>
        </w:rPr>
      </w:pPr>
      <w:bookmarkStart w:id="0" w:name="_Hlk37430271"/>
      <w:r>
        <w:rPr>
          <w:rFonts w:hint="eastAsia" w:ascii="宋体" w:hAnsi="宋体"/>
          <w:color w:val="auto"/>
          <w:szCs w:val="21"/>
        </w:rPr>
        <w:t>项目概况</w:t>
      </w:r>
    </w:p>
    <w:p w14:paraId="083C8B15">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auto"/>
          <w:szCs w:val="21"/>
        </w:rPr>
      </w:pPr>
      <w:r>
        <w:rPr>
          <w:rFonts w:hint="eastAsia" w:ascii="宋体" w:hAnsi="宋体"/>
          <w:color w:val="auto"/>
          <w:szCs w:val="21"/>
          <w:u w:val="single"/>
        </w:rPr>
        <w:t>广西福彩即开票系统运维服务</w:t>
      </w:r>
      <w:r>
        <w:rPr>
          <w:rFonts w:hint="eastAsia" w:ascii="宋体" w:hAnsi="宋体"/>
          <w:color w:val="auto"/>
          <w:szCs w:val="21"/>
        </w:rPr>
        <w:t>的潜在供应商应在广西政府采购云平台（https://www.gcy.zfcg.gxzf.gov.cn/）获取（下载）竞争性磋商文件，并于2026</w:t>
      </w:r>
      <w:r>
        <w:rPr>
          <w:rFonts w:hint="eastAsia" w:ascii="宋体" w:hAnsi="宋体"/>
          <w:bCs/>
          <w:color w:val="auto"/>
          <w:szCs w:val="21"/>
        </w:rPr>
        <w:t>年9月</w:t>
      </w:r>
      <w:r>
        <w:rPr>
          <w:rFonts w:hint="eastAsia" w:ascii="宋体" w:hAnsi="宋体"/>
          <w:bCs/>
          <w:color w:val="auto"/>
          <w:szCs w:val="21"/>
          <w:u w:val="single"/>
        </w:rPr>
        <w:t>4日9时30分（</w:t>
      </w:r>
      <w:r>
        <w:rPr>
          <w:rFonts w:hint="eastAsia" w:ascii="宋体" w:hAnsi="宋体"/>
          <w:bCs/>
          <w:color w:val="auto"/>
          <w:szCs w:val="21"/>
        </w:rPr>
        <w:t>北京时间）前提交（上传）</w:t>
      </w:r>
      <w:r>
        <w:rPr>
          <w:rFonts w:hint="eastAsia" w:ascii="宋体" w:hAnsi="宋体"/>
          <w:color w:val="auto"/>
          <w:szCs w:val="21"/>
        </w:rPr>
        <w:t>响应</w:t>
      </w:r>
      <w:r>
        <w:rPr>
          <w:rFonts w:hint="eastAsia" w:ascii="宋体" w:hAnsi="宋体"/>
          <w:bCs/>
          <w:color w:val="auto"/>
          <w:szCs w:val="21"/>
        </w:rPr>
        <w:t>文件</w:t>
      </w:r>
      <w:r>
        <w:rPr>
          <w:rFonts w:hint="eastAsia" w:ascii="宋体" w:hAnsi="宋体"/>
          <w:color w:val="auto"/>
          <w:szCs w:val="21"/>
        </w:rPr>
        <w:t>。</w:t>
      </w:r>
    </w:p>
    <w:p w14:paraId="2B7C4216">
      <w:pPr>
        <w:spacing w:line="360" w:lineRule="auto"/>
        <w:rPr>
          <w:rFonts w:ascii="宋体" w:hAnsi="宋体"/>
          <w:color w:val="auto"/>
          <w:szCs w:val="21"/>
        </w:rPr>
      </w:pPr>
    </w:p>
    <w:p w14:paraId="5ED5BCFB">
      <w:pPr>
        <w:ind w:firstLine="354" w:firstLineChars="147"/>
        <w:rPr>
          <w:rFonts w:ascii="黑体" w:hAnsi="黑体" w:eastAsia="黑体"/>
          <w:b/>
          <w:color w:val="auto"/>
          <w:sz w:val="24"/>
        </w:rPr>
      </w:pPr>
      <w:bookmarkStart w:id="1" w:name="_Toc28359012"/>
      <w:bookmarkStart w:id="2" w:name="_Toc71365905"/>
      <w:bookmarkStart w:id="3" w:name="_Toc35393629"/>
      <w:bookmarkStart w:id="4" w:name="_Toc35393798"/>
      <w:bookmarkStart w:id="5" w:name="_Toc44229878"/>
      <w:bookmarkStart w:id="6" w:name="_Toc28359089"/>
      <w:r>
        <w:rPr>
          <w:rFonts w:hint="eastAsia" w:ascii="黑体" w:hAnsi="黑体" w:eastAsia="黑体"/>
          <w:b/>
          <w:color w:val="auto"/>
          <w:sz w:val="24"/>
        </w:rPr>
        <w:t>一、项目基本情况</w:t>
      </w:r>
      <w:bookmarkEnd w:id="1"/>
      <w:bookmarkEnd w:id="2"/>
      <w:bookmarkEnd w:id="3"/>
      <w:bookmarkEnd w:id="4"/>
      <w:bookmarkEnd w:id="5"/>
      <w:bookmarkEnd w:id="6"/>
    </w:p>
    <w:p w14:paraId="781232FF">
      <w:pPr>
        <w:spacing w:line="360" w:lineRule="auto"/>
        <w:ind w:firstLine="420" w:firstLineChars="200"/>
        <w:rPr>
          <w:rFonts w:ascii="宋体" w:hAnsi="宋体"/>
          <w:color w:val="auto"/>
          <w:szCs w:val="21"/>
        </w:rPr>
      </w:pPr>
      <w:r>
        <w:rPr>
          <w:rFonts w:hint="eastAsia" w:ascii="宋体" w:hAnsi="宋体"/>
          <w:color w:val="auto"/>
          <w:szCs w:val="21"/>
        </w:rPr>
        <w:t>项目编号：</w:t>
      </w:r>
      <w:r>
        <w:rPr>
          <w:rFonts w:ascii="宋体" w:hAnsi="宋体"/>
          <w:color w:val="auto"/>
          <w:szCs w:val="21"/>
        </w:rPr>
        <w:t>GXZC2026-C3-002369-YZLZ</w:t>
      </w:r>
      <w:r>
        <w:rPr>
          <w:rFonts w:hint="eastAsia" w:ascii="宋体" w:hAnsi="宋体"/>
          <w:color w:val="auto"/>
          <w:szCs w:val="21"/>
        </w:rPr>
        <w:t>（政府采购计划编号：广西政采[2026]15827号）</w:t>
      </w:r>
    </w:p>
    <w:p w14:paraId="35AA691F">
      <w:pPr>
        <w:spacing w:line="360" w:lineRule="auto"/>
        <w:ind w:firstLine="420" w:firstLineChars="200"/>
        <w:rPr>
          <w:rFonts w:ascii="宋体" w:hAnsi="宋体"/>
          <w:color w:val="auto"/>
          <w:szCs w:val="21"/>
          <w:u w:val="single"/>
        </w:rPr>
      </w:pPr>
      <w:r>
        <w:rPr>
          <w:rFonts w:hint="eastAsia" w:ascii="宋体" w:hAnsi="宋体"/>
          <w:color w:val="auto"/>
          <w:szCs w:val="21"/>
        </w:rPr>
        <w:t>项目名称：广西福彩即开票系统运维服务</w:t>
      </w:r>
    </w:p>
    <w:p w14:paraId="21013FCC">
      <w:pPr>
        <w:spacing w:line="360" w:lineRule="auto"/>
        <w:ind w:firstLine="420" w:firstLineChars="200"/>
        <w:rPr>
          <w:rFonts w:ascii="宋体" w:hAnsi="宋体"/>
          <w:color w:val="auto"/>
          <w:szCs w:val="21"/>
        </w:rPr>
      </w:pPr>
      <w:r>
        <w:rPr>
          <w:rFonts w:hint="eastAsia" w:ascii="宋体" w:hAnsi="宋体"/>
          <w:color w:val="auto"/>
          <w:szCs w:val="21"/>
        </w:rPr>
        <w:t>采购方式：竞争性磋商</w:t>
      </w:r>
    </w:p>
    <w:p w14:paraId="5BBB04A2">
      <w:pPr>
        <w:spacing w:line="360" w:lineRule="auto"/>
        <w:ind w:firstLine="420" w:firstLineChars="200"/>
        <w:rPr>
          <w:rFonts w:hint="eastAsia" w:ascii="宋体" w:hAnsi="宋体"/>
          <w:color w:val="auto"/>
          <w:szCs w:val="21"/>
        </w:rPr>
      </w:pPr>
      <w:r>
        <w:rPr>
          <w:rFonts w:hint="eastAsia" w:ascii="宋体" w:hAnsi="宋体"/>
          <w:color w:val="auto"/>
          <w:szCs w:val="21"/>
        </w:rPr>
        <w:t>预算金额：180万元</w:t>
      </w:r>
    </w:p>
    <w:p w14:paraId="45FDB78F">
      <w:pPr>
        <w:spacing w:line="360" w:lineRule="auto"/>
        <w:ind w:firstLine="420" w:firstLineChars="200"/>
        <w:rPr>
          <w:rFonts w:ascii="宋体" w:hAnsi="宋体"/>
          <w:color w:val="auto"/>
          <w:szCs w:val="21"/>
        </w:rPr>
      </w:pPr>
      <w:r>
        <w:rPr>
          <w:rFonts w:hint="eastAsia" w:ascii="宋体" w:hAnsi="宋体"/>
          <w:color w:val="auto"/>
          <w:szCs w:val="21"/>
        </w:rPr>
        <w:t>最高限价：180万元</w:t>
      </w:r>
    </w:p>
    <w:p w14:paraId="6F4B66C6">
      <w:pPr>
        <w:spacing w:line="360" w:lineRule="auto"/>
        <w:ind w:firstLine="420" w:firstLineChars="200"/>
        <w:rPr>
          <w:rFonts w:hint="eastAsia" w:ascii="宋体" w:hAnsi="宋体"/>
          <w:color w:val="auto"/>
          <w:szCs w:val="21"/>
        </w:rPr>
      </w:pPr>
      <w:r>
        <w:rPr>
          <w:rFonts w:hint="eastAsia" w:ascii="宋体" w:hAnsi="宋体"/>
          <w:color w:val="auto"/>
          <w:szCs w:val="21"/>
        </w:rPr>
        <w:t>采购需求：</w:t>
      </w:r>
    </w:p>
    <w:tbl>
      <w:tblPr>
        <w:tblStyle w:val="2"/>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83"/>
        <w:gridCol w:w="1546"/>
        <w:gridCol w:w="753"/>
        <w:gridCol w:w="5640"/>
      </w:tblGrid>
      <w:tr w14:paraId="535955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3" w:hRule="atLeast"/>
          <w:jc w:val="center"/>
        </w:trPr>
        <w:tc>
          <w:tcPr>
            <w:tcW w:w="342" w:type="pct"/>
            <w:tcBorders>
              <w:top w:val="single" w:color="auto" w:sz="4" w:space="0"/>
              <w:left w:val="single" w:color="auto" w:sz="4" w:space="0"/>
              <w:bottom w:val="single" w:color="auto" w:sz="4" w:space="0"/>
              <w:right w:val="single" w:color="auto" w:sz="4" w:space="0"/>
            </w:tcBorders>
            <w:noWrap w:val="0"/>
            <w:vAlign w:val="center"/>
          </w:tcPr>
          <w:p w14:paraId="1265D51B">
            <w:pPr>
              <w:snapToGrid w:val="0"/>
              <w:spacing w:line="360" w:lineRule="auto"/>
              <w:jc w:val="center"/>
              <w:rPr>
                <w:rFonts w:hint="eastAsia" w:ascii="宋体" w:hAnsi="宋体" w:cs="等线"/>
                <w:color w:val="auto"/>
                <w:szCs w:val="21"/>
              </w:rPr>
            </w:pPr>
            <w:r>
              <w:rPr>
                <w:rFonts w:hint="eastAsia" w:ascii="宋体" w:hAnsi="宋体" w:cs="等线"/>
                <w:color w:val="auto"/>
                <w:szCs w:val="21"/>
              </w:rPr>
              <w:t>序号</w:t>
            </w:r>
          </w:p>
        </w:tc>
        <w:tc>
          <w:tcPr>
            <w:tcW w:w="907" w:type="pct"/>
            <w:tcBorders>
              <w:top w:val="single" w:color="auto" w:sz="4" w:space="0"/>
              <w:left w:val="single" w:color="auto" w:sz="4" w:space="0"/>
              <w:bottom w:val="single" w:color="auto" w:sz="4" w:space="0"/>
              <w:right w:val="single" w:color="auto" w:sz="4" w:space="0"/>
            </w:tcBorders>
            <w:noWrap w:val="0"/>
            <w:vAlign w:val="center"/>
          </w:tcPr>
          <w:p w14:paraId="2445AF2A">
            <w:pPr>
              <w:snapToGrid w:val="0"/>
              <w:spacing w:line="360" w:lineRule="auto"/>
              <w:jc w:val="center"/>
              <w:rPr>
                <w:rFonts w:hint="eastAsia" w:ascii="宋体" w:hAnsi="宋体" w:cs="等线"/>
                <w:color w:val="auto"/>
                <w:szCs w:val="21"/>
              </w:rPr>
            </w:pPr>
            <w:r>
              <w:rPr>
                <w:rFonts w:hint="eastAsia" w:ascii="宋体" w:hAnsi="宋体" w:cs="等线"/>
                <w:color w:val="auto"/>
                <w:szCs w:val="21"/>
              </w:rPr>
              <w:t>标的的名称</w:t>
            </w:r>
          </w:p>
        </w:tc>
        <w:tc>
          <w:tcPr>
            <w:tcW w:w="442" w:type="pct"/>
            <w:tcBorders>
              <w:top w:val="single" w:color="auto" w:sz="4" w:space="0"/>
              <w:left w:val="single" w:color="auto" w:sz="4" w:space="0"/>
              <w:bottom w:val="single" w:color="auto" w:sz="4" w:space="0"/>
              <w:right w:val="single" w:color="auto" w:sz="4" w:space="0"/>
            </w:tcBorders>
            <w:noWrap w:val="0"/>
            <w:vAlign w:val="center"/>
          </w:tcPr>
          <w:p w14:paraId="56CC1F65">
            <w:pPr>
              <w:snapToGrid w:val="0"/>
              <w:spacing w:line="360" w:lineRule="auto"/>
              <w:jc w:val="center"/>
              <w:rPr>
                <w:rFonts w:hint="eastAsia" w:ascii="宋体" w:hAnsi="宋体" w:cs="等线"/>
                <w:color w:val="auto"/>
                <w:szCs w:val="21"/>
              </w:rPr>
            </w:pPr>
            <w:r>
              <w:rPr>
                <w:rFonts w:hint="eastAsia" w:ascii="宋体" w:hAnsi="宋体" w:cs="等线"/>
                <w:color w:val="auto"/>
                <w:szCs w:val="21"/>
              </w:rPr>
              <w:t>数量及</w:t>
            </w:r>
          </w:p>
          <w:p w14:paraId="328DD6D2">
            <w:pPr>
              <w:snapToGrid w:val="0"/>
              <w:spacing w:line="360" w:lineRule="auto"/>
              <w:jc w:val="center"/>
              <w:rPr>
                <w:rFonts w:hint="eastAsia" w:ascii="宋体" w:hAnsi="宋体" w:cs="等线"/>
                <w:color w:val="auto"/>
                <w:szCs w:val="21"/>
              </w:rPr>
            </w:pPr>
            <w:r>
              <w:rPr>
                <w:rFonts w:hint="eastAsia" w:ascii="宋体" w:hAnsi="宋体" w:cs="等线"/>
                <w:color w:val="auto"/>
                <w:szCs w:val="21"/>
              </w:rPr>
              <w:t>单位</w:t>
            </w:r>
          </w:p>
        </w:tc>
        <w:tc>
          <w:tcPr>
            <w:tcW w:w="3309" w:type="pct"/>
            <w:tcBorders>
              <w:top w:val="single" w:color="auto" w:sz="4" w:space="0"/>
              <w:left w:val="single" w:color="auto" w:sz="4" w:space="0"/>
              <w:bottom w:val="single" w:color="auto" w:sz="4" w:space="0"/>
              <w:right w:val="single" w:color="auto" w:sz="4" w:space="0"/>
            </w:tcBorders>
            <w:noWrap w:val="0"/>
            <w:vAlign w:val="center"/>
          </w:tcPr>
          <w:p w14:paraId="62547265">
            <w:pPr>
              <w:snapToGrid w:val="0"/>
              <w:spacing w:line="360" w:lineRule="auto"/>
              <w:jc w:val="center"/>
              <w:rPr>
                <w:rFonts w:hint="eastAsia" w:ascii="宋体" w:hAnsi="宋体" w:cs="等线"/>
                <w:color w:val="auto"/>
                <w:szCs w:val="21"/>
              </w:rPr>
            </w:pPr>
            <w:r>
              <w:rPr>
                <w:rFonts w:hint="eastAsia" w:ascii="宋体" w:hAnsi="宋体" w:cs="等线"/>
                <w:color w:val="auto"/>
                <w:szCs w:val="21"/>
              </w:rPr>
              <w:t>简要技术需求或者服务要求</w:t>
            </w:r>
          </w:p>
        </w:tc>
      </w:tr>
      <w:tr w14:paraId="2F32DD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42" w:type="pct"/>
            <w:tcBorders>
              <w:top w:val="single" w:color="auto" w:sz="4" w:space="0"/>
              <w:left w:val="single" w:color="auto" w:sz="4" w:space="0"/>
              <w:bottom w:val="single" w:color="auto" w:sz="4" w:space="0"/>
              <w:right w:val="single" w:color="auto" w:sz="4" w:space="0"/>
            </w:tcBorders>
            <w:noWrap w:val="0"/>
            <w:vAlign w:val="center"/>
          </w:tcPr>
          <w:p w14:paraId="2803115E">
            <w:pPr>
              <w:widowControl/>
              <w:spacing w:line="360" w:lineRule="auto"/>
              <w:jc w:val="center"/>
              <w:rPr>
                <w:rFonts w:hint="eastAsia" w:ascii="宋体" w:hAnsi="宋体" w:cs="Tahoma"/>
                <w:color w:val="auto"/>
                <w:kern w:val="0"/>
                <w:szCs w:val="21"/>
              </w:rPr>
            </w:pPr>
            <w:r>
              <w:rPr>
                <w:rFonts w:hint="eastAsia" w:ascii="宋体" w:hAnsi="宋体" w:cs="Tahoma"/>
                <w:color w:val="auto"/>
                <w:kern w:val="0"/>
                <w:szCs w:val="21"/>
              </w:rPr>
              <w:t>1</w:t>
            </w:r>
          </w:p>
        </w:tc>
        <w:tc>
          <w:tcPr>
            <w:tcW w:w="907" w:type="pct"/>
            <w:tcBorders>
              <w:top w:val="single" w:color="auto" w:sz="4" w:space="0"/>
              <w:left w:val="single" w:color="auto" w:sz="4" w:space="0"/>
              <w:bottom w:val="single" w:color="auto" w:sz="4" w:space="0"/>
              <w:right w:val="single" w:color="auto" w:sz="4" w:space="0"/>
            </w:tcBorders>
            <w:noWrap w:val="0"/>
            <w:vAlign w:val="center"/>
          </w:tcPr>
          <w:p w14:paraId="0BE5790F">
            <w:pPr>
              <w:snapToGrid w:val="0"/>
              <w:spacing w:line="360" w:lineRule="auto"/>
              <w:jc w:val="center"/>
              <w:rPr>
                <w:rFonts w:hint="eastAsia" w:ascii="宋体" w:hAnsi="宋体" w:cs="等线"/>
                <w:color w:val="auto"/>
                <w:szCs w:val="21"/>
              </w:rPr>
            </w:pPr>
            <w:r>
              <w:rPr>
                <w:rFonts w:hint="eastAsia" w:ascii="宋体" w:hAnsi="宋体" w:cs="等线"/>
                <w:color w:val="auto"/>
                <w:szCs w:val="21"/>
              </w:rPr>
              <w:t>广西福彩即开票系统运维服务</w:t>
            </w:r>
          </w:p>
        </w:tc>
        <w:tc>
          <w:tcPr>
            <w:tcW w:w="442" w:type="pct"/>
            <w:tcBorders>
              <w:top w:val="single" w:color="auto" w:sz="4" w:space="0"/>
              <w:left w:val="single" w:color="auto" w:sz="4" w:space="0"/>
              <w:bottom w:val="single" w:color="auto" w:sz="4" w:space="0"/>
              <w:right w:val="single" w:color="auto" w:sz="4" w:space="0"/>
            </w:tcBorders>
            <w:noWrap w:val="0"/>
            <w:vAlign w:val="center"/>
          </w:tcPr>
          <w:p w14:paraId="387BD1B9">
            <w:pPr>
              <w:snapToGrid w:val="0"/>
              <w:spacing w:line="360" w:lineRule="auto"/>
              <w:jc w:val="center"/>
              <w:rPr>
                <w:rFonts w:hint="eastAsia" w:ascii="宋体" w:hAnsi="宋体" w:cs="等线"/>
                <w:color w:val="auto"/>
                <w:szCs w:val="21"/>
              </w:rPr>
            </w:pPr>
            <w:r>
              <w:rPr>
                <w:rFonts w:hint="eastAsia" w:ascii="宋体" w:hAnsi="宋体" w:cs="等线"/>
                <w:color w:val="auto"/>
                <w:szCs w:val="21"/>
              </w:rPr>
              <w:t>1项</w:t>
            </w:r>
          </w:p>
        </w:tc>
        <w:tc>
          <w:tcPr>
            <w:tcW w:w="3309" w:type="pct"/>
            <w:tcBorders>
              <w:top w:val="single" w:color="auto" w:sz="4" w:space="0"/>
              <w:left w:val="single" w:color="auto" w:sz="4" w:space="0"/>
              <w:bottom w:val="single" w:color="auto" w:sz="4" w:space="0"/>
              <w:right w:val="single" w:color="auto" w:sz="4" w:space="0"/>
            </w:tcBorders>
            <w:noWrap w:val="0"/>
            <w:vAlign w:val="center"/>
          </w:tcPr>
          <w:p w14:paraId="622FFB48">
            <w:pPr>
              <w:snapToGrid w:val="0"/>
              <w:spacing w:line="360" w:lineRule="auto"/>
              <w:ind w:firstLine="420" w:firstLineChars="200"/>
              <w:rPr>
                <w:rFonts w:hint="eastAsia" w:ascii="宋体" w:hAnsi="宋体" w:cs="等线"/>
                <w:color w:val="auto"/>
                <w:szCs w:val="21"/>
              </w:rPr>
            </w:pPr>
            <w:r>
              <w:rPr>
                <w:rFonts w:hint="eastAsia" w:ascii="宋体" w:hAnsi="宋体" w:cs="等线"/>
                <w:color w:val="auto"/>
                <w:szCs w:val="21"/>
              </w:rPr>
              <w:t>本次采购的项目为采购人即开型福利彩票发行管理和销售系统使用权和相应配套硬件设备运行维护服务，服务期限为1年……具体详见竞争性磋商文件。</w:t>
            </w:r>
          </w:p>
        </w:tc>
      </w:tr>
    </w:tbl>
    <w:p w14:paraId="320E4B56">
      <w:pPr>
        <w:spacing w:line="360" w:lineRule="auto"/>
        <w:ind w:firstLine="420" w:firstLineChars="200"/>
        <w:rPr>
          <w:rFonts w:ascii="宋体" w:hAnsi="宋体"/>
          <w:color w:val="auto"/>
          <w:szCs w:val="21"/>
          <w:u w:val="single"/>
        </w:rPr>
      </w:pPr>
      <w:r>
        <w:rPr>
          <w:rFonts w:hint="eastAsia" w:ascii="宋体" w:hAnsi="宋体"/>
          <w:color w:val="auto"/>
          <w:szCs w:val="21"/>
        </w:rPr>
        <w:t>合同履行期限：1年。</w:t>
      </w:r>
    </w:p>
    <w:p w14:paraId="09465B71">
      <w:pPr>
        <w:spacing w:line="360" w:lineRule="auto"/>
        <w:ind w:firstLine="420" w:firstLineChars="200"/>
        <w:rPr>
          <w:rFonts w:ascii="宋体" w:hAnsi="宋体"/>
          <w:color w:val="auto"/>
          <w:szCs w:val="21"/>
        </w:rPr>
      </w:pPr>
      <w:r>
        <w:rPr>
          <w:rFonts w:hint="eastAsia" w:ascii="宋体" w:hAnsi="宋体"/>
          <w:color w:val="auto"/>
          <w:szCs w:val="21"/>
        </w:rPr>
        <w:t>本项目不接受联合体</w:t>
      </w:r>
    </w:p>
    <w:p w14:paraId="2D60547B">
      <w:pPr>
        <w:ind w:firstLine="354" w:firstLineChars="147"/>
        <w:rPr>
          <w:rFonts w:ascii="黑体" w:hAnsi="黑体" w:eastAsia="黑体"/>
          <w:b/>
          <w:color w:val="auto"/>
          <w:sz w:val="24"/>
        </w:rPr>
      </w:pPr>
      <w:bookmarkStart w:id="7" w:name="_Toc71365906"/>
      <w:bookmarkStart w:id="8" w:name="_Toc35393799"/>
      <w:bookmarkStart w:id="9" w:name="_Toc28359013"/>
      <w:bookmarkStart w:id="10" w:name="_Toc35393630"/>
      <w:bookmarkStart w:id="11" w:name="_Toc28359090"/>
      <w:bookmarkStart w:id="12" w:name="_Toc44229879"/>
      <w:r>
        <w:rPr>
          <w:rFonts w:hint="eastAsia" w:ascii="黑体" w:hAnsi="黑体" w:eastAsia="黑体"/>
          <w:b/>
          <w:color w:val="auto"/>
          <w:sz w:val="24"/>
        </w:rPr>
        <w:t>二、申请人的资格条件：</w:t>
      </w:r>
      <w:bookmarkEnd w:id="7"/>
      <w:bookmarkEnd w:id="8"/>
      <w:bookmarkEnd w:id="9"/>
      <w:bookmarkEnd w:id="10"/>
      <w:bookmarkEnd w:id="11"/>
      <w:bookmarkEnd w:id="12"/>
    </w:p>
    <w:p w14:paraId="2E7919C8">
      <w:pPr>
        <w:spacing w:line="360" w:lineRule="auto"/>
        <w:ind w:firstLine="420" w:firstLineChars="200"/>
        <w:rPr>
          <w:rFonts w:ascii="宋体" w:hAnsi="宋体"/>
          <w:color w:val="auto"/>
          <w:szCs w:val="21"/>
        </w:rPr>
      </w:pPr>
      <w:bookmarkStart w:id="13" w:name="_Toc28359014"/>
      <w:bookmarkStart w:id="14" w:name="_Toc28359091"/>
      <w:bookmarkStart w:id="15" w:name="_Toc44229880"/>
      <w:bookmarkStart w:id="16" w:name="_Toc35393800"/>
      <w:bookmarkStart w:id="17" w:name="_Toc35393631"/>
      <w:r>
        <w:rPr>
          <w:rFonts w:hint="eastAsia" w:ascii="宋体" w:hAnsi="宋体"/>
          <w:color w:val="auto"/>
          <w:szCs w:val="21"/>
        </w:rPr>
        <w:t>1.满足《中华人民共和国政府采购法》第二十二条规定；</w:t>
      </w:r>
    </w:p>
    <w:p w14:paraId="0FDCCCCA">
      <w:pPr>
        <w:spacing w:line="360" w:lineRule="auto"/>
        <w:ind w:firstLine="420" w:firstLineChars="200"/>
        <w:rPr>
          <w:rFonts w:ascii="宋体" w:hAnsi="宋体"/>
          <w:color w:val="auto"/>
          <w:szCs w:val="21"/>
        </w:rPr>
      </w:pPr>
      <w:r>
        <w:rPr>
          <w:rFonts w:ascii="宋体" w:hAnsi="宋体"/>
          <w:color w:val="auto"/>
          <w:szCs w:val="21"/>
        </w:rPr>
        <w:t>2</w:t>
      </w:r>
      <w:r>
        <w:rPr>
          <w:rFonts w:hint="eastAsia" w:ascii="宋体" w:hAnsi="宋体"/>
          <w:color w:val="auto"/>
          <w:szCs w:val="21"/>
        </w:rPr>
        <w:t>.落实政府采购政策需满足的资格要求：本项目为专门面向中小企业预留项目，参加本项目的供应商必须为中型或小型或微型企业或监狱企业或残疾人福利性单位。</w:t>
      </w:r>
    </w:p>
    <w:p w14:paraId="634D26D4">
      <w:pPr>
        <w:spacing w:line="360" w:lineRule="auto"/>
        <w:ind w:firstLine="420" w:firstLineChars="200"/>
        <w:rPr>
          <w:rFonts w:hint="eastAsia" w:ascii="宋体" w:hAnsi="宋体"/>
          <w:color w:val="auto"/>
          <w:szCs w:val="21"/>
        </w:rPr>
      </w:pPr>
      <w:r>
        <w:rPr>
          <w:rFonts w:hint="eastAsia" w:ascii="宋体" w:hAnsi="宋体"/>
          <w:color w:val="auto"/>
          <w:szCs w:val="21"/>
        </w:rPr>
        <w:t>3.本项目的特定资格要求：无。</w:t>
      </w:r>
    </w:p>
    <w:p w14:paraId="1D953B3A">
      <w:pPr>
        <w:ind w:firstLine="354" w:firstLineChars="147"/>
        <w:rPr>
          <w:rFonts w:ascii="黑体" w:hAnsi="黑体" w:eastAsia="黑体"/>
          <w:b/>
          <w:color w:val="auto"/>
          <w:sz w:val="24"/>
        </w:rPr>
      </w:pPr>
      <w:bookmarkStart w:id="18" w:name="_Toc71365907"/>
      <w:r>
        <w:rPr>
          <w:rFonts w:hint="eastAsia" w:ascii="黑体" w:hAnsi="黑体" w:eastAsia="黑体"/>
          <w:b/>
          <w:color w:val="auto"/>
          <w:sz w:val="24"/>
        </w:rPr>
        <w:t>三、获取竞争性磋商文件</w:t>
      </w:r>
      <w:bookmarkEnd w:id="13"/>
      <w:bookmarkEnd w:id="14"/>
      <w:bookmarkEnd w:id="15"/>
      <w:bookmarkEnd w:id="16"/>
      <w:bookmarkEnd w:id="17"/>
      <w:bookmarkEnd w:id="18"/>
    </w:p>
    <w:p w14:paraId="0E14D104">
      <w:pPr>
        <w:spacing w:line="360" w:lineRule="auto"/>
        <w:ind w:firstLine="420" w:firstLineChars="200"/>
        <w:rPr>
          <w:rFonts w:ascii="宋体" w:hAnsi="宋体" w:cs="宋体"/>
          <w:bCs/>
          <w:color w:val="auto"/>
          <w:kern w:val="0"/>
          <w:szCs w:val="21"/>
        </w:rPr>
      </w:pPr>
      <w:bookmarkStart w:id="19" w:name="_Toc35393801"/>
      <w:bookmarkStart w:id="20" w:name="_Toc44229881"/>
      <w:bookmarkStart w:id="21" w:name="_Toc28359092"/>
      <w:bookmarkStart w:id="22" w:name="_Toc35393632"/>
      <w:bookmarkStart w:id="23" w:name="_Toc28359015"/>
      <w:r>
        <w:rPr>
          <w:rFonts w:hint="eastAsia" w:ascii="宋体" w:hAnsi="宋体" w:cs="宋体"/>
          <w:bCs/>
          <w:color w:val="auto"/>
          <w:kern w:val="0"/>
          <w:szCs w:val="21"/>
        </w:rPr>
        <w:t>时间：</w:t>
      </w:r>
      <w:r>
        <w:rPr>
          <w:rFonts w:hint="eastAsia" w:ascii="宋体" w:hAnsi="宋体"/>
          <w:bCs/>
          <w:color w:val="auto"/>
          <w:szCs w:val="21"/>
          <w:u w:val="single"/>
        </w:rPr>
        <w:t>2026年8月24日</w:t>
      </w:r>
      <w:r>
        <w:rPr>
          <w:rFonts w:hint="eastAsia" w:ascii="宋体" w:hAnsi="宋体" w:cs="宋体"/>
          <w:bCs/>
          <w:color w:val="auto"/>
          <w:kern w:val="0"/>
          <w:szCs w:val="21"/>
        </w:rPr>
        <w:t>至</w:t>
      </w:r>
      <w:r>
        <w:rPr>
          <w:rFonts w:hint="eastAsia" w:ascii="宋体" w:hAnsi="宋体"/>
          <w:bCs/>
          <w:color w:val="auto"/>
          <w:szCs w:val="21"/>
          <w:u w:val="single"/>
        </w:rPr>
        <w:t>2026年8月31日</w:t>
      </w:r>
      <w:r>
        <w:rPr>
          <w:rFonts w:hint="eastAsia" w:ascii="宋体" w:hAnsi="宋体" w:cs="宋体"/>
          <w:bCs/>
          <w:color w:val="auto"/>
          <w:kern w:val="0"/>
          <w:szCs w:val="21"/>
        </w:rPr>
        <w:t>，</w:t>
      </w:r>
      <w:r>
        <w:rPr>
          <w:rFonts w:hint="eastAsia" w:ascii="宋体" w:hAnsi="宋体" w:cs="Tahoma"/>
          <w:bCs/>
          <w:color w:val="auto"/>
          <w:kern w:val="0"/>
          <w:szCs w:val="21"/>
        </w:rPr>
        <w:t>每天上午</w:t>
      </w:r>
      <w:r>
        <w:rPr>
          <w:rFonts w:ascii="宋体" w:hAnsi="宋体" w:cs="Tahoma"/>
          <w:bCs/>
          <w:color w:val="auto"/>
          <w:kern w:val="0"/>
          <w:szCs w:val="21"/>
        </w:rPr>
        <w:t>00</w:t>
      </w:r>
      <w:r>
        <w:rPr>
          <w:rFonts w:hint="eastAsia" w:ascii="宋体" w:hAnsi="宋体" w:cs="Tahoma"/>
          <w:bCs/>
          <w:color w:val="auto"/>
          <w:kern w:val="0"/>
          <w:szCs w:val="21"/>
        </w:rPr>
        <w:t>：</w:t>
      </w:r>
      <w:r>
        <w:rPr>
          <w:rFonts w:ascii="宋体" w:hAnsi="宋体" w:cs="Tahoma"/>
          <w:bCs/>
          <w:color w:val="auto"/>
          <w:kern w:val="0"/>
          <w:szCs w:val="21"/>
        </w:rPr>
        <w:t>00</w:t>
      </w:r>
      <w:r>
        <w:rPr>
          <w:rFonts w:hint="eastAsia" w:ascii="宋体" w:hAnsi="宋体" w:cs="Tahoma"/>
          <w:bCs/>
          <w:color w:val="auto"/>
          <w:kern w:val="0"/>
          <w:szCs w:val="21"/>
        </w:rPr>
        <w:t>至1</w:t>
      </w:r>
      <w:r>
        <w:rPr>
          <w:rFonts w:ascii="宋体" w:hAnsi="宋体" w:cs="Tahoma"/>
          <w:bCs/>
          <w:color w:val="auto"/>
          <w:kern w:val="0"/>
          <w:szCs w:val="21"/>
        </w:rPr>
        <w:t>2</w:t>
      </w:r>
      <w:r>
        <w:rPr>
          <w:rFonts w:hint="eastAsia" w:ascii="宋体" w:hAnsi="宋体" w:cs="Tahoma"/>
          <w:bCs/>
          <w:color w:val="auto"/>
          <w:kern w:val="0"/>
          <w:szCs w:val="21"/>
        </w:rPr>
        <w:t>:0</w:t>
      </w:r>
      <w:r>
        <w:rPr>
          <w:rFonts w:ascii="宋体" w:hAnsi="宋体" w:cs="Tahoma"/>
          <w:bCs/>
          <w:color w:val="auto"/>
          <w:kern w:val="0"/>
          <w:szCs w:val="21"/>
        </w:rPr>
        <w:t>0</w:t>
      </w:r>
      <w:r>
        <w:rPr>
          <w:rFonts w:hint="eastAsia" w:ascii="宋体" w:hAnsi="宋体" w:cs="Tahoma"/>
          <w:bCs/>
          <w:color w:val="auto"/>
          <w:kern w:val="0"/>
          <w:szCs w:val="21"/>
        </w:rPr>
        <w:t>，下午</w:t>
      </w:r>
      <w:r>
        <w:rPr>
          <w:rFonts w:ascii="宋体" w:hAnsi="宋体" w:cs="Tahoma"/>
          <w:bCs/>
          <w:color w:val="auto"/>
          <w:kern w:val="0"/>
          <w:szCs w:val="21"/>
        </w:rPr>
        <w:t>12</w:t>
      </w:r>
      <w:r>
        <w:rPr>
          <w:rFonts w:hint="eastAsia" w:ascii="宋体" w:hAnsi="宋体" w:cs="Tahoma"/>
          <w:bCs/>
          <w:color w:val="auto"/>
          <w:kern w:val="0"/>
          <w:szCs w:val="21"/>
        </w:rPr>
        <w:t>:0</w:t>
      </w:r>
      <w:r>
        <w:rPr>
          <w:rFonts w:ascii="宋体" w:hAnsi="宋体" w:cs="Tahoma"/>
          <w:bCs/>
          <w:color w:val="auto"/>
          <w:kern w:val="0"/>
          <w:szCs w:val="21"/>
        </w:rPr>
        <w:t>0</w:t>
      </w:r>
      <w:r>
        <w:rPr>
          <w:rFonts w:hint="eastAsia" w:ascii="宋体" w:hAnsi="宋体" w:cs="Tahoma"/>
          <w:bCs/>
          <w:color w:val="auto"/>
          <w:kern w:val="0"/>
          <w:szCs w:val="21"/>
        </w:rPr>
        <w:t>至23:59（北京时间，</w:t>
      </w:r>
      <w:r>
        <w:rPr>
          <w:rFonts w:ascii="宋体" w:hAnsi="宋体" w:cs="Tahoma"/>
          <w:bCs/>
          <w:color w:val="auto"/>
          <w:kern w:val="0"/>
          <w:szCs w:val="21"/>
        </w:rPr>
        <w:t>法定节假日</w:t>
      </w:r>
      <w:r>
        <w:rPr>
          <w:rFonts w:hint="eastAsia" w:ascii="宋体" w:hAnsi="宋体" w:cs="Tahoma"/>
          <w:bCs/>
          <w:color w:val="auto"/>
          <w:kern w:val="0"/>
          <w:szCs w:val="21"/>
        </w:rPr>
        <w:t>除外）</w:t>
      </w:r>
    </w:p>
    <w:p w14:paraId="27929089">
      <w:pPr>
        <w:spacing w:line="360" w:lineRule="auto"/>
        <w:ind w:firstLine="420" w:firstLineChars="200"/>
        <w:rPr>
          <w:rFonts w:ascii="宋体" w:hAnsi="宋体" w:cs="宋体"/>
          <w:bCs/>
          <w:color w:val="auto"/>
          <w:kern w:val="0"/>
          <w:szCs w:val="21"/>
        </w:rPr>
      </w:pPr>
      <w:r>
        <w:rPr>
          <w:rFonts w:hint="eastAsia" w:ascii="宋体" w:hAnsi="宋体" w:cs="宋体"/>
          <w:bCs/>
          <w:color w:val="auto"/>
          <w:kern w:val="0"/>
          <w:szCs w:val="21"/>
        </w:rPr>
        <w:t>地点：广西政府采购云平台（https://www.gcy.zfcg.gxzf.gov.cn/）</w:t>
      </w:r>
    </w:p>
    <w:p w14:paraId="4C2DBC59">
      <w:pPr>
        <w:spacing w:line="360" w:lineRule="auto"/>
        <w:ind w:firstLine="420" w:firstLineChars="200"/>
        <w:rPr>
          <w:rFonts w:ascii="宋体" w:hAnsi="宋体" w:cs="宋体"/>
          <w:bCs/>
          <w:color w:val="auto"/>
          <w:kern w:val="0"/>
          <w:szCs w:val="21"/>
        </w:rPr>
      </w:pPr>
      <w:r>
        <w:rPr>
          <w:rFonts w:hint="eastAsia" w:ascii="宋体" w:hAnsi="宋体" w:cs="宋体"/>
          <w:bCs/>
          <w:color w:val="auto"/>
          <w:kern w:val="0"/>
          <w:szCs w:val="21"/>
        </w:rPr>
        <w:t>方式：网上下载。本项目不提供纸质文件，潜在供应商需使用账号登录或者使用CA登录广西政府采购云平台（https://www.gcy.zfcg.gxzf.gov.cn/）－进入“项目采购”应用，在获取采购文件菜单中选择项目，获取竞争性磋商文件。</w:t>
      </w:r>
      <w:r>
        <w:rPr>
          <w:rFonts w:hint="eastAsia" w:ascii="宋体" w:hAnsi="宋体"/>
          <w:color w:val="auto"/>
          <w:szCs w:val="21"/>
        </w:rPr>
        <w:t>电子</w:t>
      </w:r>
      <w:r>
        <w:rPr>
          <w:rFonts w:hint="eastAsia"/>
          <w:color w:val="auto"/>
        </w:rPr>
        <w:t>响应文件</w:t>
      </w:r>
      <w:r>
        <w:rPr>
          <w:rFonts w:hint="eastAsia" w:ascii="宋体" w:hAnsi="宋体"/>
          <w:color w:val="auto"/>
          <w:szCs w:val="21"/>
        </w:rPr>
        <w:t>制作需要基于广西政府采购云平台获取的磋商文件编制，</w:t>
      </w:r>
      <w:r>
        <w:rPr>
          <w:rFonts w:hint="eastAsia" w:ascii="宋体" w:hAnsi="宋体" w:cs="宋体"/>
          <w:bCs/>
          <w:color w:val="auto"/>
          <w:kern w:val="0"/>
          <w:szCs w:val="21"/>
        </w:rPr>
        <w:t>通过其他方式获取磋商文件的，将有可能导致供应商无法在广西政府采购云平台编制及上传响应文件。</w:t>
      </w:r>
    </w:p>
    <w:p w14:paraId="4FEB5C4A">
      <w:pPr>
        <w:spacing w:line="360" w:lineRule="auto"/>
        <w:ind w:firstLine="420" w:firstLineChars="200"/>
        <w:rPr>
          <w:rFonts w:hint="eastAsia" w:ascii="宋体" w:hAnsi="宋体" w:cs="宋体"/>
          <w:color w:val="auto"/>
          <w:szCs w:val="21"/>
        </w:rPr>
      </w:pPr>
      <w:r>
        <w:rPr>
          <w:rFonts w:hint="eastAsia" w:ascii="宋体" w:hAnsi="宋体" w:cs="宋体"/>
          <w:bCs/>
          <w:color w:val="auto"/>
          <w:kern w:val="0"/>
          <w:szCs w:val="21"/>
        </w:rPr>
        <w:t>售价：</w:t>
      </w:r>
      <w:r>
        <w:rPr>
          <w:rFonts w:hint="eastAsia" w:ascii="宋体" w:hAnsi="宋体" w:cs="宋体"/>
          <w:i/>
          <w:color w:val="auto"/>
          <w:szCs w:val="21"/>
          <w:u w:val="single"/>
        </w:rPr>
        <w:t>0</w:t>
      </w:r>
      <w:r>
        <w:rPr>
          <w:rFonts w:hint="eastAsia" w:ascii="宋体" w:hAnsi="宋体" w:cs="宋体"/>
          <w:color w:val="auto"/>
          <w:szCs w:val="21"/>
        </w:rPr>
        <w:t>元</w:t>
      </w:r>
    </w:p>
    <w:p w14:paraId="306EE395">
      <w:pPr>
        <w:ind w:firstLine="354" w:firstLineChars="147"/>
        <w:rPr>
          <w:rFonts w:ascii="黑体" w:hAnsi="黑体" w:eastAsia="黑体"/>
          <w:b/>
          <w:color w:val="auto"/>
          <w:sz w:val="24"/>
        </w:rPr>
      </w:pPr>
      <w:bookmarkStart w:id="24" w:name="_Toc71365908"/>
      <w:r>
        <w:rPr>
          <w:rFonts w:hint="eastAsia" w:ascii="黑体" w:hAnsi="黑体" w:eastAsia="黑体"/>
          <w:b/>
          <w:color w:val="auto"/>
          <w:sz w:val="24"/>
        </w:rPr>
        <w:t>四、响应文件提交</w:t>
      </w:r>
      <w:bookmarkEnd w:id="19"/>
      <w:bookmarkEnd w:id="20"/>
      <w:bookmarkEnd w:id="21"/>
      <w:bookmarkEnd w:id="22"/>
      <w:bookmarkEnd w:id="23"/>
      <w:bookmarkEnd w:id="24"/>
    </w:p>
    <w:p w14:paraId="56A8AA9D">
      <w:pPr>
        <w:spacing w:line="360" w:lineRule="auto"/>
        <w:ind w:firstLine="420" w:firstLineChars="200"/>
        <w:rPr>
          <w:rFonts w:ascii="宋体" w:hAnsi="宋体" w:cs="宋体"/>
          <w:color w:val="auto"/>
          <w:szCs w:val="21"/>
          <w:u w:val="single"/>
        </w:rPr>
      </w:pPr>
      <w:bookmarkStart w:id="25" w:name="_Toc28359093"/>
      <w:bookmarkStart w:id="26" w:name="_Toc35393633"/>
      <w:bookmarkStart w:id="27" w:name="_Toc44229882"/>
      <w:bookmarkStart w:id="28" w:name="_Toc35393802"/>
      <w:bookmarkStart w:id="29" w:name="_Toc28359016"/>
      <w:r>
        <w:rPr>
          <w:rFonts w:hint="eastAsia" w:ascii="宋体" w:hAnsi="宋体"/>
          <w:color w:val="auto"/>
          <w:szCs w:val="21"/>
        </w:rPr>
        <w:t>截止时间：</w:t>
      </w:r>
      <w:r>
        <w:rPr>
          <w:rFonts w:hint="eastAsia" w:ascii="宋体" w:hAnsi="宋体"/>
          <w:bCs/>
          <w:color w:val="auto"/>
          <w:szCs w:val="21"/>
          <w:u w:val="single"/>
        </w:rPr>
        <w:t>2026年9月4日9时30分</w:t>
      </w:r>
      <w:r>
        <w:rPr>
          <w:rFonts w:hint="eastAsia" w:ascii="宋体" w:hAnsi="宋体"/>
          <w:bCs/>
          <w:color w:val="auto"/>
          <w:szCs w:val="21"/>
        </w:rPr>
        <w:t>（北京时间）</w:t>
      </w:r>
    </w:p>
    <w:p w14:paraId="538141A5">
      <w:pPr>
        <w:spacing w:line="360" w:lineRule="auto"/>
        <w:ind w:firstLine="420" w:firstLineChars="200"/>
        <w:rPr>
          <w:rFonts w:hint="eastAsia" w:ascii="宋体" w:hAnsi="宋体"/>
          <w:color w:val="auto"/>
          <w:szCs w:val="21"/>
        </w:rPr>
      </w:pPr>
      <w:r>
        <w:rPr>
          <w:rFonts w:hint="eastAsia" w:ascii="宋体" w:hAnsi="宋体"/>
          <w:color w:val="auto"/>
          <w:szCs w:val="21"/>
        </w:rPr>
        <w:t>地点：广西政府采购云平台</w:t>
      </w:r>
      <w:r>
        <w:rPr>
          <w:rFonts w:hint="eastAsia" w:ascii="宋体" w:hAnsi="宋体" w:cs="宋体"/>
          <w:bCs/>
          <w:color w:val="auto"/>
          <w:kern w:val="0"/>
          <w:szCs w:val="21"/>
        </w:rPr>
        <w:t>（https://www.gcy.zfcg.gxzf.gov.cn/）</w:t>
      </w:r>
    </w:p>
    <w:p w14:paraId="2ADAEBA6">
      <w:pPr>
        <w:ind w:firstLine="354" w:firstLineChars="147"/>
        <w:rPr>
          <w:rFonts w:ascii="黑体" w:hAnsi="黑体" w:eastAsia="黑体"/>
          <w:b/>
          <w:color w:val="auto"/>
          <w:sz w:val="24"/>
        </w:rPr>
      </w:pPr>
      <w:bookmarkStart w:id="30" w:name="_Toc71365909"/>
      <w:r>
        <w:rPr>
          <w:rFonts w:hint="eastAsia" w:ascii="黑体" w:hAnsi="黑体" w:eastAsia="黑体"/>
          <w:b/>
          <w:color w:val="auto"/>
          <w:sz w:val="24"/>
        </w:rPr>
        <w:t>五、开启</w:t>
      </w:r>
      <w:bookmarkEnd w:id="25"/>
      <w:bookmarkEnd w:id="26"/>
      <w:bookmarkEnd w:id="27"/>
      <w:bookmarkEnd w:id="28"/>
      <w:bookmarkEnd w:id="29"/>
      <w:bookmarkEnd w:id="30"/>
    </w:p>
    <w:p w14:paraId="76ECA772">
      <w:pPr>
        <w:spacing w:line="360" w:lineRule="auto"/>
        <w:ind w:firstLine="420" w:firstLineChars="200"/>
        <w:rPr>
          <w:rFonts w:ascii="宋体" w:hAnsi="宋体"/>
          <w:bCs/>
          <w:color w:val="auto"/>
          <w:szCs w:val="21"/>
          <w:u w:val="single"/>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时间：</w:t>
      </w:r>
      <w:r>
        <w:rPr>
          <w:rFonts w:hint="eastAsia" w:ascii="宋体" w:hAnsi="宋体"/>
          <w:color w:val="auto"/>
          <w:szCs w:val="21"/>
          <w:u w:val="single"/>
        </w:rPr>
        <w:t>2026年9月4日9时30分</w:t>
      </w:r>
      <w:r>
        <w:rPr>
          <w:rFonts w:hint="eastAsia" w:ascii="宋体" w:hAnsi="宋体"/>
          <w:bCs/>
          <w:color w:val="auto"/>
          <w:szCs w:val="21"/>
        </w:rPr>
        <w:t>（北京时间）</w:t>
      </w:r>
    </w:p>
    <w:p w14:paraId="3B24296F">
      <w:pPr>
        <w:spacing w:line="360" w:lineRule="auto"/>
        <w:ind w:firstLine="420" w:firstLineChars="200"/>
        <w:rPr>
          <w:rFonts w:ascii="宋体" w:hAnsi="宋体"/>
          <w:bCs/>
          <w:color w:val="auto"/>
          <w:szCs w:val="21"/>
          <w:u w:val="single"/>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地点：广西政府采购云平台</w:t>
      </w:r>
      <w:r>
        <w:rPr>
          <w:rFonts w:hint="eastAsia" w:ascii="宋体" w:hAnsi="宋体" w:cs="宋体"/>
          <w:bCs/>
          <w:color w:val="auto"/>
          <w:kern w:val="0"/>
          <w:szCs w:val="21"/>
        </w:rPr>
        <w:t>（https://www.gcy.zfcg.gxzf.gov.cn/）</w:t>
      </w:r>
    </w:p>
    <w:p w14:paraId="3D7360EA">
      <w:pPr>
        <w:ind w:firstLine="354" w:firstLineChars="147"/>
        <w:rPr>
          <w:rFonts w:ascii="黑体" w:hAnsi="黑体" w:eastAsia="黑体"/>
          <w:b/>
          <w:color w:val="auto"/>
          <w:sz w:val="24"/>
        </w:rPr>
      </w:pPr>
      <w:bookmarkStart w:id="31" w:name="_Toc71365910"/>
      <w:bookmarkStart w:id="32" w:name="_Toc28359094"/>
      <w:bookmarkStart w:id="33" w:name="_Toc35393803"/>
      <w:bookmarkStart w:id="34" w:name="_Toc28359017"/>
      <w:bookmarkStart w:id="35" w:name="_Toc35393634"/>
      <w:bookmarkStart w:id="36" w:name="_Toc44229883"/>
      <w:r>
        <w:rPr>
          <w:rFonts w:hint="eastAsia" w:ascii="黑体" w:hAnsi="黑体" w:eastAsia="黑体"/>
          <w:b/>
          <w:color w:val="auto"/>
          <w:sz w:val="24"/>
        </w:rPr>
        <w:t>六、公告期限</w:t>
      </w:r>
      <w:bookmarkEnd w:id="31"/>
      <w:bookmarkEnd w:id="32"/>
      <w:bookmarkEnd w:id="33"/>
      <w:bookmarkEnd w:id="34"/>
      <w:bookmarkEnd w:id="35"/>
      <w:bookmarkEnd w:id="36"/>
    </w:p>
    <w:p w14:paraId="671CFDC0">
      <w:pPr>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自本公告发布之日起5个工作日。</w:t>
      </w:r>
    </w:p>
    <w:p w14:paraId="4557888D">
      <w:pPr>
        <w:ind w:firstLine="354" w:firstLineChars="147"/>
        <w:rPr>
          <w:rFonts w:ascii="黑体" w:hAnsi="黑体" w:eastAsia="黑体"/>
          <w:b/>
          <w:color w:val="auto"/>
          <w:sz w:val="24"/>
        </w:rPr>
      </w:pPr>
      <w:bookmarkStart w:id="37" w:name="_Toc35393635"/>
      <w:bookmarkStart w:id="38" w:name="_Toc44229884"/>
      <w:bookmarkStart w:id="39" w:name="_Toc71365911"/>
      <w:bookmarkStart w:id="40" w:name="_Toc35393804"/>
      <w:r>
        <w:rPr>
          <w:rFonts w:hint="eastAsia" w:ascii="黑体" w:hAnsi="黑体" w:eastAsia="黑体"/>
          <w:b/>
          <w:color w:val="auto"/>
          <w:sz w:val="24"/>
        </w:rPr>
        <w:t>七、其他补充事宜</w:t>
      </w:r>
      <w:bookmarkEnd w:id="37"/>
      <w:bookmarkEnd w:id="38"/>
      <w:bookmarkEnd w:id="39"/>
      <w:bookmarkEnd w:id="40"/>
    </w:p>
    <w:p w14:paraId="3DFCDAF3">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1.网上查询地址</w:t>
      </w:r>
    </w:p>
    <w:p w14:paraId="0F8289ED">
      <w:pPr>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中国政府采购网（http://www.ccgp.gov.cn）、广西壮族自治区政府采购网（http://zfcg.gxzf.gov.cn）</w:t>
      </w:r>
    </w:p>
    <w:p w14:paraId="35D58312">
      <w:pPr>
        <w:spacing w:line="360" w:lineRule="auto"/>
        <w:ind w:firstLine="424" w:firstLineChars="202"/>
        <w:rPr>
          <w:rFonts w:hint="eastAsia" w:ascii="宋体" w:hAnsi="宋体" w:cs="宋体"/>
          <w:color w:val="auto"/>
          <w:kern w:val="0"/>
          <w:szCs w:val="21"/>
        </w:rPr>
      </w:pPr>
      <w:bookmarkStart w:id="41" w:name="_Hlk37429674"/>
      <w:bookmarkStart w:id="42" w:name="_Toc44229885"/>
      <w:bookmarkStart w:id="43" w:name="_Toc28359095"/>
      <w:bookmarkStart w:id="44" w:name="_Toc35393636"/>
      <w:bookmarkStart w:id="45" w:name="_Toc28359018"/>
      <w:bookmarkStart w:id="46" w:name="_Toc35393805"/>
      <w:r>
        <w:rPr>
          <w:rFonts w:hint="eastAsia" w:ascii="宋体" w:hAnsi="宋体" w:cs="宋体"/>
          <w:color w:val="auto"/>
          <w:kern w:val="0"/>
          <w:szCs w:val="21"/>
        </w:rPr>
        <w:t>2</w:t>
      </w:r>
      <w:r>
        <w:rPr>
          <w:rFonts w:ascii="宋体" w:hAnsi="宋体" w:cs="宋体"/>
          <w:color w:val="auto"/>
          <w:kern w:val="0"/>
          <w:szCs w:val="21"/>
        </w:rPr>
        <w:t>.</w:t>
      </w:r>
      <w:r>
        <w:rPr>
          <w:rFonts w:hint="eastAsia" w:ascii="宋体" w:hAnsi="宋体" w:cs="宋体"/>
          <w:color w:val="auto"/>
          <w:kern w:val="0"/>
          <w:szCs w:val="21"/>
        </w:rPr>
        <w:t>本项目需要落实的政府采购政策</w:t>
      </w:r>
    </w:p>
    <w:p w14:paraId="25F6B1F1">
      <w:pPr>
        <w:spacing w:line="360" w:lineRule="auto"/>
        <w:ind w:firstLine="424" w:firstLineChars="202"/>
        <w:rPr>
          <w:rFonts w:ascii="宋体" w:hAnsi="宋体" w:cs="宋体"/>
          <w:color w:val="auto"/>
          <w:kern w:val="0"/>
          <w:szCs w:val="21"/>
        </w:rPr>
      </w:pPr>
      <w:r>
        <w:rPr>
          <w:rFonts w:hint="eastAsia" w:ascii="宋体" w:hAnsi="宋体" w:cs="宋体"/>
          <w:color w:val="auto"/>
          <w:kern w:val="0"/>
          <w:szCs w:val="21"/>
        </w:rPr>
        <w:t>（1）政府采购促进中小企业发展。</w:t>
      </w:r>
    </w:p>
    <w:p w14:paraId="359094C3">
      <w:pPr>
        <w:spacing w:line="360" w:lineRule="auto"/>
        <w:ind w:firstLine="424" w:firstLineChars="202"/>
        <w:rPr>
          <w:rFonts w:ascii="宋体" w:hAnsi="宋体" w:cs="宋体"/>
          <w:color w:val="auto"/>
          <w:kern w:val="0"/>
          <w:szCs w:val="21"/>
        </w:rPr>
      </w:pPr>
      <w:r>
        <w:rPr>
          <w:rFonts w:hint="eastAsia" w:ascii="宋体" w:hAnsi="宋体" w:cs="宋体"/>
          <w:color w:val="auto"/>
          <w:kern w:val="0"/>
          <w:szCs w:val="21"/>
        </w:rPr>
        <w:t>（2）政府采购支持采用本国产品的政策。</w:t>
      </w:r>
    </w:p>
    <w:p w14:paraId="6EAD505A">
      <w:pPr>
        <w:spacing w:line="360" w:lineRule="auto"/>
        <w:ind w:firstLine="424" w:firstLineChars="202"/>
        <w:rPr>
          <w:rFonts w:ascii="宋体" w:hAnsi="宋体" w:cs="宋体"/>
          <w:color w:val="auto"/>
          <w:kern w:val="0"/>
          <w:szCs w:val="21"/>
        </w:rPr>
      </w:pPr>
      <w:r>
        <w:rPr>
          <w:rFonts w:hint="eastAsia" w:ascii="宋体" w:hAnsi="宋体" w:cs="宋体"/>
          <w:color w:val="auto"/>
          <w:kern w:val="0"/>
          <w:szCs w:val="21"/>
        </w:rPr>
        <w:t>（3）强制采购节能产品；优先采购节能产品、环境标志产品。</w:t>
      </w:r>
    </w:p>
    <w:p w14:paraId="55856C10">
      <w:pPr>
        <w:spacing w:line="360" w:lineRule="auto"/>
        <w:ind w:firstLine="424" w:firstLineChars="202"/>
        <w:rPr>
          <w:rFonts w:ascii="宋体" w:hAnsi="宋体" w:cs="宋体"/>
          <w:color w:val="auto"/>
          <w:kern w:val="0"/>
          <w:szCs w:val="21"/>
        </w:rPr>
      </w:pPr>
      <w:r>
        <w:rPr>
          <w:rFonts w:hint="eastAsia" w:ascii="宋体" w:hAnsi="宋体" w:cs="宋体"/>
          <w:color w:val="auto"/>
          <w:kern w:val="0"/>
          <w:szCs w:val="21"/>
        </w:rPr>
        <w:t>（4）政府采购促进残疾人就业政策。</w:t>
      </w:r>
    </w:p>
    <w:p w14:paraId="129F8EDE">
      <w:pPr>
        <w:spacing w:line="360" w:lineRule="auto"/>
        <w:ind w:firstLine="424" w:firstLineChars="202"/>
        <w:rPr>
          <w:rFonts w:hint="eastAsia" w:ascii="宋体" w:hAnsi="宋体" w:cs="宋体"/>
          <w:color w:val="auto"/>
          <w:kern w:val="0"/>
          <w:szCs w:val="21"/>
        </w:rPr>
      </w:pPr>
      <w:r>
        <w:rPr>
          <w:rFonts w:hint="eastAsia" w:ascii="宋体" w:hAnsi="宋体" w:cs="宋体"/>
          <w:color w:val="auto"/>
          <w:kern w:val="0"/>
          <w:szCs w:val="21"/>
        </w:rPr>
        <w:t>（5）政府采购支持监狱企业发展。</w:t>
      </w:r>
    </w:p>
    <w:bookmarkEnd w:id="41"/>
    <w:p w14:paraId="7D728943">
      <w:pPr>
        <w:widowControl/>
        <w:spacing w:line="360" w:lineRule="auto"/>
        <w:ind w:firstLine="420" w:firstLineChars="200"/>
        <w:jc w:val="left"/>
        <w:rPr>
          <w:rFonts w:ascii="宋体" w:hAnsi="宋体"/>
          <w:color w:val="auto"/>
          <w:szCs w:val="21"/>
        </w:rPr>
      </w:pPr>
      <w:r>
        <w:rPr>
          <w:rFonts w:hint="eastAsia" w:ascii="宋体" w:hAnsi="宋体" w:cs="宋体"/>
          <w:color w:val="auto"/>
          <w:kern w:val="0"/>
          <w:szCs w:val="21"/>
        </w:rPr>
        <w:t>3.供应商</w:t>
      </w:r>
      <w:r>
        <w:rPr>
          <w:rFonts w:hint="eastAsia" w:ascii="宋体" w:hAnsi="宋体"/>
          <w:color w:val="auto"/>
          <w:szCs w:val="21"/>
        </w:rPr>
        <w:t>竞标注意事项</w:t>
      </w:r>
    </w:p>
    <w:p w14:paraId="24086AF1">
      <w:pPr>
        <w:widowControl/>
        <w:spacing w:line="360" w:lineRule="auto"/>
        <w:ind w:firstLine="420" w:firstLineChars="200"/>
        <w:jc w:val="left"/>
        <w:rPr>
          <w:rFonts w:hint="eastAsia" w:ascii="宋体" w:hAnsi="宋体"/>
          <w:color w:val="auto"/>
          <w:szCs w:val="21"/>
        </w:rPr>
      </w:pPr>
      <w:r>
        <w:rPr>
          <w:rFonts w:hint="eastAsia" w:ascii="宋体" w:hAnsi="宋体"/>
          <w:color w:val="auto"/>
          <w:szCs w:val="21"/>
        </w:rPr>
        <w:t>（1）本项目为全流程电子化采购项目，通过广西政府采购云平台（https://www.gcy.zfcg.gxzf.gov.cn/）实行在线电子竞标，供应商应按照本项目竞争性磋商文件和广西政府采购云平台的要求编制、加密后在提交响应文件截止时间前通过网络上传至 广西政府采购云平台（加密的电子响应文件是指</w:t>
      </w:r>
      <w:r>
        <w:rPr>
          <w:rFonts w:hint="eastAsia"/>
          <w:color w:val="auto"/>
        </w:rPr>
        <w:t>后缀名为“jm</w:t>
      </w:r>
      <w:r>
        <w:rPr>
          <w:color w:val="auto"/>
        </w:rPr>
        <w:t>bs</w:t>
      </w:r>
      <w:r>
        <w:rPr>
          <w:rFonts w:hint="eastAsia"/>
          <w:color w:val="auto"/>
        </w:rPr>
        <w:t>”的文件</w:t>
      </w:r>
      <w:r>
        <w:rPr>
          <w:rFonts w:hint="eastAsia" w:ascii="宋体" w:hAnsi="宋体"/>
          <w:color w:val="auto"/>
          <w:szCs w:val="21"/>
        </w:rPr>
        <w:t>），</w:t>
      </w:r>
      <w:r>
        <w:rPr>
          <w:rFonts w:hint="eastAsia" w:ascii="宋体" w:hAnsi="宋体"/>
          <w:b/>
          <w:color w:val="auto"/>
          <w:szCs w:val="21"/>
        </w:rPr>
        <w:t>供应商在广西政府采购云平台提交电子响应文件时，请填写参加远程采购活动经办人联系方式。</w:t>
      </w:r>
      <w:r>
        <w:rPr>
          <w:rFonts w:hint="eastAsia" w:ascii="宋体" w:hAnsi="宋体"/>
          <w:color w:val="auto"/>
          <w:szCs w:val="21"/>
        </w:rPr>
        <w:t>供应商登录广西政府采购云平台，依次进入“服务中心－项目采购－操作流程－电子招投标－</w:t>
      </w:r>
      <w:r>
        <w:rPr>
          <w:rFonts w:hint="eastAsia"/>
          <w:color w:val="auto"/>
        </w:rPr>
        <w:t>政府采购项目电子交易管理操作指南－供应商</w:t>
      </w:r>
      <w:r>
        <w:rPr>
          <w:rFonts w:hint="eastAsia" w:ascii="宋体" w:hAnsi="宋体"/>
          <w:color w:val="auto"/>
          <w:szCs w:val="21"/>
        </w:rPr>
        <w:t>”查看电子竞标具体操作流程。</w:t>
      </w:r>
    </w:p>
    <w:p w14:paraId="2AFBF8C9">
      <w:pPr>
        <w:widowControl/>
        <w:spacing w:line="360" w:lineRule="auto"/>
        <w:ind w:firstLine="420" w:firstLineChars="200"/>
        <w:jc w:val="left"/>
        <w:rPr>
          <w:rFonts w:hint="eastAsia" w:ascii="宋体" w:hAnsi="宋体"/>
          <w:color w:val="auto"/>
          <w:szCs w:val="21"/>
        </w:rPr>
      </w:pPr>
      <w:r>
        <w:rPr>
          <w:rFonts w:hint="eastAsia" w:ascii="宋体" w:hAnsi="宋体"/>
          <w:color w:val="auto"/>
          <w:szCs w:val="21"/>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w:t>
      </w:r>
      <w:r>
        <w:rPr>
          <w:rFonts w:hint="eastAsia" w:ascii="宋体" w:hAnsi="宋体" w:cs="宋体"/>
          <w:color w:val="auto"/>
          <w:kern w:val="0"/>
          <w:szCs w:val="21"/>
        </w:rPr>
        <w:t>广西政府采购云平台，</w:t>
      </w:r>
      <w:r>
        <w:rPr>
          <w:rFonts w:hint="eastAsia" w:ascii="宋体" w:hAnsi="宋体"/>
          <w:color w:val="auto"/>
          <w:szCs w:val="21"/>
        </w:rPr>
        <w:t>依次进入“服务中心－入驻与配置”中查看CA数字证书办理操作流程。</w:t>
      </w:r>
      <w:r>
        <w:rPr>
          <w:rFonts w:hint="eastAsia" w:ascii="宋体" w:hAnsi="宋体" w:cs="宋体"/>
          <w:bCs/>
          <w:color w:val="auto"/>
          <w:kern w:val="0"/>
          <w:szCs w:val="21"/>
        </w:rPr>
        <w:t>如在操作过程中遇到问题或者需要技术支持，请致电客服热线：95763或者0771-3381253</w:t>
      </w:r>
      <w:r>
        <w:rPr>
          <w:rFonts w:hint="eastAsia" w:ascii="宋体" w:hAnsi="宋体"/>
          <w:color w:val="auto"/>
          <w:szCs w:val="21"/>
        </w:rPr>
        <w:t>）。</w:t>
      </w:r>
    </w:p>
    <w:p w14:paraId="06130596">
      <w:pPr>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（3）CA证书在线解密：首次响应文件开启时，需携带制作响应文件时用来加密的有效数字证书（CA认证）登录广西政府采购云平台电子开标大厅现场按规定时间对加密的响应文件进行解密，否则后果自负。</w:t>
      </w:r>
    </w:p>
    <w:p w14:paraId="427A7A8E">
      <w:pPr>
        <w:widowControl/>
        <w:spacing w:line="360" w:lineRule="auto"/>
        <w:ind w:firstLine="420" w:firstLineChars="200"/>
        <w:jc w:val="left"/>
        <w:rPr>
          <w:rFonts w:hint="eastAsia" w:ascii="宋体" w:hAnsi="宋体"/>
          <w:bCs/>
          <w:color w:val="auto"/>
          <w:szCs w:val="21"/>
        </w:rPr>
      </w:pPr>
      <w:r>
        <w:rPr>
          <w:rFonts w:hint="eastAsia" w:ascii="宋体" w:hAnsi="宋体"/>
          <w:color w:val="auto"/>
          <w:szCs w:val="21"/>
        </w:rPr>
        <w:t>注：1）为确保网上操作合法、有效和安全，请供应商确保在电子竞标过程中能够对相关数据电文进行加密和使用电子签章，妥善保管CA数字证书并使用有效的CA数字证书参与整个采购活动。2）</w:t>
      </w:r>
      <w:r>
        <w:rPr>
          <w:rFonts w:hint="eastAsia" w:ascii="宋体" w:hAnsi="宋体"/>
          <w:bCs/>
          <w:color w:val="auto"/>
          <w:szCs w:val="21"/>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18F3F65C">
      <w:pPr>
        <w:spacing w:line="360" w:lineRule="auto"/>
        <w:ind w:firstLine="420" w:firstLineChars="200"/>
        <w:rPr>
          <w:rFonts w:hint="eastAsia" w:ascii="宋体" w:hAnsi="宋体"/>
          <w:color w:val="auto"/>
          <w:szCs w:val="21"/>
          <w:u w:val="single"/>
        </w:rPr>
      </w:pPr>
      <w:r>
        <w:rPr>
          <w:rFonts w:hint="eastAsia" w:ascii="宋体" w:hAnsi="宋体" w:cs="宋体"/>
          <w:color w:val="auto"/>
          <w:kern w:val="0"/>
          <w:szCs w:val="21"/>
        </w:rPr>
        <w:t>（4）供应商需要在具备有摄像头及语音功能且互联网网络状况良好的电脑登录广西政府采购云平台远程开标大厅参与本次磋商，否则后果自负。</w:t>
      </w:r>
    </w:p>
    <w:p w14:paraId="40C75057">
      <w:pPr>
        <w:ind w:firstLine="354" w:firstLineChars="147"/>
        <w:rPr>
          <w:rFonts w:ascii="黑体" w:hAnsi="黑体" w:eastAsia="黑体"/>
          <w:b/>
          <w:color w:val="auto"/>
          <w:sz w:val="24"/>
        </w:rPr>
      </w:pPr>
      <w:r>
        <w:rPr>
          <w:rFonts w:hint="eastAsia" w:ascii="黑体" w:hAnsi="黑体" w:eastAsia="黑体"/>
          <w:b/>
          <w:color w:val="auto"/>
          <w:sz w:val="24"/>
        </w:rPr>
        <w:t>八、凡对本次采购提出询问，请按</w:t>
      </w:r>
      <w:r>
        <w:rPr>
          <w:rFonts w:ascii="黑体" w:hAnsi="黑体" w:eastAsia="黑体"/>
          <w:b/>
          <w:color w:val="auto"/>
          <w:sz w:val="24"/>
        </w:rPr>
        <w:t>以下方式</w:t>
      </w:r>
      <w:r>
        <w:rPr>
          <w:rFonts w:hint="eastAsia" w:ascii="黑体" w:hAnsi="黑体" w:eastAsia="黑体"/>
          <w:b/>
          <w:color w:val="auto"/>
          <w:sz w:val="24"/>
        </w:rPr>
        <w:t>联系。</w:t>
      </w:r>
      <w:bookmarkEnd w:id="42"/>
      <w:bookmarkEnd w:id="43"/>
      <w:bookmarkEnd w:id="44"/>
      <w:bookmarkEnd w:id="45"/>
      <w:bookmarkEnd w:id="46"/>
    </w:p>
    <w:p w14:paraId="483F70E3">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1.采购人信息</w:t>
      </w:r>
    </w:p>
    <w:p w14:paraId="4FE682EF">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名    称：广西福利彩票发行中心</w:t>
      </w:r>
    </w:p>
    <w:p w14:paraId="70873815">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地    址：南宁市葛村路23号</w:t>
      </w:r>
    </w:p>
    <w:p w14:paraId="227C4B03">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联系人：张银刚</w:t>
      </w:r>
    </w:p>
    <w:p w14:paraId="47EB2775">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联系方式：</w:t>
      </w:r>
      <w:r>
        <w:rPr>
          <w:rFonts w:ascii="宋体" w:hAnsi="宋体" w:cs="宋体"/>
          <w:color w:val="auto"/>
          <w:kern w:val="0"/>
          <w:szCs w:val="21"/>
        </w:rPr>
        <w:t>0771-5636011</w:t>
      </w:r>
    </w:p>
    <w:p w14:paraId="6F2D20E6">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2.采购代理机构信息</w:t>
      </w:r>
    </w:p>
    <w:p w14:paraId="3B14BD3A">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名称：云之龙咨询集团有限公司　　</w:t>
      </w:r>
    </w:p>
    <w:p w14:paraId="58ED22A6">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地　　址：广西南宁市良庆区云英路15号3号楼云之龙咨询集团大厦6楼/530201　　</w:t>
      </w:r>
    </w:p>
    <w:p w14:paraId="0AB9EF12">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联系电话：0771-2618118、2611889、2611898</w:t>
      </w:r>
    </w:p>
    <w:p w14:paraId="4C676079">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3.项目联系方式</w:t>
      </w:r>
    </w:p>
    <w:p w14:paraId="2B3E0EE6">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项目联系人：李鸿海、梁俏英</w:t>
      </w:r>
    </w:p>
    <w:p w14:paraId="7A46C7D2">
      <w:pPr>
        <w:spacing w:line="360" w:lineRule="auto"/>
        <w:ind w:firstLine="420" w:firstLineChars="200"/>
        <w:rPr>
          <w:rFonts w:ascii="宋体" w:hAnsi="宋体"/>
          <w:color w:val="auto"/>
          <w:szCs w:val="21"/>
          <w:u w:val="single"/>
        </w:rPr>
      </w:pPr>
      <w:r>
        <w:rPr>
          <w:rFonts w:hint="eastAsia" w:ascii="宋体" w:hAnsi="宋体" w:cs="宋体"/>
          <w:color w:val="auto"/>
          <w:kern w:val="0"/>
          <w:szCs w:val="21"/>
        </w:rPr>
        <w:t>电　　话：0771-2618118、2611889、2611898</w:t>
      </w:r>
    </w:p>
    <w:bookmarkEnd w:id="0"/>
    <w:p w14:paraId="0C234DC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67F0862"/>
    <w:rsid w:val="6BBF40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2025-10-28T10:38:00Z</dcterms:created>
  <dc:creator>Administrator</dc:creator>
  <cp:lastModifiedBy>WPS_1602214612</cp:lastModifiedBy>
  <dcterms:modified xsi:type="dcterms:W3CDTF">2026-08-24T04:23:09Z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BCD27B52A63B459E89DEC36C3C906F09_12</vt:lpwstr>
  </property>
  <property fmtid="{D5CDD505-2E9C-101B-9397-08002B2CF9AE}" pid="4" name="KSOTemplateDocerSaveRecord">
    <vt:lpwstr>eyJoZGlkIjoiYzYyZDllODYwZmNjMmI1MzcyZGY0ODk5ZTE1MjMzZTIiLCJ1c2VySWQiOiIxMTI4ODcwMzU0In0=</vt:lpwstr>
  </property>
</Properties>
</file>